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0153">
      <w:pPr>
        <w:pStyle w:val="13"/>
        <w:jc w:val="center"/>
        <w:outlineLvl w:val="0"/>
        <w:rPr>
          <w:rFonts w:ascii="Times New Roman" w:hAnsi="Times New Roman"/>
          <w:b/>
          <w:color w:val="000000" w:themeColor="text1"/>
          <w:sz w:val="36"/>
          <w14:textFill>
            <w14:solidFill>
              <w14:schemeClr w14:val="tx1"/>
            </w14:solidFill>
          </w14:textFill>
        </w:rPr>
      </w:pPr>
      <w:bookmarkStart w:id="0" w:name="_Toc187761550"/>
      <w:r>
        <w:rPr>
          <w:rFonts w:hint="eastAsia" w:ascii="Times New Roman" w:hAnsi="Times New Roman"/>
          <w:b/>
          <w:color w:val="000000" w:themeColor="text1"/>
          <w:sz w:val="36"/>
          <w14:textFill>
            <w14:solidFill>
              <w14:schemeClr w14:val="tx1"/>
            </w14:solidFill>
          </w14:textFill>
        </w:rPr>
        <w:t>采购需求</w:t>
      </w:r>
      <w:bookmarkEnd w:id="0"/>
    </w:p>
    <w:p w14:paraId="232AB84D">
      <w:pPr>
        <w:adjustRightInd w:val="0"/>
        <w:spacing w:line="340" w:lineRule="exact"/>
        <w:rPr>
          <w:rFonts w:hAnsi="宋体"/>
          <w:b/>
          <w:color w:val="000000" w:themeColor="text1"/>
          <w:szCs w:val="21"/>
          <w14:textFill>
            <w14:solidFill>
              <w14:schemeClr w14:val="tx1"/>
            </w14:solidFill>
          </w14:textFill>
        </w:rPr>
      </w:pPr>
    </w:p>
    <w:p w14:paraId="38ED3239">
      <w:pPr>
        <w:adjustRightInd w:val="0"/>
        <w:spacing w:line="340" w:lineRule="exact"/>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说明：</w:t>
      </w:r>
    </w:p>
    <w:p w14:paraId="7EAC7CC9">
      <w:pPr>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为落实政府采购政策需满足的要求</w:t>
      </w:r>
    </w:p>
    <w:p w14:paraId="3A3C212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（1）本招标文件所称中小企业必须符合《政府采购促进中小企业发展管理办法》（财库〔2020〕46号）的规定。</w:t>
      </w:r>
    </w:p>
    <w:p w14:paraId="2FD1CCC9">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EAA0427">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color w:val="000000" w:themeColor="text1"/>
          <w:szCs w:val="21"/>
          <w14:textFill>
            <w14:solidFill>
              <w14:schemeClr w14:val="tx1"/>
            </w14:solidFill>
          </w14:textFill>
        </w:rPr>
        <w:t>投标无效。</w:t>
      </w:r>
      <w:r>
        <w:rPr>
          <w:rFonts w:hint="eastAsia" w:ascii="宋体" w:hAnsi="宋体" w:cs="宋体"/>
          <w:color w:val="000000" w:themeColor="text1"/>
          <w:szCs w:val="21"/>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7B6E0A6E">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47931BFD">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不需要投标人对采购需求响应为具体数值的，此采购需求的数值后将以◆号标注。</w:t>
      </w:r>
    </w:p>
    <w:p w14:paraId="71A5A6D4">
      <w:pPr>
        <w:spacing w:line="360" w:lineRule="auto"/>
        <w:ind w:firstLine="424" w:firstLineChars="202"/>
        <w:jc w:val="left"/>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如投标</w:t>
      </w:r>
      <w:r>
        <w:rPr>
          <w:rFonts w:hint="eastAsia"/>
          <w:color w:val="000000" w:themeColor="text1"/>
          <w14:textFill>
            <w14:solidFill>
              <w14:schemeClr w14:val="tx1"/>
            </w14:solidFill>
          </w14:textFill>
        </w:rPr>
        <w:t>人投标产品存在侵犯他人的知识产权或者专利成果行为的，应承担相应法律责任。</w:t>
      </w:r>
    </w:p>
    <w:p w14:paraId="7AFDFEC2">
      <w:pPr>
        <w:tabs>
          <w:tab w:val="left" w:pos="312"/>
        </w:tabs>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 本项目采购标的的中小企业划分标准所属行业名称（行业名称及划分见本章附件2）：</w:t>
      </w:r>
      <w:r>
        <w:rPr>
          <w:rFonts w:hint="eastAsia" w:ascii="宋体" w:hAnsi="宋体" w:cs="宋体"/>
          <w:color w:val="000000" w:themeColor="text1"/>
          <w:szCs w:val="21"/>
          <w14:textFill>
            <w14:solidFill>
              <w14:schemeClr w14:val="tx1"/>
            </w14:solidFill>
          </w14:textFill>
        </w:rPr>
        <w:t>其他未列明行业</w:t>
      </w:r>
    </w:p>
    <w:p w14:paraId="7D236078">
      <w:pPr>
        <w:tabs>
          <w:tab w:val="left" w:pos="312"/>
        </w:tabs>
        <w:spacing w:line="360" w:lineRule="auto"/>
        <w:ind w:firstLine="420" w:firstLineChars="200"/>
        <w:jc w:val="left"/>
        <w:rPr>
          <w:color w:val="000000" w:themeColor="text1"/>
          <w14:textFill>
            <w14:solidFill>
              <w14:schemeClr w14:val="tx1"/>
            </w14:solidFill>
          </w14:textFill>
        </w:rPr>
      </w:pPr>
    </w:p>
    <w:p w14:paraId="5138CF82">
      <w:pPr>
        <w:spacing w:line="360" w:lineRule="auto"/>
        <w:ind w:firstLine="210" w:firstLineChars="100"/>
        <w:jc w:val="left"/>
        <w:rPr>
          <w:color w:val="000000" w:themeColor="text1"/>
          <w14:textFill>
            <w14:solidFill>
              <w14:schemeClr w14:val="tx1"/>
            </w14:solidFill>
          </w14:textFill>
        </w:rPr>
      </w:pPr>
    </w:p>
    <w:p w14:paraId="0B7D8812">
      <w:pPr>
        <w:rPr>
          <w:color w:val="000000" w:themeColor="text1"/>
          <w14:textFill>
            <w14:solidFill>
              <w14:schemeClr w14:val="tx1"/>
            </w14:solidFill>
          </w14:textFill>
        </w:rPr>
      </w:pPr>
      <w:bookmarkStart w:id="1" w:name="_GoBack"/>
      <w:bookmarkEnd w:id="1"/>
    </w:p>
    <w:tbl>
      <w:tblPr>
        <w:tblStyle w:val="16"/>
        <w:tblW w:w="985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620"/>
        <w:gridCol w:w="599"/>
        <w:gridCol w:w="444"/>
        <w:gridCol w:w="921"/>
        <w:gridCol w:w="6521"/>
        <w:gridCol w:w="751"/>
      </w:tblGrid>
      <w:tr w14:paraId="6287EF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tcPr>
          <w:p w14:paraId="69D9C5D8">
            <w:pPr>
              <w:jc w:val="center"/>
              <w:rPr>
                <w:rFonts w:ascii="宋体"/>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服务需求一览表</w:t>
            </w:r>
          </w:p>
        </w:tc>
      </w:tr>
      <w:tr w14:paraId="067821E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663" w:type="dxa"/>
            <w:gridSpan w:val="3"/>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3F12BEF">
            <w:pPr>
              <w:rPr>
                <w:color w:val="000000" w:themeColor="text1"/>
                <w14:textFill>
                  <w14:solidFill>
                    <w14:schemeClr w14:val="tx1"/>
                  </w14:solidFill>
                </w14:textFill>
              </w:rPr>
            </w:pPr>
            <w:r>
              <w:rPr>
                <w:rFonts w:hint="eastAsia"/>
                <w:color w:val="000000" w:themeColor="text1"/>
                <w14:textFill>
                  <w14:solidFill>
                    <w14:schemeClr w14:val="tx1"/>
                  </w14:solidFill>
                </w14:textFill>
              </w:rPr>
              <w:t>标段</w:t>
            </w:r>
          </w:p>
        </w:tc>
        <w:tc>
          <w:tcPr>
            <w:tcW w:w="7442" w:type="dxa"/>
            <w:gridSpan w:val="2"/>
            <w:tcBorders>
              <w:top w:val="single" w:color="000000" w:sz="8" w:space="0"/>
              <w:left w:val="single" w:color="000000" w:sz="6" w:space="0"/>
              <w:bottom w:val="single" w:color="000000" w:sz="6" w:space="0"/>
              <w:right w:val="single" w:color="000000" w:sz="6" w:space="0"/>
            </w:tcBorders>
          </w:tcPr>
          <w:p w14:paraId="262F3B94">
            <w:pPr>
              <w:rPr>
                <w:color w:val="000000" w:themeColor="text1"/>
                <w14:textFill>
                  <w14:solidFill>
                    <w14:schemeClr w14:val="tx1"/>
                  </w14:solidFill>
                </w14:textFill>
              </w:rPr>
            </w:pPr>
            <w:r>
              <w:rPr>
                <w:rFonts w:hint="eastAsia" w:ascii="仿宋_GB2312" w:eastAsia="仿宋_GB2312" w:cs="Arial"/>
                <w:color w:val="000000" w:themeColor="text1"/>
                <w:sz w:val="32"/>
                <w:szCs w:val="32"/>
                <w14:textFill>
                  <w14:solidFill>
                    <w14:schemeClr w14:val="tx1"/>
                  </w14:solidFill>
                </w14:textFill>
              </w:rPr>
              <w:t>/</w:t>
            </w:r>
            <w:r>
              <w:rPr>
                <w:rFonts w:hint="eastAsia"/>
                <w:color w:val="000000" w:themeColor="text1"/>
                <w14:textFill>
                  <w14:solidFill>
                    <w14:schemeClr w14:val="tx1"/>
                  </w14:solidFill>
                </w14:textFill>
              </w:rPr>
              <w:t>分标</w:t>
            </w:r>
          </w:p>
        </w:tc>
        <w:tc>
          <w:tcPr>
            <w:tcW w:w="751" w:type="dxa"/>
            <w:tcBorders>
              <w:top w:val="single" w:color="000000" w:sz="8" w:space="0"/>
              <w:left w:val="single" w:color="000000" w:sz="6" w:space="0"/>
              <w:bottom w:val="single" w:color="000000" w:sz="6" w:space="0"/>
              <w:right w:val="single" w:color="000000" w:sz="8" w:space="0"/>
            </w:tcBorders>
            <w:vAlign w:val="center"/>
          </w:tcPr>
          <w:p w14:paraId="7D0D68BD">
            <w:pPr>
              <w:rPr>
                <w:color w:val="000000" w:themeColor="text1"/>
                <w14:textFill>
                  <w14:solidFill>
                    <w14:schemeClr w14:val="tx1"/>
                  </w14:solidFill>
                </w14:textFill>
              </w:rPr>
            </w:pPr>
          </w:p>
        </w:tc>
      </w:tr>
      <w:tr w14:paraId="5C80530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620"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9B995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项号</w:t>
            </w:r>
          </w:p>
        </w:tc>
        <w:tc>
          <w:tcPr>
            <w:tcW w:w="1043" w:type="dxa"/>
            <w:gridSpan w:val="2"/>
            <w:tcBorders>
              <w:top w:val="single" w:color="000000" w:sz="8" w:space="0"/>
              <w:left w:val="single" w:color="000000" w:sz="6" w:space="0"/>
              <w:bottom w:val="single" w:color="000000" w:sz="6" w:space="0"/>
              <w:right w:val="single" w:color="000000" w:sz="6" w:space="0"/>
            </w:tcBorders>
            <w:vAlign w:val="center"/>
          </w:tcPr>
          <w:p w14:paraId="6FB78EF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采购标的（服务名称）</w:t>
            </w:r>
          </w:p>
        </w:tc>
        <w:tc>
          <w:tcPr>
            <w:tcW w:w="921" w:type="dxa"/>
            <w:tcBorders>
              <w:top w:val="single" w:color="000000" w:sz="8" w:space="0"/>
              <w:left w:val="single" w:color="000000" w:sz="6" w:space="0"/>
              <w:bottom w:val="single" w:color="000000" w:sz="6" w:space="0"/>
              <w:right w:val="single" w:color="000000" w:sz="6" w:space="0"/>
            </w:tcBorders>
            <w:vAlign w:val="center"/>
          </w:tcPr>
          <w:p w14:paraId="6FF546D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数量单位</w:t>
            </w:r>
          </w:p>
        </w:tc>
        <w:tc>
          <w:tcPr>
            <w:tcW w:w="6521" w:type="dxa"/>
            <w:tcBorders>
              <w:top w:val="single" w:color="000000" w:sz="8" w:space="0"/>
              <w:left w:val="single" w:color="000000" w:sz="6" w:space="0"/>
              <w:bottom w:val="single" w:color="000000" w:sz="6" w:space="0"/>
              <w:right w:val="single" w:color="000000" w:sz="6" w:space="0"/>
            </w:tcBorders>
            <w:vAlign w:val="center"/>
          </w:tcPr>
          <w:p w14:paraId="2FAC8D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服务参数</w:t>
            </w:r>
          </w:p>
        </w:tc>
        <w:tc>
          <w:tcPr>
            <w:tcW w:w="751" w:type="dxa"/>
            <w:tcBorders>
              <w:top w:val="single" w:color="000000" w:sz="8" w:space="0"/>
              <w:left w:val="single" w:color="000000" w:sz="6" w:space="0"/>
              <w:bottom w:val="single" w:color="000000" w:sz="6" w:space="0"/>
              <w:right w:val="single" w:color="000000" w:sz="8" w:space="0"/>
            </w:tcBorders>
            <w:vAlign w:val="center"/>
          </w:tcPr>
          <w:p w14:paraId="09AD682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分项预算金额（万元）</w:t>
            </w:r>
          </w:p>
        </w:tc>
      </w:tr>
      <w:tr w14:paraId="55592E3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620"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1FD8D8E">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43" w:type="dxa"/>
            <w:gridSpan w:val="2"/>
            <w:tcBorders>
              <w:top w:val="single" w:color="000000" w:sz="8" w:space="0"/>
              <w:left w:val="single" w:color="000000" w:sz="6" w:space="0"/>
              <w:bottom w:val="single" w:color="000000" w:sz="6" w:space="0"/>
              <w:right w:val="single" w:color="000000" w:sz="6" w:space="0"/>
            </w:tcBorders>
            <w:vAlign w:val="center"/>
          </w:tcPr>
          <w:p w14:paraId="372C56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南宁市12328服务中心运营提升服务</w:t>
            </w:r>
          </w:p>
        </w:tc>
        <w:tc>
          <w:tcPr>
            <w:tcW w:w="921" w:type="dxa"/>
            <w:tcBorders>
              <w:top w:val="single" w:color="000000" w:sz="8" w:space="0"/>
              <w:left w:val="single" w:color="000000" w:sz="6" w:space="0"/>
              <w:bottom w:val="single" w:color="000000" w:sz="6" w:space="0"/>
              <w:right w:val="single" w:color="000000" w:sz="6" w:space="0"/>
            </w:tcBorders>
            <w:vAlign w:val="center"/>
          </w:tcPr>
          <w:p w14:paraId="3B0EBF5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1项</w:t>
            </w:r>
          </w:p>
        </w:tc>
        <w:tc>
          <w:tcPr>
            <w:tcW w:w="6521" w:type="dxa"/>
            <w:tcBorders>
              <w:top w:val="single" w:color="000000" w:sz="8" w:space="0"/>
              <w:left w:val="single" w:color="000000" w:sz="6" w:space="0"/>
              <w:bottom w:val="single" w:color="000000" w:sz="6" w:space="0"/>
              <w:right w:val="single" w:color="000000" w:sz="6" w:space="0"/>
            </w:tcBorders>
            <w:vAlign w:val="center"/>
          </w:tcPr>
          <w:p w14:paraId="3FCF9498">
            <w:pPr>
              <w:spacing w:line="360" w:lineRule="exact"/>
              <w:jc w:val="left"/>
              <w:rPr>
                <w:rFonts w:ascii="宋体" w:hAnsi="宋体" w:cs="宋体"/>
                <w:color w:val="auto"/>
                <w:szCs w:val="21"/>
              </w:rPr>
            </w:pPr>
            <w:r>
              <w:rPr>
                <w:rFonts w:hint="eastAsia" w:ascii="宋体" w:hAnsi="宋体" w:cs="宋体"/>
                <w:color w:val="auto"/>
                <w:szCs w:val="21"/>
              </w:rPr>
              <w:t>一、服务内容：</w:t>
            </w:r>
          </w:p>
          <w:p w14:paraId="19846E34">
            <w:pPr>
              <w:spacing w:line="36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中标供应商</w:t>
            </w:r>
            <w:r>
              <w:rPr>
                <w:rFonts w:hint="eastAsia" w:ascii="宋体" w:hAnsi="宋体" w:cs="宋体"/>
                <w:color w:val="auto"/>
                <w:szCs w:val="21"/>
              </w:rPr>
              <w:t>负责所有派发给南宁市12328服务中心工单的签收、转办、检查及补充完善、催办督办、跟踪回访、办结归档、统计分析以及接听查看相关业务电话信息等12328热线日常业务运营工作；及时更新热线知识库，定期开展12328业务知识培训及南宁市12328服务中心工作人员队伍建设服务。</w:t>
            </w:r>
          </w:p>
          <w:p w14:paraId="567225A1">
            <w:pPr>
              <w:spacing w:line="360" w:lineRule="exact"/>
              <w:jc w:val="left"/>
              <w:rPr>
                <w:rFonts w:ascii="宋体" w:hAnsi="宋体" w:cs="宋体"/>
                <w:color w:val="auto"/>
                <w:szCs w:val="21"/>
              </w:rPr>
            </w:pPr>
            <w:r>
              <w:rPr>
                <w:rFonts w:hint="eastAsia" w:ascii="宋体" w:hAnsi="宋体" w:cs="宋体"/>
                <w:color w:val="auto"/>
                <w:szCs w:val="21"/>
              </w:rPr>
              <w:t>二、工作人员配置：</w:t>
            </w:r>
          </w:p>
          <w:p w14:paraId="741A7BF5">
            <w:pPr>
              <w:spacing w:line="360" w:lineRule="exact"/>
              <w:jc w:val="left"/>
              <w:rPr>
                <w:rFonts w:ascii="宋体" w:hAnsi="宋体" w:cs="宋体"/>
                <w:color w:val="auto"/>
                <w:szCs w:val="21"/>
              </w:rPr>
            </w:pPr>
            <w:r>
              <w:rPr>
                <w:rFonts w:hint="eastAsia" w:ascii="宋体" w:hAnsi="宋体" w:cs="宋体"/>
                <w:color w:val="auto"/>
                <w:szCs w:val="21"/>
              </w:rPr>
              <w:t>▲1.本项目配置工作人员</w:t>
            </w:r>
            <w:r>
              <w:rPr>
                <w:rFonts w:hint="eastAsia"/>
                <w:color w:val="auto"/>
                <w:highlight w:val="none"/>
                <w:lang w:val="en-US" w:eastAsia="zh-CN"/>
              </w:rPr>
              <w:t>至少</w:t>
            </w:r>
            <w:r>
              <w:rPr>
                <w:rFonts w:hint="eastAsia" w:ascii="宋体" w:hAnsi="宋体" w:cs="宋体"/>
                <w:color w:val="auto"/>
                <w:szCs w:val="21"/>
                <w:highlight w:val="none"/>
              </w:rPr>
              <w:t>6人，其中</w:t>
            </w:r>
            <w:r>
              <w:rPr>
                <w:rFonts w:hint="eastAsia" w:ascii="宋体" w:hAnsi="宋体" w:cs="宋体"/>
                <w:color w:val="auto"/>
                <w:szCs w:val="21"/>
                <w:highlight w:val="none"/>
                <w:lang w:val="en-US" w:eastAsia="zh-CN"/>
              </w:rPr>
              <w:t>至少包含</w:t>
            </w:r>
            <w:r>
              <w:rPr>
                <w:rFonts w:hint="eastAsia" w:ascii="宋体" w:hAnsi="宋体" w:cs="宋体"/>
                <w:color w:val="auto"/>
                <w:szCs w:val="21"/>
              </w:rPr>
              <w:t>项目班长1人、工单接转员（兼回访员）2人、工单质量检查员1人、督办员1人、统计分析员1人。</w:t>
            </w:r>
          </w:p>
          <w:p w14:paraId="588BA98E">
            <w:pPr>
              <w:pStyle w:val="21"/>
              <w:rPr>
                <w:rFonts w:hAnsi="宋体"/>
                <w:color w:val="auto"/>
                <w:sz w:val="21"/>
                <w:szCs w:val="21"/>
              </w:rPr>
            </w:pPr>
            <w:r>
              <w:rPr>
                <w:rFonts w:hint="eastAsia" w:hAnsi="宋体"/>
                <w:color w:val="auto"/>
                <w:sz w:val="21"/>
                <w:szCs w:val="21"/>
              </w:rPr>
              <w:t>▲2.拟投入工作人员基本条件</w:t>
            </w:r>
          </w:p>
          <w:p w14:paraId="00F48142">
            <w:pPr>
              <w:spacing w:line="360" w:lineRule="exact"/>
              <w:jc w:val="left"/>
              <w:rPr>
                <w:rFonts w:ascii="宋体" w:hAnsi="宋体" w:cs="宋体"/>
                <w:color w:val="auto"/>
                <w:szCs w:val="21"/>
              </w:rPr>
            </w:pPr>
            <w:r>
              <w:rPr>
                <w:rFonts w:hint="eastAsia" w:ascii="宋体" w:hAnsi="宋体" w:cs="宋体"/>
                <w:color w:val="auto"/>
                <w:szCs w:val="21"/>
              </w:rPr>
              <w:t>2.1 爱岗敬业，具有较强的责任心、服务和团队合作意识及奉献精神。</w:t>
            </w:r>
          </w:p>
          <w:p w14:paraId="3F0F7E32">
            <w:pPr>
              <w:spacing w:line="360" w:lineRule="exact"/>
              <w:jc w:val="left"/>
              <w:rPr>
                <w:rFonts w:ascii="宋体" w:hAnsi="宋体" w:cs="宋体"/>
                <w:color w:val="auto"/>
                <w:szCs w:val="21"/>
              </w:rPr>
            </w:pPr>
            <w:r>
              <w:rPr>
                <w:rFonts w:hint="eastAsia" w:ascii="宋体" w:hAnsi="宋体" w:cs="宋体"/>
                <w:color w:val="auto"/>
                <w:szCs w:val="21"/>
              </w:rPr>
              <w:t>2.2 能熟练使用计算机和办公软件。</w:t>
            </w:r>
          </w:p>
          <w:p w14:paraId="50690700">
            <w:pPr>
              <w:pStyle w:val="21"/>
              <w:rPr>
                <w:rFonts w:hAnsi="宋体"/>
                <w:color w:val="auto"/>
                <w:sz w:val="21"/>
                <w:szCs w:val="21"/>
              </w:rPr>
            </w:pPr>
            <w:r>
              <w:rPr>
                <w:rFonts w:hint="eastAsia" w:hAnsi="宋体"/>
                <w:color w:val="auto"/>
                <w:sz w:val="21"/>
                <w:szCs w:val="21"/>
              </w:rPr>
              <w:t>2.3 思想、身体健康，精神面貌良好。</w:t>
            </w:r>
          </w:p>
          <w:p w14:paraId="683E7133">
            <w:pPr>
              <w:spacing w:line="360" w:lineRule="exact"/>
              <w:jc w:val="left"/>
              <w:rPr>
                <w:rFonts w:ascii="宋体" w:hAnsi="宋体" w:cs="宋体"/>
                <w:color w:val="auto"/>
                <w:szCs w:val="21"/>
              </w:rPr>
            </w:pPr>
            <w:r>
              <w:rPr>
                <w:rFonts w:hint="eastAsia" w:ascii="宋体" w:hAnsi="宋体" w:cs="宋体"/>
                <w:color w:val="auto"/>
                <w:szCs w:val="21"/>
              </w:rPr>
              <w:t>2.4 普通话标准流利，语言沟通能力良好。</w:t>
            </w:r>
          </w:p>
          <w:p w14:paraId="3E89A870">
            <w:pPr>
              <w:pStyle w:val="21"/>
              <w:rPr>
                <w:color w:val="auto"/>
              </w:rPr>
            </w:pPr>
            <w:r>
              <w:rPr>
                <w:rFonts w:hint="eastAsia" w:hAnsi="宋体"/>
                <w:color w:val="auto"/>
                <w:sz w:val="21"/>
                <w:szCs w:val="21"/>
              </w:rPr>
              <w:t>2.5 具备一定的写作能力。</w:t>
            </w:r>
          </w:p>
          <w:p w14:paraId="420FB4A4">
            <w:pPr>
              <w:pStyle w:val="21"/>
              <w:rPr>
                <w:color w:val="auto"/>
              </w:rPr>
            </w:pPr>
            <w:r>
              <w:rPr>
                <w:rFonts w:hint="eastAsia" w:hAnsi="宋体"/>
                <w:color w:val="auto"/>
                <w:sz w:val="21"/>
                <w:szCs w:val="21"/>
              </w:rPr>
              <w:t>2.6 了解交通运输行业各业务领域法规和政策文件。</w:t>
            </w:r>
          </w:p>
          <w:p w14:paraId="6F91DD41">
            <w:pPr>
              <w:pStyle w:val="21"/>
              <w:rPr>
                <w:rFonts w:hAnsi="宋体"/>
                <w:color w:val="auto"/>
                <w:sz w:val="21"/>
                <w:szCs w:val="21"/>
              </w:rPr>
            </w:pPr>
            <w:r>
              <w:rPr>
                <w:rFonts w:hint="eastAsia" w:hAnsi="宋体"/>
                <w:color w:val="auto"/>
                <w:sz w:val="21"/>
                <w:szCs w:val="21"/>
              </w:rPr>
              <w:t xml:space="preserve">2.7 </w:t>
            </w:r>
            <w:r>
              <w:rPr>
                <w:rFonts w:hint="eastAsia" w:hAnsi="宋体"/>
                <w:color w:val="auto"/>
                <w:sz w:val="21"/>
                <w:szCs w:val="21"/>
                <w:highlight w:val="none"/>
              </w:rPr>
              <w:t>年龄</w:t>
            </w:r>
            <w:r>
              <w:rPr>
                <w:rFonts w:hint="eastAsia" w:hAnsi="宋体"/>
                <w:color w:val="auto"/>
                <w:sz w:val="21"/>
                <w:szCs w:val="21"/>
              </w:rPr>
              <w:t>在35周岁以下。</w:t>
            </w:r>
          </w:p>
          <w:p w14:paraId="49E1F31C">
            <w:pPr>
              <w:spacing w:line="360" w:lineRule="exact"/>
              <w:jc w:val="left"/>
              <w:rPr>
                <w:color w:val="auto"/>
              </w:rPr>
            </w:pPr>
            <w:r>
              <w:rPr>
                <w:rFonts w:hint="eastAsia" w:ascii="宋体" w:hAnsi="宋体" w:cs="宋体"/>
                <w:color w:val="auto"/>
                <w:szCs w:val="21"/>
              </w:rPr>
              <w:t>▲3.拟投入班长条件</w:t>
            </w:r>
          </w:p>
          <w:p w14:paraId="7C38539B">
            <w:pPr>
              <w:pStyle w:val="21"/>
              <w:rPr>
                <w:rFonts w:hAnsi="宋体"/>
                <w:color w:val="auto"/>
                <w:sz w:val="21"/>
                <w:szCs w:val="21"/>
              </w:rPr>
            </w:pPr>
            <w:r>
              <w:rPr>
                <w:rFonts w:hint="eastAsia" w:hAnsi="宋体"/>
                <w:color w:val="auto"/>
                <w:sz w:val="21"/>
                <w:szCs w:val="21"/>
              </w:rPr>
              <w:t>3.1 反应敏捷，语言表达能力强。</w:t>
            </w:r>
          </w:p>
          <w:p w14:paraId="17EC6ABB">
            <w:pPr>
              <w:pStyle w:val="21"/>
              <w:rPr>
                <w:rFonts w:hAnsi="宋体"/>
                <w:color w:val="auto"/>
                <w:sz w:val="21"/>
                <w:szCs w:val="21"/>
              </w:rPr>
            </w:pPr>
            <w:r>
              <w:rPr>
                <w:rFonts w:hint="eastAsia" w:hAnsi="宋体"/>
                <w:color w:val="auto"/>
                <w:sz w:val="21"/>
                <w:szCs w:val="21"/>
              </w:rPr>
              <w:t>3.2 具有较强的感召力、凝聚力和班组管理能力。</w:t>
            </w:r>
          </w:p>
          <w:p w14:paraId="63C74081">
            <w:pPr>
              <w:pStyle w:val="21"/>
              <w:rPr>
                <w:rFonts w:hAnsi="宋体"/>
                <w:color w:val="auto"/>
                <w:sz w:val="21"/>
                <w:szCs w:val="21"/>
              </w:rPr>
            </w:pPr>
            <w:r>
              <w:rPr>
                <w:rFonts w:hint="eastAsia" w:hAnsi="宋体"/>
                <w:color w:val="auto"/>
                <w:sz w:val="21"/>
                <w:szCs w:val="21"/>
              </w:rPr>
              <w:t>3.3 具备较好的沟通协调能力、数据分析和写作能力。</w:t>
            </w:r>
          </w:p>
          <w:p w14:paraId="6E027405">
            <w:pPr>
              <w:spacing w:line="360" w:lineRule="exact"/>
              <w:jc w:val="left"/>
              <w:rPr>
                <w:rFonts w:ascii="宋体" w:hAnsi="宋体" w:cs="宋体"/>
                <w:color w:val="auto"/>
                <w:szCs w:val="21"/>
              </w:rPr>
            </w:pPr>
            <w:r>
              <w:rPr>
                <w:rFonts w:hint="eastAsia" w:ascii="宋体" w:hAnsi="宋体" w:cs="宋体"/>
                <w:color w:val="auto"/>
                <w:szCs w:val="21"/>
              </w:rPr>
              <w:t>3.4 本科及以上学历。</w:t>
            </w:r>
          </w:p>
          <w:p w14:paraId="6F29D7E1">
            <w:pPr>
              <w:spacing w:line="360" w:lineRule="exact"/>
              <w:jc w:val="left"/>
              <w:rPr>
                <w:rFonts w:ascii="宋体" w:hAnsi="宋体" w:cs="宋体"/>
                <w:color w:val="auto"/>
              </w:rPr>
            </w:pPr>
            <w:r>
              <w:rPr>
                <w:rFonts w:hint="eastAsia" w:ascii="宋体" w:hAnsi="宋体" w:cs="宋体"/>
                <w:color w:val="auto"/>
                <w:szCs w:val="21"/>
              </w:rPr>
              <w:t>▲4.拟投入工单接转员（兼回访员）、工单质量检查员、督办员条件</w:t>
            </w:r>
          </w:p>
          <w:p w14:paraId="334BBA84">
            <w:pPr>
              <w:spacing w:line="360" w:lineRule="exact"/>
              <w:jc w:val="left"/>
              <w:rPr>
                <w:rFonts w:ascii="宋体" w:hAnsi="宋体" w:cs="宋体"/>
                <w:color w:val="auto"/>
                <w:szCs w:val="21"/>
              </w:rPr>
            </w:pPr>
            <w:r>
              <w:rPr>
                <w:rFonts w:hint="eastAsia" w:ascii="宋体" w:hAnsi="宋体" w:cs="宋体"/>
                <w:color w:val="auto"/>
                <w:szCs w:val="21"/>
              </w:rPr>
              <w:t>4.1具备一定的处理各类投诉、咨询、意见建议的能力。</w:t>
            </w:r>
          </w:p>
          <w:p w14:paraId="7B3F2374">
            <w:pPr>
              <w:spacing w:line="360" w:lineRule="exact"/>
              <w:jc w:val="left"/>
              <w:rPr>
                <w:color w:val="auto"/>
              </w:rPr>
            </w:pPr>
            <w:r>
              <w:rPr>
                <w:rFonts w:hint="eastAsia" w:ascii="宋体" w:hAnsi="宋体" w:cs="宋体"/>
                <w:color w:val="auto"/>
                <w:szCs w:val="21"/>
              </w:rPr>
              <w:t>4.2汉字录入速度不低于60字/分钟。</w:t>
            </w:r>
          </w:p>
          <w:p w14:paraId="4040209C">
            <w:pPr>
              <w:spacing w:line="360" w:lineRule="exact"/>
              <w:jc w:val="left"/>
              <w:rPr>
                <w:rFonts w:ascii="宋体" w:hAnsi="宋体" w:cs="宋体"/>
                <w:color w:val="auto"/>
                <w:szCs w:val="21"/>
              </w:rPr>
            </w:pPr>
            <w:r>
              <w:rPr>
                <w:rFonts w:hint="eastAsia" w:ascii="宋体" w:hAnsi="宋体" w:cs="宋体"/>
                <w:color w:val="auto"/>
                <w:szCs w:val="21"/>
              </w:rPr>
              <w:t>4.3 适应7×24小时轮班制工作安排。</w:t>
            </w:r>
          </w:p>
          <w:p w14:paraId="772FEA18">
            <w:pPr>
              <w:pStyle w:val="21"/>
              <w:rPr>
                <w:color w:val="auto"/>
                <w:sz w:val="21"/>
                <w:szCs w:val="21"/>
              </w:rPr>
            </w:pPr>
            <w:r>
              <w:rPr>
                <w:rFonts w:hint="eastAsia"/>
                <w:color w:val="auto"/>
                <w:sz w:val="21"/>
                <w:szCs w:val="21"/>
              </w:rPr>
              <w:t xml:space="preserve">4.4 </w:t>
            </w:r>
            <w:r>
              <w:rPr>
                <w:rFonts w:hint="eastAsia" w:hAnsi="宋体"/>
                <w:color w:val="auto"/>
                <w:sz w:val="21"/>
                <w:szCs w:val="21"/>
              </w:rPr>
              <w:t>大专及以上学历。</w:t>
            </w:r>
          </w:p>
          <w:p w14:paraId="04348A5E">
            <w:pPr>
              <w:widowControl/>
              <w:jc w:val="left"/>
              <w:rPr>
                <w:rFonts w:ascii="宋体" w:hAnsi="宋体" w:cs="宋体"/>
                <w:color w:val="auto"/>
                <w:szCs w:val="21"/>
              </w:rPr>
            </w:pPr>
            <w:r>
              <w:rPr>
                <w:rFonts w:hint="eastAsia" w:ascii="宋体" w:hAnsi="宋体" w:cs="宋体"/>
                <w:color w:val="auto"/>
                <w:szCs w:val="21"/>
              </w:rPr>
              <w:t>▲5.拟投入的统计分析员条件</w:t>
            </w:r>
          </w:p>
          <w:p w14:paraId="6EACDE22">
            <w:pPr>
              <w:spacing w:line="360" w:lineRule="exact"/>
              <w:rPr>
                <w:rFonts w:ascii="宋体" w:hAnsi="宋体" w:cs="宋体"/>
                <w:color w:val="auto"/>
                <w:szCs w:val="21"/>
              </w:rPr>
            </w:pPr>
            <w:r>
              <w:rPr>
                <w:rFonts w:hint="eastAsia" w:ascii="宋体" w:hAnsi="宋体" w:cs="宋体"/>
                <w:color w:val="auto"/>
                <w:szCs w:val="21"/>
              </w:rPr>
              <w:t>5.1 具备一定的数据分析能力。</w:t>
            </w:r>
          </w:p>
          <w:p w14:paraId="78D2C213">
            <w:pPr>
              <w:spacing w:line="360" w:lineRule="exact"/>
              <w:rPr>
                <w:rFonts w:ascii="宋体" w:hAnsi="宋体" w:cs="宋体"/>
                <w:color w:val="auto"/>
                <w:szCs w:val="21"/>
              </w:rPr>
            </w:pPr>
            <w:r>
              <w:rPr>
                <w:rFonts w:hint="eastAsia" w:ascii="宋体" w:hAnsi="宋体" w:cs="宋体"/>
                <w:color w:val="auto"/>
                <w:szCs w:val="21"/>
              </w:rPr>
              <w:t>5.2 负责工单数据统计分析工作，撰写月度、季度、年度、专项统计分析报告。</w:t>
            </w:r>
          </w:p>
          <w:p w14:paraId="486C3954">
            <w:pPr>
              <w:pStyle w:val="21"/>
              <w:rPr>
                <w:color w:val="auto"/>
              </w:rPr>
            </w:pPr>
            <w:r>
              <w:rPr>
                <w:rFonts w:hint="eastAsia" w:hAnsi="宋体"/>
                <w:color w:val="auto"/>
                <w:sz w:val="21"/>
                <w:szCs w:val="21"/>
              </w:rPr>
              <w:t>5.3 大专及以上学历，统计学、计算机等相关专业。</w:t>
            </w:r>
          </w:p>
          <w:p w14:paraId="7AE0310A">
            <w:pPr>
              <w:spacing w:line="360" w:lineRule="exact"/>
              <w:rPr>
                <w:rFonts w:ascii="宋体" w:hAnsi="宋体" w:cs="宋体"/>
                <w:color w:val="auto"/>
                <w:szCs w:val="21"/>
              </w:rPr>
            </w:pPr>
            <w:r>
              <w:rPr>
                <w:rFonts w:hint="eastAsia" w:ascii="宋体" w:hAnsi="宋体" w:cs="宋体"/>
                <w:color w:val="auto"/>
                <w:szCs w:val="21"/>
              </w:rPr>
              <w:t>三、工作要求</w:t>
            </w:r>
          </w:p>
          <w:p w14:paraId="05C6518F">
            <w:pPr>
              <w:spacing w:line="360" w:lineRule="exact"/>
              <w:rPr>
                <w:rFonts w:ascii="宋体" w:hAnsi="宋体" w:cs="宋体"/>
                <w:color w:val="auto"/>
                <w:szCs w:val="21"/>
              </w:rPr>
            </w:pPr>
            <w:r>
              <w:rPr>
                <w:rFonts w:hint="eastAsia" w:ascii="宋体" w:hAnsi="宋体" w:cs="宋体"/>
                <w:color w:val="auto"/>
                <w:szCs w:val="21"/>
              </w:rPr>
              <w:t>1.工单业务工作要求</w:t>
            </w:r>
          </w:p>
          <w:p w14:paraId="2433976B">
            <w:pPr>
              <w:widowControl/>
              <w:jc w:val="left"/>
              <w:rPr>
                <w:rFonts w:ascii="宋体" w:hAnsi="宋体" w:cs="宋体"/>
                <w:color w:val="auto"/>
                <w:szCs w:val="21"/>
              </w:rPr>
            </w:pPr>
            <w:r>
              <w:rPr>
                <w:rFonts w:hint="eastAsia" w:ascii="宋体" w:hAnsi="宋体" w:cs="宋体"/>
                <w:color w:val="auto"/>
                <w:szCs w:val="21"/>
              </w:rPr>
              <w:t>▲（1）签收工单。市12328热线系统收到流转来的待签收工单，需在1小时内签收工单。涉及突发类工单，需立即签收工单。</w:t>
            </w:r>
          </w:p>
          <w:p w14:paraId="6A44ADC0">
            <w:pPr>
              <w:widowControl/>
              <w:jc w:val="left"/>
              <w:rPr>
                <w:rFonts w:ascii="宋体" w:hAnsi="宋体" w:cs="宋体"/>
                <w:color w:val="auto"/>
                <w:szCs w:val="21"/>
              </w:rPr>
            </w:pPr>
            <w:r>
              <w:rPr>
                <w:rFonts w:hint="eastAsia" w:ascii="宋体" w:hAnsi="宋体" w:cs="宋体"/>
                <w:color w:val="auto"/>
                <w:szCs w:val="21"/>
              </w:rPr>
              <w:t>▲（2）完善工单。工单签收后，需在1小时内完成工单检查、补充完善工作。</w:t>
            </w:r>
          </w:p>
          <w:p w14:paraId="67CA7C55">
            <w:pPr>
              <w:widowControl/>
              <w:jc w:val="left"/>
              <w:rPr>
                <w:rFonts w:ascii="宋体" w:hAnsi="宋体" w:cs="宋体"/>
                <w:color w:val="auto"/>
                <w:szCs w:val="21"/>
              </w:rPr>
            </w:pPr>
            <w:r>
              <w:rPr>
                <w:rFonts w:hint="eastAsia" w:ascii="宋体" w:hAnsi="宋体" w:cs="宋体"/>
                <w:color w:val="auto"/>
                <w:szCs w:val="21"/>
              </w:rPr>
              <w:t>▲（3）转派工单。签收工单后，要在1个小时内将工单转派给相应承办单位（紧急类工单半个小时内转派），对回访后产生的有效差评工单，在1个工作日内将差评工单转派给原承办单位进行差评整改。</w:t>
            </w:r>
          </w:p>
          <w:p w14:paraId="5E10C40F">
            <w:pPr>
              <w:widowControl/>
              <w:jc w:val="left"/>
              <w:rPr>
                <w:rFonts w:ascii="宋体" w:hAnsi="宋体" w:cs="宋体"/>
                <w:color w:val="auto"/>
                <w:szCs w:val="21"/>
              </w:rPr>
            </w:pPr>
            <w:r>
              <w:rPr>
                <w:rFonts w:hint="eastAsia" w:ascii="宋体" w:hAnsi="宋体" w:cs="宋体"/>
                <w:color w:val="auto"/>
                <w:szCs w:val="21"/>
              </w:rPr>
              <w:t>▲（4）工单回访。</w:t>
            </w:r>
            <w:r>
              <w:rPr>
                <w:rFonts w:hint="eastAsia" w:ascii="宋体" w:hAnsi="宋体" w:cs="宋体"/>
                <w:color w:val="auto"/>
                <w:szCs w:val="21"/>
                <w:lang w:val="en-US" w:eastAsia="zh-CN"/>
              </w:rPr>
              <w:t>在规定时间</w:t>
            </w:r>
            <w:r>
              <w:rPr>
                <w:rFonts w:hint="eastAsia" w:ascii="宋体" w:hAnsi="宋体" w:cs="宋体"/>
                <w:color w:val="auto"/>
                <w:szCs w:val="21"/>
              </w:rPr>
              <w:t>内完成对有关工单的回访。</w:t>
            </w:r>
          </w:p>
          <w:p w14:paraId="443E64F7">
            <w:pPr>
              <w:pStyle w:val="21"/>
              <w:rPr>
                <w:rFonts w:hAnsi="宋体"/>
                <w:color w:val="auto"/>
                <w:sz w:val="21"/>
                <w:szCs w:val="21"/>
              </w:rPr>
            </w:pPr>
            <w:r>
              <w:rPr>
                <w:rFonts w:hint="eastAsia" w:hAnsi="宋体"/>
                <w:color w:val="auto"/>
                <w:sz w:val="21"/>
                <w:szCs w:val="21"/>
              </w:rPr>
              <w:t>▲（5）退单。出现需要退单的情况，要马上启动退单程序，并及时跟进掌握退单进程，确保签收工单后24小时内完成退单。</w:t>
            </w:r>
          </w:p>
          <w:p w14:paraId="28B438B0">
            <w:pPr>
              <w:pStyle w:val="21"/>
              <w:rPr>
                <w:rFonts w:hAnsi="宋体"/>
                <w:color w:val="auto"/>
                <w:sz w:val="21"/>
                <w:szCs w:val="21"/>
              </w:rPr>
            </w:pPr>
            <w:r>
              <w:rPr>
                <w:rFonts w:hint="eastAsia" w:hAnsi="宋体"/>
                <w:color w:val="auto"/>
                <w:sz w:val="21"/>
                <w:szCs w:val="21"/>
              </w:rPr>
              <w:t>▲（6）催办工单。在规定时间内对未办结的投诉举报类工单进行跟踪催办，对其他未办结工单进行次日临期、当天临期的跟踪催办。</w:t>
            </w:r>
          </w:p>
          <w:p w14:paraId="24EF936D">
            <w:pPr>
              <w:widowControl/>
              <w:rPr>
                <w:rFonts w:ascii="宋体" w:hAnsi="宋体" w:cs="宋体"/>
                <w:color w:val="auto"/>
                <w:szCs w:val="21"/>
              </w:rPr>
            </w:pPr>
            <w:r>
              <w:rPr>
                <w:rFonts w:hint="eastAsia" w:ascii="宋体" w:hAnsi="宋体" w:cs="宋体"/>
                <w:color w:val="auto"/>
                <w:szCs w:val="21"/>
              </w:rPr>
              <w:t>▲（7）接诉即办事项、“办不成事”诉求直达快办、物流保通保畅工单。以及有关货车司机诉求工单参照接诉即办工作机制、服务物流保通保畅和货车司机接诉即办工作指南、工作方案等有关规定、要求执行。</w:t>
            </w:r>
          </w:p>
          <w:p w14:paraId="15F78E1F">
            <w:pPr>
              <w:pStyle w:val="21"/>
              <w:rPr>
                <w:rFonts w:hAnsi="宋体"/>
                <w:color w:val="auto"/>
                <w:sz w:val="21"/>
                <w:szCs w:val="21"/>
              </w:rPr>
            </w:pPr>
            <w:r>
              <w:rPr>
                <w:rFonts w:hint="eastAsia" w:hAnsi="宋体"/>
                <w:color w:val="auto"/>
                <w:sz w:val="21"/>
                <w:szCs w:val="21"/>
              </w:rPr>
              <w:t>▲2.统计分析报告。</w:t>
            </w:r>
          </w:p>
          <w:p w14:paraId="551406B7">
            <w:pPr>
              <w:pStyle w:val="21"/>
              <w:rPr>
                <w:rFonts w:hAnsi="宋体"/>
                <w:color w:val="auto"/>
                <w:sz w:val="21"/>
                <w:szCs w:val="21"/>
              </w:rPr>
            </w:pPr>
            <w:r>
              <w:rPr>
                <w:rFonts w:hint="eastAsia" w:hAnsi="宋体"/>
                <w:color w:val="auto"/>
                <w:sz w:val="21"/>
                <w:szCs w:val="21"/>
              </w:rPr>
              <w:t>对12328、12345热线系统工单业务数据进行统计分析，撰写半月、月度、季度、年度报告；对12328热线业务异常变化以及交通领域的焦点、痛点、堵点和难点问题的数据变动进行汇总、统计分析，形成12328热线专项分析报告；对12328热线业务，工单的异动情况等进行分析研判，及时发现有可能引发舆情或存在不稳定因素，并形成专报向上级部门报告；按时报送各类活动总结、情况报告；领导交办的其他数据统计。</w:t>
            </w:r>
          </w:p>
          <w:p w14:paraId="7C5270F2">
            <w:pPr>
              <w:widowControl/>
              <w:jc w:val="left"/>
              <w:rPr>
                <w:rFonts w:ascii="宋体" w:hAnsi="宋体" w:cs="宋体"/>
                <w:color w:val="auto"/>
                <w:szCs w:val="21"/>
              </w:rPr>
            </w:pPr>
            <w:r>
              <w:rPr>
                <w:rFonts w:hint="eastAsia" w:ascii="宋体" w:hAnsi="宋体" w:cs="宋体"/>
                <w:color w:val="auto"/>
                <w:szCs w:val="21"/>
              </w:rPr>
              <w:t>▲3.更新知识库。</w:t>
            </w:r>
          </w:p>
          <w:p w14:paraId="01C3E549">
            <w:pPr>
              <w:widowControl/>
              <w:jc w:val="left"/>
              <w:rPr>
                <w:rFonts w:ascii="宋体" w:hAnsi="宋体" w:cs="宋体"/>
                <w:color w:val="auto"/>
                <w:szCs w:val="21"/>
              </w:rPr>
            </w:pPr>
            <w:r>
              <w:rPr>
                <w:rFonts w:hint="eastAsia" w:ascii="宋体" w:hAnsi="宋体" w:cs="宋体"/>
                <w:color w:val="auto"/>
                <w:szCs w:val="21"/>
              </w:rPr>
              <w:t>定期梳理收到的信息咨询类工单，将群众咨询量高的问题形成的相关问题答复口径及时录入、更新热线系统知识库；交通运输部发布的最新热点政策知识，需在1个工作日内完成12328、12345热线知识库全量同步更新。</w:t>
            </w:r>
          </w:p>
          <w:p w14:paraId="533FCE40">
            <w:pPr>
              <w:widowControl/>
              <w:rPr>
                <w:rFonts w:ascii="宋体" w:hAnsi="宋体" w:cs="宋体"/>
                <w:color w:val="auto"/>
                <w:szCs w:val="21"/>
              </w:rPr>
            </w:pPr>
            <w:r>
              <w:rPr>
                <w:rFonts w:hint="eastAsia" w:ascii="宋体" w:hAnsi="宋体" w:cs="宋体"/>
                <w:color w:val="auto"/>
                <w:szCs w:val="21"/>
              </w:rPr>
              <w:t>▲4.系统备份管理工作。</w:t>
            </w:r>
          </w:p>
          <w:p w14:paraId="51D857F3">
            <w:pPr>
              <w:widowControl/>
              <w:rPr>
                <w:rFonts w:ascii="宋体" w:hAnsi="宋体" w:cs="宋体"/>
                <w:color w:val="auto"/>
                <w:szCs w:val="21"/>
              </w:rPr>
            </w:pPr>
            <w:r>
              <w:rPr>
                <w:rFonts w:hint="eastAsia" w:ascii="宋体" w:hAnsi="宋体" w:cs="宋体"/>
                <w:color w:val="auto"/>
                <w:szCs w:val="21"/>
              </w:rPr>
              <w:t>包括系统软件、业务数据、操作日志的各类数据备份。制定备份计划并报备采购人，按照备份计划进行定期备份，原则上对在线系统数据应实施每天一次的增量备份，每月一次的数据库级备份及每个季度一次的系统级备份。对于需要变更的系统，在变更实施前均应进行数据备份。</w:t>
            </w:r>
          </w:p>
          <w:p w14:paraId="73B2E8EE">
            <w:pPr>
              <w:widowControl/>
              <w:rPr>
                <w:rFonts w:ascii="宋体" w:hAnsi="宋体" w:cs="宋体"/>
                <w:color w:val="auto"/>
                <w:szCs w:val="21"/>
              </w:rPr>
            </w:pPr>
            <w:r>
              <w:rPr>
                <w:rFonts w:hint="eastAsia" w:ascii="宋体" w:hAnsi="宋体" w:cs="宋体"/>
                <w:color w:val="auto"/>
                <w:szCs w:val="21"/>
              </w:rPr>
              <w:t>5.做好数据对接工作。</w:t>
            </w:r>
          </w:p>
          <w:p w14:paraId="319EE2A1">
            <w:pPr>
              <w:widowControl/>
              <w:rPr>
                <w:color w:val="auto"/>
              </w:rPr>
            </w:pPr>
            <w:r>
              <w:rPr>
                <w:rFonts w:hint="eastAsia" w:ascii="宋体" w:hAnsi="宋体" w:cs="宋体"/>
                <w:color w:val="auto"/>
                <w:szCs w:val="21"/>
              </w:rPr>
              <w:t>定期与</w:t>
            </w:r>
            <w:r>
              <w:rPr>
                <w:rFonts w:hint="eastAsia" w:ascii="宋体" w:hAnsi="宋体" w:cs="宋体"/>
                <w:color w:val="auto"/>
                <w:szCs w:val="21"/>
                <w:lang w:val="en-US" w:eastAsia="zh-CN"/>
              </w:rPr>
              <w:t>南宁</w:t>
            </w:r>
            <w:r>
              <w:rPr>
                <w:rFonts w:hint="eastAsia" w:ascii="宋体" w:hAnsi="宋体" w:cs="宋体"/>
                <w:color w:val="auto"/>
                <w:szCs w:val="21"/>
              </w:rPr>
              <w:t>市12345热线核对12345热线系统平台相关基础数据，核对周期不低于每周一次。</w:t>
            </w:r>
          </w:p>
          <w:p w14:paraId="3769112E">
            <w:pPr>
              <w:widowControl/>
              <w:jc w:val="left"/>
              <w:rPr>
                <w:rFonts w:hAnsi="宋体" w:cs="宋体"/>
                <w:color w:val="auto"/>
                <w:szCs w:val="21"/>
              </w:rPr>
            </w:pPr>
            <w:r>
              <w:rPr>
                <w:rFonts w:hint="eastAsia" w:ascii="宋体" w:hAnsi="宋体" w:cs="宋体"/>
                <w:color w:val="auto"/>
                <w:szCs w:val="21"/>
              </w:rPr>
              <w:t>▲</w:t>
            </w:r>
            <w:r>
              <w:rPr>
                <w:rFonts w:hint="eastAsia" w:hAnsi="宋体" w:cs="宋体"/>
                <w:color w:val="auto"/>
                <w:szCs w:val="21"/>
              </w:rPr>
              <w:t>6.工作时间要求。</w:t>
            </w:r>
          </w:p>
          <w:p w14:paraId="54C4F19E">
            <w:pPr>
              <w:widowControl/>
              <w:jc w:val="left"/>
              <w:rPr>
                <w:rFonts w:hAnsi="宋体" w:cs="宋体"/>
                <w:color w:val="auto"/>
                <w:szCs w:val="21"/>
              </w:rPr>
            </w:pPr>
            <w:r>
              <w:rPr>
                <w:rFonts w:hint="eastAsia" w:hAnsi="宋体" w:cs="宋体"/>
                <w:color w:val="auto"/>
                <w:szCs w:val="21"/>
              </w:rPr>
              <w:t>合理安排人员提供</w:t>
            </w:r>
            <w:r>
              <w:rPr>
                <w:rFonts w:hint="eastAsia" w:hAnsi="宋体" w:cs="宋体"/>
                <w:color w:val="auto"/>
                <w:szCs w:val="21"/>
                <w:highlight w:val="none"/>
              </w:rPr>
              <w:t>7×24小时</w:t>
            </w:r>
            <w:r>
              <w:rPr>
                <w:rFonts w:hint="eastAsia" w:hAnsi="宋体" w:cs="宋体"/>
                <w:color w:val="auto"/>
                <w:szCs w:val="21"/>
                <w:highlight w:val="none"/>
                <w:lang w:val="en-US" w:eastAsia="zh-CN"/>
              </w:rPr>
              <w:t>在岗值守</w:t>
            </w:r>
            <w:r>
              <w:rPr>
                <w:rFonts w:hint="eastAsia" w:hAnsi="宋体" w:cs="宋体"/>
                <w:color w:val="auto"/>
                <w:szCs w:val="21"/>
                <w:highlight w:val="none"/>
              </w:rPr>
              <w:t>服务</w:t>
            </w:r>
            <w:r>
              <w:rPr>
                <w:rFonts w:hint="eastAsia" w:hAnsi="宋体" w:cs="宋体"/>
                <w:color w:val="auto"/>
                <w:szCs w:val="21"/>
              </w:rPr>
              <w:t>，按工作要求处理各项业务工作，接听查看工作电话信息、处理领导交办的紧急事项及其他应急事务工作。</w:t>
            </w:r>
          </w:p>
          <w:p w14:paraId="2276276C">
            <w:pPr>
              <w:pStyle w:val="21"/>
              <w:rPr>
                <w:color w:val="auto"/>
              </w:rPr>
            </w:pPr>
            <w:r>
              <w:rPr>
                <w:rFonts w:hint="eastAsia" w:hAnsi="宋体"/>
                <w:color w:val="auto"/>
                <w:sz w:val="21"/>
                <w:szCs w:val="21"/>
              </w:rPr>
              <w:t>7.有计划的安排日常培训，每月一期的业务知识培训（包括交通运输行业法律、法规、政策文件及最新热点政策知识培训），服务期内组织不少于2次的团建活动，进一步认同组织文化和工作目标，增强团队意识和凝聚力，提升业务水平和工作质效。</w:t>
            </w:r>
          </w:p>
          <w:p w14:paraId="29D318BA">
            <w:pPr>
              <w:spacing w:line="360" w:lineRule="exact"/>
              <w:jc w:val="left"/>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中标供应商</w:t>
            </w:r>
            <w:r>
              <w:rPr>
                <w:rFonts w:hint="eastAsia" w:ascii="宋体" w:hAnsi="宋体" w:cs="宋体"/>
                <w:color w:val="auto"/>
                <w:szCs w:val="21"/>
              </w:rPr>
              <w:t>组织工作人员参加各级业务管理部门举办的有关业务培训班的学习，配合对下轮中标</w:t>
            </w:r>
            <w:r>
              <w:rPr>
                <w:rFonts w:hint="eastAsia" w:ascii="宋体" w:hAnsi="宋体" w:cs="宋体"/>
                <w:color w:val="auto"/>
                <w:szCs w:val="21"/>
                <w:lang w:val="en-US" w:eastAsia="zh-CN"/>
              </w:rPr>
              <w:t>供应商</w:t>
            </w:r>
            <w:r>
              <w:rPr>
                <w:rFonts w:hint="eastAsia" w:ascii="宋体" w:hAnsi="宋体" w:cs="宋体"/>
                <w:color w:val="auto"/>
                <w:szCs w:val="21"/>
              </w:rPr>
              <w:t>工作人员进行实操培训和业务指导。</w:t>
            </w:r>
          </w:p>
          <w:p w14:paraId="43D6BDF6">
            <w:pPr>
              <w:spacing w:line="360" w:lineRule="exact"/>
              <w:jc w:val="left"/>
              <w:rPr>
                <w:rFonts w:ascii="宋体" w:hAnsi="宋体" w:cs="宋体"/>
                <w:color w:val="auto"/>
                <w:szCs w:val="21"/>
              </w:rPr>
            </w:pPr>
            <w:r>
              <w:rPr>
                <w:rFonts w:hint="eastAsia" w:ascii="宋体" w:hAnsi="宋体" w:cs="宋体"/>
                <w:color w:val="auto"/>
                <w:szCs w:val="21"/>
              </w:rPr>
              <w:t>9.加强精神文明建设工作，组织工作人员参加青年文明号创建活动、志愿服务活动等。</w:t>
            </w:r>
          </w:p>
          <w:p w14:paraId="20426587">
            <w:pPr>
              <w:spacing w:line="360" w:lineRule="exact"/>
              <w:jc w:val="left"/>
              <w:rPr>
                <w:rFonts w:ascii="宋体" w:hAnsi="宋体" w:cs="宋体"/>
                <w:color w:val="auto"/>
                <w:szCs w:val="21"/>
              </w:rPr>
            </w:pPr>
            <w:r>
              <w:rPr>
                <w:rFonts w:hint="eastAsia" w:ascii="宋体" w:hAnsi="宋体" w:cs="宋体"/>
                <w:color w:val="auto"/>
                <w:szCs w:val="21"/>
              </w:rPr>
              <w:t>10.根据服务的发展需求，创新形式，开展丰富多样的服务活动。</w:t>
            </w:r>
          </w:p>
          <w:p w14:paraId="2E3DB9BF">
            <w:pPr>
              <w:spacing w:line="360" w:lineRule="exact"/>
              <w:jc w:val="left"/>
              <w:rPr>
                <w:rFonts w:ascii="宋体" w:hAnsi="宋体" w:cs="宋体"/>
                <w:color w:val="auto"/>
                <w:szCs w:val="21"/>
              </w:rPr>
            </w:pPr>
            <w:r>
              <w:rPr>
                <w:rFonts w:hint="eastAsia" w:ascii="宋体" w:hAnsi="宋体" w:cs="宋体"/>
                <w:color w:val="auto"/>
                <w:szCs w:val="21"/>
              </w:rPr>
              <w:t>四、管理需求</w:t>
            </w:r>
          </w:p>
          <w:p w14:paraId="110B95BA">
            <w:pPr>
              <w:pStyle w:val="21"/>
              <w:rPr>
                <w:rFonts w:hAnsi="宋体"/>
                <w:color w:val="auto"/>
                <w:sz w:val="21"/>
                <w:szCs w:val="21"/>
              </w:rPr>
            </w:pPr>
            <w:r>
              <w:rPr>
                <w:rFonts w:hint="eastAsia" w:hAnsi="宋体"/>
                <w:color w:val="auto"/>
                <w:sz w:val="21"/>
                <w:szCs w:val="21"/>
              </w:rPr>
              <w:t>1.中标供应商组织工作人员到市12328服务中心，遵守中心规章制度，服从采购人的工作安排和管理。</w:t>
            </w:r>
          </w:p>
          <w:p w14:paraId="1AF5E82B">
            <w:pPr>
              <w:pStyle w:val="21"/>
              <w:rPr>
                <w:rFonts w:hAnsi="宋体"/>
                <w:color w:val="auto"/>
                <w:sz w:val="21"/>
                <w:szCs w:val="21"/>
                <w:highlight w:val="none"/>
              </w:rPr>
            </w:pPr>
            <w:r>
              <w:rPr>
                <w:rFonts w:hint="eastAsia" w:ascii="宋体" w:hAnsi="宋体" w:cs="宋体"/>
                <w:color w:val="auto"/>
                <w:szCs w:val="21"/>
                <w:highlight w:val="none"/>
              </w:rPr>
              <w:t>▲</w:t>
            </w:r>
            <w:r>
              <w:rPr>
                <w:rFonts w:hint="eastAsia" w:hAnsi="宋体"/>
                <w:color w:val="auto"/>
                <w:sz w:val="21"/>
                <w:szCs w:val="21"/>
                <w:highlight w:val="none"/>
              </w:rPr>
              <w:t>2.新派驻的工作人员上岗前必须进行理论知识（组织文化、岗位要求、交通运输政策知识、系统操作手册、管理办法等）、跟班学习等为期30天的岗前培训，经采购人测试合格后方能上岗。</w:t>
            </w:r>
          </w:p>
          <w:p w14:paraId="1AC3C864">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3.为确保业务的稳定衔接，要求中标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至少提前15天进场熟悉工作、实操培训，确保工单业务不断档、工单质量不降低、工单流转更顺畅。</w:t>
            </w:r>
          </w:p>
          <w:p w14:paraId="63EB624B">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4.工作人员要充员到位，合同期间更换工作人员的</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征得采购人同意。因病、事等原因请假影响到工作正常开展的，中标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要安排熟悉工作人员临时顶岗；因</w:t>
            </w:r>
            <w:r>
              <w:rPr>
                <w:rFonts w:hint="eastAsia" w:ascii="宋体" w:hAnsi="宋体"/>
                <w:color w:val="auto"/>
                <w:highlight w:val="none"/>
              </w:rPr>
              <w:t>业务量突增或出现紧急突发情况人手不足时</w:t>
            </w:r>
            <w:r>
              <w:rPr>
                <w:rFonts w:hint="eastAsia" w:ascii="宋体" w:hAnsi="宋体" w:cs="宋体"/>
                <w:color w:val="auto"/>
                <w:szCs w:val="21"/>
                <w:highlight w:val="none"/>
              </w:rPr>
              <w:t>，中标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要增派熟悉工作人员支持工作，确保南宁市12328服务中心的工单接收、转办、催办、检查业务全天候不间断按质运营。</w:t>
            </w:r>
          </w:p>
          <w:p w14:paraId="60A37C4F">
            <w:pPr>
              <w:spacing w:line="360" w:lineRule="exact"/>
              <w:jc w:val="left"/>
              <w:rPr>
                <w:rFonts w:ascii="宋体" w:hAnsi="宋体" w:cs="宋体"/>
                <w:color w:val="auto"/>
                <w:szCs w:val="21"/>
              </w:rPr>
            </w:pPr>
            <w:r>
              <w:rPr>
                <w:rFonts w:hint="eastAsia" w:ascii="宋体" w:hAnsi="宋体" w:cs="宋体"/>
                <w:color w:val="auto"/>
                <w:szCs w:val="21"/>
                <w:highlight w:val="none"/>
              </w:rPr>
              <w:t>▲5.中标供应商必须建立服务质量管理体系，具备完善健全的各项管理制度，至</w:t>
            </w:r>
            <w:r>
              <w:rPr>
                <w:rFonts w:hint="eastAsia" w:ascii="宋体" w:hAnsi="宋体" w:cs="宋体"/>
                <w:color w:val="auto"/>
                <w:szCs w:val="21"/>
              </w:rPr>
              <w:t>少包括安全保密制度、网络安全管理制度、人员聘用制度、培训管理制度、人员考核制度、考勤管理制度、业务部门联动机制、应急保障机制、问题反馈机制、标准化服务流程等。</w:t>
            </w:r>
          </w:p>
          <w:p w14:paraId="3480A78A">
            <w:pPr>
              <w:spacing w:line="360" w:lineRule="exact"/>
              <w:jc w:val="left"/>
              <w:rPr>
                <w:rFonts w:ascii="宋体" w:hAnsi="宋体" w:cs="宋体"/>
                <w:color w:val="auto"/>
                <w:szCs w:val="21"/>
              </w:rPr>
            </w:pPr>
            <w:r>
              <w:rPr>
                <w:rFonts w:hint="eastAsia" w:ascii="宋体" w:hAnsi="宋体" w:cs="宋体"/>
                <w:color w:val="auto"/>
                <w:szCs w:val="21"/>
              </w:rPr>
              <w:t>6.采购人每个月对中标供应商的服务质量进行考核，中标供应商要针对考核发现的问题和整改意见进行整改，连续两个月整改不合格的，采购人有权终止合同。</w:t>
            </w:r>
          </w:p>
          <w:p w14:paraId="46A81DB1">
            <w:pPr>
              <w:rPr>
                <w:color w:val="auto"/>
              </w:rPr>
            </w:pPr>
            <w:r>
              <w:rPr>
                <w:rFonts w:hint="eastAsia" w:ascii="宋体" w:hAnsi="宋体" w:cs="宋体"/>
                <w:color w:val="auto"/>
                <w:szCs w:val="21"/>
                <w:highlight w:val="none"/>
              </w:rPr>
              <w:t>▲</w:t>
            </w:r>
            <w:r>
              <w:rPr>
                <w:rFonts w:hint="eastAsia" w:ascii="宋体" w:hAnsi="宋体" w:cs="宋体"/>
                <w:color w:val="auto"/>
                <w:szCs w:val="21"/>
              </w:rPr>
              <w:t>五、服务质量及要求：工作过程中不严格落实有关</w:t>
            </w:r>
            <w:r>
              <w:rPr>
                <w:rFonts w:hint="eastAsia" w:ascii="宋体" w:hAnsi="宋体" w:cs="宋体"/>
                <w:color w:val="auto"/>
                <w:szCs w:val="21"/>
                <w:highlight w:val="none"/>
                <w:lang w:val="en-US" w:eastAsia="zh-CN"/>
              </w:rPr>
              <w:t>交通运输部、自治区交通运输厅、南宁市交通运输局、南宁市12328热线管理办法、南宁市12345热线管理办法等</w:t>
            </w:r>
            <w:r>
              <w:rPr>
                <w:rFonts w:hint="eastAsia" w:ascii="宋体" w:hAnsi="宋体" w:cs="宋体"/>
                <w:color w:val="auto"/>
                <w:szCs w:val="21"/>
                <w:highlight w:val="none"/>
              </w:rPr>
              <w:t>工作要求，造成工作不符合相关法规制度和政策文件规定要求的，每出现一起扣减</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项目中标金额的0.1%，被上级有关部门通报批评并造成不良影响或后果的，出现一次扣减</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项目中标金额的1%。</w:t>
            </w:r>
          </w:p>
        </w:tc>
        <w:tc>
          <w:tcPr>
            <w:tcW w:w="751" w:type="dxa"/>
            <w:tcBorders>
              <w:top w:val="single" w:color="000000" w:sz="8" w:space="0"/>
              <w:left w:val="single" w:color="000000" w:sz="6" w:space="0"/>
              <w:bottom w:val="single" w:color="000000" w:sz="6" w:space="0"/>
              <w:right w:val="single" w:color="000000" w:sz="8" w:space="0"/>
            </w:tcBorders>
            <w:vAlign w:val="center"/>
          </w:tcPr>
          <w:p w14:paraId="25DAC8E1">
            <w:pPr>
              <w:rPr>
                <w:color w:val="000000" w:themeColor="text1"/>
                <w14:textFill>
                  <w14:solidFill>
                    <w14:schemeClr w14:val="tx1"/>
                  </w14:solidFill>
                </w14:textFill>
              </w:rPr>
            </w:pPr>
            <w:r>
              <w:rPr>
                <w:rFonts w:hint="eastAsia"/>
                <w:color w:val="000000" w:themeColor="text1"/>
                <w14:textFill>
                  <w14:solidFill>
                    <w14:schemeClr w14:val="tx1"/>
                  </w14:solidFill>
                </w14:textFill>
              </w:rPr>
              <w:t>50.00</w:t>
            </w:r>
          </w:p>
        </w:tc>
      </w:tr>
      <w:tr w14:paraId="180226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594DC818">
            <w:pPr>
              <w:rPr>
                <w:b/>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商务条款</w:t>
            </w:r>
          </w:p>
        </w:tc>
      </w:tr>
      <w:tr w14:paraId="24ED6FE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shd w:val="clear" w:color="auto" w:fill="auto"/>
            <w:tcMar>
              <w:top w:w="0" w:type="dxa"/>
              <w:left w:w="0" w:type="dxa"/>
              <w:bottom w:w="0" w:type="dxa"/>
              <w:right w:w="0" w:type="dxa"/>
            </w:tcMar>
            <w:vAlign w:val="center"/>
          </w:tcPr>
          <w:p w14:paraId="25935CAC">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一、合同签订期：</w:t>
            </w:r>
            <w:r>
              <w:rPr>
                <w:rFonts w:hint="eastAsia"/>
                <w:color w:val="000000" w:themeColor="text1"/>
                <w14:textFill>
                  <w14:solidFill>
                    <w14:schemeClr w14:val="tx1"/>
                  </w14:solidFill>
                </w14:textFill>
              </w:rPr>
              <w:t>自中标通知书发出之日起 25日内。</w:t>
            </w:r>
          </w:p>
          <w:p w14:paraId="2156FC71">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二、服务期限</w:t>
            </w:r>
            <w:r>
              <w:rPr>
                <w:rFonts w:hint="eastAsia"/>
                <w:b/>
                <w:bCs/>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自合同签订之日起</w:t>
            </w:r>
            <w:r>
              <w:rPr>
                <w:rFonts w:hint="eastAsia"/>
                <w:b w:val="0"/>
                <w:bCs w:val="0"/>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年</w:t>
            </w:r>
            <w:r>
              <w:rPr>
                <w:rFonts w:hint="eastAsia"/>
                <w:color w:val="000000" w:themeColor="text1"/>
                <w14:textFill>
                  <w14:solidFill>
                    <w14:schemeClr w14:val="tx1"/>
                  </w14:solidFill>
                </w14:textFill>
              </w:rPr>
              <w:t>。</w:t>
            </w:r>
          </w:p>
          <w:p w14:paraId="45E3D039">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三、成果交付及验收：</w:t>
            </w:r>
          </w:p>
          <w:p w14:paraId="4FB7E63C">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3.1成果交付为持续交付，从合同生效之日起至合同终止。</w:t>
            </w:r>
          </w:p>
          <w:p w14:paraId="5D08693B">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3.2验收申请：服务期满，由中标供应商向采购人提出验收申请，由采购人组织验收进行确定，得出验收结论。</w:t>
            </w:r>
          </w:p>
          <w:p w14:paraId="26B9E9AE">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四、服务地点：</w:t>
            </w:r>
            <w:r>
              <w:rPr>
                <w:rFonts w:hint="eastAsia"/>
                <w:color w:val="000000" w:themeColor="text1"/>
                <w14:textFill>
                  <w14:solidFill>
                    <w14:schemeClr w14:val="tx1"/>
                  </w14:solidFill>
                </w14:textFill>
              </w:rPr>
              <w:t>南宁市青秀区茶花园路5-8号。</w:t>
            </w:r>
            <w:r>
              <w:rPr>
                <w:color w:val="000000" w:themeColor="text1"/>
                <w14:textFill>
                  <w14:solidFill>
                    <w14:schemeClr w14:val="tx1"/>
                  </w14:solidFill>
                </w14:textFill>
              </w:rPr>
              <w:t xml:space="preserve"> </w:t>
            </w:r>
          </w:p>
          <w:p w14:paraId="45468B9B">
            <w:pPr>
              <w:widowControl/>
              <w:shd w:val="clear" w:color="auto"/>
              <w:spacing w:line="330" w:lineRule="atLeast"/>
              <w:ind w:left="105" w:leftChars="50" w:right="105" w:rightChars="5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五、投标报价要求</w:t>
            </w:r>
          </w:p>
          <w:p w14:paraId="3E669984">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1.本项目实行总承包报价；在合同实施时，采购人将不予支付没有列入的项目其它费用，并认为此项目的费用已包括在总报价中。</w:t>
            </w:r>
          </w:p>
          <w:p w14:paraId="011C3F7D">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2.投标报价必须包括但不限于以下费用：</w:t>
            </w:r>
          </w:p>
          <w:p w14:paraId="33BC4C6B">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（1）项目工作人员工资；</w:t>
            </w:r>
          </w:p>
          <w:p w14:paraId="126E4897">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（2）管理费用（包括但不限于人员的招聘、培训、课酬、文档制作、设备使用等与12328热线服务项目有关的其它管理费用）；</w:t>
            </w:r>
          </w:p>
          <w:p w14:paraId="2BE38A58">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（3）必要的保险费用和各项税费。</w:t>
            </w:r>
          </w:p>
          <w:p w14:paraId="533F225E">
            <w:pPr>
              <w:widowControl/>
              <w:shd w:val="clear" w:color="auto"/>
              <w:spacing w:line="330" w:lineRule="atLeast"/>
              <w:ind w:left="105" w:leftChars="50" w:right="105" w:rightChars="50"/>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六、付款</w:t>
            </w:r>
            <w:r>
              <w:rPr>
                <w:rFonts w:hint="eastAsia"/>
                <w:b/>
                <w:bCs/>
                <w:color w:val="000000" w:themeColor="text1"/>
                <w:highlight w:val="none"/>
                <w:lang w:val="en-US" w:eastAsia="zh-CN"/>
                <w14:textFill>
                  <w14:solidFill>
                    <w14:schemeClr w14:val="tx1"/>
                  </w14:solidFill>
                </w14:textFill>
              </w:rPr>
              <w:t>和发票开具方式</w:t>
            </w:r>
          </w:p>
          <w:p w14:paraId="2973B339">
            <w:pPr>
              <w:pStyle w:val="21"/>
              <w:widowControl/>
              <w:shd w:val="clear" w:color="auto"/>
              <w:ind w:left="105" w:leftChars="50" w:right="105" w:rightChars="50" w:firstLine="420" w:firstLineChars="200"/>
              <w:rPr>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u w:val="none"/>
              </w:rPr>
              <w:t>本项目无预付款，</w:t>
            </w:r>
            <w:r>
              <w:rPr>
                <w:rFonts w:hint="eastAsia" w:hAnsi="宋体" w:cs="宋体"/>
                <w:color w:val="auto"/>
                <w:sz w:val="21"/>
                <w:szCs w:val="21"/>
                <w:highlight w:val="none"/>
                <w:u w:val="none"/>
                <w:lang w:val="en-US" w:eastAsia="zh-CN"/>
              </w:rPr>
              <w:t>从合同签订且</w:t>
            </w:r>
            <w:r>
              <w:rPr>
                <w:rFonts w:hint="eastAsia" w:ascii="宋体" w:hAnsi="宋体" w:eastAsia="宋体" w:cs="宋体"/>
                <w:color w:val="auto"/>
                <w:sz w:val="21"/>
                <w:szCs w:val="21"/>
                <w:highlight w:val="none"/>
                <w:u w:val="none"/>
              </w:rPr>
              <w:t>人员全部到位</w:t>
            </w:r>
            <w:r>
              <w:rPr>
                <w:rFonts w:hint="eastAsia" w:hAnsi="宋体" w:cs="宋体"/>
                <w:color w:val="auto"/>
                <w:sz w:val="21"/>
                <w:szCs w:val="21"/>
                <w:highlight w:val="none"/>
                <w:u w:val="none"/>
                <w:lang w:val="en-US" w:eastAsia="zh-CN"/>
              </w:rPr>
              <w:t>开始提供服务之日起</w:t>
            </w:r>
            <w:r>
              <w:rPr>
                <w:rFonts w:hint="eastAsia" w:ascii="宋体" w:hAnsi="宋体" w:eastAsia="宋体" w:cs="宋体"/>
                <w:color w:val="auto"/>
                <w:sz w:val="21"/>
                <w:szCs w:val="21"/>
                <w:highlight w:val="none"/>
                <w:u w:val="none"/>
              </w:rPr>
              <w:t>，经</w:t>
            </w:r>
            <w:r>
              <w:rPr>
                <w:rFonts w:hint="eastAsia"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确认</w:t>
            </w:r>
            <w:r>
              <w:rPr>
                <w:rFonts w:hint="eastAsia" w:hAnsi="宋体" w:cs="宋体"/>
                <w:color w:val="auto"/>
                <w:sz w:val="21"/>
                <w:szCs w:val="21"/>
                <w:highlight w:val="none"/>
                <w:u w:val="none"/>
                <w:lang w:val="en-US" w:eastAsia="zh-CN"/>
              </w:rPr>
              <w:t>合格且南宁市财政局下达本项目用款指标后，</w:t>
            </w:r>
            <w:r>
              <w:rPr>
                <w:rFonts w:hint="eastAsia" w:ascii="宋体" w:hAnsi="宋体" w:eastAsia="宋体" w:cs="宋体"/>
                <w:color w:val="auto"/>
                <w:sz w:val="21"/>
                <w:szCs w:val="21"/>
                <w:highlight w:val="none"/>
                <w:u w:val="none"/>
              </w:rPr>
              <w:t>支付合同总金额</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0%</w:t>
            </w:r>
            <w:r>
              <w:rPr>
                <w:rFonts w:hint="eastAsia" w:hAnsi="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中标供应商收到合同款</w:t>
            </w:r>
            <w:r>
              <w:rPr>
                <w:rFonts w:ascii="宋体" w:hAnsi="宋体" w:eastAsia="宋体" w:cs="宋体"/>
                <w:color w:val="auto"/>
                <w:sz w:val="21"/>
                <w:szCs w:val="21"/>
                <w:highlight w:val="none"/>
              </w:rPr>
              <w:t>开具等额发票给招标人</w:t>
            </w:r>
            <w:r>
              <w:rPr>
                <w:rFonts w:hint="eastAsia" w:ascii="宋体" w:hAnsi="宋体" w:eastAsia="宋体" w:cs="宋体"/>
                <w:color w:val="auto"/>
                <w:sz w:val="21"/>
                <w:szCs w:val="21"/>
                <w:highlight w:val="none"/>
                <w:u w:val="none"/>
              </w:rPr>
              <w:t>；服务满12个月后，</w:t>
            </w:r>
            <w:r>
              <w:rPr>
                <w:rFonts w:hint="eastAsia" w:ascii="宋体" w:hAnsi="宋体" w:eastAsia="宋体" w:cs="宋体"/>
                <w:color w:val="auto"/>
                <w:kern w:val="0"/>
                <w:sz w:val="21"/>
                <w:szCs w:val="21"/>
                <w:highlight w:val="none"/>
                <w:u w:val="none"/>
                <w:lang w:val="en-US" w:eastAsia="zh-CN"/>
              </w:rPr>
              <w:t>经项目验收合格</w:t>
            </w:r>
            <w:r>
              <w:rPr>
                <w:rFonts w:hint="eastAsia" w:hAnsi="宋体" w:cs="宋体"/>
                <w:color w:val="auto"/>
                <w:sz w:val="21"/>
                <w:szCs w:val="21"/>
                <w:highlight w:val="none"/>
                <w:u w:val="none"/>
                <w:lang w:val="en-US" w:eastAsia="zh-CN"/>
              </w:rPr>
              <w:t>且南宁市财政局下达本项目用款指标后</w:t>
            </w:r>
            <w:r>
              <w:rPr>
                <w:rFonts w:hint="eastAsia" w:ascii="宋体" w:hAnsi="宋体" w:eastAsia="宋体" w:cs="宋体"/>
                <w:color w:val="auto"/>
                <w:kern w:val="0"/>
                <w:sz w:val="21"/>
                <w:szCs w:val="21"/>
                <w:highlight w:val="none"/>
                <w:u w:val="none"/>
              </w:rPr>
              <w:t>支付合同余款</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中标供应商</w:t>
            </w:r>
            <w:r>
              <w:rPr>
                <w:rFonts w:hint="eastAsia" w:ascii="宋体" w:hAnsi="宋体" w:eastAsia="宋体" w:cs="宋体"/>
                <w:color w:val="auto"/>
                <w:sz w:val="21"/>
                <w:szCs w:val="21"/>
                <w:highlight w:val="none"/>
                <w:lang w:val="en-US" w:eastAsia="zh-CN"/>
              </w:rPr>
              <w:t>收到合同款</w:t>
            </w:r>
            <w:r>
              <w:rPr>
                <w:rFonts w:ascii="宋体" w:hAnsi="宋体" w:eastAsia="宋体" w:cs="宋体"/>
                <w:color w:val="auto"/>
                <w:sz w:val="21"/>
                <w:szCs w:val="21"/>
                <w:highlight w:val="none"/>
              </w:rPr>
              <w:t>开具等额发票给招标人</w:t>
            </w:r>
            <w:r>
              <w:rPr>
                <w:rFonts w:hint="eastAsia" w:ascii="宋体" w:hAnsi="宋体" w:eastAsia="宋体" w:cs="宋体"/>
                <w:color w:val="auto"/>
                <w:kern w:val="0"/>
                <w:sz w:val="21"/>
                <w:szCs w:val="21"/>
                <w:highlight w:val="none"/>
                <w:u w:val="none"/>
              </w:rPr>
              <w:t>。</w:t>
            </w:r>
          </w:p>
          <w:p w14:paraId="0660996F">
            <w:pPr>
              <w:widowControl/>
              <w:shd w:val="clear" w:color="auto"/>
              <w:spacing w:line="330" w:lineRule="atLeast"/>
              <w:ind w:left="105" w:leftChars="50" w:right="105" w:rightChars="5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七、其他要求</w:t>
            </w:r>
          </w:p>
          <w:p w14:paraId="42EAF780">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1.中标供应商需在自服务生效之日前5个工作日内提供南宁市12328服务中心运营提升服务项目</w:t>
            </w:r>
            <w:r>
              <w:rPr>
                <w:rFonts w:hint="eastAsia"/>
                <w:color w:val="000000" w:themeColor="text1"/>
                <w:lang w:val="en-US" w:eastAsia="zh-CN"/>
                <w14:textFill>
                  <w14:solidFill>
                    <w14:schemeClr w14:val="tx1"/>
                  </w14:solidFill>
                </w14:textFill>
              </w:rPr>
              <w:t>工作</w:t>
            </w:r>
            <w:r>
              <w:rPr>
                <w:rFonts w:hint="eastAsia"/>
                <w:color w:val="000000" w:themeColor="text1"/>
                <w14:textFill>
                  <w14:solidFill>
                    <w14:schemeClr w14:val="tx1"/>
                  </w14:solidFill>
                </w14:textFill>
              </w:rPr>
              <w:t>人员名单。</w:t>
            </w:r>
          </w:p>
          <w:p w14:paraId="03325D44">
            <w:pPr>
              <w:widowControl/>
              <w:shd w:val="clear" w:color="auto"/>
              <w:spacing w:line="330" w:lineRule="atLeast"/>
              <w:ind w:left="105" w:leftChars="50" w:right="105" w:rightChars="5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2.如因机构调整等不可抗力因素造成合同无法继续履行，为确保南宁市12328服务中心工作的正常运行和有序衔接，双方应对提前解</w:t>
            </w:r>
            <w:r>
              <w:rPr>
                <w:rFonts w:hint="eastAsia"/>
                <w:color w:val="000000" w:themeColor="text1"/>
                <w:highlight w:val="none"/>
                <w14:textFill>
                  <w14:solidFill>
                    <w14:schemeClr w14:val="tx1"/>
                  </w14:solidFill>
                </w14:textFill>
              </w:rPr>
              <w:t>除合同的情况达成一致。</w:t>
            </w:r>
          </w:p>
          <w:p w14:paraId="3E30A40A">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2.1中标供应商如要提前解除合同，须提</w:t>
            </w:r>
            <w:r>
              <w:rPr>
                <w:rFonts w:hint="eastAsia"/>
                <w:color w:val="000000" w:themeColor="text1"/>
                <w14:textFill>
                  <w14:solidFill>
                    <w14:schemeClr w14:val="tx1"/>
                  </w14:solidFill>
                </w14:textFill>
              </w:rPr>
              <w:t>前3个月告知采购人，同时双方采取充分必要的管理措施保证该时期南宁市12328服务中心工单处理工作的正常开展。</w:t>
            </w:r>
          </w:p>
          <w:p w14:paraId="6B11DF29">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2.2提前解除劳动合同时，采购人按“合同总金额</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（实际履行服务时间/合同约定服务时间)”的金额比例，对中标供应商进行支付，未足月部分按满月计算。</w:t>
            </w:r>
          </w:p>
          <w:p w14:paraId="27AB1C56">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3.安全与保密问题。中标供应商必须严格遵守采购人各项管理规定，新入职的工作人员需与采购人签订保密协议，并提供个人征信报告。</w:t>
            </w:r>
          </w:p>
          <w:p w14:paraId="6A6ACD35">
            <w:pPr>
              <w:shd w:val="clear"/>
              <w:tabs>
                <w:tab w:val="left" w:pos="180"/>
                <w:tab w:val="left" w:pos="1620"/>
              </w:tabs>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八、验收标准、验收方法及方案</w:t>
            </w:r>
          </w:p>
          <w:p w14:paraId="63333009">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依据招标文件及投标人的投标文件承诺对服务项目进行验收。</w:t>
            </w:r>
          </w:p>
          <w:p w14:paraId="08CB1694">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服务技术参数与招标文件及投标人的投标文件承诺一致，性能或指标达到规定的标准。</w:t>
            </w:r>
            <w:r>
              <w:rPr>
                <w:color w:val="000000" w:themeColor="text1"/>
                <w:szCs w:val="21"/>
                <w14:textFill>
                  <w14:solidFill>
                    <w14:schemeClr w14:val="tx1"/>
                  </w14:solidFill>
                </w14:textFill>
              </w:rPr>
              <w:t xml:space="preserve"> </w:t>
            </w:r>
          </w:p>
          <w:p w14:paraId="722DF03F">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验收时采购人、中标供应商等项目相关方都必须在现场（必要时邀请第三方权威机构进行验收），</w:t>
            </w:r>
            <w:r>
              <w:rPr>
                <w:rFonts w:hint="eastAsia" w:ascii="宋体" w:hAnsi="宋体"/>
                <w:color w:val="000000" w:themeColor="text1"/>
                <w14:textFill>
                  <w14:solidFill>
                    <w14:schemeClr w14:val="tx1"/>
                  </w14:solidFill>
                </w14:textFill>
              </w:rPr>
              <w:t>由采购人对照招标文件的功能目标及服务指标全面核对检验，</w:t>
            </w:r>
            <w:r>
              <w:rPr>
                <w:rFonts w:hint="eastAsia"/>
                <w:color w:val="000000" w:themeColor="text1"/>
                <w:szCs w:val="21"/>
                <w14:textFill>
                  <w14:solidFill>
                    <w14:schemeClr w14:val="tx1"/>
                  </w14:solidFill>
                </w14:textFill>
              </w:rPr>
              <w:t>验收完毕后，作出验收结果报告；</w:t>
            </w:r>
            <w:r>
              <w:rPr>
                <w:rFonts w:hint="eastAsia" w:ascii="宋体" w:hAnsi="宋体"/>
                <w:color w:val="000000" w:themeColor="text1"/>
                <w14:textFill>
                  <w14:solidFill>
                    <w14:schemeClr w14:val="tx1"/>
                  </w14:solidFill>
                </w14:textFill>
              </w:rPr>
              <w:t>如不符合招标文件的服务需求及要求以及提供虚假承诺的，按相关规定做不接受服务处理及违约处理，中标供应商承担所有责任和费用，采购人保留进一步追究责任的权利。</w:t>
            </w:r>
          </w:p>
          <w:p w14:paraId="6766A1D6">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中标供应商提供的服务未达到招标文件规定要求，且对采购人造成损失的，由中标供应商承担一切责任，并赔偿所造成的损失。</w:t>
            </w:r>
            <w:r>
              <w:rPr>
                <w:color w:val="000000" w:themeColor="text1"/>
                <w:szCs w:val="21"/>
                <w14:textFill>
                  <w14:solidFill>
                    <w14:schemeClr w14:val="tx1"/>
                  </w14:solidFill>
                </w14:textFill>
              </w:rPr>
              <w:t xml:space="preserve"> </w:t>
            </w:r>
          </w:p>
          <w:p w14:paraId="675B7FCF">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中标供应商提供的产品或服务未达到招标文件规定要求，且对采购人造成损失的，由中标供应商承担一切责任，并赔偿所造成的损失。</w:t>
            </w:r>
          </w:p>
          <w:p w14:paraId="3C4305B6">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其他验收要求按第五章《合同主要条款格式》执行，未尽事宜按照《关于印发广西壮族自治区政府采购项目履约验收管理办法的通知》</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桂财采〔</w:t>
            </w:r>
            <w:r>
              <w:rPr>
                <w:color w:val="000000" w:themeColor="text1"/>
                <w:szCs w:val="21"/>
                <w14:textFill>
                  <w14:solidFill>
                    <w14:schemeClr w14:val="tx1"/>
                  </w14:solidFill>
                </w14:textFill>
              </w:rPr>
              <w:t>2015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以及《财政部关于进一步加强政府采购需求和履约验收管理的指导意见》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财库〔</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205</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规定执行。</w:t>
            </w:r>
          </w:p>
          <w:p w14:paraId="723EE4F7">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验收产生的一切费用由中标供应商负责。</w:t>
            </w:r>
          </w:p>
          <w:p w14:paraId="71E2CD5D">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其他验收要求按《关于印发广西壮族自治区政府采购项目履约验收管理办法的通知》</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桂财采〔</w:t>
            </w:r>
            <w:r>
              <w:rPr>
                <w:color w:val="000000" w:themeColor="text1"/>
                <w:szCs w:val="21"/>
                <w14:textFill>
                  <w14:solidFill>
                    <w14:schemeClr w14:val="tx1"/>
                  </w14:solidFill>
                </w14:textFill>
              </w:rPr>
              <w:t>2015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以及《财政部关于进一步加强政府采购需求和履约验收管理的指导意见》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财库〔</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205</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规定执行。</w:t>
            </w:r>
          </w:p>
        </w:tc>
      </w:tr>
      <w:tr w14:paraId="01D2B2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856" w:type="dxa"/>
            <w:gridSpan w:val="6"/>
            <w:tcBorders>
              <w:top w:val="single" w:color="000000" w:sz="6" w:space="0"/>
              <w:left w:val="single" w:color="000000" w:sz="8" w:space="0"/>
              <w:bottom w:val="single" w:color="000000" w:sz="6" w:space="0"/>
              <w:right w:val="single" w:color="000000" w:sz="8" w:space="0"/>
            </w:tcBorders>
            <w:shd w:val="clear" w:color="auto" w:fill="auto"/>
            <w:vAlign w:val="center"/>
          </w:tcPr>
          <w:p w14:paraId="43E9F7C2">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其他说明和说明</w:t>
            </w:r>
          </w:p>
        </w:tc>
      </w:tr>
      <w:tr w14:paraId="0A96ECF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0B102D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进口产品说明</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vAlign w:val="center"/>
          </w:tcPr>
          <w:p w14:paraId="069E8668">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服务类项目无要求</w:t>
            </w:r>
          </w:p>
        </w:tc>
      </w:tr>
      <w:tr w14:paraId="4B712A0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5B0E466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核心产品</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tcPr>
          <w:p w14:paraId="4DAEF170">
            <w:pPr>
              <w:rPr>
                <w:color w:val="000000" w:themeColor="text1"/>
                <w14:textFill>
                  <w14:solidFill>
                    <w14:schemeClr w14:val="tx1"/>
                  </w14:solidFill>
                </w14:textFill>
              </w:rPr>
            </w:pPr>
            <w:r>
              <w:rPr>
                <w:rFonts w:hint="eastAsia"/>
                <w:color w:val="000000" w:themeColor="text1"/>
                <w14:textFill>
                  <w14:solidFill>
                    <w14:schemeClr w14:val="tx1"/>
                  </w14:solidFill>
                </w14:textFill>
              </w:rPr>
              <w:t>服务类项目无要求</w:t>
            </w:r>
          </w:p>
        </w:tc>
      </w:tr>
      <w:tr w14:paraId="4C06C2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4F67492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tcPr>
          <w:p w14:paraId="486E56DA">
            <w:pPr>
              <w:widowControl/>
              <w:spacing w:line="3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供应商可根据评分标准在投标文件中提供项目服务质量管理方案、服务承诺、</w:t>
            </w:r>
            <w:r>
              <w:rPr>
                <w:rFonts w:hint="eastAsia"/>
                <w:color w:val="000000" w:themeColor="text1"/>
                <w:lang w:val="en-US" w:eastAsia="zh-CN"/>
                <w14:textFill>
                  <w14:solidFill>
                    <w14:schemeClr w14:val="tx1"/>
                  </w14:solidFill>
                </w14:textFill>
              </w:rPr>
              <w:t>应急保障方案、</w:t>
            </w:r>
            <w:r>
              <w:rPr>
                <w:rFonts w:hint="eastAsia"/>
                <w:color w:val="000000" w:themeColor="text1"/>
                <w14:textFill>
                  <w14:solidFill>
                    <w14:schemeClr w14:val="tx1"/>
                  </w14:solidFill>
                </w14:textFill>
              </w:rPr>
              <w:t>服务团队、业绩信誉证明等。</w:t>
            </w:r>
          </w:p>
        </w:tc>
      </w:tr>
    </w:tbl>
    <w:p w14:paraId="3A5E02FA">
      <w:pPr>
        <w:rPr>
          <w:color w:val="000000" w:themeColor="text1"/>
          <w14:textFill>
            <w14:solidFill>
              <w14:schemeClr w14:val="tx1"/>
            </w14:solidFill>
          </w14:textFill>
        </w:rPr>
      </w:pPr>
    </w:p>
    <w:p w14:paraId="43A504D1">
      <w:pPr>
        <w:rPr>
          <w:color w:val="000000" w:themeColor="text1"/>
          <w14:textFill>
            <w14:solidFill>
              <w14:schemeClr w14:val="tx1"/>
            </w14:solidFill>
          </w14:textFill>
        </w:rPr>
      </w:pPr>
    </w:p>
    <w:p w14:paraId="2CB69128">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72EB6D17">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4CC50916">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3DFA630A">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49B64C80">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71A1AA7B">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621624AC">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0689BB38">
      <w:pPr>
        <w:rPr>
          <w:rFonts w:ascii="微软雅黑" w:hAnsi="微软雅黑" w:eastAsia="微软雅黑" w:cs="微软雅黑"/>
          <w:color w:val="000000" w:themeColor="text1"/>
          <w:sz w:val="32"/>
          <w:szCs w:val="32"/>
          <w14:textFill>
            <w14:solidFill>
              <w14:schemeClr w14:val="tx1"/>
            </w14:solidFill>
          </w14:textFill>
        </w:rPr>
      </w:pPr>
      <w:r>
        <w:rPr>
          <w:rFonts w:ascii="微软雅黑" w:hAnsi="微软雅黑" w:eastAsia="微软雅黑" w:cs="微软雅黑"/>
          <w:color w:val="000000" w:themeColor="text1"/>
          <w:sz w:val="32"/>
          <w:szCs w:val="32"/>
          <w14:textFill>
            <w14:solidFill>
              <w14:schemeClr w14:val="tx1"/>
            </w14:solidFill>
          </w14:textFill>
        </w:rPr>
        <w:br w:type="page"/>
      </w:r>
    </w:p>
    <w:p w14:paraId="6CE019EC">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6C4F76FB">
      <w:pPr>
        <w:spacing w:line="428" w:lineRule="exact"/>
        <w:ind w:left="119"/>
        <w:rPr>
          <w:rFonts w:ascii="Arial Unicode MS" w:hAnsi="Arial Unicode MS" w:eastAsia="Arial Unicode MS" w:cs="Arial Unicode MS"/>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附件</w:t>
      </w:r>
      <w:r>
        <w:rPr>
          <w:rFonts w:hint="eastAsia" w:ascii="Arial Unicode MS" w:hAnsi="Arial Unicode MS" w:eastAsia="Arial Unicode MS" w:cs="Arial Unicode MS"/>
          <w:color w:val="000000" w:themeColor="text1"/>
          <w:sz w:val="32"/>
          <w:szCs w:val="32"/>
          <w14:textFill>
            <w14:solidFill>
              <w14:schemeClr w14:val="tx1"/>
            </w14:solidFill>
          </w14:textFill>
        </w:rPr>
        <w:t>1</w:t>
      </w:r>
      <w:r>
        <w:rPr>
          <w:rFonts w:hint="eastAsia" w:ascii="微软雅黑" w:hAnsi="微软雅黑" w:eastAsia="微软雅黑" w:cs="微软雅黑"/>
          <w:color w:val="000000" w:themeColor="text1"/>
          <w:sz w:val="32"/>
          <w:szCs w:val="32"/>
          <w14:textFill>
            <w14:solidFill>
              <w14:schemeClr w14:val="tx1"/>
            </w14:solidFill>
          </w14:textFill>
        </w:rPr>
        <w:t>：</w:t>
      </w:r>
    </w:p>
    <w:p w14:paraId="3F946BF3">
      <w:pPr>
        <w:spacing w:before="7"/>
        <w:rPr>
          <w:rFonts w:ascii="Arial Unicode MS" w:hAnsi="Arial Unicode MS" w:eastAsia="Arial Unicode MS" w:cs="Arial Unicode MS"/>
          <w:color w:val="000000" w:themeColor="text1"/>
          <w:sz w:val="17"/>
          <w:szCs w:val="17"/>
          <w14:textFill>
            <w14:solidFill>
              <w14:schemeClr w14:val="tx1"/>
            </w14:solidFill>
          </w14:textFill>
        </w:rPr>
      </w:pPr>
    </w:p>
    <w:p w14:paraId="3BFE315A">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节能产品政府采购品目清单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090F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1B82F00">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31EFDCA8">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9F0E1B6">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依据的标准</w:t>
            </w:r>
          </w:p>
        </w:tc>
      </w:tr>
      <w:tr w14:paraId="1721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1B6280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297387">
            <w:pPr>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A02010100</w:t>
            </w:r>
            <w:r>
              <w:rPr>
                <w:rFonts w:hint="eastAsia" w:ascii="宋体" w:hAnsi="宋体" w:cs="宋体"/>
                <w:color w:val="000000" w:themeColor="text1"/>
                <w:w w:val="99"/>
                <w:szCs w:val="21"/>
                <w14:textFill>
                  <w14:solidFill>
                    <w14:schemeClr w14:val="tx1"/>
                  </w14:solidFill>
                </w14:textFill>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541A842">
            <w:pPr>
              <w:pStyle w:val="22"/>
              <w:spacing w:before="93"/>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A02010105</w:t>
            </w:r>
            <w:r>
              <w:rPr>
                <w:rFonts w:hint="eastAsia" w:ascii="宋体" w:hAnsi="宋体" w:cs="宋体"/>
                <w:color w:val="000000" w:themeColor="text1"/>
                <w:w w:val="99"/>
                <w:kern w:val="2"/>
                <w:sz w:val="21"/>
                <w:szCs w:val="21"/>
                <w14:textFill>
                  <w14:solidFill>
                    <w14:schemeClr w14:val="tx1"/>
                  </w14:solidFill>
                </w14:textFill>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E0B7E2">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1FB0CA8">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567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0ED31F7">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6A2B501">
            <w:pPr>
              <w:widowControl/>
              <w:jc w:val="left"/>
              <w:rPr>
                <w:rFonts w:ascii="宋体" w:hAnsi="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06BAC2">
            <w:pPr>
              <w:pStyle w:val="22"/>
              <w:spacing w:before="44"/>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A02010108</w:t>
            </w:r>
            <w:r>
              <w:rPr>
                <w:rFonts w:hint="eastAsia" w:ascii="宋体" w:hAnsi="宋体" w:cs="宋体"/>
                <w:color w:val="000000" w:themeColor="text1"/>
                <w:w w:val="99"/>
                <w:kern w:val="2"/>
                <w:sz w:val="21"/>
                <w:szCs w:val="21"/>
                <w14:textFill>
                  <w14:solidFill>
                    <w14:schemeClr w14:val="tx1"/>
                  </w14:solidFill>
                </w14:textFill>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3784B0">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8EA101B">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3F86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0B9C6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7C8831">
            <w:pPr>
              <w:widowControl/>
              <w:jc w:val="left"/>
              <w:rPr>
                <w:rFonts w:ascii="宋体" w:hAnsi="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81990A">
            <w:pPr>
              <w:pStyle w:val="22"/>
              <w:spacing w:before="64"/>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w:t>
            </w:r>
            <w:r>
              <w:rPr>
                <w:rFonts w:hint="eastAsia" w:ascii="宋体" w:hAnsi="宋体" w:cs="仿宋_GB2312"/>
                <w:color w:val="000000" w:themeColor="text1"/>
                <w:kern w:val="2"/>
                <w:sz w:val="21"/>
                <w:szCs w:val="21"/>
                <w:lang w:eastAsia="zh-CN"/>
                <w14:textFill>
                  <w14:solidFill>
                    <w14:schemeClr w14:val="tx1"/>
                  </w14:solidFill>
                </w14:textFill>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8FB48">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82CF385">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6CE2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36FDE8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5B7F478">
            <w:pPr>
              <w:pStyle w:val="2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A02020000</w:t>
            </w:r>
            <w:r>
              <w:rPr>
                <w:rFonts w:hint="eastAsia" w:ascii="宋体" w:hAnsi="宋体" w:cs="宋体"/>
                <w:color w:val="000000" w:themeColor="text1"/>
                <w:w w:val="99"/>
                <w:kern w:val="2"/>
                <w:sz w:val="21"/>
                <w:szCs w:val="21"/>
                <w14:textFill>
                  <w14:solidFill>
                    <w14:schemeClr w14:val="tx1"/>
                  </w14:solidFill>
                </w14:textFill>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D2A983A">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1"/>
                <w:w w:val="99"/>
                <w:szCs w:val="21"/>
                <w14:textFill>
                  <w14:solidFill>
                    <w14:schemeClr w14:val="tx1"/>
                  </w14:solidFill>
                </w14:textFill>
              </w:rPr>
              <w:t>A02021000</w:t>
            </w:r>
            <w:r>
              <w:rPr>
                <w:rFonts w:hint="eastAsia" w:ascii="宋体" w:hAnsi="宋体" w:cs="Arial"/>
                <w:color w:val="000000" w:themeColor="text1"/>
                <w:szCs w:val="21"/>
                <w:shd w:val="clear" w:color="auto" w:fill="FFFFFF"/>
                <w14:textFill>
                  <w14:solidFill>
                    <w14:schemeClr w14:val="tx1"/>
                  </w14:solidFill>
                </w14:textFill>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1ED3D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7B1D917">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520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76DFF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7B4F77">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CA4534E">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71CD7A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288B5A9F">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48E5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C12B76">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AD353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DE8525">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A6CF4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3E6BCEB5">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1B1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08F87E">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31CED1">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D807FB">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B7232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BCBF8C4">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4704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52B91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93F2C8">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BD5E8C7">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4FF98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2484B6">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642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F41EDE">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50DF06">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88C1C0">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D7D8AB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43E54A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C8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E43B82">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2CBBB3A">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DA611B">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CC3C2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762B7701">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72D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D91A38">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CF9A0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53F308">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C9F252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6060A87F">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136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B93836">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AE3F43">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0BDF0C4">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1CA59C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AE2370D">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6C3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72F77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8BDE68">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9DFF74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01E1AD0">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5DF763FE">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《计算机显示器能效限定值及能效等级》（GB21520）</w:t>
            </w:r>
          </w:p>
        </w:tc>
      </w:tr>
      <w:tr w14:paraId="3BFE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E43610">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FAE43E">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C1315F5">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33E466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071E99C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参照《复印机、打印机和传真机能效限定值及能效等级》（GB21521）中打印速度为15页/分的针式打印机相关要求</w:t>
            </w:r>
          </w:p>
        </w:tc>
      </w:tr>
      <w:tr w14:paraId="53E8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514D4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w w:val="99"/>
                <w:szCs w:val="21"/>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20DD7A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81648F3">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9901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6194E92">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《投影机能效限定值及能效等级》（GB32028）</w:t>
            </w:r>
          </w:p>
        </w:tc>
      </w:tr>
      <w:tr w14:paraId="4714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9A936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315C682">
            <w:pPr>
              <w:pStyle w:val="22"/>
              <w:spacing w:before="6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A02020400</w:t>
            </w:r>
            <w:r>
              <w:rPr>
                <w:rFonts w:hint="eastAsia" w:ascii="宋体" w:hAnsi="宋体" w:cs="宋体"/>
                <w:color w:val="000000" w:themeColor="text1"/>
                <w:w w:val="99"/>
                <w:kern w:val="2"/>
                <w:sz w:val="21"/>
                <w:szCs w:val="21"/>
                <w14:textFill>
                  <w14:solidFill>
                    <w14:schemeClr w14:val="tx1"/>
                  </w14:solidFill>
                </w14:textFill>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6D5F3E">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EB844B">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93F28FB">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51F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B24943">
            <w:pPr>
              <w:pStyle w:val="22"/>
              <w:spacing w:before="1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60B177B7">
            <w:pPr>
              <w:pStyle w:val="22"/>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A02051900</w:t>
            </w:r>
            <w:r>
              <w:rPr>
                <w:rFonts w:hint="eastAsia" w:ascii="宋体" w:hAnsi="宋体" w:cs="宋体"/>
                <w:color w:val="000000" w:themeColor="text1"/>
                <w:w w:val="99"/>
                <w:kern w:val="2"/>
                <w:sz w:val="21"/>
                <w:szCs w:val="21"/>
                <w14:textFill>
                  <w14:solidFill>
                    <w14:schemeClr w14:val="tx1"/>
                  </w14:solidFill>
                </w14:textFill>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134A824C">
            <w:pPr>
              <w:pStyle w:val="22"/>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05</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2C7556C8">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C8F00D6">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《清水离心泵能效限定值及节能评价值》（GB19762）</w:t>
            </w:r>
          </w:p>
        </w:tc>
      </w:tr>
      <w:tr w14:paraId="7677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39AD07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53B4BB4">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A02052300</w:t>
            </w:r>
            <w:r>
              <w:rPr>
                <w:rFonts w:hint="eastAsia" w:ascii="宋体" w:hAnsi="宋体" w:cs="宋体"/>
                <w:color w:val="000000" w:themeColor="text1"/>
                <w:w w:val="99"/>
                <w:kern w:val="2"/>
                <w:sz w:val="21"/>
                <w:szCs w:val="21"/>
                <w14:textFill>
                  <w14:solidFill>
                    <w14:schemeClr w14:val="tx1"/>
                  </w14:solidFill>
                </w14:textFill>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D40B42">
            <w:pPr>
              <w:pStyle w:val="22"/>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52</w:t>
            </w:r>
            <w:r>
              <w:rPr>
                <w:rFonts w:hint="eastAsia" w:ascii="宋体" w:hAnsi="宋体" w:cs="宋体"/>
                <w:color w:val="000000" w:themeColor="text1"/>
                <w:spacing w:val="1"/>
                <w:w w:val="99"/>
                <w:kern w:val="2"/>
                <w:sz w:val="21"/>
                <w:szCs w:val="21"/>
                <w14:textFill>
                  <w14:solidFill>
                    <w14:schemeClr w14:val="tx1"/>
                  </w14:solidFill>
                </w14:textFill>
              </w:rPr>
              <w:t>3</w:t>
            </w:r>
            <w:r>
              <w:rPr>
                <w:rFonts w:hint="eastAsia" w:ascii="宋体" w:hAnsi="宋体" w:cs="宋体"/>
                <w:color w:val="000000" w:themeColor="text1"/>
                <w:w w:val="99"/>
                <w:kern w:val="2"/>
                <w:sz w:val="21"/>
                <w:szCs w:val="21"/>
                <w14:textFill>
                  <w14:solidFill>
                    <w14:schemeClr w14:val="tx1"/>
                  </w14:solidFill>
                </w14:textFill>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7C0DF23">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冷水机组</w:t>
            </w:r>
          </w:p>
        </w:tc>
        <w:tc>
          <w:tcPr>
            <w:tcW w:w="3452" w:type="dxa"/>
            <w:tcBorders>
              <w:top w:val="single" w:color="000000" w:sz="4" w:space="0"/>
              <w:left w:val="single" w:color="000000" w:sz="4" w:space="0"/>
              <w:bottom w:val="single" w:color="000000" w:sz="4" w:space="0"/>
              <w:right w:val="single" w:color="000000" w:sz="4" w:space="0"/>
            </w:tcBorders>
          </w:tcPr>
          <w:p w14:paraId="0D3CF45F">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《冷水机组能效限定值及能效等级》（GB19577），《低环境温度空气源热泵（冷水）机组能效限定值及能效等级》（GB37480）</w:t>
            </w:r>
          </w:p>
        </w:tc>
      </w:tr>
      <w:tr w14:paraId="68B2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3EB08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707DB79">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7BB16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50E354">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292DE87B">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《溴化锂吸收式冷水机组能效限</w:t>
            </w:r>
          </w:p>
          <w:p w14:paraId="613C7DCA">
            <w:pPr>
              <w:spacing w:before="131" w:line="276" w:lineRule="auto"/>
              <w:ind w:right="4"/>
              <w:rPr>
                <w:rFonts w:ascii="宋体" w:hAnsi="宋体" w:cs="宋体"/>
                <w:color w:val="000000" w:themeColor="text1"/>
                <w:spacing w:val="10"/>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定值及能效等级》（GB29540）</w:t>
            </w:r>
          </w:p>
        </w:tc>
      </w:tr>
      <w:tr w14:paraId="70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4B8B6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306B87">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B99E3D9">
            <w:pPr>
              <w:pStyle w:val="22"/>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69C6D272">
            <w:pPr>
              <w:pStyle w:val="22"/>
              <w:spacing w:before="4" w:line="276" w:lineRule="auto"/>
              <w:ind w:left="7" w:righ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0B845EB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14:paraId="4432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F04F3D">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A1CC755">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17B82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FFC94A">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CDA0D07">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《单元式空气调节机能效限定值及能效等级》（GB19576）《风管送风式空调机组能效限定值及能效等级》（GB37479）</w:t>
            </w:r>
          </w:p>
        </w:tc>
      </w:tr>
      <w:tr w14:paraId="779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F1B41F">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97FF46">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928FD7D">
            <w:pPr>
              <w:pStyle w:val="22"/>
              <w:spacing w:before="83"/>
              <w:ind w:lef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491952D">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机房空调</w:t>
            </w:r>
          </w:p>
        </w:tc>
        <w:tc>
          <w:tcPr>
            <w:tcW w:w="3452" w:type="dxa"/>
            <w:tcBorders>
              <w:top w:val="single" w:color="000000" w:sz="4" w:space="0"/>
              <w:left w:val="single" w:color="000000" w:sz="4" w:space="0"/>
              <w:bottom w:val="single" w:color="000000" w:sz="4" w:space="0"/>
              <w:right w:val="single" w:color="000000" w:sz="4" w:space="0"/>
            </w:tcBorders>
          </w:tcPr>
          <w:p w14:paraId="4014C75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w:t>
            </w:r>
          </w:p>
          <w:p w14:paraId="78307FAA">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及能效等级》（GB19576）</w:t>
            </w:r>
          </w:p>
        </w:tc>
      </w:tr>
      <w:tr w14:paraId="178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29900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868F71">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739BF69">
            <w:pPr>
              <w:pStyle w:val="22"/>
              <w:spacing w:line="254" w:lineRule="exact"/>
              <w:ind w:left="7"/>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A02052399其他制冷</w:t>
            </w:r>
          </w:p>
          <w:p w14:paraId="0D71056D">
            <w:pPr>
              <w:pStyle w:val="22"/>
              <w:spacing w:line="254" w:lineRule="exact"/>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3E9D7C0">
            <w:pPr>
              <w:widowControl/>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冷却塔</w:t>
            </w:r>
          </w:p>
        </w:tc>
        <w:tc>
          <w:tcPr>
            <w:tcW w:w="3452" w:type="dxa"/>
            <w:tcBorders>
              <w:top w:val="single" w:color="000000" w:sz="4" w:space="0"/>
              <w:left w:val="single" w:color="000000" w:sz="4" w:space="0"/>
              <w:bottom w:val="single" w:color="000000" w:sz="4" w:space="0"/>
              <w:right w:val="single" w:color="000000" w:sz="4" w:space="0"/>
            </w:tcBorders>
          </w:tcPr>
          <w:p w14:paraId="7D06C094">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《机械通风冷却塔第1部分：中小型开式冷却塔》（GB/T7190.1）</w:t>
            </w:r>
          </w:p>
          <w:p w14:paraId="0716FA2F">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《机械通风冷却塔第2部分：大型开式冷却塔》（GB/T7190.2）</w:t>
            </w:r>
          </w:p>
        </w:tc>
      </w:tr>
      <w:tr w14:paraId="7AB2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68A882">
            <w:pPr>
              <w:pStyle w:val="22"/>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D158647">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A02060100</w:t>
            </w:r>
            <w:r>
              <w:rPr>
                <w:rFonts w:hint="eastAsia" w:ascii="宋体" w:hAnsi="宋体" w:cs="宋体"/>
                <w:color w:val="000000" w:themeColor="text1"/>
                <w:w w:val="99"/>
                <w:kern w:val="2"/>
                <w:sz w:val="21"/>
                <w:szCs w:val="21"/>
                <w14:textFill>
                  <w14:solidFill>
                    <w14:schemeClr w14:val="tx1"/>
                  </w14:solidFill>
                </w14:textFill>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DCD1FCB">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498BF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1D8B0E5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《中小型三相异步电动机能效限定值及能效等级》（GB18613）</w:t>
            </w:r>
          </w:p>
        </w:tc>
      </w:tr>
      <w:tr w14:paraId="5DA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5E2FA8">
            <w:pPr>
              <w:pStyle w:val="22"/>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7B5706D6">
            <w:pPr>
              <w:pStyle w:val="22"/>
              <w:spacing w:before="3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A02060200</w:t>
            </w:r>
            <w:r>
              <w:rPr>
                <w:rFonts w:hint="eastAsia" w:ascii="宋体" w:hAnsi="宋体" w:cs="宋体"/>
                <w:color w:val="000000" w:themeColor="text1"/>
                <w:w w:val="99"/>
                <w:kern w:val="2"/>
                <w:sz w:val="21"/>
                <w:szCs w:val="21"/>
                <w14:textFill>
                  <w14:solidFill>
                    <w14:schemeClr w14:val="tx1"/>
                  </w14:solidFill>
                </w14:textFill>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4AE3288">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D56FB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C2C6174">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《三相配电变压器能效限定值及能效等级》（GB 20052）</w:t>
            </w:r>
          </w:p>
        </w:tc>
      </w:tr>
      <w:tr w14:paraId="04D3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1A4A37">
            <w:pPr>
              <w:pStyle w:val="22"/>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29E17CB">
            <w:pPr>
              <w:pStyle w:val="22"/>
              <w:spacing w:before="12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6038B3C">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101310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5C294CE">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《管形荧光灯镇流器能效限定值及能效等级》（GB17896）</w:t>
            </w:r>
          </w:p>
        </w:tc>
      </w:tr>
      <w:tr w14:paraId="32BE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3E1A3E">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581880D">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4D3829">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3E7043C7">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73E4FCAF">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《家用电冰箱耗电量限定值及能效等级》（GB12021.2）</w:t>
            </w:r>
          </w:p>
        </w:tc>
      </w:tr>
      <w:tr w14:paraId="536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AA89F8">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7BE9D4">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DC631B9">
            <w:pPr>
              <w:pStyle w:val="22"/>
              <w:spacing w:before="17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A02061804</w:t>
            </w:r>
            <w:r>
              <w:rPr>
                <w:rFonts w:hint="eastAsia" w:ascii="宋体" w:hAnsi="宋体" w:cs="宋体"/>
                <w:color w:val="000000" w:themeColor="text1"/>
                <w:w w:val="99"/>
                <w:kern w:val="2"/>
                <w:sz w:val="21"/>
                <w:szCs w:val="21"/>
                <w14:textFill>
                  <w14:solidFill>
                    <w14:schemeClr w14:val="tx1"/>
                  </w14:solidFill>
                </w14:textFill>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76E5987">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F6D6948">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《房间空气调节器能效限定值及能效等级》（GB21455-2019）</w:t>
            </w:r>
          </w:p>
        </w:tc>
      </w:tr>
      <w:tr w14:paraId="1CE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533A59">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F21B2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07C709">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6B7C62">
            <w:pPr>
              <w:pStyle w:val="22"/>
              <w:spacing w:before="4"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28FACD2">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14:paraId="6684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083D5B">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2697F6">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2A09248">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518ACCB">
            <w:pPr>
              <w:pStyle w:val="22"/>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4EA9E361">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《单元式空气调节机能效限定值及能源效率等级》（GB19576）《风管送风式空调机组能效限定值及能效等级》（GB37479）</w:t>
            </w:r>
          </w:p>
        </w:tc>
      </w:tr>
      <w:tr w14:paraId="346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059615">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5B52C2">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82BFFB">
            <w:pPr>
              <w:pStyle w:val="22"/>
              <w:spacing w:before="16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A02061810</w:t>
            </w:r>
            <w:r>
              <w:rPr>
                <w:rFonts w:hint="eastAsia" w:ascii="宋体" w:hAnsi="宋体" w:cs="宋体"/>
                <w:color w:val="000000" w:themeColor="text1"/>
                <w:w w:val="99"/>
                <w:kern w:val="2"/>
                <w:sz w:val="21"/>
                <w:szCs w:val="21"/>
                <w14:textFill>
                  <w14:solidFill>
                    <w14:schemeClr w14:val="tx1"/>
                  </w14:solidFill>
                </w14:textFill>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E0BE26B">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8F9DB5E">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《电动洗衣机能效水效限定值及等级》（GB12021.4）</w:t>
            </w:r>
          </w:p>
        </w:tc>
      </w:tr>
      <w:tr w14:paraId="022E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12446E">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D7F0ED">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5427A15">
            <w:pPr>
              <w:pStyle w:val="22"/>
              <w:spacing w:before="161"/>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A02061819</w:t>
            </w:r>
            <w:r>
              <w:rPr>
                <w:rFonts w:hint="eastAsia" w:ascii="宋体" w:hAnsi="宋体" w:cs="宋体"/>
                <w:color w:val="000000" w:themeColor="text1"/>
                <w:w w:val="99"/>
                <w:kern w:val="2"/>
                <w:sz w:val="21"/>
                <w:szCs w:val="21"/>
                <w14:textFill>
                  <w14:solidFill>
                    <w14:schemeClr w14:val="tx1"/>
                  </w14:solidFill>
                </w14:textFill>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524422">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490C9149">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《储水式电热水器能效限定值及能效等级》（GB21519）</w:t>
            </w:r>
          </w:p>
        </w:tc>
      </w:tr>
      <w:tr w14:paraId="573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46CEDA">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7A59FD">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7DB12C2">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6B59C5">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燃气热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135FA460">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《家用燃气快速热水器和燃气采暖热水炉能效限定值及能效等级》（GB20665）</w:t>
            </w:r>
          </w:p>
        </w:tc>
      </w:tr>
      <w:tr w14:paraId="165B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E575EE">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E9F63D">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9866A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A66B4F">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热泵热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096F855A">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《热泵热水机（器）能效限定值及能效等级》（GB29541）</w:t>
            </w:r>
          </w:p>
        </w:tc>
      </w:tr>
      <w:tr w14:paraId="0C0E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F2E118">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B23DB8">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7F69A2D">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85A47D">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太阳能</w:t>
            </w:r>
            <w:r>
              <w:rPr>
                <w:rFonts w:hint="eastAsia" w:ascii="宋体" w:hAnsi="宋体" w:cs="宋体"/>
                <w:color w:val="000000" w:themeColor="text1"/>
                <w:spacing w:val="2"/>
                <w:w w:val="99"/>
                <w:kern w:val="2"/>
                <w:sz w:val="21"/>
                <w:szCs w:val="21"/>
                <w14:textFill>
                  <w14:solidFill>
                    <w14:schemeClr w14:val="tx1"/>
                  </w14:solidFill>
                </w14:textFill>
              </w:rPr>
              <w:t>热</w:t>
            </w:r>
            <w:r>
              <w:rPr>
                <w:rFonts w:hint="eastAsia" w:ascii="宋体" w:hAnsi="宋体" w:cs="宋体"/>
                <w:color w:val="000000" w:themeColor="text1"/>
                <w:w w:val="99"/>
                <w:kern w:val="2"/>
                <w:sz w:val="21"/>
                <w:szCs w:val="21"/>
                <w14:textFill>
                  <w14:solidFill>
                    <w14:schemeClr w14:val="tx1"/>
                  </w14:solidFill>
                </w14:textFill>
              </w:rPr>
              <w:t>水系统</w:t>
            </w:r>
          </w:p>
        </w:tc>
        <w:tc>
          <w:tcPr>
            <w:tcW w:w="3452" w:type="dxa"/>
            <w:tcBorders>
              <w:top w:val="single" w:color="000000" w:sz="4" w:space="0"/>
              <w:left w:val="single" w:color="000000" w:sz="4" w:space="0"/>
              <w:bottom w:val="single" w:color="000000" w:sz="4" w:space="0"/>
              <w:right w:val="single" w:color="000000" w:sz="4" w:space="0"/>
            </w:tcBorders>
          </w:tcPr>
          <w:p w14:paraId="640417B7">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《家用太阳能热水系统能效限定值及能效等级》（GB26969）</w:t>
            </w:r>
          </w:p>
        </w:tc>
      </w:tr>
      <w:tr w14:paraId="1AAE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9F065B6">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67ABA68">
            <w:pPr>
              <w:pStyle w:val="22"/>
              <w:spacing w:before="15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06</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D4DDF9B">
            <w:pPr>
              <w:pStyle w:val="22"/>
              <w:spacing w:before="133"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F87FD2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F076B5A">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《普通照明用双端荧光灯能效限定值及能效等级》（GB19043）</w:t>
            </w:r>
          </w:p>
        </w:tc>
      </w:tr>
      <w:tr w14:paraId="3673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9CCA8FC">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7B91AE">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909AA6">
            <w:pPr>
              <w:pStyle w:val="22"/>
              <w:spacing w:before="92" w:line="276" w:lineRule="auto"/>
              <w:ind w:left="7" w:right="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w:t>
            </w:r>
            <w:r>
              <w:rPr>
                <w:rFonts w:hint="eastAsia" w:ascii="宋体" w:hAnsi="宋体" w:cs="宋体"/>
                <w:color w:val="000000" w:themeColor="text1"/>
                <w:spacing w:val="12"/>
                <w:w w:val="99"/>
                <w:kern w:val="2"/>
                <w:sz w:val="21"/>
                <w:szCs w:val="21"/>
                <w14:textFill>
                  <w14:solidFill>
                    <w14:schemeClr w14:val="tx1"/>
                  </w14:solidFill>
                </w14:textFill>
              </w:rPr>
              <w:t>道</w:t>
            </w:r>
            <w:r>
              <w:rPr>
                <w:rFonts w:hint="eastAsia" w:ascii="宋体" w:hAnsi="宋体" w:cs="宋体"/>
                <w:color w:val="000000" w:themeColor="text1"/>
                <w:spacing w:val="9"/>
                <w:w w:val="99"/>
                <w:kern w:val="2"/>
                <w:sz w:val="21"/>
                <w:szCs w:val="21"/>
                <w14:textFill>
                  <w14:solidFill>
                    <w14:schemeClr w14:val="tx1"/>
                  </w14:solidFill>
                </w14:textFill>
              </w:rPr>
              <w:t>路</w:t>
            </w:r>
            <w:r>
              <w:rPr>
                <w:rFonts w:hint="eastAsia" w:ascii="宋体" w:hAnsi="宋体" w:cs="宋体"/>
                <w:color w:val="000000" w:themeColor="text1"/>
                <w:spacing w:val="13"/>
                <w:w w:val="99"/>
                <w:kern w:val="2"/>
                <w:sz w:val="21"/>
                <w:szCs w:val="21"/>
                <w14:textFill>
                  <w14:solidFill>
                    <w14:schemeClr w14:val="tx1"/>
                  </w14:solidFill>
                </w14:textFill>
              </w:rPr>
              <w:t>/</w:t>
            </w:r>
            <w:r>
              <w:rPr>
                <w:rFonts w:hint="eastAsia" w:ascii="宋体" w:hAnsi="宋体" w:cs="宋体"/>
                <w:color w:val="000000" w:themeColor="text1"/>
                <w:spacing w:val="12"/>
                <w:w w:val="99"/>
                <w:kern w:val="2"/>
                <w:sz w:val="21"/>
                <w:szCs w:val="21"/>
                <w14:textFill>
                  <w14:solidFill>
                    <w14:schemeClr w14:val="tx1"/>
                  </w14:solidFill>
                </w14:textFill>
              </w:rPr>
              <w:t>隧道照</w:t>
            </w:r>
            <w:r>
              <w:rPr>
                <w:rFonts w:hint="eastAsia" w:ascii="宋体" w:hAnsi="宋体" w:cs="宋体"/>
                <w:color w:val="000000" w:themeColor="text1"/>
                <w:w w:val="99"/>
                <w:kern w:val="2"/>
                <w:sz w:val="21"/>
                <w:szCs w:val="21"/>
                <w14:textFill>
                  <w14:solidFill>
                    <w14:schemeClr w14:val="tx1"/>
                  </w14:solidFill>
                </w14:textFill>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4C89B55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9FF6934">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《道路和隧道照明用LED灯具能效限定值及能效等级》（GB37478）</w:t>
            </w:r>
          </w:p>
        </w:tc>
      </w:tr>
      <w:tr w14:paraId="425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840944">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64364B">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83A4C1">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F543AD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D62CCFD">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14:paraId="2B1B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7F21184">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96C534">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1823F9">
            <w:pPr>
              <w:pStyle w:val="22"/>
              <w:spacing w:line="276" w:lineRule="auto"/>
              <w:ind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w:t>
            </w:r>
            <w:r>
              <w:rPr>
                <w:rFonts w:hint="eastAsia" w:ascii="宋体" w:hAnsi="宋体" w:cs="宋体"/>
                <w:color w:val="000000" w:themeColor="text1"/>
                <w:spacing w:val="24"/>
                <w:w w:val="99"/>
                <w:kern w:val="2"/>
                <w:sz w:val="21"/>
                <w:szCs w:val="21"/>
                <w:lang w:eastAsia="zh-CN"/>
                <w14:textFill>
                  <w14:solidFill>
                    <w14:schemeClr w14:val="tx1"/>
                  </w14:solidFill>
                </w14:textFill>
              </w:rPr>
              <w:t>通</w:t>
            </w:r>
            <w:r>
              <w:rPr>
                <w:rFonts w:hint="eastAsia" w:ascii="宋体" w:hAnsi="宋体" w:cs="宋体"/>
                <w:color w:val="000000" w:themeColor="text1"/>
                <w:w w:val="99"/>
                <w:kern w:val="2"/>
                <w:sz w:val="21"/>
                <w:szCs w:val="21"/>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lang w:eastAsia="zh-CN"/>
                <w14:textFill>
                  <w14:solidFill>
                    <w14:schemeClr w14:val="tx1"/>
                  </w14:solidFill>
                </w14:textFill>
              </w:rPr>
              <w:t>定</w:t>
            </w:r>
            <w:r>
              <w:rPr>
                <w:rFonts w:hint="eastAsia" w:ascii="宋体" w:hAnsi="宋体" w:cs="宋体"/>
                <w:color w:val="000000" w:themeColor="text1"/>
                <w:w w:val="99"/>
                <w:kern w:val="2"/>
                <w:sz w:val="21"/>
                <w:szCs w:val="21"/>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lang w:eastAsia="zh-CN"/>
                <w14:textFill>
                  <w14:solidFill>
                    <w14:schemeClr w14:val="tx1"/>
                  </w14:solidFill>
                </w14:textFill>
              </w:rPr>
              <w:t>LE</w:t>
            </w:r>
            <w:r>
              <w:rPr>
                <w:rFonts w:hint="eastAsia" w:ascii="宋体" w:hAnsi="宋体" w:cs="宋体"/>
                <w:color w:val="000000" w:themeColor="text1"/>
                <w:w w:val="99"/>
                <w:kern w:val="2"/>
                <w:sz w:val="21"/>
                <w:szCs w:val="21"/>
                <w:lang w:eastAsia="zh-CN"/>
                <w14:textFill>
                  <w14:solidFill>
                    <w14:schemeClr w14:val="tx1"/>
                  </w14:solidFill>
                </w14:textFill>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C28D74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5D6C39C">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14:paraId="18A7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AF06EA">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7A9164D">
            <w:pPr>
              <w:pStyle w:val="22"/>
              <w:spacing w:before="8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CC952E6">
            <w:pPr>
              <w:pStyle w:val="22"/>
              <w:spacing w:before="81" w:line="276" w:lineRule="auto"/>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
                <w:w w:val="99"/>
                <w:kern w:val="2"/>
                <w:sz w:val="21"/>
                <w:szCs w:val="21"/>
                <w:lang w:eastAsia="zh-CN"/>
                <w14:textFill>
                  <w14:solidFill>
                    <w14:schemeClr w14:val="tx1"/>
                  </w14:solidFill>
                </w14:textFill>
              </w:rPr>
              <w:t>A02</w:t>
            </w:r>
            <w:r>
              <w:rPr>
                <w:rFonts w:hint="eastAsia" w:ascii="宋体" w:hAnsi="宋体" w:cs="宋体"/>
                <w:color w:val="000000" w:themeColor="text1"/>
                <w:w w:val="99"/>
                <w:kern w:val="2"/>
                <w:sz w:val="21"/>
                <w:szCs w:val="21"/>
                <w:lang w:eastAsia="zh-CN"/>
                <w14:textFill>
                  <w14:solidFill>
                    <w14:schemeClr w14:val="tx1"/>
                  </w14:solidFill>
                </w14:textFill>
              </w:rPr>
              <w:t>09</w:t>
            </w:r>
            <w:r>
              <w:rPr>
                <w:rFonts w:hint="eastAsia" w:ascii="宋体" w:hAnsi="宋体" w:cs="宋体"/>
                <w:color w:val="000000" w:themeColor="text1"/>
                <w:spacing w:val="1"/>
                <w:w w:val="99"/>
                <w:kern w:val="2"/>
                <w:sz w:val="21"/>
                <w:szCs w:val="21"/>
                <w:lang w:eastAsia="zh-CN"/>
                <w14:textFill>
                  <w14:solidFill>
                    <w14:schemeClr w14:val="tx1"/>
                  </w14:solidFill>
                </w14:textFill>
              </w:rPr>
              <w:t>1</w:t>
            </w:r>
            <w:r>
              <w:rPr>
                <w:rFonts w:hint="eastAsia" w:ascii="宋体" w:hAnsi="宋体" w:cs="宋体"/>
                <w:color w:val="000000" w:themeColor="text1"/>
                <w:w w:val="99"/>
                <w:kern w:val="2"/>
                <w:sz w:val="21"/>
                <w:szCs w:val="21"/>
                <w:lang w:eastAsia="zh-CN"/>
                <w14:textFill>
                  <w14:solidFill>
                    <w14:schemeClr w14:val="tx1"/>
                  </w14:solidFill>
                </w14:textFill>
              </w:rPr>
              <w:t>001普通电视设备（</w:t>
            </w:r>
            <w:r>
              <w:rPr>
                <w:rFonts w:hint="eastAsia" w:ascii="宋体" w:hAnsi="宋体" w:cs="宋体"/>
                <w:color w:val="000000" w:themeColor="text1"/>
                <w:spacing w:val="2"/>
                <w:w w:val="99"/>
                <w:kern w:val="2"/>
                <w:sz w:val="21"/>
                <w:szCs w:val="21"/>
                <w:lang w:eastAsia="zh-CN"/>
                <w14:textFill>
                  <w14:solidFill>
                    <w14:schemeClr w14:val="tx1"/>
                  </w14:solidFill>
                </w14:textFill>
              </w:rPr>
              <w:t>电</w:t>
            </w:r>
            <w:r>
              <w:rPr>
                <w:rFonts w:hint="eastAsia" w:ascii="宋体" w:hAnsi="宋体" w:cs="宋体"/>
                <w:color w:val="000000" w:themeColor="text1"/>
                <w:w w:val="99"/>
                <w:kern w:val="2"/>
                <w:sz w:val="21"/>
                <w:szCs w:val="21"/>
                <w:lang w:eastAsia="zh-CN"/>
                <w14:textFill>
                  <w14:solidFill>
                    <w14:schemeClr w14:val="tx1"/>
                  </w14:solidFill>
                </w14:textFill>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7E33F9">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E9C9905">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《平板电视与机顶盒能效限定值及能效等级》（GB24850）</w:t>
            </w:r>
          </w:p>
        </w:tc>
      </w:tr>
      <w:tr w14:paraId="7FBF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056EFF9">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24108B0">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3F70AA0">
            <w:pPr>
              <w:pStyle w:val="22"/>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09</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75F68EF">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监视器</w:t>
            </w:r>
          </w:p>
        </w:tc>
        <w:tc>
          <w:tcPr>
            <w:tcW w:w="3452" w:type="dxa"/>
            <w:tcBorders>
              <w:top w:val="single" w:color="000000" w:sz="4" w:space="0"/>
              <w:left w:val="single" w:color="000000" w:sz="4" w:space="0"/>
              <w:bottom w:val="single" w:color="000000" w:sz="4" w:space="0"/>
              <w:right w:val="single" w:color="000000" w:sz="4" w:space="0"/>
            </w:tcBorders>
          </w:tcPr>
          <w:p w14:paraId="724943E8">
            <w:pPr>
              <w:pStyle w:val="22"/>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以射频信号为主要信号输入的监视器应符合《平板电视与机顶盒能效限定值及能效等级》（GB24850），以数字信号为主要信号输入的监视器应符合《计算机显示器能效限定值及能效等级》（GB21520）</w:t>
            </w:r>
          </w:p>
        </w:tc>
      </w:tr>
      <w:tr w14:paraId="149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E5AFABA">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3518A35">
            <w:pPr>
              <w:pStyle w:val="22"/>
              <w:spacing w:before="7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A02241000</w:t>
            </w:r>
            <w:r>
              <w:rPr>
                <w:rFonts w:hint="eastAsia" w:ascii="宋体" w:hAnsi="宋体" w:cs="宋体"/>
                <w:color w:val="000000" w:themeColor="text1"/>
                <w:w w:val="99"/>
                <w:kern w:val="2"/>
                <w:sz w:val="21"/>
                <w:szCs w:val="21"/>
                <w14:textFill>
                  <w14:solidFill>
                    <w14:schemeClr w14:val="tx1"/>
                  </w14:solidFill>
                </w14:textFill>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4A300EE3">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商用燃</w:t>
            </w:r>
            <w:r>
              <w:rPr>
                <w:rFonts w:hint="eastAsia" w:ascii="宋体" w:hAnsi="宋体" w:cs="宋体"/>
                <w:color w:val="000000" w:themeColor="text1"/>
                <w:spacing w:val="2"/>
                <w:w w:val="99"/>
                <w:kern w:val="2"/>
                <w:sz w:val="21"/>
                <w:szCs w:val="21"/>
                <w14:textFill>
                  <w14:solidFill>
                    <w14:schemeClr w14:val="tx1"/>
                  </w14:solidFill>
                </w14:textFill>
              </w:rPr>
              <w:t>气</w:t>
            </w:r>
            <w:r>
              <w:rPr>
                <w:rFonts w:hint="eastAsia" w:ascii="宋体" w:hAnsi="宋体" w:cs="宋体"/>
                <w:color w:val="000000" w:themeColor="text1"/>
                <w:w w:val="99"/>
                <w:kern w:val="2"/>
                <w:sz w:val="21"/>
                <w:szCs w:val="21"/>
                <w14:textFill>
                  <w14:solidFill>
                    <w14:schemeClr w14:val="tx1"/>
                  </w14:solidFill>
                </w14:textFill>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30B7E91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1A74F969">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《商用燃气灶具能效限定值及能效等级》（GB30531）</w:t>
            </w:r>
          </w:p>
        </w:tc>
      </w:tr>
      <w:tr w14:paraId="3455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34F2B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84FF308">
            <w:pPr>
              <w:pStyle w:val="22"/>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A05020105</w:t>
            </w:r>
            <w:r>
              <w:rPr>
                <w:rFonts w:hint="eastAsia" w:ascii="宋体" w:hAnsi="宋体" w:cs="宋体"/>
                <w:color w:val="000000" w:themeColor="text1"/>
                <w:w w:val="99"/>
                <w:kern w:val="2"/>
                <w:sz w:val="21"/>
                <w:szCs w:val="21"/>
                <w14:textFill>
                  <w14:solidFill>
                    <w14:schemeClr w14:val="tx1"/>
                  </w14:solidFill>
                </w14:textFill>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E2B353F">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AA6ACB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73BF76A">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《坐便器水效限定值及水效等级》</w:t>
            </w:r>
          </w:p>
          <w:p w14:paraId="628F73AC">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（GB25502）</w:t>
            </w:r>
          </w:p>
        </w:tc>
      </w:tr>
      <w:tr w14:paraId="450C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82B21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F7BE67">
            <w:pPr>
              <w:widowControl/>
              <w:jc w:val="left"/>
              <w:rPr>
                <w:rFonts w:ascii="宋体" w:hAnsi="宋体" w:cs="宋体"/>
                <w:color w:val="000000" w:themeColor="text1"/>
                <w:w w:val="99"/>
                <w:szCs w:val="21"/>
                <w:lang w:eastAsia="en-US"/>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505446">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3BDFFF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B123872">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《蹲便器用水效率限定值及用水效率等级》（GB30717）</w:t>
            </w:r>
          </w:p>
        </w:tc>
      </w:tr>
      <w:tr w14:paraId="659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67593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D5A00B">
            <w:pPr>
              <w:widowControl/>
              <w:jc w:val="left"/>
              <w:rPr>
                <w:rFonts w:ascii="宋体" w:hAnsi="宋体" w:cs="宋体"/>
                <w:color w:val="000000" w:themeColor="text1"/>
                <w:w w:val="99"/>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698768">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07C9EF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7EA60D7">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《小便器用水效率限定值及用水效率等级》（GB28377）</w:t>
            </w:r>
          </w:p>
        </w:tc>
      </w:tr>
      <w:tr w14:paraId="1416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60DBB5D">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7D997E1">
            <w:pPr>
              <w:pStyle w:val="22"/>
              <w:spacing w:before="153"/>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A05020106</w:t>
            </w:r>
            <w:r>
              <w:rPr>
                <w:rFonts w:hint="eastAsia" w:ascii="宋体" w:hAnsi="宋体" w:cs="宋体"/>
                <w:color w:val="000000" w:themeColor="text1"/>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1A47C4F">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41E05A">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048CE10">
            <w:pPr>
              <w:pStyle w:val="22"/>
              <w:spacing w:before="153"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lang w:eastAsia="zh-CN"/>
                <w14:textFill>
                  <w14:solidFill>
                    <w14:schemeClr w14:val="tx1"/>
                  </w14:solidFill>
                </w14:textFill>
              </w:rPr>
              <w:t>率等级》（GB 25501）</w:t>
            </w:r>
          </w:p>
        </w:tc>
      </w:tr>
      <w:tr w14:paraId="26F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43E51C">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0B933F2">
            <w:pPr>
              <w:pStyle w:val="22"/>
              <w:spacing w:before="11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A05020107</w:t>
            </w:r>
            <w:r>
              <w:rPr>
                <w:rFonts w:hint="eastAsia" w:ascii="宋体" w:hAnsi="宋体" w:cs="宋体"/>
                <w:color w:val="000000" w:themeColor="text1"/>
                <w:kern w:val="2"/>
                <w:sz w:val="21"/>
                <w:szCs w:val="21"/>
                <w14:textFill>
                  <w14:solidFill>
                    <w14:schemeClr w14:val="tx1"/>
                  </w14:solidFill>
                </w14:textFill>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C0A9D68">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459E76">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FDCDC21">
            <w:pPr>
              <w:pStyle w:val="22"/>
              <w:spacing w:before="112"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lang w:eastAsia="zh-CN"/>
                <w14:textFill>
                  <w14:solidFill>
                    <w14:schemeClr w14:val="tx1"/>
                  </w14:solidFill>
                </w14:textFill>
              </w:rPr>
              <w:t>用水效率等级》（GB28379）</w:t>
            </w:r>
          </w:p>
        </w:tc>
      </w:tr>
      <w:tr w14:paraId="750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5C051B">
            <w:pPr>
              <w:pStyle w:val="22"/>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93C9AD9">
            <w:pPr>
              <w:pStyle w:val="22"/>
              <w:spacing w:before="13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A05020110</w:t>
            </w:r>
            <w:r>
              <w:rPr>
                <w:rFonts w:hint="eastAsia" w:ascii="宋体" w:hAnsi="宋体" w:cs="宋体"/>
                <w:color w:val="000000" w:themeColor="text1"/>
                <w:kern w:val="2"/>
                <w:sz w:val="21"/>
                <w:szCs w:val="21"/>
                <w14:textFill>
                  <w14:solidFill>
                    <w14:schemeClr w14:val="tx1"/>
                  </w14:solidFill>
                </w14:textFill>
              </w:rPr>
              <w:t>淋浴</w:t>
            </w:r>
            <w:r>
              <w:rPr>
                <w:rFonts w:hint="eastAsia" w:ascii="宋体" w:hAnsi="宋体" w:cs="宋体"/>
                <w:color w:val="000000" w:themeColor="text1"/>
                <w:w w:val="99"/>
                <w:kern w:val="2"/>
                <w:sz w:val="21"/>
                <w:szCs w:val="21"/>
                <w14:textFill>
                  <w14:solidFill>
                    <w14:schemeClr w14:val="tx1"/>
                  </w14:solidFill>
                </w14:textFill>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50D5FF5">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270DC6">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E48419E">
            <w:pPr>
              <w:pStyle w:val="22"/>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lang w:eastAsia="zh-CN"/>
                <w14:textFill>
                  <w14:solidFill>
                    <w14:schemeClr w14:val="tx1"/>
                  </w14:solidFill>
                </w14:textFill>
              </w:rPr>
              <w:t>效率等级》（GB28378）</w:t>
            </w:r>
          </w:p>
        </w:tc>
      </w:tr>
    </w:tbl>
    <w:p w14:paraId="1F53FE66">
      <w:pPr>
        <w:pStyle w:val="12"/>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注：1.节能产品认证应依据相关国家标准的最新版本，依据国家标准中二级能效（水效）</w:t>
      </w:r>
      <w:r>
        <w:rPr>
          <w:rFonts w:hint="eastAsia" w:ascii="宋体" w:hAnsi="宋体"/>
          <w:color w:val="000000" w:themeColor="text1"/>
          <w:szCs w:val="21"/>
          <w14:textFill>
            <w14:solidFill>
              <w14:schemeClr w14:val="tx1"/>
            </w14:solidFill>
          </w14:textFill>
        </w:rPr>
        <w:t>指标。</w:t>
      </w:r>
    </w:p>
    <w:p w14:paraId="7453453A">
      <w:pPr>
        <w:pStyle w:val="12"/>
        <w:spacing w:line="360" w:lineRule="auto"/>
        <w:ind w:firstLine="46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2.以“★”标注的为政府强制采购产品。</w:t>
      </w:r>
    </w:p>
    <w:p w14:paraId="3993A86C">
      <w:pPr>
        <w:pStyle w:val="12"/>
        <w:spacing w:line="360" w:lineRule="auto"/>
        <w:ind w:firstLine="465"/>
        <w:rPr>
          <w:rFonts w:ascii="Arial Unicode MS" w:hAnsi="Arial Unicode MS" w:eastAsia="Arial Unicode MS" w:cs="Arial Unicode MS"/>
          <w:color w:val="000000" w:themeColor="text1"/>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r>
        <w:rPr>
          <w:rFonts w:hint="eastAsia" w:hAnsi="宋体"/>
          <w:color w:val="000000" w:themeColor="text1"/>
          <w14:textFill>
            <w14:solidFill>
              <w14:schemeClr w14:val="tx1"/>
            </w14:solidFill>
          </w14:textFill>
        </w:rPr>
        <w:br w:type="page"/>
      </w:r>
      <w:r>
        <w:rPr>
          <w:rFonts w:hint="eastAsia" w:ascii="微软雅黑" w:hAnsi="微软雅黑" w:eastAsia="微软雅黑" w:cs="微软雅黑"/>
          <w:color w:val="000000" w:themeColor="text1"/>
          <w:sz w:val="32"/>
          <w:szCs w:val="32"/>
          <w14:textFill>
            <w14:solidFill>
              <w14:schemeClr w14:val="tx1"/>
            </w14:solidFill>
          </w14:textFill>
        </w:rPr>
        <w:t>附件</w:t>
      </w:r>
      <w:r>
        <w:rPr>
          <w:rFonts w:hint="eastAsia" w:ascii="Arial Unicode MS" w:hAnsi="Arial Unicode MS" w:eastAsia="Arial Unicode MS" w:cs="Arial Unicode MS"/>
          <w:color w:val="000000" w:themeColor="text1"/>
          <w:sz w:val="32"/>
          <w:szCs w:val="32"/>
          <w14:textFill>
            <w14:solidFill>
              <w14:schemeClr w14:val="tx1"/>
            </w14:solidFill>
          </w14:textFill>
        </w:rPr>
        <w:t>2</w:t>
      </w:r>
      <w:r>
        <w:rPr>
          <w:rFonts w:hint="eastAsia" w:ascii="微软雅黑" w:hAnsi="微软雅黑" w:eastAsia="微软雅黑" w:cs="微软雅黑"/>
          <w:color w:val="000000" w:themeColor="text1"/>
          <w:sz w:val="32"/>
          <w:szCs w:val="32"/>
          <w14:textFill>
            <w14:solidFill>
              <w14:schemeClr w14:val="tx1"/>
            </w14:solidFill>
          </w14:textFill>
        </w:rPr>
        <w:t>：</w:t>
      </w:r>
    </w:p>
    <w:p w14:paraId="70B115DE">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中小微企业划型标准</w:t>
      </w:r>
    </w:p>
    <w:tbl>
      <w:tblPr>
        <w:tblStyle w:val="16"/>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25F331D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4A0CF4C">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行业名称</w:t>
            </w:r>
          </w:p>
        </w:tc>
        <w:tc>
          <w:tcPr>
            <w:tcW w:w="1383" w:type="dxa"/>
            <w:tcBorders>
              <w:top w:val="single" w:color="auto" w:sz="4" w:space="0"/>
              <w:left w:val="nil"/>
              <w:bottom w:val="single" w:color="auto" w:sz="4" w:space="0"/>
              <w:right w:val="single" w:color="auto" w:sz="4" w:space="0"/>
            </w:tcBorders>
            <w:vAlign w:val="center"/>
          </w:tcPr>
          <w:p w14:paraId="383D74F2">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28BC35B1">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计量单位</w:t>
            </w:r>
          </w:p>
        </w:tc>
        <w:tc>
          <w:tcPr>
            <w:tcW w:w="1619" w:type="dxa"/>
            <w:tcBorders>
              <w:top w:val="single" w:color="auto" w:sz="4" w:space="0"/>
              <w:left w:val="nil"/>
              <w:bottom w:val="single" w:color="auto" w:sz="4" w:space="0"/>
              <w:right w:val="single" w:color="auto" w:sz="4" w:space="0"/>
            </w:tcBorders>
            <w:vAlign w:val="center"/>
          </w:tcPr>
          <w:p w14:paraId="57648F9B">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中型</w:t>
            </w:r>
          </w:p>
        </w:tc>
        <w:tc>
          <w:tcPr>
            <w:tcW w:w="1439" w:type="dxa"/>
            <w:tcBorders>
              <w:top w:val="single" w:color="auto" w:sz="4" w:space="0"/>
              <w:left w:val="nil"/>
              <w:bottom w:val="single" w:color="auto" w:sz="4" w:space="0"/>
              <w:right w:val="single" w:color="auto" w:sz="4" w:space="0"/>
            </w:tcBorders>
            <w:vAlign w:val="center"/>
          </w:tcPr>
          <w:p w14:paraId="47E61203">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vAlign w:val="center"/>
          </w:tcPr>
          <w:p w14:paraId="604DDBB9">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微型</w:t>
            </w:r>
          </w:p>
        </w:tc>
      </w:tr>
      <w:tr w14:paraId="4E4F332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DCC7CB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农、林、牧、渔</w:t>
            </w:r>
          </w:p>
        </w:tc>
        <w:tc>
          <w:tcPr>
            <w:tcW w:w="1383" w:type="dxa"/>
            <w:tcBorders>
              <w:top w:val="nil"/>
              <w:left w:val="nil"/>
              <w:bottom w:val="single" w:color="auto" w:sz="4" w:space="0"/>
              <w:right w:val="single" w:color="auto" w:sz="4" w:space="0"/>
            </w:tcBorders>
            <w:vAlign w:val="center"/>
          </w:tcPr>
          <w:p w14:paraId="28DA6B3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E50609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C97715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500≤Y＜20000</w:t>
            </w:r>
          </w:p>
        </w:tc>
        <w:tc>
          <w:tcPr>
            <w:tcW w:w="1439" w:type="dxa"/>
            <w:tcBorders>
              <w:top w:val="nil"/>
              <w:left w:val="nil"/>
              <w:bottom w:val="single" w:color="auto" w:sz="4" w:space="0"/>
              <w:right w:val="single" w:color="auto" w:sz="4" w:space="0"/>
            </w:tcBorders>
            <w:vAlign w:val="center"/>
          </w:tcPr>
          <w:p w14:paraId="68E46F5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50≤Y＜500</w:t>
            </w:r>
          </w:p>
        </w:tc>
        <w:tc>
          <w:tcPr>
            <w:tcW w:w="925" w:type="dxa"/>
            <w:tcBorders>
              <w:top w:val="nil"/>
              <w:left w:val="nil"/>
              <w:bottom w:val="single" w:color="auto" w:sz="4" w:space="0"/>
              <w:right w:val="single" w:color="auto" w:sz="4" w:space="0"/>
            </w:tcBorders>
            <w:vAlign w:val="center"/>
          </w:tcPr>
          <w:p w14:paraId="1E917C0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w:t>
            </w:r>
          </w:p>
        </w:tc>
      </w:tr>
      <w:tr w14:paraId="110779C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F6AB550">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工业</w:t>
            </w:r>
          </w:p>
        </w:tc>
        <w:tc>
          <w:tcPr>
            <w:tcW w:w="1383" w:type="dxa"/>
            <w:tcBorders>
              <w:top w:val="nil"/>
              <w:left w:val="nil"/>
              <w:bottom w:val="single" w:color="auto" w:sz="4" w:space="0"/>
              <w:right w:val="single" w:color="auto" w:sz="4" w:space="0"/>
            </w:tcBorders>
            <w:vAlign w:val="center"/>
          </w:tcPr>
          <w:p w14:paraId="4BBA9CD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120020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3FBA90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7890587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549FC9A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205BC7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6D6F7DE">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EFEB2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21DC39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AE4373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2000≤Y＜40000</w:t>
            </w:r>
          </w:p>
        </w:tc>
        <w:tc>
          <w:tcPr>
            <w:tcW w:w="1439" w:type="dxa"/>
            <w:tcBorders>
              <w:top w:val="nil"/>
              <w:left w:val="nil"/>
              <w:bottom w:val="single" w:color="auto" w:sz="4" w:space="0"/>
              <w:right w:val="single" w:color="auto" w:sz="4" w:space="0"/>
            </w:tcBorders>
            <w:vAlign w:val="center"/>
          </w:tcPr>
          <w:p w14:paraId="402712E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300≤Y＜2000</w:t>
            </w:r>
          </w:p>
        </w:tc>
        <w:tc>
          <w:tcPr>
            <w:tcW w:w="925" w:type="dxa"/>
            <w:tcBorders>
              <w:top w:val="nil"/>
              <w:left w:val="nil"/>
              <w:bottom w:val="single" w:color="auto" w:sz="4" w:space="0"/>
              <w:right w:val="single" w:color="auto" w:sz="4" w:space="0"/>
            </w:tcBorders>
            <w:vAlign w:val="center"/>
          </w:tcPr>
          <w:p w14:paraId="360CB3D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Y＜300</w:t>
            </w:r>
          </w:p>
        </w:tc>
      </w:tr>
      <w:tr w14:paraId="06C101B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06F9E7">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建筑业</w:t>
            </w:r>
          </w:p>
        </w:tc>
        <w:tc>
          <w:tcPr>
            <w:tcW w:w="1383" w:type="dxa"/>
            <w:tcBorders>
              <w:top w:val="nil"/>
              <w:left w:val="nil"/>
              <w:bottom w:val="single" w:color="auto" w:sz="4" w:space="0"/>
              <w:right w:val="single" w:color="auto" w:sz="4" w:space="0"/>
            </w:tcBorders>
            <w:vAlign w:val="center"/>
          </w:tcPr>
          <w:p w14:paraId="32AE018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87CDC5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91D3EE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6000≤Y＜80000</w:t>
            </w:r>
          </w:p>
        </w:tc>
        <w:tc>
          <w:tcPr>
            <w:tcW w:w="1439" w:type="dxa"/>
            <w:tcBorders>
              <w:top w:val="nil"/>
              <w:left w:val="nil"/>
              <w:bottom w:val="single" w:color="auto" w:sz="4" w:space="0"/>
              <w:right w:val="single" w:color="auto" w:sz="4" w:space="0"/>
            </w:tcBorders>
            <w:vAlign w:val="center"/>
          </w:tcPr>
          <w:p w14:paraId="0203338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300≤Y＜6000</w:t>
            </w:r>
          </w:p>
        </w:tc>
        <w:tc>
          <w:tcPr>
            <w:tcW w:w="925" w:type="dxa"/>
            <w:tcBorders>
              <w:top w:val="nil"/>
              <w:left w:val="nil"/>
              <w:bottom w:val="single" w:color="auto" w:sz="4" w:space="0"/>
              <w:right w:val="single" w:color="auto" w:sz="4" w:space="0"/>
            </w:tcBorders>
            <w:vAlign w:val="center"/>
          </w:tcPr>
          <w:p w14:paraId="4FDDB04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Y＜300</w:t>
            </w:r>
          </w:p>
        </w:tc>
      </w:tr>
      <w:tr w14:paraId="63FC2C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56AC8FB">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CAD0B5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7597FCD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2CC8D5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5000≤Z＜80000</w:t>
            </w:r>
          </w:p>
        </w:tc>
        <w:tc>
          <w:tcPr>
            <w:tcW w:w="1439" w:type="dxa"/>
            <w:tcBorders>
              <w:top w:val="nil"/>
              <w:left w:val="nil"/>
              <w:bottom w:val="single" w:color="auto" w:sz="4" w:space="0"/>
              <w:right w:val="single" w:color="auto" w:sz="4" w:space="0"/>
            </w:tcBorders>
            <w:vAlign w:val="center"/>
          </w:tcPr>
          <w:p w14:paraId="5C57218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300≤Z＜5000</w:t>
            </w:r>
          </w:p>
        </w:tc>
        <w:tc>
          <w:tcPr>
            <w:tcW w:w="925" w:type="dxa"/>
            <w:tcBorders>
              <w:top w:val="nil"/>
              <w:left w:val="nil"/>
              <w:bottom w:val="single" w:color="auto" w:sz="4" w:space="0"/>
              <w:right w:val="single" w:color="auto" w:sz="4" w:space="0"/>
            </w:tcBorders>
            <w:vAlign w:val="center"/>
          </w:tcPr>
          <w:p w14:paraId="15AE8A4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Z＜300</w:t>
            </w:r>
          </w:p>
        </w:tc>
      </w:tr>
      <w:tr w14:paraId="745338A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55279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批发业</w:t>
            </w:r>
          </w:p>
        </w:tc>
        <w:tc>
          <w:tcPr>
            <w:tcW w:w="1383" w:type="dxa"/>
            <w:tcBorders>
              <w:top w:val="nil"/>
              <w:left w:val="nil"/>
              <w:bottom w:val="single" w:color="auto" w:sz="4" w:space="0"/>
              <w:right w:val="single" w:color="auto" w:sz="4" w:space="0"/>
            </w:tcBorders>
            <w:vAlign w:val="center"/>
          </w:tcPr>
          <w:p w14:paraId="49DD9AD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58AC82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482E79E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20≤X＜200</w:t>
            </w:r>
          </w:p>
        </w:tc>
        <w:tc>
          <w:tcPr>
            <w:tcW w:w="1439" w:type="dxa"/>
            <w:tcBorders>
              <w:top w:val="nil"/>
              <w:left w:val="nil"/>
              <w:bottom w:val="single" w:color="auto" w:sz="4" w:space="0"/>
              <w:right w:val="single" w:color="auto" w:sz="4" w:space="0"/>
            </w:tcBorders>
            <w:vAlign w:val="center"/>
          </w:tcPr>
          <w:p w14:paraId="3A069F8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5≤X＜20</w:t>
            </w:r>
          </w:p>
        </w:tc>
        <w:tc>
          <w:tcPr>
            <w:tcW w:w="925" w:type="dxa"/>
            <w:tcBorders>
              <w:top w:val="nil"/>
              <w:left w:val="nil"/>
              <w:bottom w:val="single" w:color="auto" w:sz="4" w:space="0"/>
              <w:right w:val="single" w:color="auto" w:sz="4" w:space="0"/>
            </w:tcBorders>
            <w:vAlign w:val="center"/>
          </w:tcPr>
          <w:p w14:paraId="2B22E26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X＜5</w:t>
            </w:r>
          </w:p>
        </w:tc>
      </w:tr>
      <w:tr w14:paraId="7BE128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B1D003">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3B85DF7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9DB23B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6F6CA0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5000≤Y＜40000</w:t>
            </w:r>
          </w:p>
        </w:tc>
        <w:tc>
          <w:tcPr>
            <w:tcW w:w="1439" w:type="dxa"/>
            <w:tcBorders>
              <w:top w:val="nil"/>
              <w:left w:val="nil"/>
              <w:bottom w:val="single" w:color="auto" w:sz="4" w:space="0"/>
              <w:right w:val="single" w:color="auto" w:sz="4" w:space="0"/>
            </w:tcBorders>
            <w:vAlign w:val="center"/>
          </w:tcPr>
          <w:p w14:paraId="44B1232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1000≤Y＜5000</w:t>
            </w:r>
          </w:p>
        </w:tc>
        <w:tc>
          <w:tcPr>
            <w:tcW w:w="925" w:type="dxa"/>
            <w:tcBorders>
              <w:top w:val="nil"/>
              <w:left w:val="nil"/>
              <w:bottom w:val="single" w:color="auto" w:sz="4" w:space="0"/>
              <w:right w:val="single" w:color="auto" w:sz="4" w:space="0"/>
            </w:tcBorders>
            <w:vAlign w:val="center"/>
          </w:tcPr>
          <w:p w14:paraId="5A9E098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Y＜1000</w:t>
            </w:r>
          </w:p>
        </w:tc>
      </w:tr>
      <w:tr w14:paraId="5E0D272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CE80BE">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零售业</w:t>
            </w:r>
          </w:p>
        </w:tc>
        <w:tc>
          <w:tcPr>
            <w:tcW w:w="1383" w:type="dxa"/>
            <w:tcBorders>
              <w:top w:val="nil"/>
              <w:left w:val="nil"/>
              <w:bottom w:val="single" w:color="auto" w:sz="4" w:space="0"/>
              <w:right w:val="single" w:color="auto" w:sz="4" w:space="0"/>
            </w:tcBorders>
            <w:vAlign w:val="center"/>
          </w:tcPr>
          <w:p w14:paraId="182DB66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CBAEB1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19DA16F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50≤X＜300</w:t>
            </w:r>
          </w:p>
        </w:tc>
        <w:tc>
          <w:tcPr>
            <w:tcW w:w="1439" w:type="dxa"/>
            <w:tcBorders>
              <w:top w:val="nil"/>
              <w:left w:val="nil"/>
              <w:bottom w:val="single" w:color="auto" w:sz="4" w:space="0"/>
              <w:right w:val="single" w:color="auto" w:sz="4" w:space="0"/>
            </w:tcBorders>
            <w:vAlign w:val="center"/>
          </w:tcPr>
          <w:p w14:paraId="5EAEF4D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10≤X＜50</w:t>
            </w:r>
          </w:p>
        </w:tc>
        <w:tc>
          <w:tcPr>
            <w:tcW w:w="925" w:type="dxa"/>
            <w:tcBorders>
              <w:top w:val="nil"/>
              <w:left w:val="nil"/>
              <w:bottom w:val="single" w:color="auto" w:sz="4" w:space="0"/>
              <w:right w:val="single" w:color="auto" w:sz="4" w:space="0"/>
            </w:tcBorders>
            <w:vAlign w:val="center"/>
          </w:tcPr>
          <w:p w14:paraId="78F4AFE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20B26F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A3F549">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205BD7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143920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8459E5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500≤Y＜20000</w:t>
            </w:r>
          </w:p>
        </w:tc>
        <w:tc>
          <w:tcPr>
            <w:tcW w:w="1439" w:type="dxa"/>
            <w:tcBorders>
              <w:top w:val="nil"/>
              <w:left w:val="nil"/>
              <w:bottom w:val="single" w:color="auto" w:sz="4" w:space="0"/>
              <w:right w:val="single" w:color="auto" w:sz="4" w:space="0"/>
            </w:tcBorders>
            <w:vAlign w:val="center"/>
          </w:tcPr>
          <w:p w14:paraId="51D81EE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100≤Y＜500</w:t>
            </w:r>
          </w:p>
        </w:tc>
        <w:tc>
          <w:tcPr>
            <w:tcW w:w="925" w:type="dxa"/>
            <w:tcBorders>
              <w:top w:val="nil"/>
              <w:left w:val="nil"/>
              <w:bottom w:val="single" w:color="auto" w:sz="4" w:space="0"/>
              <w:right w:val="single" w:color="auto" w:sz="4" w:space="0"/>
            </w:tcBorders>
            <w:vAlign w:val="center"/>
          </w:tcPr>
          <w:p w14:paraId="6B25B58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B22F3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6BC7BA">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交通运输业</w:t>
            </w:r>
          </w:p>
        </w:tc>
        <w:tc>
          <w:tcPr>
            <w:tcW w:w="1383" w:type="dxa"/>
            <w:tcBorders>
              <w:top w:val="nil"/>
              <w:left w:val="nil"/>
              <w:bottom w:val="single" w:color="auto" w:sz="4" w:space="0"/>
              <w:right w:val="single" w:color="auto" w:sz="4" w:space="0"/>
            </w:tcBorders>
            <w:vAlign w:val="center"/>
          </w:tcPr>
          <w:p w14:paraId="59DA290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165A2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31ACCD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46318CC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75F38AD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485D65D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E2D21B">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6A3204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B1A7F7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299B89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3000≤Y＜30000</w:t>
            </w:r>
          </w:p>
        </w:tc>
        <w:tc>
          <w:tcPr>
            <w:tcW w:w="1439" w:type="dxa"/>
            <w:tcBorders>
              <w:top w:val="nil"/>
              <w:left w:val="nil"/>
              <w:bottom w:val="single" w:color="auto" w:sz="4" w:space="0"/>
              <w:right w:val="single" w:color="auto" w:sz="4" w:space="0"/>
            </w:tcBorders>
            <w:vAlign w:val="center"/>
          </w:tcPr>
          <w:p w14:paraId="3E4CA04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200≤Y＜3000</w:t>
            </w:r>
          </w:p>
        </w:tc>
        <w:tc>
          <w:tcPr>
            <w:tcW w:w="925" w:type="dxa"/>
            <w:tcBorders>
              <w:top w:val="nil"/>
              <w:left w:val="nil"/>
              <w:bottom w:val="single" w:color="auto" w:sz="4" w:space="0"/>
              <w:right w:val="single" w:color="auto" w:sz="4" w:space="0"/>
            </w:tcBorders>
            <w:vAlign w:val="center"/>
          </w:tcPr>
          <w:p w14:paraId="1CAD88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Y＜200</w:t>
            </w:r>
          </w:p>
        </w:tc>
      </w:tr>
      <w:tr w14:paraId="282DFA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219AFCB">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仓储业</w:t>
            </w:r>
          </w:p>
        </w:tc>
        <w:tc>
          <w:tcPr>
            <w:tcW w:w="1383" w:type="dxa"/>
            <w:tcBorders>
              <w:top w:val="nil"/>
              <w:left w:val="nil"/>
              <w:bottom w:val="single" w:color="auto" w:sz="4" w:space="0"/>
              <w:right w:val="single" w:color="auto" w:sz="4" w:space="0"/>
            </w:tcBorders>
            <w:vAlign w:val="center"/>
          </w:tcPr>
          <w:p w14:paraId="6E79D6C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331C74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37B66B6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100≤X＜200</w:t>
            </w:r>
          </w:p>
        </w:tc>
        <w:tc>
          <w:tcPr>
            <w:tcW w:w="1439" w:type="dxa"/>
            <w:tcBorders>
              <w:top w:val="nil"/>
              <w:left w:val="nil"/>
              <w:bottom w:val="single" w:color="auto" w:sz="4" w:space="0"/>
              <w:right w:val="single" w:color="auto" w:sz="4" w:space="0"/>
            </w:tcBorders>
            <w:vAlign w:val="center"/>
          </w:tcPr>
          <w:p w14:paraId="6C43E16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20≤X＜100</w:t>
            </w:r>
          </w:p>
        </w:tc>
        <w:tc>
          <w:tcPr>
            <w:tcW w:w="925" w:type="dxa"/>
            <w:tcBorders>
              <w:top w:val="nil"/>
              <w:left w:val="nil"/>
              <w:bottom w:val="single" w:color="auto" w:sz="4" w:space="0"/>
              <w:right w:val="single" w:color="auto" w:sz="4" w:space="0"/>
            </w:tcBorders>
            <w:vAlign w:val="center"/>
          </w:tcPr>
          <w:p w14:paraId="032B1E1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456AC0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F399CD">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4A600C4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1C348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BBE28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1000≤Y＜30000</w:t>
            </w:r>
          </w:p>
        </w:tc>
        <w:tc>
          <w:tcPr>
            <w:tcW w:w="1439" w:type="dxa"/>
            <w:tcBorders>
              <w:top w:val="nil"/>
              <w:left w:val="nil"/>
              <w:bottom w:val="single" w:color="auto" w:sz="4" w:space="0"/>
              <w:right w:val="single" w:color="auto" w:sz="4" w:space="0"/>
            </w:tcBorders>
            <w:vAlign w:val="center"/>
          </w:tcPr>
          <w:p w14:paraId="691766F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41D5E2C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45A42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B74E74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邮政业</w:t>
            </w:r>
          </w:p>
        </w:tc>
        <w:tc>
          <w:tcPr>
            <w:tcW w:w="1383" w:type="dxa"/>
            <w:tcBorders>
              <w:top w:val="nil"/>
              <w:left w:val="nil"/>
              <w:bottom w:val="single" w:color="auto" w:sz="4" w:space="0"/>
              <w:right w:val="single" w:color="auto" w:sz="4" w:space="0"/>
            </w:tcBorders>
            <w:vAlign w:val="center"/>
          </w:tcPr>
          <w:p w14:paraId="3EDA3DB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57EF0B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01E5AF1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637BD76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2104866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5C759C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6350FA4">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7CA5CE6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FED59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F927A4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2000≤Y＜30000</w:t>
            </w:r>
          </w:p>
        </w:tc>
        <w:tc>
          <w:tcPr>
            <w:tcW w:w="1439" w:type="dxa"/>
            <w:tcBorders>
              <w:top w:val="nil"/>
              <w:left w:val="nil"/>
              <w:bottom w:val="single" w:color="auto" w:sz="4" w:space="0"/>
              <w:right w:val="single" w:color="auto" w:sz="4" w:space="0"/>
            </w:tcBorders>
            <w:vAlign w:val="center"/>
          </w:tcPr>
          <w:p w14:paraId="4169C4D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11B15E2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7DE3E25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70DBC91">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住宿业</w:t>
            </w:r>
          </w:p>
        </w:tc>
        <w:tc>
          <w:tcPr>
            <w:tcW w:w="1383" w:type="dxa"/>
            <w:tcBorders>
              <w:top w:val="nil"/>
              <w:left w:val="nil"/>
              <w:bottom w:val="single" w:color="auto" w:sz="4" w:space="0"/>
              <w:right w:val="single" w:color="auto" w:sz="4" w:space="0"/>
            </w:tcBorders>
            <w:vAlign w:val="center"/>
          </w:tcPr>
          <w:p w14:paraId="5507DAD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962837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4359D8D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68DFEEC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71D7C6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21FBF67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6E298D">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3CBDE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84DD27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C8FAB4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2000≤Y＜10000</w:t>
            </w:r>
          </w:p>
        </w:tc>
        <w:tc>
          <w:tcPr>
            <w:tcW w:w="1439" w:type="dxa"/>
            <w:tcBorders>
              <w:top w:val="nil"/>
              <w:left w:val="nil"/>
              <w:bottom w:val="single" w:color="auto" w:sz="4" w:space="0"/>
              <w:right w:val="single" w:color="auto" w:sz="4" w:space="0"/>
            </w:tcBorders>
            <w:vAlign w:val="center"/>
          </w:tcPr>
          <w:p w14:paraId="4EAB3F7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1AAE0B8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0B99A4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2BA360">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餐饮业</w:t>
            </w:r>
          </w:p>
        </w:tc>
        <w:tc>
          <w:tcPr>
            <w:tcW w:w="1383" w:type="dxa"/>
            <w:tcBorders>
              <w:top w:val="nil"/>
              <w:left w:val="nil"/>
              <w:bottom w:val="single" w:color="auto" w:sz="4" w:space="0"/>
              <w:right w:val="single" w:color="auto" w:sz="4" w:space="0"/>
            </w:tcBorders>
            <w:vAlign w:val="center"/>
          </w:tcPr>
          <w:p w14:paraId="572779C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077DAA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310D03B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5B53D69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3A5C8CF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46008DE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055D1A1">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1757DB3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080A82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2BF2F8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2000≤Y＜10000</w:t>
            </w:r>
          </w:p>
        </w:tc>
        <w:tc>
          <w:tcPr>
            <w:tcW w:w="1439" w:type="dxa"/>
            <w:tcBorders>
              <w:top w:val="nil"/>
              <w:left w:val="nil"/>
              <w:bottom w:val="single" w:color="auto" w:sz="4" w:space="0"/>
              <w:right w:val="single" w:color="auto" w:sz="4" w:space="0"/>
            </w:tcBorders>
            <w:vAlign w:val="center"/>
          </w:tcPr>
          <w:p w14:paraId="7B8F9F6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4FE2AC8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632857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E51BEBA">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信息传输业</w:t>
            </w:r>
          </w:p>
        </w:tc>
        <w:tc>
          <w:tcPr>
            <w:tcW w:w="1383" w:type="dxa"/>
            <w:tcBorders>
              <w:top w:val="nil"/>
              <w:left w:val="nil"/>
              <w:bottom w:val="single" w:color="auto" w:sz="4" w:space="0"/>
              <w:right w:val="single" w:color="auto" w:sz="4" w:space="0"/>
            </w:tcBorders>
            <w:vAlign w:val="center"/>
          </w:tcPr>
          <w:p w14:paraId="410EA23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970E34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2ACB09F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100≤X＜2000</w:t>
            </w:r>
          </w:p>
        </w:tc>
        <w:tc>
          <w:tcPr>
            <w:tcW w:w="1439" w:type="dxa"/>
            <w:tcBorders>
              <w:top w:val="nil"/>
              <w:left w:val="nil"/>
              <w:bottom w:val="single" w:color="auto" w:sz="4" w:space="0"/>
              <w:right w:val="single" w:color="auto" w:sz="4" w:space="0"/>
            </w:tcBorders>
            <w:vAlign w:val="center"/>
          </w:tcPr>
          <w:p w14:paraId="4A49D19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0CF9B88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797B780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B94D43">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8D5D80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ECCA84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3C61A1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1000≤Y＜100000</w:t>
            </w:r>
          </w:p>
        </w:tc>
        <w:tc>
          <w:tcPr>
            <w:tcW w:w="1439" w:type="dxa"/>
            <w:tcBorders>
              <w:top w:val="nil"/>
              <w:left w:val="nil"/>
              <w:bottom w:val="single" w:color="auto" w:sz="4" w:space="0"/>
              <w:right w:val="single" w:color="auto" w:sz="4" w:space="0"/>
            </w:tcBorders>
            <w:vAlign w:val="center"/>
          </w:tcPr>
          <w:p w14:paraId="087EDF8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065156C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83F3C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B93715">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软件和信息技术服务业</w:t>
            </w:r>
          </w:p>
        </w:tc>
        <w:tc>
          <w:tcPr>
            <w:tcW w:w="1383" w:type="dxa"/>
            <w:tcBorders>
              <w:top w:val="nil"/>
              <w:left w:val="nil"/>
              <w:bottom w:val="single" w:color="auto" w:sz="4" w:space="0"/>
              <w:right w:val="single" w:color="auto" w:sz="4" w:space="0"/>
            </w:tcBorders>
            <w:vAlign w:val="center"/>
          </w:tcPr>
          <w:p w14:paraId="2C82E87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351DBE4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11A875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01C6AF4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3E3F2A1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1398F6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02EFE6">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04BA1C0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2D116D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5A665D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1000≤Y＜10000</w:t>
            </w:r>
          </w:p>
        </w:tc>
        <w:tc>
          <w:tcPr>
            <w:tcW w:w="1439" w:type="dxa"/>
            <w:tcBorders>
              <w:top w:val="nil"/>
              <w:left w:val="nil"/>
              <w:bottom w:val="single" w:color="auto" w:sz="4" w:space="0"/>
              <w:right w:val="single" w:color="auto" w:sz="4" w:space="0"/>
            </w:tcBorders>
            <w:vAlign w:val="center"/>
          </w:tcPr>
          <w:p w14:paraId="241AC2F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50≤Y＜1000</w:t>
            </w:r>
          </w:p>
        </w:tc>
        <w:tc>
          <w:tcPr>
            <w:tcW w:w="925" w:type="dxa"/>
            <w:tcBorders>
              <w:top w:val="nil"/>
              <w:left w:val="nil"/>
              <w:bottom w:val="single" w:color="auto" w:sz="4" w:space="0"/>
              <w:right w:val="single" w:color="auto" w:sz="4" w:space="0"/>
            </w:tcBorders>
            <w:vAlign w:val="center"/>
          </w:tcPr>
          <w:p w14:paraId="31B54EB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w:t>
            </w:r>
          </w:p>
        </w:tc>
      </w:tr>
      <w:tr w14:paraId="4734AF4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E43E503">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房地产开发经营</w:t>
            </w:r>
          </w:p>
        </w:tc>
        <w:tc>
          <w:tcPr>
            <w:tcW w:w="1383" w:type="dxa"/>
            <w:tcBorders>
              <w:top w:val="nil"/>
              <w:left w:val="nil"/>
              <w:bottom w:val="single" w:color="auto" w:sz="4" w:space="0"/>
              <w:right w:val="single" w:color="auto" w:sz="4" w:space="0"/>
            </w:tcBorders>
            <w:vAlign w:val="center"/>
          </w:tcPr>
          <w:p w14:paraId="3DB584A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7AF999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26A33CC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1000≤Y＜200000</w:t>
            </w:r>
          </w:p>
        </w:tc>
        <w:tc>
          <w:tcPr>
            <w:tcW w:w="1439" w:type="dxa"/>
            <w:tcBorders>
              <w:top w:val="nil"/>
              <w:left w:val="nil"/>
              <w:bottom w:val="single" w:color="auto" w:sz="4" w:space="0"/>
              <w:right w:val="single" w:color="auto" w:sz="4" w:space="0"/>
            </w:tcBorders>
            <w:vAlign w:val="center"/>
          </w:tcPr>
          <w:p w14:paraId="5F5F3D6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100≤X＜1000</w:t>
            </w:r>
          </w:p>
        </w:tc>
        <w:tc>
          <w:tcPr>
            <w:tcW w:w="925" w:type="dxa"/>
            <w:tcBorders>
              <w:top w:val="nil"/>
              <w:left w:val="nil"/>
              <w:bottom w:val="single" w:color="auto" w:sz="4" w:space="0"/>
              <w:right w:val="single" w:color="auto" w:sz="4" w:space="0"/>
            </w:tcBorders>
            <w:vAlign w:val="center"/>
          </w:tcPr>
          <w:p w14:paraId="63C2E76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X＜100</w:t>
            </w:r>
          </w:p>
        </w:tc>
      </w:tr>
      <w:tr w14:paraId="72E3F8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35854C">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477F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54E63DD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FDEEA7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5000≤Z＜10000</w:t>
            </w:r>
          </w:p>
        </w:tc>
        <w:tc>
          <w:tcPr>
            <w:tcW w:w="1439" w:type="dxa"/>
            <w:tcBorders>
              <w:top w:val="nil"/>
              <w:left w:val="nil"/>
              <w:bottom w:val="single" w:color="auto" w:sz="4" w:space="0"/>
              <w:right w:val="single" w:color="auto" w:sz="4" w:space="0"/>
            </w:tcBorders>
            <w:vAlign w:val="center"/>
          </w:tcPr>
          <w:p w14:paraId="45D5F27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2000≤Y＜5000</w:t>
            </w:r>
          </w:p>
        </w:tc>
        <w:tc>
          <w:tcPr>
            <w:tcW w:w="925" w:type="dxa"/>
            <w:tcBorders>
              <w:top w:val="nil"/>
              <w:left w:val="nil"/>
              <w:bottom w:val="single" w:color="auto" w:sz="4" w:space="0"/>
              <w:right w:val="single" w:color="auto" w:sz="4" w:space="0"/>
            </w:tcBorders>
            <w:vAlign w:val="center"/>
          </w:tcPr>
          <w:p w14:paraId="3BC4404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Y＜2000</w:t>
            </w:r>
          </w:p>
        </w:tc>
      </w:tr>
      <w:tr w14:paraId="24D108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EC341F8">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物业管理</w:t>
            </w:r>
          </w:p>
        </w:tc>
        <w:tc>
          <w:tcPr>
            <w:tcW w:w="1383" w:type="dxa"/>
            <w:tcBorders>
              <w:top w:val="nil"/>
              <w:left w:val="nil"/>
              <w:bottom w:val="single" w:color="auto" w:sz="4" w:space="0"/>
              <w:right w:val="single" w:color="auto" w:sz="4" w:space="0"/>
            </w:tcBorders>
            <w:vAlign w:val="center"/>
          </w:tcPr>
          <w:p w14:paraId="13C68D9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33323D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1BF3A3B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6CDD43F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925" w:type="dxa"/>
            <w:tcBorders>
              <w:top w:val="nil"/>
              <w:left w:val="nil"/>
              <w:bottom w:val="single" w:color="auto" w:sz="4" w:space="0"/>
              <w:right w:val="single" w:color="auto" w:sz="4" w:space="0"/>
            </w:tcBorders>
            <w:vAlign w:val="center"/>
          </w:tcPr>
          <w:p w14:paraId="7F84CD9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X＜100</w:t>
            </w:r>
          </w:p>
        </w:tc>
      </w:tr>
      <w:tr w14:paraId="71FD4C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3F27AF">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4BE2259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DC9C4F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096FD4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1000≤Y＜5000</w:t>
            </w:r>
          </w:p>
        </w:tc>
        <w:tc>
          <w:tcPr>
            <w:tcW w:w="1439" w:type="dxa"/>
            <w:tcBorders>
              <w:top w:val="nil"/>
              <w:left w:val="nil"/>
              <w:bottom w:val="single" w:color="auto" w:sz="4" w:space="0"/>
              <w:right w:val="single" w:color="auto" w:sz="4" w:space="0"/>
            </w:tcBorders>
            <w:vAlign w:val="center"/>
          </w:tcPr>
          <w:p w14:paraId="3B8008D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500≤Y＜1000</w:t>
            </w:r>
          </w:p>
        </w:tc>
        <w:tc>
          <w:tcPr>
            <w:tcW w:w="925" w:type="dxa"/>
            <w:tcBorders>
              <w:top w:val="nil"/>
              <w:left w:val="nil"/>
              <w:bottom w:val="single" w:color="auto" w:sz="4" w:space="0"/>
              <w:right w:val="single" w:color="auto" w:sz="4" w:space="0"/>
            </w:tcBorders>
            <w:vAlign w:val="center"/>
          </w:tcPr>
          <w:p w14:paraId="39E06E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Y＜500</w:t>
            </w:r>
          </w:p>
        </w:tc>
      </w:tr>
      <w:tr w14:paraId="03BCC2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78DFF8">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租赁和商务服务业</w:t>
            </w:r>
          </w:p>
        </w:tc>
        <w:tc>
          <w:tcPr>
            <w:tcW w:w="1383" w:type="dxa"/>
            <w:tcBorders>
              <w:top w:val="nil"/>
              <w:left w:val="nil"/>
              <w:bottom w:val="single" w:color="auto" w:sz="4" w:space="0"/>
              <w:right w:val="single" w:color="auto" w:sz="4" w:space="0"/>
            </w:tcBorders>
            <w:vAlign w:val="center"/>
          </w:tcPr>
          <w:p w14:paraId="4134F24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73E743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21FC47B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66579E4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A60EEF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6C7E6BF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6EBAF4">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207113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42D088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EAD2C2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8000≤Z＜120000</w:t>
            </w:r>
          </w:p>
        </w:tc>
        <w:tc>
          <w:tcPr>
            <w:tcW w:w="1439" w:type="dxa"/>
            <w:tcBorders>
              <w:top w:val="nil"/>
              <w:left w:val="nil"/>
              <w:bottom w:val="single" w:color="auto" w:sz="4" w:space="0"/>
              <w:right w:val="single" w:color="auto" w:sz="4" w:space="0"/>
            </w:tcBorders>
            <w:vAlign w:val="center"/>
          </w:tcPr>
          <w:p w14:paraId="24840A2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100≤Z＜8000</w:t>
            </w:r>
          </w:p>
        </w:tc>
        <w:tc>
          <w:tcPr>
            <w:tcW w:w="925" w:type="dxa"/>
            <w:tcBorders>
              <w:top w:val="nil"/>
              <w:left w:val="nil"/>
              <w:bottom w:val="single" w:color="auto" w:sz="4" w:space="0"/>
              <w:right w:val="single" w:color="auto" w:sz="4" w:space="0"/>
            </w:tcBorders>
            <w:vAlign w:val="center"/>
          </w:tcPr>
          <w:p w14:paraId="7886F55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B23595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9008B1E">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其他未列明行业</w:t>
            </w:r>
          </w:p>
        </w:tc>
        <w:tc>
          <w:tcPr>
            <w:tcW w:w="1383" w:type="dxa"/>
            <w:tcBorders>
              <w:top w:val="nil"/>
              <w:left w:val="nil"/>
              <w:bottom w:val="single" w:color="auto" w:sz="4" w:space="0"/>
              <w:right w:val="single" w:color="auto" w:sz="4" w:space="0"/>
            </w:tcBorders>
            <w:vAlign w:val="center"/>
          </w:tcPr>
          <w:p w14:paraId="34E5D42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00845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08609E8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7DAE10A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19C0F9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bl>
    <w:p w14:paraId="3627F27E">
      <w:pPr>
        <w:spacing w:line="360" w:lineRule="auto"/>
        <w:ind w:firstLine="525" w:firstLineChars="25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64E9BF7">
      <w:pPr>
        <w:widowControl/>
        <w:jc w:val="left"/>
        <w:rPr>
          <w:rFonts w:ascii="宋体" w:hAnsi="宋体"/>
          <w:color w:val="000000" w:themeColor="text1"/>
          <w:szCs w:val="20"/>
          <w14:textFill>
            <w14:solidFill>
              <w14:schemeClr w14:val="tx1"/>
            </w14:solidFill>
          </w14:textFill>
        </w:rPr>
        <w:sectPr>
          <w:footerReference r:id="rId3" w:type="default"/>
          <w:pgSz w:w="11906" w:h="16838"/>
          <w:pgMar w:top="1134" w:right="1134" w:bottom="1134" w:left="1134" w:header="720" w:footer="720" w:gutter="0"/>
          <w:pgNumType w:fmt="decimal" w:start="1"/>
          <w:cols w:space="720" w:num="1"/>
          <w:docGrid w:type="lines" w:linePitch="331" w:charSpace="0"/>
        </w:sectPr>
      </w:pPr>
    </w:p>
    <w:p w14:paraId="04E0B41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336E">
    <w:pPr>
      <w:pStyle w:val="14"/>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FF597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FF597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2E8"/>
    <w:multiLevelType w:val="multilevel"/>
    <w:tmpl w:val="05FAB2E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C4B90"/>
    <w:rsid w:val="06205CAD"/>
    <w:rsid w:val="0C9D17A6"/>
    <w:rsid w:val="0D2C4B90"/>
    <w:rsid w:val="0F4576B8"/>
    <w:rsid w:val="1B790D37"/>
    <w:rsid w:val="1BCD5966"/>
    <w:rsid w:val="1FE504C7"/>
    <w:rsid w:val="21C87074"/>
    <w:rsid w:val="22084DDC"/>
    <w:rsid w:val="4157061F"/>
    <w:rsid w:val="45402A0F"/>
    <w:rsid w:val="4F8374EE"/>
    <w:rsid w:val="543458C2"/>
    <w:rsid w:val="634731D9"/>
    <w:rsid w:val="6421309A"/>
    <w:rsid w:val="679E7CCD"/>
    <w:rsid w:val="695605EE"/>
    <w:rsid w:val="697D5394"/>
    <w:rsid w:val="69FE14F0"/>
    <w:rsid w:val="72600832"/>
    <w:rsid w:val="7547305F"/>
    <w:rsid w:val="755E1AD2"/>
    <w:rsid w:val="7C181D26"/>
    <w:rsid w:val="7E58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napToGrid w:val="0"/>
      <w:spacing w:beforeLines="0" w:beforeAutospacing="0" w:afterLines="0" w:afterAutospacing="0" w:line="360" w:lineRule="auto"/>
      <w:ind w:firstLine="880" w:firstLineChars="200"/>
      <w:outlineLvl w:val="0"/>
    </w:pPr>
    <w:rPr>
      <w:b/>
      <w:kern w:val="44"/>
      <w:sz w:val="32"/>
    </w:rPr>
  </w:style>
  <w:style w:type="paragraph" w:styleId="4">
    <w:name w:val="heading 2"/>
    <w:basedOn w:val="1"/>
    <w:next w:val="1"/>
    <w:link w:val="20"/>
    <w:semiHidden/>
    <w:unhideWhenUsed/>
    <w:qFormat/>
    <w:uiPriority w:val="0"/>
    <w:pPr>
      <w:keepNext/>
      <w:keepLines/>
      <w:spacing w:after="50" w:afterLines="50" w:line="360" w:lineRule="auto"/>
      <w:jc w:val="left"/>
      <w:outlineLvl w:val="1"/>
    </w:pPr>
    <w:rPr>
      <w:rFonts w:ascii="Arial" w:hAnsi="Arial" w:eastAsia="方正仿宋_GB2312" w:cs="Times New Roman"/>
      <w:b/>
      <w:bCs/>
      <w:sz w:val="30"/>
      <w:szCs w:val="32"/>
    </w:rPr>
  </w:style>
  <w:style w:type="paragraph" w:styleId="5">
    <w:name w:val="heading 3"/>
    <w:basedOn w:val="1"/>
    <w:next w:val="1"/>
    <w:link w:val="18"/>
    <w:semiHidden/>
    <w:unhideWhenUsed/>
    <w:qFormat/>
    <w:uiPriority w:val="0"/>
    <w:pPr>
      <w:keepNext/>
      <w:keepLines/>
      <w:spacing w:line="360" w:lineRule="auto"/>
      <w:outlineLvl w:val="2"/>
    </w:pPr>
    <w:rPr>
      <w:rFonts w:ascii="Times New Roman" w:hAnsi="Times New Roman" w:eastAsia="黑体" w:cs="Times New Roman"/>
      <w:bCs/>
      <w:sz w:val="28"/>
      <w:szCs w:val="32"/>
    </w:rPr>
  </w:style>
  <w:style w:type="paragraph" w:styleId="6">
    <w:name w:val="heading 4"/>
    <w:basedOn w:val="1"/>
    <w:next w:val="1"/>
    <w:semiHidden/>
    <w:unhideWhenUsed/>
    <w:qFormat/>
    <w:uiPriority w:val="0"/>
    <w:pPr>
      <w:keepNext/>
      <w:keepLines/>
      <w:spacing w:line="360" w:lineRule="auto"/>
      <w:outlineLvl w:val="3"/>
    </w:pPr>
    <w:rPr>
      <w:rFonts w:ascii="Arial" w:hAnsi="Arial" w:eastAsia="黑体" w:cs="Times New Roman"/>
      <w:bCs/>
      <w:kern w:val="0"/>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w:basedOn w:val="1"/>
    <w:next w:val="1"/>
    <w:qFormat/>
    <w:uiPriority w:val="0"/>
    <w:pPr>
      <w:spacing w:after="120" w:afterLines="0" w:afterAutospacing="0"/>
    </w:pPr>
  </w:style>
  <w:style w:type="paragraph" w:styleId="13">
    <w:name w:val="Plain Text"/>
    <w:basedOn w:val="1"/>
    <w:qFormat/>
    <w:uiPriority w:val="0"/>
    <w:rPr>
      <w:rFonts w:ascii="宋体" w:hAnsi="Courier New"/>
      <w:szCs w:val="20"/>
    </w:rPr>
  </w:style>
  <w:style w:type="paragraph" w:styleId="14">
    <w:name w:val="footer"/>
    <w:basedOn w:val="1"/>
    <w:next w:val="1"/>
    <w:qFormat/>
    <w:uiPriority w:val="99"/>
    <w:pPr>
      <w:tabs>
        <w:tab w:val="center" w:pos="4153"/>
        <w:tab w:val="right" w:pos="8306"/>
      </w:tabs>
      <w:snapToGrid w:val="0"/>
      <w:ind w:firstLine="420" w:firstLineChars="200"/>
      <w:jc w:val="center"/>
    </w:pPr>
    <w:rPr>
      <w:rFonts w:ascii="宋体" w:hAnsi="宋体" w:cs="宋体"/>
      <w:szCs w:val="21"/>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8">
    <w:name w:val="标题 3 Char"/>
    <w:link w:val="5"/>
    <w:qFormat/>
    <w:uiPriority w:val="99"/>
    <w:rPr>
      <w:rFonts w:ascii="Times New Roman" w:hAnsi="Times New Roman" w:eastAsia="黑体" w:cs="Times New Roman"/>
      <w:bCs/>
      <w:sz w:val="28"/>
      <w:szCs w:val="32"/>
    </w:rPr>
  </w:style>
  <w:style w:type="character" w:customStyle="1" w:styleId="19">
    <w:name w:val="标题 1 字符1"/>
    <w:link w:val="3"/>
    <w:qFormat/>
    <w:uiPriority w:val="0"/>
    <w:rPr>
      <w:rFonts w:ascii="Times New Roman" w:hAnsi="Times New Roman" w:eastAsia="方正小标宋简体"/>
      <w:b/>
      <w:kern w:val="44"/>
      <w:sz w:val="30"/>
    </w:rPr>
  </w:style>
  <w:style w:type="character" w:customStyle="1" w:styleId="20">
    <w:name w:val="标题 2 字符"/>
    <w:link w:val="4"/>
    <w:autoRedefine/>
    <w:qFormat/>
    <w:uiPriority w:val="0"/>
    <w:rPr>
      <w:rFonts w:ascii="Arial" w:hAnsi="Arial" w:eastAsia="方正仿宋_GB2312" w:cs="Times New Roman"/>
      <w:b/>
      <w:bCs/>
      <w:kern w:val="2"/>
      <w:sz w:val="30"/>
      <w:szCs w:val="32"/>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7685</Words>
  <Characters>9036</Characters>
  <Lines>0</Lines>
  <Paragraphs>0</Paragraphs>
  <TotalTime>0</TotalTime>
  <ScaleCrop>false</ScaleCrop>
  <LinksUpToDate>false</LinksUpToDate>
  <CharactersWithSpaces>9073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2025-11-12T05:18:00Z</dcterms:created>
  <dc:creator>Administrator</dc:creator>
  <cp:lastModifiedBy>Administrator</cp:lastModifiedBy>
  <dcterms:modified xsi:type="dcterms:W3CDTF">2025-11-12T05:19:31Z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C1935B41BFF34C0A8F9174E8C482AC2F_11</vt:lpwstr>
  </property>
  <property fmtid="{D5CDD505-2E9C-101B-9397-08002B2CF9AE}" pid="4" name="KSOTemplateDocerSaveRecord">
    <vt:lpwstr>eyJoZGlkIjoiMDEzOTk0YzljZjA0NmFjOTJiOGMzZDZiMGJhZDRhZjMiLCJ1c2VySWQiOiIxMTU2ODMwMjE3In0=</vt:lpwstr>
  </property>
</Properties>
</file>