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120" w:afterLines="50" w:line="600" w:lineRule="exact"/>
        <w:jc w:val="center"/>
        <w:rPr>
          <w:rFonts w:hint="eastAsia" w:ascii="微软雅黑" w:hAnsi="宋体" w:eastAsia="微软雅黑"/>
          <w:color w:val="auto"/>
          <w:sz w:val="52"/>
          <w:szCs w:val="52"/>
          <w:highlight w:val="none"/>
        </w:rPr>
      </w:pPr>
    </w:p>
    <w:p>
      <w:pPr>
        <w:spacing w:line="360" w:lineRule="auto"/>
        <w:jc w:val="center"/>
        <w:rPr>
          <w:rFonts w:hint="eastAsia" w:ascii="微软雅黑" w:hAnsi="微软雅黑" w:eastAsia="微软雅黑" w:cs="微软雅黑"/>
          <w:color w:val="auto"/>
          <w:sz w:val="52"/>
          <w:szCs w:val="52"/>
          <w:highlight w:val="none"/>
          <w:lang w:eastAsia="zh-CN"/>
        </w:rPr>
      </w:pPr>
      <w:r>
        <w:rPr>
          <w:rFonts w:hint="eastAsia" w:ascii="微软雅黑" w:hAnsi="宋体" w:eastAsia="微软雅黑"/>
          <w:color w:val="auto"/>
          <w:sz w:val="52"/>
          <w:szCs w:val="52"/>
          <w:highlight w:val="none"/>
          <w:lang w:eastAsia="zh-CN"/>
        </w:rPr>
        <w:t>广西同泽工程项目管理股份有限公司</w:t>
      </w:r>
    </w:p>
    <w:p>
      <w:pPr>
        <w:spacing w:before="120" w:beforeLines="50" w:line="360" w:lineRule="auto"/>
        <w:jc w:val="center"/>
        <w:rPr>
          <w:rFonts w:hint="eastAsia" w:ascii="宋体" w:hAnsi="宋体" w:eastAsia="宋体"/>
          <w:color w:val="auto"/>
          <w:sz w:val="52"/>
          <w:szCs w:val="52"/>
          <w:highlight w:val="none"/>
          <w:lang w:eastAsia="zh-CN"/>
        </w:rPr>
      </w:pPr>
      <w:r>
        <w:rPr>
          <w:rFonts w:hint="eastAsia" w:ascii="宋体" w:hAnsi="宋体"/>
          <w:i/>
          <w:color w:val="auto"/>
          <w:sz w:val="52"/>
          <w:szCs w:val="52"/>
          <w:highlight w:val="none"/>
          <w:lang w:val="en-US" w:eastAsia="zh-CN"/>
        </w:rPr>
        <w:t xml:space="preserve"> </w:t>
      </w:r>
    </w:p>
    <w:p>
      <w:pPr>
        <w:spacing w:line="360" w:lineRule="auto"/>
        <w:jc w:val="center"/>
        <w:rPr>
          <w:rFonts w:hint="eastAsia" w:ascii="微软雅黑" w:hAnsi="微软雅黑" w:eastAsia="微软雅黑" w:cs="微软雅黑"/>
          <w:b/>
          <w:color w:val="auto"/>
          <w:sz w:val="44"/>
          <w:szCs w:val="44"/>
          <w:highlight w:val="none"/>
        </w:rPr>
      </w:pPr>
    </w:p>
    <w:p>
      <w:pPr>
        <w:spacing w:line="360" w:lineRule="auto"/>
        <w:jc w:val="center"/>
        <w:rPr>
          <w:rFonts w:hint="eastAsia" w:ascii="微软雅黑" w:hAnsi="微软雅黑" w:eastAsia="微软雅黑" w:cs="微软雅黑"/>
          <w:b/>
          <w:color w:val="auto"/>
          <w:sz w:val="44"/>
          <w:szCs w:val="44"/>
          <w:highlight w:val="none"/>
        </w:rPr>
      </w:pPr>
    </w:p>
    <w:p>
      <w:pPr>
        <w:snapToGrid w:val="0"/>
        <w:spacing w:before="120" w:beforeLines="50" w:line="360" w:lineRule="auto"/>
        <w:jc w:val="center"/>
        <w:rPr>
          <w:rFonts w:hint="eastAsia" w:ascii="华文新魏" w:hAnsi="宋体" w:eastAsia="华文新魏"/>
          <w:color w:val="auto"/>
          <w:sz w:val="72"/>
          <w:szCs w:val="72"/>
          <w:highlight w:val="none"/>
        </w:rPr>
      </w:pPr>
      <w:r>
        <w:rPr>
          <w:rFonts w:hint="eastAsia" w:ascii="华文新魏" w:hAnsi="宋体" w:eastAsia="华文新魏"/>
          <w:color w:val="auto"/>
          <w:sz w:val="120"/>
          <w:szCs w:val="120"/>
          <w:highlight w:val="none"/>
        </w:rPr>
        <w:t>招 标 文 件</w:t>
      </w:r>
    </w:p>
    <w:p>
      <w:pPr>
        <w:snapToGrid w:val="0"/>
        <w:spacing w:before="120" w:beforeLines="50" w:line="360" w:lineRule="auto"/>
        <w:jc w:val="center"/>
        <w:rPr>
          <w:rFonts w:hint="eastAsia"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（全流程电子化采购）</w:t>
      </w:r>
    </w:p>
    <w:p>
      <w:pPr>
        <w:snapToGrid w:val="0"/>
        <w:spacing w:line="360" w:lineRule="auto"/>
        <w:rPr>
          <w:rFonts w:hint="eastAsia" w:ascii="仿宋_GB2312" w:hAnsi="宋体" w:eastAsia="仿宋_GB2312"/>
          <w:color w:val="auto"/>
          <w:sz w:val="30"/>
          <w:szCs w:val="72"/>
          <w:highlight w:val="none"/>
        </w:rPr>
      </w:pPr>
    </w:p>
    <w:p>
      <w:pPr>
        <w:pStyle w:val="11"/>
        <w:keepNext w:val="0"/>
        <w:keepLines w:val="0"/>
        <w:pageBreakBefore w:val="0"/>
        <w:widowControl w:val="0"/>
        <w:kinsoku/>
        <w:wordWrap/>
        <w:overflowPunct/>
        <w:topLinePunct w:val="0"/>
        <w:autoSpaceDE/>
        <w:autoSpaceDN/>
        <w:bidi w:val="0"/>
        <w:adjustRightInd/>
        <w:snapToGrid w:val="0"/>
        <w:spacing w:line="360" w:lineRule="auto"/>
        <w:ind w:left="1506" w:hanging="1506" w:hangingChars="500"/>
        <w:jc w:val="both"/>
        <w:textAlignment w:val="auto"/>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bookmarkStart w:id="0" w:name="OLE_LINK3"/>
      <w:r>
        <w:rPr>
          <w:rFonts w:hint="eastAsia" w:ascii="仿宋_GB2312" w:hAnsi="宋体" w:eastAsia="仿宋_GB2312"/>
          <w:b/>
          <w:bCs/>
          <w:color w:val="auto"/>
          <w:sz w:val="30"/>
          <w:szCs w:val="30"/>
          <w:highlight w:val="none"/>
          <w:lang w:eastAsia="zh-CN"/>
        </w:rPr>
        <w:t>广西来宾市忻城县2026年和美乡村建设项目设计服务</w:t>
      </w:r>
    </w:p>
    <w:bookmarkEnd w:id="0"/>
    <w:p>
      <w:pPr>
        <w:snapToGrid w:val="0"/>
        <w:spacing w:line="360" w:lineRule="auto"/>
        <w:rPr>
          <w:rFonts w:hint="eastAsia" w:ascii="仿宋_GB2312" w:hAnsi="宋体" w:eastAsia="仿宋_GB2312" w:cs="Courier New"/>
          <w:b/>
          <w:bCs/>
          <w:color w:val="auto"/>
          <w:w w:val="95"/>
          <w:sz w:val="30"/>
          <w:szCs w:val="30"/>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LBZC2025-G3-210100-GXTZ</w:t>
      </w:r>
    </w:p>
    <w:p>
      <w:pPr>
        <w:snapToGrid w:val="0"/>
        <w:spacing w:line="360" w:lineRule="auto"/>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bookmarkStart w:id="1" w:name="OLE_LINK4"/>
      <w:r>
        <w:rPr>
          <w:rFonts w:hint="eastAsia" w:ascii="仿宋_GB2312" w:hAnsi="宋体" w:eastAsia="仿宋_GB2312"/>
          <w:b/>
          <w:bCs/>
          <w:color w:val="auto"/>
          <w:w w:val="95"/>
          <w:sz w:val="30"/>
          <w:szCs w:val="30"/>
          <w:highlight w:val="none"/>
          <w:lang w:eastAsia="zh-CN"/>
        </w:rPr>
        <w:t>忻城县农业农村局</w:t>
      </w:r>
      <w:bookmarkEnd w:id="1"/>
      <w:r>
        <w:rPr>
          <w:rFonts w:hint="eastAsia" w:ascii="仿宋_GB2312" w:hAnsi="宋体" w:eastAsia="仿宋_GB2312"/>
          <w:b/>
          <w:bCs/>
          <w:color w:val="auto"/>
          <w:w w:val="95"/>
          <w:sz w:val="30"/>
          <w:szCs w:val="30"/>
          <w:highlight w:val="none"/>
        </w:rPr>
        <w:t xml:space="preserve"> </w:t>
      </w:r>
    </w:p>
    <w:p>
      <w:pPr>
        <w:pStyle w:val="11"/>
        <w:snapToGrid w:val="0"/>
        <w:spacing w:line="360" w:lineRule="auto"/>
        <w:rPr>
          <w:rFonts w:hint="default" w:ascii="仿宋_GB2312" w:hAnsi="宋体" w:eastAsia="仿宋_GB2312"/>
          <w:b/>
          <w:bCs/>
          <w:color w:val="auto"/>
          <w:w w:val="95"/>
          <w:sz w:val="30"/>
          <w:szCs w:val="30"/>
          <w:highlight w:val="none"/>
          <w:lang w:val="en-US" w:eastAsia="zh-CN"/>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val="en-US" w:eastAsia="zh-CN"/>
        </w:rPr>
        <w:t>广西同泽工程项目管理股份有限公司</w:t>
      </w:r>
    </w:p>
    <w:p>
      <w:pPr>
        <w:pStyle w:val="11"/>
        <w:snapToGrid w:val="0"/>
        <w:spacing w:line="360" w:lineRule="auto"/>
        <w:ind w:firstLine="1125" w:firstLineChars="393"/>
        <w:rPr>
          <w:rFonts w:hint="eastAsia" w:ascii="仿宋_GB2312" w:hAnsi="宋体" w:eastAsia="仿宋_GB2312"/>
          <w:b/>
          <w:bCs/>
          <w:color w:val="auto"/>
          <w:w w:val="95"/>
          <w:sz w:val="30"/>
          <w:szCs w:val="30"/>
          <w:highlight w:val="none"/>
        </w:rPr>
      </w:pPr>
    </w:p>
    <w:p>
      <w:pPr>
        <w:pStyle w:val="11"/>
        <w:snapToGrid w:val="0"/>
        <w:spacing w:line="360" w:lineRule="auto"/>
        <w:jc w:val="center"/>
        <w:rPr>
          <w:rFonts w:hint="eastAsia" w:ascii="仿宋_GB2312" w:eastAsia="仿宋_GB2312"/>
          <w:color w:val="auto"/>
          <w:szCs w:val="20"/>
          <w:highlight w:val="none"/>
        </w:rPr>
      </w:pPr>
      <w:r>
        <w:rPr>
          <w:rFonts w:hint="eastAsia" w:ascii="仿宋_GB2312" w:hAnsi="宋体" w:eastAsia="仿宋_GB2312"/>
          <w:b/>
          <w:bCs/>
          <w:color w:val="auto"/>
          <w:w w:val="95"/>
          <w:sz w:val="30"/>
          <w:szCs w:val="30"/>
          <w:highlight w:val="none"/>
          <w:lang w:val="en-US" w:eastAsia="zh-CN"/>
        </w:rPr>
        <w:t>2025</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7</w:t>
      </w:r>
      <w:r>
        <w:rPr>
          <w:rFonts w:hint="eastAsia" w:ascii="仿宋_GB2312" w:hAnsi="宋体" w:eastAsia="仿宋_GB2312"/>
          <w:b/>
          <w:bCs/>
          <w:color w:val="auto"/>
          <w:w w:val="95"/>
          <w:sz w:val="30"/>
          <w:szCs w:val="30"/>
          <w:highlight w:val="none"/>
        </w:rPr>
        <w:t>月</w:t>
      </w:r>
    </w:p>
    <w:p>
      <w:pPr>
        <w:pStyle w:val="11"/>
        <w:spacing w:before="120" w:after="120" w:line="360" w:lineRule="auto"/>
        <w:jc w:val="center"/>
        <w:rPr>
          <w:rFonts w:hint="eastAsia" w:ascii="仿宋_GB2312" w:hAnsi="宋体" w:eastAsia="仿宋_GB2312"/>
          <w:color w:val="auto"/>
          <w:highlight w:val="none"/>
        </w:rPr>
        <w:sectPr>
          <w:headerReference r:id="rId3" w:type="first"/>
          <w:footerReference r:id="rId5" w:type="first"/>
          <w:footerReference r:id="rId4" w:type="default"/>
          <w:pgSz w:w="11910" w:h="16840"/>
          <w:pgMar w:top="1519" w:right="1500" w:bottom="278" w:left="1680" w:header="720" w:footer="720" w:gutter="0"/>
          <w:pgNumType w:fmt="decimal" w:start="0"/>
          <w:cols w:space="720" w:num="1"/>
          <w:titlePg/>
          <w:rtlGutter w:val="0"/>
          <w:docGrid w:linePitch="286" w:charSpace="0"/>
        </w:sectPr>
      </w:pPr>
    </w:p>
    <w:p>
      <w:pPr>
        <w:pStyle w:val="11"/>
        <w:spacing w:before="120" w:after="120" w:line="360" w:lineRule="auto"/>
        <w:jc w:val="center"/>
        <w:rPr>
          <w:rFonts w:hint="eastAsia" w:ascii="仿宋_GB2312" w:hAnsi="宋体" w:eastAsia="仿宋_GB2312"/>
          <w:color w:val="auto"/>
          <w:highlight w:val="none"/>
        </w:rPr>
      </w:pPr>
    </w:p>
    <w:p>
      <w:pPr>
        <w:pStyle w:val="11"/>
        <w:spacing w:before="120" w:after="120" w:line="360" w:lineRule="auto"/>
        <w:jc w:val="center"/>
        <w:rPr>
          <w:rFonts w:hint="eastAsia" w:ascii="仿宋_GB2312" w:hAnsi="宋体" w:eastAsia="仿宋_GB2312"/>
          <w:color w:val="auto"/>
          <w:highlight w:val="none"/>
        </w:rPr>
      </w:pPr>
    </w:p>
    <w:p>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pPr>
        <w:spacing w:line="400" w:lineRule="exact"/>
        <w:jc w:val="center"/>
        <w:rPr>
          <w:rFonts w:hint="eastAsia" w:ascii="宋体" w:hAnsi="宋体"/>
          <w:b/>
          <w:color w:val="auto"/>
          <w:sz w:val="44"/>
          <w:szCs w:val="44"/>
          <w:highlight w:val="none"/>
        </w:rPr>
      </w:pPr>
    </w:p>
    <w:p>
      <w:pPr>
        <w:pStyle w:val="15"/>
        <w:tabs>
          <w:tab w:val="right" w:leader="dot" w:pos="8730"/>
          <w:tab w:val="clear" w:pos="8398"/>
        </w:tabs>
      </w:pPr>
      <w:r>
        <w:rPr>
          <w:rFonts w:ascii="仿宋_GB2312" w:eastAsia="仿宋_GB2312"/>
          <w:b w:val="0"/>
          <w:color w:val="auto"/>
          <w:sz w:val="28"/>
          <w:szCs w:val="28"/>
          <w:highlight w:val="none"/>
        </w:rPr>
        <w:fldChar w:fldCharType="begin"/>
      </w:r>
      <w:r>
        <w:rPr>
          <w:rFonts w:ascii="仿宋_GB2312" w:eastAsia="仿宋_GB2312"/>
          <w:b w:val="0"/>
          <w:color w:val="auto"/>
          <w:sz w:val="28"/>
          <w:szCs w:val="28"/>
          <w:highlight w:val="none"/>
        </w:rPr>
        <w:instrText xml:space="preserve"> </w:instrText>
      </w:r>
      <w:r>
        <w:rPr>
          <w:rFonts w:hint="eastAsia" w:ascii="仿宋_GB2312" w:eastAsia="仿宋_GB2312"/>
          <w:b w:val="0"/>
          <w:color w:val="auto"/>
          <w:sz w:val="28"/>
          <w:szCs w:val="28"/>
          <w:highlight w:val="none"/>
        </w:rPr>
        <w:instrText xml:space="preserve">TOC \o "1-2" \h \z \u</w:instrText>
      </w:r>
      <w:r>
        <w:rPr>
          <w:rFonts w:ascii="仿宋_GB2312" w:eastAsia="仿宋_GB2312"/>
          <w:b w:val="0"/>
          <w:color w:val="auto"/>
          <w:sz w:val="28"/>
          <w:szCs w:val="28"/>
          <w:highlight w:val="none"/>
        </w:rPr>
        <w:instrText xml:space="preserve"> </w:instrText>
      </w:r>
      <w:r>
        <w:rPr>
          <w:rFonts w:ascii="仿宋_GB2312" w:eastAsia="仿宋_GB2312"/>
          <w:b w:val="0"/>
          <w:color w:val="auto"/>
          <w:sz w:val="28"/>
          <w:szCs w:val="28"/>
          <w:highlight w:val="none"/>
        </w:rPr>
        <w:fldChar w:fldCharType="separate"/>
      </w:r>
      <w:r>
        <w:rPr>
          <w:rFonts w:ascii="仿宋_GB2312" w:hAnsi="宋体" w:eastAsia="仿宋_GB2312"/>
          <w:color w:val="auto"/>
          <w:szCs w:val="28"/>
          <w:highlight w:val="none"/>
        </w:rPr>
        <w:fldChar w:fldCharType="begin"/>
      </w:r>
      <w:r>
        <w:rPr>
          <w:rFonts w:ascii="仿宋_GB2312" w:hAnsi="宋体" w:eastAsia="仿宋_GB2312"/>
          <w:szCs w:val="28"/>
          <w:highlight w:val="none"/>
        </w:rPr>
        <w:instrText xml:space="preserve"> HYPERLINK \l _Toc10759 </w:instrText>
      </w:r>
      <w:r>
        <w:rPr>
          <w:rFonts w:ascii="仿宋_GB2312" w:hAnsi="宋体" w:eastAsia="仿宋_GB2312"/>
          <w:szCs w:val="28"/>
          <w:highlight w:val="none"/>
        </w:rPr>
        <w:fldChar w:fldCharType="separate"/>
      </w:r>
      <w:r>
        <w:rPr>
          <w:rFonts w:hint="eastAsia"/>
          <w:highlight w:val="none"/>
        </w:rPr>
        <w:t>第一章 招标公告</w:t>
      </w:r>
      <w:r>
        <w:tab/>
      </w:r>
      <w:r>
        <w:fldChar w:fldCharType="begin"/>
      </w:r>
      <w:r>
        <w:instrText xml:space="preserve"> PAGEREF _Toc10759 \h </w:instrText>
      </w:r>
      <w:r>
        <w:fldChar w:fldCharType="separate"/>
      </w:r>
      <w:r>
        <w:t>2</w:t>
      </w:r>
      <w:r>
        <w:fldChar w:fldCharType="end"/>
      </w:r>
      <w:r>
        <w:rPr>
          <w:rFonts w:ascii="仿宋_GB2312" w:hAnsi="宋体" w:eastAsia="仿宋_GB2312"/>
          <w:color w:val="auto"/>
          <w:szCs w:val="28"/>
          <w:highlight w:val="none"/>
        </w:rPr>
        <w:fldChar w:fldCharType="end"/>
      </w:r>
    </w:p>
    <w:p>
      <w:pPr>
        <w:pStyle w:val="15"/>
        <w:tabs>
          <w:tab w:val="right" w:leader="dot" w:pos="8730"/>
          <w:tab w:val="clear" w:pos="8398"/>
        </w:tabs>
      </w:pPr>
      <w:r>
        <w:rPr>
          <w:rFonts w:ascii="仿宋_GB2312" w:hAnsi="宋体" w:eastAsia="仿宋_GB2312"/>
          <w:color w:val="auto"/>
          <w:szCs w:val="28"/>
          <w:highlight w:val="none"/>
        </w:rPr>
        <w:fldChar w:fldCharType="begin"/>
      </w:r>
      <w:r>
        <w:rPr>
          <w:rFonts w:ascii="仿宋_GB2312" w:hAnsi="宋体" w:eastAsia="仿宋_GB2312"/>
          <w:szCs w:val="28"/>
          <w:highlight w:val="none"/>
        </w:rPr>
        <w:instrText xml:space="preserve"> HYPERLINK \l _Toc28676 </w:instrText>
      </w:r>
      <w:r>
        <w:rPr>
          <w:rFonts w:ascii="仿宋_GB2312" w:hAnsi="宋体" w:eastAsia="仿宋_GB2312"/>
          <w:szCs w:val="28"/>
          <w:highlight w:val="none"/>
        </w:rPr>
        <w:fldChar w:fldCharType="separate"/>
      </w:r>
      <w:r>
        <w:rPr>
          <w:rFonts w:hint="eastAsia"/>
          <w:highlight w:val="none"/>
        </w:rPr>
        <w:t>第二章  采购需求</w:t>
      </w:r>
      <w:r>
        <w:tab/>
      </w:r>
      <w:r>
        <w:fldChar w:fldCharType="begin"/>
      </w:r>
      <w:r>
        <w:instrText xml:space="preserve"> PAGEREF _Toc28676 \h </w:instrText>
      </w:r>
      <w:r>
        <w:fldChar w:fldCharType="separate"/>
      </w:r>
      <w:r>
        <w:t>5</w:t>
      </w:r>
      <w:r>
        <w:fldChar w:fldCharType="end"/>
      </w:r>
      <w:r>
        <w:rPr>
          <w:rFonts w:ascii="仿宋_GB2312" w:hAnsi="宋体" w:eastAsia="仿宋_GB2312"/>
          <w:color w:val="auto"/>
          <w:szCs w:val="28"/>
          <w:highlight w:val="none"/>
        </w:rPr>
        <w:fldChar w:fldCharType="end"/>
      </w:r>
    </w:p>
    <w:p>
      <w:pPr>
        <w:pStyle w:val="15"/>
        <w:tabs>
          <w:tab w:val="right" w:leader="dot" w:pos="8730"/>
          <w:tab w:val="clear" w:pos="8398"/>
        </w:tabs>
      </w:pPr>
      <w:r>
        <w:rPr>
          <w:rFonts w:ascii="仿宋_GB2312" w:hAnsi="宋体" w:eastAsia="仿宋_GB2312"/>
          <w:color w:val="auto"/>
          <w:szCs w:val="28"/>
          <w:highlight w:val="none"/>
        </w:rPr>
        <w:fldChar w:fldCharType="begin"/>
      </w:r>
      <w:r>
        <w:rPr>
          <w:rFonts w:ascii="仿宋_GB2312" w:hAnsi="宋体" w:eastAsia="仿宋_GB2312"/>
          <w:szCs w:val="28"/>
          <w:highlight w:val="none"/>
        </w:rPr>
        <w:instrText xml:space="preserve"> HYPERLINK \l _Toc21011 </w:instrText>
      </w:r>
      <w:r>
        <w:rPr>
          <w:rFonts w:ascii="仿宋_GB2312" w:hAnsi="宋体" w:eastAsia="仿宋_GB2312"/>
          <w:szCs w:val="28"/>
          <w:highlight w:val="none"/>
        </w:rPr>
        <w:fldChar w:fldCharType="separate"/>
      </w:r>
      <w:r>
        <w:rPr>
          <w:rFonts w:hint="eastAsia"/>
          <w:highlight w:val="none"/>
        </w:rPr>
        <w:t>第三章  投标人须知</w:t>
      </w:r>
      <w:r>
        <w:tab/>
      </w:r>
      <w:r>
        <w:fldChar w:fldCharType="begin"/>
      </w:r>
      <w:r>
        <w:instrText xml:space="preserve"> PAGEREF _Toc21011 \h </w:instrText>
      </w:r>
      <w:r>
        <w:fldChar w:fldCharType="separate"/>
      </w:r>
      <w:r>
        <w:t>10</w:t>
      </w:r>
      <w:r>
        <w:fldChar w:fldCharType="end"/>
      </w:r>
      <w:r>
        <w:rPr>
          <w:rFonts w:ascii="仿宋_GB2312" w:hAnsi="宋体" w:eastAsia="仿宋_GB2312"/>
          <w:color w:val="auto"/>
          <w:szCs w:val="28"/>
          <w:highlight w:val="none"/>
        </w:rPr>
        <w:fldChar w:fldCharType="end"/>
      </w:r>
    </w:p>
    <w:p>
      <w:pPr>
        <w:pStyle w:val="15"/>
        <w:tabs>
          <w:tab w:val="right" w:leader="dot" w:pos="8730"/>
          <w:tab w:val="clear" w:pos="8398"/>
        </w:tabs>
      </w:pPr>
      <w:r>
        <w:rPr>
          <w:rFonts w:ascii="仿宋_GB2312" w:hAnsi="宋体" w:eastAsia="仿宋_GB2312"/>
          <w:color w:val="auto"/>
          <w:szCs w:val="28"/>
          <w:highlight w:val="none"/>
        </w:rPr>
        <w:fldChar w:fldCharType="begin"/>
      </w:r>
      <w:r>
        <w:rPr>
          <w:rFonts w:ascii="仿宋_GB2312" w:hAnsi="宋体" w:eastAsia="仿宋_GB2312"/>
          <w:szCs w:val="28"/>
          <w:highlight w:val="none"/>
        </w:rPr>
        <w:instrText xml:space="preserve"> HYPERLINK \l _Toc17540 </w:instrText>
      </w:r>
      <w:r>
        <w:rPr>
          <w:rFonts w:ascii="仿宋_GB2312" w:hAnsi="宋体" w:eastAsia="仿宋_GB2312"/>
          <w:szCs w:val="28"/>
          <w:highlight w:val="none"/>
        </w:rPr>
        <w:fldChar w:fldCharType="separate"/>
      </w:r>
      <w:r>
        <w:rPr>
          <w:rFonts w:hint="eastAsia"/>
          <w:highlight w:val="none"/>
        </w:rPr>
        <w:t>第四章  评标方法及评标标准</w:t>
      </w:r>
      <w:r>
        <w:tab/>
      </w:r>
      <w:r>
        <w:fldChar w:fldCharType="begin"/>
      </w:r>
      <w:r>
        <w:instrText xml:space="preserve"> PAGEREF _Toc17540 \h </w:instrText>
      </w:r>
      <w:r>
        <w:fldChar w:fldCharType="separate"/>
      </w:r>
      <w:r>
        <w:t>33</w:t>
      </w:r>
      <w:r>
        <w:fldChar w:fldCharType="end"/>
      </w:r>
      <w:r>
        <w:rPr>
          <w:rFonts w:ascii="仿宋_GB2312" w:hAnsi="宋体" w:eastAsia="仿宋_GB2312"/>
          <w:color w:val="auto"/>
          <w:szCs w:val="28"/>
          <w:highlight w:val="none"/>
        </w:rPr>
        <w:fldChar w:fldCharType="end"/>
      </w:r>
    </w:p>
    <w:p>
      <w:pPr>
        <w:pStyle w:val="15"/>
        <w:tabs>
          <w:tab w:val="right" w:leader="dot" w:pos="8730"/>
          <w:tab w:val="clear" w:pos="8398"/>
        </w:tabs>
      </w:pPr>
      <w:r>
        <w:rPr>
          <w:rFonts w:ascii="仿宋_GB2312" w:hAnsi="宋体" w:eastAsia="仿宋_GB2312"/>
          <w:color w:val="auto"/>
          <w:szCs w:val="28"/>
          <w:highlight w:val="none"/>
        </w:rPr>
        <w:fldChar w:fldCharType="begin"/>
      </w:r>
      <w:r>
        <w:rPr>
          <w:rFonts w:ascii="仿宋_GB2312" w:hAnsi="宋体" w:eastAsia="仿宋_GB2312"/>
          <w:szCs w:val="28"/>
          <w:highlight w:val="none"/>
        </w:rPr>
        <w:instrText xml:space="preserve"> HYPERLINK \l _Toc17731 </w:instrText>
      </w:r>
      <w:r>
        <w:rPr>
          <w:rFonts w:ascii="仿宋_GB2312" w:hAnsi="宋体" w:eastAsia="仿宋_GB2312"/>
          <w:szCs w:val="28"/>
          <w:highlight w:val="none"/>
        </w:rPr>
        <w:fldChar w:fldCharType="separate"/>
      </w:r>
      <w:r>
        <w:rPr>
          <w:rFonts w:hint="eastAsia"/>
          <w:highlight w:val="none"/>
        </w:rPr>
        <w:t>第五章  拟签订的合同文本</w:t>
      </w:r>
      <w:r>
        <w:tab/>
      </w:r>
      <w:r>
        <w:fldChar w:fldCharType="begin"/>
      </w:r>
      <w:r>
        <w:instrText xml:space="preserve"> PAGEREF _Toc17731 \h </w:instrText>
      </w:r>
      <w:r>
        <w:fldChar w:fldCharType="separate"/>
      </w:r>
      <w:r>
        <w:t>41</w:t>
      </w:r>
      <w:r>
        <w:fldChar w:fldCharType="end"/>
      </w:r>
      <w:r>
        <w:rPr>
          <w:rFonts w:ascii="仿宋_GB2312" w:hAnsi="宋体" w:eastAsia="仿宋_GB2312"/>
          <w:color w:val="auto"/>
          <w:szCs w:val="28"/>
          <w:highlight w:val="none"/>
        </w:rPr>
        <w:fldChar w:fldCharType="end"/>
      </w:r>
    </w:p>
    <w:p>
      <w:pPr>
        <w:pStyle w:val="15"/>
        <w:tabs>
          <w:tab w:val="right" w:leader="dot" w:pos="8730"/>
          <w:tab w:val="clear" w:pos="8398"/>
        </w:tabs>
      </w:pPr>
      <w:r>
        <w:rPr>
          <w:rFonts w:ascii="仿宋_GB2312" w:hAnsi="宋体" w:eastAsia="仿宋_GB2312"/>
          <w:color w:val="auto"/>
          <w:szCs w:val="28"/>
          <w:highlight w:val="none"/>
        </w:rPr>
        <w:fldChar w:fldCharType="begin"/>
      </w:r>
      <w:r>
        <w:rPr>
          <w:rFonts w:ascii="仿宋_GB2312" w:hAnsi="宋体" w:eastAsia="仿宋_GB2312"/>
          <w:szCs w:val="28"/>
          <w:highlight w:val="none"/>
        </w:rPr>
        <w:instrText xml:space="preserve"> HYPERLINK \l _Toc5378 </w:instrText>
      </w:r>
      <w:r>
        <w:rPr>
          <w:rFonts w:ascii="仿宋_GB2312" w:hAnsi="宋体" w:eastAsia="仿宋_GB2312"/>
          <w:szCs w:val="28"/>
          <w:highlight w:val="none"/>
        </w:rPr>
        <w:fldChar w:fldCharType="separate"/>
      </w:r>
      <w:r>
        <w:rPr>
          <w:rFonts w:hint="eastAsia"/>
          <w:highlight w:val="none"/>
        </w:rPr>
        <w:t>第六章　投标文件格式</w:t>
      </w:r>
      <w:r>
        <w:tab/>
      </w:r>
      <w:r>
        <w:fldChar w:fldCharType="begin"/>
      </w:r>
      <w:r>
        <w:instrText xml:space="preserve"> PAGEREF _Toc5378 \h </w:instrText>
      </w:r>
      <w:r>
        <w:fldChar w:fldCharType="separate"/>
      </w:r>
      <w:r>
        <w:t>49</w:t>
      </w:r>
      <w:r>
        <w:fldChar w:fldCharType="end"/>
      </w:r>
      <w:r>
        <w:rPr>
          <w:rFonts w:ascii="仿宋_GB2312" w:hAnsi="宋体" w:eastAsia="仿宋_GB2312"/>
          <w:color w:val="auto"/>
          <w:szCs w:val="28"/>
          <w:highlight w:val="none"/>
        </w:rPr>
        <w:fldChar w:fldCharType="end"/>
      </w:r>
    </w:p>
    <w:p>
      <w:pPr>
        <w:keepNext w:val="0"/>
        <w:keepLines w:val="0"/>
        <w:pageBreakBefore w:val="0"/>
        <w:widowControl w:val="0"/>
        <w:tabs>
          <w:tab w:val="right" w:leader="dot" w:pos="8789"/>
        </w:tabs>
        <w:kinsoku/>
        <w:wordWrap/>
        <w:overflowPunct/>
        <w:topLinePunct w:val="0"/>
        <w:autoSpaceDE/>
        <w:autoSpaceDN/>
        <w:bidi w:val="0"/>
        <w:adjustRightInd/>
        <w:snapToGrid w:val="0"/>
        <w:spacing w:line="360" w:lineRule="auto"/>
        <w:textAlignment w:val="auto"/>
        <w:rPr>
          <w:rFonts w:hint="eastAsia" w:ascii="仿宋_GB2312" w:hAnsi="宋体" w:eastAsia="仿宋_GB2312"/>
          <w:color w:val="auto"/>
          <w:sz w:val="24"/>
          <w:highlight w:val="none"/>
        </w:rPr>
      </w:pPr>
      <w:r>
        <w:rPr>
          <w:rFonts w:ascii="仿宋_GB2312" w:hAnsi="宋体" w:eastAsia="仿宋_GB2312"/>
          <w:color w:val="auto"/>
          <w:sz w:val="28"/>
          <w:szCs w:val="28"/>
          <w:highlight w:val="none"/>
        </w:rPr>
        <w:fldChar w:fldCharType="end"/>
      </w:r>
    </w:p>
    <w:p>
      <w:pPr>
        <w:spacing w:before="120" w:beforeLines="50" w:line="480" w:lineRule="exact"/>
        <w:rPr>
          <w:rFonts w:hint="eastAsia" w:ascii="仿宋_GB2312" w:hAnsi="宋体" w:eastAsia="仿宋_GB2312"/>
          <w:color w:val="auto"/>
          <w:sz w:val="30"/>
          <w:highlight w:val="none"/>
        </w:rPr>
      </w:pPr>
    </w:p>
    <w:p>
      <w:pPr>
        <w:rPr>
          <w:rFonts w:hint="eastAsia"/>
          <w:color w:val="auto"/>
          <w:highlight w:val="none"/>
        </w:rPr>
      </w:pPr>
    </w:p>
    <w:p>
      <w:pPr>
        <w:spacing w:before="120" w:beforeLines="50" w:line="480" w:lineRule="exact"/>
        <w:rPr>
          <w:rFonts w:hint="eastAsia" w:ascii="仿宋_GB2312" w:hAnsi="宋体" w:eastAsia="仿宋_GB2312"/>
          <w:color w:val="auto"/>
          <w:sz w:val="30"/>
          <w:highlight w:val="none"/>
        </w:rPr>
      </w:pPr>
    </w:p>
    <w:p>
      <w:pPr>
        <w:spacing w:before="120" w:beforeLines="50" w:line="480" w:lineRule="exact"/>
        <w:rPr>
          <w:rFonts w:hint="eastAsia" w:ascii="仿宋_GB2312" w:hAnsi="宋体" w:eastAsia="仿宋_GB2312"/>
          <w:color w:val="auto"/>
          <w:sz w:val="30"/>
          <w:highlight w:val="none"/>
        </w:rPr>
      </w:pPr>
    </w:p>
    <w:p>
      <w:pPr>
        <w:pStyle w:val="7"/>
        <w:rPr>
          <w:rFonts w:hint="eastAsia" w:ascii="宋体" w:hAnsi="宋体" w:cs="宋体"/>
          <w:b/>
          <w:bCs/>
          <w:color w:val="auto"/>
          <w:highlight w:val="none"/>
        </w:rPr>
      </w:pPr>
      <w:bookmarkStart w:id="2" w:name="_Toc254970630"/>
      <w:bookmarkStart w:id="3" w:name="_Toc254970489"/>
    </w:p>
    <w:p>
      <w:pPr>
        <w:pStyle w:val="2"/>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r>
        <w:rPr>
          <w:rFonts w:ascii="宋体" w:hAnsi="宋体" w:cs="宋体"/>
          <w:b w:val="0"/>
          <w:bCs w:val="0"/>
          <w:color w:val="auto"/>
          <w:highlight w:val="none"/>
        </w:rPr>
        <w:br w:type="page"/>
      </w:r>
      <w:bookmarkStart w:id="4" w:name="_Toc26956"/>
      <w:bookmarkStart w:id="5" w:name="_Toc10759"/>
      <w:r>
        <w:rPr>
          <w:rFonts w:hint="eastAsia"/>
          <w:color w:val="auto"/>
          <w:highlight w:val="none"/>
        </w:rPr>
        <w:t>第一章</w:t>
      </w:r>
      <w:bookmarkEnd w:id="2"/>
      <w:bookmarkEnd w:id="3"/>
      <w:bookmarkStart w:id="6" w:name="_Toc35393789"/>
      <w:bookmarkStart w:id="7" w:name="_Toc28359001"/>
      <w:r>
        <w:rPr>
          <w:rFonts w:hint="eastAsia"/>
          <w:color w:val="auto"/>
          <w:highlight w:val="none"/>
        </w:rPr>
        <w:t xml:space="preserve"> 招标公告</w:t>
      </w:r>
      <w:bookmarkEnd w:id="4"/>
      <w:bookmarkEnd w:id="5"/>
      <w:bookmarkEnd w:id="6"/>
      <w:bookmarkEnd w:id="7"/>
    </w:p>
    <w:p>
      <w:pPr>
        <w:spacing w:line="360" w:lineRule="auto"/>
        <w:rPr>
          <w:rFonts w:ascii="宋体" w:hAnsi="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bookmarkStart w:id="8" w:name="OLE_LINK1"/>
      <w:r>
        <w:rPr>
          <w:rFonts w:hint="eastAsia" w:ascii="宋体" w:hAnsi="宋体"/>
          <w:color w:val="auto"/>
          <w:szCs w:val="21"/>
          <w:highlight w:val="none"/>
          <w:u w:val="single"/>
          <w:lang w:eastAsia="zh-CN"/>
        </w:rPr>
        <w:t>广西来宾市忻城县2026年和美乡村建设项目设计服务</w:t>
      </w:r>
      <w:bookmarkEnd w:id="8"/>
      <w:r>
        <w:rPr>
          <w:rFonts w:hint="eastAsia" w:ascii="宋体" w:hAnsi="宋体"/>
          <w:color w:val="auto"/>
          <w:szCs w:val="21"/>
          <w:highlight w:val="none"/>
        </w:rPr>
        <w:t>的潜在投标人应在</w:t>
      </w:r>
      <w:r>
        <w:rPr>
          <w:rFonts w:ascii="宋体" w:hAnsi="宋体"/>
          <w:color w:val="auto"/>
          <w:szCs w:val="21"/>
          <w:highlight w:val="none"/>
        </w:rPr>
        <w:t>广西政府采购云平台</w:t>
      </w:r>
      <w:r>
        <w:rPr>
          <w:rFonts w:hint="eastAsia" w:ascii="宋体" w:hAnsi="宋体"/>
          <w:color w:val="auto"/>
          <w:szCs w:val="21"/>
          <w:highlight w:val="none"/>
        </w:rPr>
        <w:t>（</w:t>
      </w:r>
      <w:r>
        <w:rPr>
          <w:rFonts w:ascii="宋体" w:hAnsi="宋体"/>
          <w:bCs/>
          <w:color w:val="auto"/>
          <w:szCs w:val="21"/>
          <w:highlight w:val="none"/>
        </w:rPr>
        <w:t>https://www.gcy.zfcg.gxzf.gov.cn/</w:t>
      </w:r>
      <w:r>
        <w:rPr>
          <w:rFonts w:hint="eastAsia" w:ascii="宋体" w:hAnsi="宋体"/>
          <w:color w:val="auto"/>
          <w:szCs w:val="21"/>
          <w:highlight w:val="none"/>
        </w:rPr>
        <w:t>）获取（下载）招标文件，并于</w:t>
      </w:r>
      <w:r>
        <w:rPr>
          <w:rFonts w:hint="eastAsia" w:ascii="宋体" w:hAnsi="宋体"/>
          <w:color w:val="auto"/>
          <w:szCs w:val="21"/>
          <w:highlight w:val="none"/>
          <w:u w:val="single"/>
          <w:lang w:val="en-US" w:eastAsia="zh-CN"/>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北京时间）前按要求递交（上传）投标</w:t>
      </w:r>
      <w:r>
        <w:rPr>
          <w:rFonts w:ascii="宋体" w:hAnsi="宋体"/>
          <w:bCs/>
          <w:color w:val="auto"/>
          <w:szCs w:val="21"/>
          <w:highlight w:val="none"/>
        </w:rPr>
        <w:t>文件</w:t>
      </w:r>
      <w:r>
        <w:rPr>
          <w:rFonts w:hint="eastAsia" w:ascii="宋体" w:hAnsi="宋体"/>
          <w:color w:val="auto"/>
          <w:szCs w:val="21"/>
          <w:highlight w:val="none"/>
        </w:rPr>
        <w:t>。</w:t>
      </w:r>
    </w:p>
    <w:p>
      <w:pPr>
        <w:spacing w:line="360" w:lineRule="auto"/>
        <w:rPr>
          <w:rFonts w:ascii="宋体" w:hAnsi="宋体"/>
          <w:color w:val="auto"/>
          <w:szCs w:val="21"/>
          <w:highlight w:val="none"/>
        </w:rPr>
      </w:pPr>
    </w:p>
    <w:p>
      <w:pPr>
        <w:spacing w:line="360" w:lineRule="auto"/>
        <w:rPr>
          <w:rFonts w:ascii="黑体" w:hAnsi="黑体" w:eastAsia="黑体"/>
          <w:b/>
          <w:bCs/>
          <w:color w:val="auto"/>
          <w:sz w:val="24"/>
          <w:highlight w:val="none"/>
        </w:rPr>
      </w:pPr>
      <w:bookmarkStart w:id="9" w:name="_Toc35393790"/>
      <w:bookmarkStart w:id="10" w:name="_Toc35393621"/>
      <w:bookmarkStart w:id="11" w:name="_Toc28359002"/>
      <w:bookmarkStart w:id="12" w:name="_Toc28359079"/>
      <w:bookmarkStart w:id="13" w:name="_Hlk24379207"/>
      <w:r>
        <w:rPr>
          <w:rFonts w:hint="eastAsia" w:ascii="黑体" w:hAnsi="黑体" w:eastAsia="黑体"/>
          <w:b/>
          <w:bCs/>
          <w:color w:val="auto"/>
          <w:sz w:val="24"/>
          <w:highlight w:val="none"/>
        </w:rPr>
        <w:t>一、项目基本情况</w:t>
      </w:r>
      <w:bookmarkEnd w:id="9"/>
      <w:bookmarkEnd w:id="10"/>
      <w:bookmarkEnd w:id="11"/>
      <w:bookmarkEnd w:id="12"/>
    </w:p>
    <w:bookmarkEnd w:id="13"/>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LBZC2025-G3-210100-GXTZ</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项目名称：</w:t>
      </w:r>
      <w:bookmarkStart w:id="14" w:name="OLE_LINK2"/>
      <w:r>
        <w:rPr>
          <w:rFonts w:hint="eastAsia" w:ascii="宋体" w:hAnsi="宋体" w:cs="Times New Roman"/>
          <w:color w:val="auto"/>
          <w:szCs w:val="21"/>
          <w:highlight w:val="none"/>
          <w:lang w:eastAsia="zh-CN"/>
        </w:rPr>
        <w:t>广西来宾市忻城县2026年和美乡村建设项目设计服务</w:t>
      </w:r>
      <w:bookmarkEnd w:id="14"/>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w:t>
      </w:r>
      <w:r>
        <w:rPr>
          <w:rFonts w:hint="eastAsia" w:ascii="宋体" w:hAnsi="宋体" w:cs="Times New Roman"/>
          <w:color w:val="auto"/>
          <w:szCs w:val="21"/>
          <w:highlight w:val="none"/>
          <w:lang w:val="en-US" w:eastAsia="zh-CN"/>
        </w:rPr>
        <w:t>1500000</w:t>
      </w:r>
      <w:r>
        <w:rPr>
          <w:rFonts w:hint="eastAsia" w:ascii="宋体" w:hAnsi="宋体" w:eastAsia="宋体" w:cs="Times New Roman"/>
          <w:color w:val="auto"/>
          <w:szCs w:val="21"/>
          <w:highlight w:val="none"/>
          <w:lang w:val="en-US" w:eastAsia="zh-CN"/>
        </w:rPr>
        <w:t>.00</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标项名称: </w:t>
      </w:r>
      <w:r>
        <w:rPr>
          <w:rFonts w:hint="eastAsia" w:ascii="宋体" w:hAnsi="宋体"/>
          <w:color w:val="auto"/>
          <w:szCs w:val="21"/>
          <w:highlight w:val="none"/>
          <w:lang w:eastAsia="zh-CN"/>
        </w:rPr>
        <w:t>广西来宾市忻城县2026年和美乡村建设项目设计服务</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数量:1</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1500000.00</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简要规格描述或项目基本概况介绍、用途：</w:t>
      </w:r>
      <w:bookmarkStart w:id="15" w:name="OLE_LINK15"/>
      <w:r>
        <w:rPr>
          <w:rFonts w:hint="eastAsia" w:ascii="宋体" w:hAnsi="宋体"/>
          <w:color w:val="auto"/>
          <w:szCs w:val="21"/>
          <w:highlight w:val="none"/>
          <w:lang w:val="en-US" w:eastAsia="zh-CN"/>
        </w:rPr>
        <w:t>广西来宾市忻城县2026年和美乡村建设项目设计服务一项，具体</w:t>
      </w:r>
      <w:r>
        <w:rPr>
          <w:rFonts w:hint="eastAsia" w:ascii="宋体" w:hAnsi="宋体" w:eastAsia="宋体" w:cs="Times New Roman"/>
          <w:color w:val="auto"/>
          <w:szCs w:val="21"/>
          <w:highlight w:val="none"/>
        </w:rPr>
        <w:t>详见</w:t>
      </w:r>
      <w:r>
        <w:rPr>
          <w:rFonts w:hint="eastAsia" w:ascii="宋体" w:hAnsi="宋体" w:eastAsia="宋体" w:cs="Times New Roman"/>
          <w:color w:val="auto"/>
          <w:szCs w:val="21"/>
          <w:highlight w:val="none"/>
          <w:lang w:val="en-US" w:eastAsia="zh-CN"/>
        </w:rPr>
        <w:t>招标</w:t>
      </w:r>
      <w:r>
        <w:rPr>
          <w:rFonts w:hint="eastAsia" w:ascii="宋体" w:hAnsi="宋体" w:eastAsia="宋体" w:cs="Times New Roman"/>
          <w:color w:val="auto"/>
          <w:szCs w:val="21"/>
          <w:highlight w:val="none"/>
        </w:rPr>
        <w:t>文件。</w:t>
      </w:r>
    </w:p>
    <w:bookmarkEnd w:id="15"/>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s="Times New Roman"/>
          <w:color w:val="auto"/>
          <w:szCs w:val="21"/>
          <w:highlight w:val="none"/>
          <w:lang w:val="en-US" w:eastAsia="zh-CN"/>
        </w:rPr>
        <w:t>1500000</w:t>
      </w:r>
      <w:r>
        <w:rPr>
          <w:rFonts w:hint="eastAsia" w:ascii="宋体" w:hAnsi="宋体" w:eastAsia="宋体" w:cs="Times New Roman"/>
          <w:color w:val="auto"/>
          <w:szCs w:val="21"/>
          <w:highlight w:val="none"/>
          <w:lang w:val="en-US" w:eastAsia="zh-CN"/>
        </w:rPr>
        <w:t>.00</w:t>
      </w:r>
    </w:p>
    <w:p>
      <w:pPr>
        <w:numPr>
          <w:ilvl w:val="0"/>
          <w:numId w:val="0"/>
        </w:numPr>
        <w:spacing w:line="420" w:lineRule="exact"/>
        <w:ind w:firstLine="420" w:firstLineChars="200"/>
        <w:rPr>
          <w:rFonts w:hint="eastAsia" w:ascii="宋体" w:hAnsi="宋体" w:cs="宋体"/>
          <w:szCs w:val="21"/>
          <w:lang w:val="en-US" w:eastAsia="zh-CN"/>
        </w:rPr>
      </w:pPr>
      <w:r>
        <w:rPr>
          <w:rFonts w:hint="eastAsia" w:ascii="宋体" w:hAnsi="宋体"/>
          <w:color w:val="auto"/>
          <w:szCs w:val="21"/>
          <w:highlight w:val="none"/>
        </w:rPr>
        <w:t>合同履约期限：</w:t>
      </w:r>
      <w:bookmarkStart w:id="16" w:name="OLE_LINK17"/>
      <w:r>
        <w:rPr>
          <w:rFonts w:hint="eastAsia" w:ascii="宋体" w:hAnsi="宋体" w:cs="宋体"/>
          <w:szCs w:val="21"/>
        </w:rPr>
        <w:t>自合同签订之日起</w:t>
      </w:r>
      <w:r>
        <w:rPr>
          <w:rFonts w:hint="eastAsia" w:ascii="宋体" w:hAnsi="宋体" w:cs="宋体"/>
          <w:szCs w:val="21"/>
          <w:lang w:val="en-US" w:eastAsia="zh-CN"/>
        </w:rPr>
        <w:t>30日内</w:t>
      </w:r>
      <w:r>
        <w:rPr>
          <w:rFonts w:hint="eastAsia" w:ascii="宋体" w:hAnsi="宋体" w:cs="宋体"/>
          <w:szCs w:val="21"/>
        </w:rPr>
        <w:t>完成本项目的全部服务内容</w:t>
      </w:r>
      <w:r>
        <w:rPr>
          <w:rFonts w:hint="eastAsia" w:ascii="宋体" w:hAnsi="宋体" w:cs="宋体"/>
          <w:szCs w:val="21"/>
          <w:lang w:eastAsia="zh-CN"/>
        </w:rPr>
        <w:t>，</w:t>
      </w:r>
      <w:r>
        <w:rPr>
          <w:rFonts w:hint="eastAsia" w:ascii="宋体" w:hAnsi="宋体" w:cs="宋体"/>
          <w:szCs w:val="21"/>
          <w:lang w:val="en-US" w:eastAsia="zh-CN"/>
        </w:rPr>
        <w:t>提交成果文件。</w:t>
      </w:r>
    </w:p>
    <w:bookmarkEnd w:id="16"/>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本标项（否）接受联合体</w:t>
      </w:r>
      <w:r>
        <w:rPr>
          <w:rFonts w:hint="eastAsia" w:ascii="宋体" w:hAnsi="宋体"/>
          <w:color w:val="auto"/>
          <w:szCs w:val="21"/>
          <w:highlight w:val="none"/>
          <w:lang w:eastAsia="zh-CN"/>
        </w:rPr>
        <w:t>。</w:t>
      </w:r>
    </w:p>
    <w:p>
      <w:pPr>
        <w:spacing w:line="360" w:lineRule="auto"/>
        <w:rPr>
          <w:rFonts w:ascii="黑体" w:hAnsi="黑体" w:eastAsia="黑体"/>
          <w:b/>
          <w:bCs/>
          <w:color w:val="auto"/>
          <w:sz w:val="24"/>
          <w:highlight w:val="none"/>
        </w:rPr>
      </w:pPr>
      <w:bookmarkStart w:id="17" w:name="_Toc28359080"/>
      <w:bookmarkStart w:id="18" w:name="_Toc35393791"/>
      <w:bookmarkStart w:id="19" w:name="_Toc35393622"/>
      <w:bookmarkStart w:id="20" w:name="_Toc28359003"/>
      <w:r>
        <w:rPr>
          <w:rFonts w:hint="eastAsia" w:ascii="黑体" w:hAnsi="黑体" w:eastAsia="黑体"/>
          <w:b/>
          <w:bCs/>
          <w:color w:val="auto"/>
          <w:sz w:val="24"/>
          <w:highlight w:val="none"/>
        </w:rPr>
        <w:t>二、申请人的资格要求：</w:t>
      </w:r>
      <w:bookmarkEnd w:id="17"/>
      <w:bookmarkEnd w:id="18"/>
      <w:bookmarkEnd w:id="19"/>
      <w:bookmarkEnd w:id="20"/>
    </w:p>
    <w:p>
      <w:pPr>
        <w:spacing w:line="360" w:lineRule="auto"/>
        <w:ind w:firstLine="420" w:firstLineChars="200"/>
        <w:rPr>
          <w:rFonts w:hint="eastAsia" w:ascii="宋体" w:hAnsi="宋体"/>
          <w:color w:val="auto"/>
          <w:szCs w:val="21"/>
          <w:highlight w:val="none"/>
        </w:rPr>
      </w:pPr>
      <w:bookmarkStart w:id="21" w:name="_Hlk51746371"/>
      <w:bookmarkStart w:id="22" w:name="_Toc35393792"/>
      <w:bookmarkStart w:id="23" w:name="_Toc28359004"/>
      <w:bookmarkStart w:id="24" w:name="_Toc35393623"/>
      <w:bookmarkStart w:id="25" w:name="_Toc28359081"/>
      <w:r>
        <w:rPr>
          <w:rFonts w:hint="eastAsia" w:ascii="宋体" w:hAnsi="宋体"/>
          <w:color w:val="auto"/>
          <w:szCs w:val="21"/>
          <w:highlight w:val="none"/>
        </w:rPr>
        <w:t>1.满足《中华人民共和国政府采购法》第二十二条第一款规定。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2.落实政府采购政策需满足的资格要求：专门面向中小企业采购的项目（供应商应为中小微企业、监狱企业、残疾人福利性单位)；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3.本项目的特定资格要求：供应商须具备以下资质之一</w:t>
      </w:r>
      <w:r>
        <w:rPr>
          <w:rFonts w:hint="eastAsia" w:ascii="宋体" w:hAnsi="宋体"/>
          <w:color w:val="auto"/>
          <w:szCs w:val="21"/>
          <w:highlight w:val="none"/>
          <w:lang w:eastAsia="zh-CN"/>
        </w:rPr>
        <w:t>：</w:t>
      </w:r>
      <w:r>
        <w:rPr>
          <w:rFonts w:hint="eastAsia" w:ascii="宋体" w:hAnsi="宋体"/>
          <w:color w:val="auto"/>
          <w:szCs w:val="21"/>
          <w:highlight w:val="none"/>
        </w:rPr>
        <w:t>①市政行业(</w:t>
      </w:r>
      <w:r>
        <w:rPr>
          <w:rFonts w:hint="eastAsia" w:ascii="宋体" w:hAnsi="宋体"/>
          <w:color w:val="auto"/>
          <w:szCs w:val="21"/>
          <w:highlight w:val="none"/>
          <w:lang w:val="en-US" w:eastAsia="zh-CN"/>
        </w:rPr>
        <w:t>市政公用工程类</w:t>
      </w:r>
      <w:r>
        <w:rPr>
          <w:rFonts w:hint="eastAsia" w:ascii="宋体" w:hAnsi="宋体"/>
          <w:color w:val="auto"/>
          <w:szCs w:val="21"/>
          <w:highlight w:val="none"/>
        </w:rPr>
        <w:t>)专业设计乙级(含)以上资质及风景园林工程设计专项乙级资质；②市政行业工程设计甲级资质及风景园林工程设计专项乙级资质；③工程设计综合甲级资质；拟派项目负责人具备道路或相关专业中级(含中级)以上职称。</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4.本项目的特定条件：无。</w:t>
      </w:r>
    </w:p>
    <w:bookmarkEnd w:id="21"/>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22"/>
      <w:bookmarkEnd w:id="23"/>
      <w:bookmarkEnd w:id="24"/>
      <w:bookmarkEnd w:id="25"/>
    </w:p>
    <w:p>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，每天00:00至11:59，12:00至23:59（北京时间，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pPr>
        <w:spacing w:line="360" w:lineRule="auto"/>
        <w:ind w:firstLine="540"/>
        <w:rPr>
          <w:rFonts w:hint="eastAsia" w:ascii="宋体" w:hAnsi="宋体"/>
          <w:color w:val="auto"/>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ascii="宋体" w:hAnsi="宋体"/>
          <w:color w:val="auto"/>
          <w:szCs w:val="21"/>
          <w:highlight w:val="none"/>
        </w:rPr>
        <w:t>广西政府采购云平台</w:t>
      </w:r>
      <w:r>
        <w:rPr>
          <w:rFonts w:hint="eastAsia" w:ascii="宋体" w:hAnsi="宋体"/>
          <w:color w:val="auto"/>
          <w:szCs w:val="21"/>
          <w:highlight w:val="none"/>
        </w:rPr>
        <w:t>（</w:t>
      </w:r>
      <w:r>
        <w:rPr>
          <w:rFonts w:ascii="宋体" w:hAnsi="宋体"/>
          <w:bCs/>
          <w:color w:val="auto"/>
          <w:szCs w:val="21"/>
          <w:highlight w:val="none"/>
        </w:rPr>
        <w:t>https://www.gcy.zfcg.gxzf.gov.cn/</w:t>
      </w:r>
      <w:r>
        <w:rPr>
          <w:rFonts w:hint="eastAsia" w:ascii="宋体" w:hAnsi="宋体"/>
          <w:color w:val="auto"/>
          <w:szCs w:val="21"/>
          <w:highlight w:val="none"/>
        </w:rPr>
        <w:t>）</w:t>
      </w:r>
      <w:r>
        <w:rPr>
          <w:rFonts w:hint="eastAsia" w:ascii="宋体" w:hAnsi="宋体" w:cs="宋体"/>
          <w:bCs/>
          <w:color w:val="auto"/>
          <w:kern w:val="0"/>
          <w:szCs w:val="21"/>
          <w:highlight w:val="none"/>
        </w:rPr>
        <w:t>-进入“项目采购”应用，在获取采购文件菜单中选择项目，获取招标文件。</w:t>
      </w:r>
      <w:r>
        <w:rPr>
          <w:rFonts w:hint="eastAsia" w:ascii="宋体" w:hAnsi="宋体"/>
          <w:color w:val="auto"/>
          <w:szCs w:val="21"/>
          <w:highlight w:val="none"/>
        </w:rPr>
        <w:t>电子投标文件制作需要基于</w:t>
      </w:r>
      <w:r>
        <w:rPr>
          <w:rFonts w:ascii="宋体" w:hAnsi="宋体"/>
          <w:color w:val="auto"/>
          <w:szCs w:val="21"/>
          <w:highlight w:val="none"/>
        </w:rPr>
        <w:t>广西政府采购云平台</w:t>
      </w:r>
      <w:r>
        <w:rPr>
          <w:rFonts w:hint="eastAsia" w:ascii="宋体" w:hAnsi="宋体"/>
          <w:color w:val="auto"/>
          <w:szCs w:val="21"/>
          <w:highlight w:val="none"/>
        </w:rPr>
        <w:t>获取的招标文件编制，</w:t>
      </w:r>
      <w:r>
        <w:rPr>
          <w:rFonts w:hint="eastAsia" w:ascii="宋体" w:hAnsi="宋体" w:cs="宋体"/>
          <w:bCs/>
          <w:color w:val="auto"/>
          <w:kern w:val="0"/>
          <w:szCs w:val="21"/>
          <w:highlight w:val="none"/>
        </w:rPr>
        <w:t>通过其他方式获取招标文件的，将有可能导致供应商无法在</w:t>
      </w:r>
      <w:r>
        <w:rPr>
          <w:rFonts w:ascii="宋体" w:hAnsi="宋体"/>
          <w:color w:val="auto"/>
          <w:szCs w:val="21"/>
          <w:highlight w:val="none"/>
        </w:rPr>
        <w:t>广西政府采购云平台</w:t>
      </w:r>
      <w:r>
        <w:rPr>
          <w:rFonts w:hint="eastAsia" w:ascii="宋体" w:hAnsi="宋体" w:cs="宋体"/>
          <w:bCs/>
          <w:color w:val="auto"/>
          <w:kern w:val="0"/>
          <w:szCs w:val="21"/>
          <w:highlight w:val="none"/>
        </w:rPr>
        <w:t>编制及上传投标文件。</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Cs/>
          <w:color w:val="auto"/>
          <w:kern w:val="0"/>
          <w:szCs w:val="21"/>
          <w:highlight w:val="none"/>
        </w:rPr>
        <w:t>售价：</w:t>
      </w:r>
      <w:r>
        <w:rPr>
          <w:rFonts w:hint="eastAsia" w:ascii="宋体" w:hAnsi="宋体" w:cs="宋体"/>
          <w:i w:val="0"/>
          <w:iCs/>
          <w:color w:val="auto"/>
          <w:szCs w:val="21"/>
          <w:highlight w:val="none"/>
          <w:u w:val="single"/>
        </w:rPr>
        <w:t>0</w:t>
      </w:r>
      <w:r>
        <w:rPr>
          <w:rFonts w:hint="eastAsia" w:ascii="宋体" w:hAnsi="宋体" w:cs="宋体"/>
          <w:iCs/>
          <w:color w:val="auto"/>
          <w:szCs w:val="21"/>
          <w:highlight w:val="none"/>
        </w:rPr>
        <w:t>元</w:t>
      </w:r>
    </w:p>
    <w:p>
      <w:pPr>
        <w:spacing w:line="360" w:lineRule="auto"/>
        <w:rPr>
          <w:rFonts w:ascii="黑体" w:hAnsi="黑体" w:eastAsia="黑体"/>
          <w:b/>
          <w:bCs/>
          <w:color w:val="auto"/>
          <w:sz w:val="24"/>
          <w:highlight w:val="none"/>
        </w:rPr>
      </w:pPr>
      <w:bookmarkStart w:id="26" w:name="_Toc28359082"/>
      <w:bookmarkStart w:id="27" w:name="_Toc28359005"/>
      <w:bookmarkStart w:id="28" w:name="_Toc35393793"/>
      <w:bookmarkStart w:id="29" w:name="_Toc35393624"/>
      <w:r>
        <w:rPr>
          <w:rFonts w:hint="eastAsia" w:ascii="黑体" w:hAnsi="黑体" w:eastAsia="黑体"/>
          <w:b/>
          <w:bCs/>
          <w:color w:val="auto"/>
          <w:sz w:val="24"/>
          <w:highlight w:val="none"/>
        </w:rPr>
        <w:t>四、提交投标文件</w:t>
      </w:r>
      <w:bookmarkEnd w:id="26"/>
      <w:bookmarkEnd w:id="27"/>
      <w:r>
        <w:rPr>
          <w:rFonts w:hint="eastAsia" w:ascii="黑体" w:hAnsi="黑体" w:eastAsia="黑体"/>
          <w:b/>
          <w:bCs/>
          <w:color w:val="auto"/>
          <w:sz w:val="24"/>
          <w:highlight w:val="none"/>
        </w:rPr>
        <w:t>截止时间、开标时间和地点</w:t>
      </w:r>
      <w:bookmarkEnd w:id="28"/>
      <w:bookmarkEnd w:id="29"/>
    </w:p>
    <w:p>
      <w:pPr>
        <w:spacing w:line="360" w:lineRule="auto"/>
        <w:ind w:firstLine="420" w:firstLineChars="200"/>
        <w:rPr>
          <w:rFonts w:ascii="宋体" w:hAnsi="宋体" w:cs="宋体"/>
          <w:color w:val="auto"/>
          <w:szCs w:val="21"/>
          <w:highlight w:val="none"/>
          <w:u w:val="single"/>
        </w:rPr>
      </w:pPr>
      <w:bookmarkStart w:id="30" w:name="_Toc28359084"/>
      <w:bookmarkStart w:id="31" w:name="_Toc35393625"/>
      <w:bookmarkStart w:id="32" w:name="_Toc35393794"/>
      <w:bookmarkStart w:id="33" w:name="_Toc28359007"/>
      <w:r>
        <w:rPr>
          <w:rFonts w:hint="eastAsia" w:ascii="宋体" w:hAnsi="宋体"/>
          <w:bCs/>
          <w:color w:val="auto"/>
          <w:szCs w:val="21"/>
          <w:highlight w:val="none"/>
          <w:u w:val="none"/>
          <w:lang w:val="en-US" w:eastAsia="zh-CN"/>
        </w:rPr>
        <w:t>投标截止时间(开标时间)：</w:t>
      </w:r>
      <w:r>
        <w:rPr>
          <w:rFonts w:hint="eastAsia" w:ascii="宋体" w:hAnsi="宋体"/>
          <w:bCs/>
          <w:color w:val="auto"/>
          <w:szCs w:val="21"/>
          <w:highlight w:val="none"/>
          <w:u w:val="single"/>
          <w:lang w:val="en-US" w:eastAsia="zh-CN"/>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投标地点：</w:t>
      </w:r>
      <w:r>
        <w:rPr>
          <w:rFonts w:ascii="宋体" w:hAnsi="宋体"/>
          <w:color w:val="auto"/>
          <w:szCs w:val="21"/>
          <w:highlight w:val="none"/>
        </w:rPr>
        <w:t>广西政府采购云平台</w:t>
      </w:r>
      <w:r>
        <w:rPr>
          <w:rFonts w:hint="eastAsia" w:ascii="宋体" w:hAnsi="宋体"/>
          <w:color w:val="auto"/>
          <w:szCs w:val="21"/>
          <w:highlight w:val="none"/>
        </w:rPr>
        <w:t>（</w:t>
      </w:r>
      <w:r>
        <w:rPr>
          <w:rFonts w:ascii="宋体" w:hAnsi="宋体"/>
          <w:bCs/>
          <w:color w:val="auto"/>
          <w:szCs w:val="21"/>
          <w:highlight w:val="none"/>
        </w:rPr>
        <w:t>https://www.gcy.zfcg.gxzf.gov.cn/</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开标地点：广西来宾市兴宾区红水河大道331号</w:t>
      </w:r>
      <w:r>
        <w:rPr>
          <w:rFonts w:hint="eastAsia" w:ascii="宋体" w:hAnsi="宋体"/>
          <w:color w:val="auto"/>
          <w:szCs w:val="21"/>
          <w:highlight w:val="none"/>
          <w:lang w:val="en-US" w:eastAsia="zh-CN"/>
        </w:rPr>
        <w:t>3楼</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来宾市公共资源交易中心</w:t>
      </w:r>
      <w:r>
        <w:rPr>
          <w:rFonts w:hint="eastAsia" w:ascii="宋体" w:hAnsi="宋体"/>
          <w:color w:val="auto"/>
          <w:szCs w:val="21"/>
          <w:highlight w:val="none"/>
          <w:lang w:eastAsia="zh-CN"/>
        </w:rPr>
        <w:t>】开标室</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（开标位</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  </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30"/>
      <w:bookmarkEnd w:id="31"/>
      <w:bookmarkEnd w:id="32"/>
      <w:bookmarkEnd w:id="33"/>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黑体" w:hAnsi="黑体" w:eastAsia="黑体"/>
          <w:b/>
          <w:bCs/>
          <w:color w:val="auto"/>
          <w:sz w:val="24"/>
          <w:highlight w:val="none"/>
        </w:rPr>
      </w:pPr>
      <w:bookmarkStart w:id="34" w:name="_Toc35393626"/>
      <w:bookmarkStart w:id="35" w:name="_Toc35393795"/>
      <w:r>
        <w:rPr>
          <w:rFonts w:hint="eastAsia" w:ascii="黑体" w:hAnsi="黑体" w:eastAsia="黑体"/>
          <w:b/>
          <w:bCs/>
          <w:color w:val="auto"/>
          <w:sz w:val="24"/>
          <w:highlight w:val="none"/>
        </w:rPr>
        <w:t>六、其他补充事宜</w:t>
      </w:r>
      <w:bookmarkEnd w:id="34"/>
      <w:bookmarkEnd w:id="35"/>
    </w:p>
    <w:p>
      <w:pPr>
        <w:spacing w:line="360" w:lineRule="auto"/>
        <w:ind w:firstLine="420" w:firstLineChars="200"/>
        <w:rPr>
          <w:rFonts w:hint="eastAsia" w:ascii="宋体" w:hAnsi="宋体" w:cs="宋体"/>
          <w:color w:val="auto"/>
          <w:kern w:val="0"/>
          <w:szCs w:val="21"/>
          <w:highlight w:val="none"/>
        </w:rPr>
      </w:pPr>
      <w:bookmarkStart w:id="36" w:name="_Hlk37429585"/>
      <w:bookmarkStart w:id="37" w:name="_Hlk37429595"/>
      <w:bookmarkStart w:id="38" w:name="_Toc35393796"/>
      <w:bookmarkStart w:id="39" w:name="_Toc28359085"/>
      <w:bookmarkStart w:id="40" w:name="_Toc28359008"/>
      <w:bookmarkStart w:id="41" w:name="_Toc35393627"/>
      <w:r>
        <w:rPr>
          <w:rFonts w:hint="eastAsia" w:ascii="宋体" w:hAnsi="宋体" w:cs="宋体"/>
          <w:color w:val="auto"/>
          <w:kern w:val="0"/>
          <w:szCs w:val="21"/>
          <w:highlight w:val="none"/>
        </w:rPr>
        <w:t>1.网上查询地址</w:t>
      </w:r>
    </w:p>
    <w:p>
      <w:pPr>
        <w:spacing w:line="360" w:lineRule="auto"/>
        <w:ind w:left="210" w:leftChars="100" w:firstLine="424" w:firstLineChars="202"/>
        <w:rPr>
          <w:rFonts w:hint="eastAsia" w:ascii="宋体" w:hAnsi="宋体" w:cs="宋体"/>
          <w:i/>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www.ccgp.gov.cn（中国政府采购网）、zfcg.gxzf.gov.cn（广西壮族自治区政府采购网）、http://ggzy.jgswj.gxzf.gov.cn/lbggzy/全国公共资源交易平台（广西•来宾）</w:t>
      </w:r>
    </w:p>
    <w:bookmarkEnd w:id="36"/>
    <w:bookmarkEnd w:id="37"/>
    <w:p>
      <w:pPr>
        <w:spacing w:line="360" w:lineRule="auto"/>
        <w:ind w:firstLine="424" w:firstLineChars="202"/>
        <w:rPr>
          <w:rFonts w:hint="eastAsia" w:ascii="宋体" w:hAnsi="宋体" w:cs="宋体"/>
          <w:color w:val="auto"/>
          <w:kern w:val="0"/>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wordWrap w:val="0"/>
        <w:spacing w:line="420" w:lineRule="exact"/>
        <w:ind w:firstLine="420" w:firstLineChars="200"/>
        <w:rPr>
          <w:rFonts w:hint="eastAsia" w:ascii="宋体" w:hAnsi="宋体" w:cs="宋体"/>
          <w:bCs/>
          <w:szCs w:val="21"/>
        </w:rPr>
      </w:pPr>
      <w:r>
        <w:rPr>
          <w:rFonts w:hint="eastAsia" w:ascii="宋体" w:hAnsi="宋体" w:cs="宋体"/>
          <w:lang w:val="en-US" w:eastAsia="zh-CN"/>
        </w:rPr>
        <w:t>3</w:t>
      </w:r>
      <w:r>
        <w:rPr>
          <w:rFonts w:hint="eastAsia" w:ascii="宋体" w:hAnsi="宋体" w:cs="宋体"/>
        </w:rPr>
        <w:t>.单位负责人为同一人或者存在直接控股、管理关系的不同供应商，不得参加同一合同项下的政府采购活动。为本项目提供过整体设计、规范编制或者项目管理、监理、检测等服务的供应商，不</w:t>
      </w:r>
      <w:r>
        <w:rPr>
          <w:rFonts w:hint="eastAsia" w:ascii="宋体" w:hAnsi="宋体" w:cs="宋体"/>
          <w:bCs/>
          <w:szCs w:val="21"/>
        </w:rPr>
        <w:t>得再参加本项目上述服务以外的其他采购活动。</w:t>
      </w:r>
    </w:p>
    <w:p>
      <w:pPr>
        <w:wordWrap w:val="0"/>
        <w:spacing w:line="420" w:lineRule="exact"/>
        <w:ind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.不能是被“信用中国”网站(www.creditchina.gov.cn) 列入失信被执行人和重大税收违法失信主体名单、被中国政府采购网(www.ccgp.gov.cn)列入政府采购严重违法失信行为记录名单的供应商。</w:t>
      </w:r>
    </w:p>
    <w:p>
      <w:pPr>
        <w:spacing w:line="360" w:lineRule="auto"/>
        <w:ind w:firstLine="420" w:firstLineChars="200"/>
        <w:rPr>
          <w:rFonts w:hint="eastAsia" w:ascii="宋体" w:hAnsi="宋体" w:cs="宋体"/>
          <w:color w:val="auto"/>
          <w:kern w:val="0"/>
          <w:szCs w:val="21"/>
          <w:highlight w:val="none"/>
        </w:rPr>
      </w:pPr>
    </w:p>
    <w:p>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.投标人</w:t>
      </w:r>
      <w:r>
        <w:rPr>
          <w:rFonts w:hint="eastAsia" w:ascii="宋体" w:hAnsi="宋体"/>
          <w:color w:val="auto"/>
          <w:szCs w:val="21"/>
          <w:highlight w:val="none"/>
        </w:rPr>
        <w:t>投标注意事项</w:t>
      </w:r>
    </w:p>
    <w:p>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w:t>
      </w:r>
      <w:r>
        <w:rPr>
          <w:rFonts w:hint="eastAsia" w:ascii="宋体" w:hAnsi="宋体"/>
          <w:color w:val="auto"/>
          <w:szCs w:val="21"/>
          <w:highlight w:val="none"/>
        </w:rPr>
        <w:t>广西政府采购云平台</w:t>
      </w:r>
      <w:r>
        <w:rPr>
          <w:rFonts w:hint="eastAsia" w:ascii="宋体" w:hAnsi="宋体"/>
          <w:b/>
          <w:color w:val="auto"/>
          <w:szCs w:val="21"/>
          <w:highlight w:val="none"/>
        </w:rPr>
        <w:t>提交电子投标文件时，请填写参加远程开标活动经办人联系方式。</w:t>
      </w:r>
      <w:r>
        <w:rPr>
          <w:rFonts w:hint="eastAsia" w:ascii="宋体" w:hAnsi="宋体"/>
          <w:color w:val="auto"/>
          <w:szCs w:val="21"/>
          <w:highlight w:val="none"/>
        </w:rPr>
        <w:t>投标人登录广西政府采购云平台，依次进入“服务中心-项目采购-操作流程-电子招投标-</w:t>
      </w:r>
      <w:r>
        <w:rPr>
          <w:color w:val="auto"/>
          <w:highlight w:val="none"/>
        </w:rPr>
        <w:t>政府采购项目电子交易管理操作指南-供应商</w:t>
      </w:r>
      <w:r>
        <w:rPr>
          <w:rFonts w:hint="eastAsia" w:ascii="宋体" w:hAnsi="宋体"/>
          <w:color w:val="auto"/>
          <w:szCs w:val="21"/>
          <w:highlight w:val="none"/>
        </w:rPr>
        <w:t>”查看电子投标具体操作流程。</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pPr>
        <w:spacing w:line="360" w:lineRule="auto"/>
        <w:ind w:firstLine="424" w:firstLineChars="202"/>
        <w:rPr>
          <w:rFonts w:hint="eastAsia" w:ascii="宋体" w:hAnsi="宋体" w:cs="宋体"/>
          <w:color w:val="auto"/>
          <w:kern w:val="0"/>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数字证书并使用有效的CA数字证书参与整个招标活动。2）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38"/>
      <w:bookmarkEnd w:id="39"/>
      <w:bookmarkEnd w:id="40"/>
      <w:bookmarkEnd w:id="41"/>
    </w:p>
    <w:p>
      <w:pPr>
        <w:spacing w:line="360" w:lineRule="auto"/>
        <w:ind w:firstLine="424" w:firstLineChars="202"/>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1.采购人信息</w:t>
      </w:r>
    </w:p>
    <w:p>
      <w:pPr>
        <w:spacing w:line="360" w:lineRule="auto"/>
        <w:ind w:firstLine="424" w:firstLineChars="202"/>
        <w:rPr>
          <w:rFonts w:hint="eastAsia" w:ascii="宋体" w:hAnsi="宋体" w:eastAsia="宋体" w:cs="Times New Roman"/>
          <w:bCs/>
          <w:color w:val="auto"/>
          <w:szCs w:val="21"/>
          <w:highlight w:val="none"/>
          <w:lang w:eastAsia="zh-CN"/>
        </w:rPr>
      </w:pPr>
      <w:bookmarkStart w:id="42" w:name="_Toc28359086"/>
      <w:bookmarkStart w:id="43" w:name="_Toc28359009"/>
      <w:r>
        <w:rPr>
          <w:rFonts w:hint="eastAsia" w:ascii="宋体" w:hAnsi="宋体" w:eastAsia="宋体" w:cs="Times New Roman"/>
          <w:bCs/>
          <w:color w:val="auto"/>
          <w:szCs w:val="21"/>
          <w:highlight w:val="none"/>
        </w:rPr>
        <w:t>名称：</w:t>
      </w:r>
      <w:r>
        <w:rPr>
          <w:rFonts w:hint="eastAsia" w:ascii="宋体" w:hAnsi="宋体" w:cs="Times New Roman"/>
          <w:bCs/>
          <w:color w:val="auto"/>
          <w:szCs w:val="21"/>
          <w:highlight w:val="none"/>
          <w:lang w:eastAsia="zh-CN"/>
        </w:rPr>
        <w:t>忻城县农业农村局</w:t>
      </w:r>
    </w:p>
    <w:p>
      <w:pPr>
        <w:spacing w:line="360" w:lineRule="auto"/>
        <w:ind w:firstLine="424" w:firstLineChars="202"/>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地址：</w:t>
      </w:r>
      <w:r>
        <w:rPr>
          <w:rFonts w:hint="eastAsia" w:ascii="宋体" w:hAnsi="宋体" w:cs="宋体"/>
          <w:szCs w:val="21"/>
        </w:rPr>
        <w:t>忻城县城关镇城南</w:t>
      </w:r>
      <w:r>
        <w:rPr>
          <w:rFonts w:hint="eastAsia" w:ascii="宋体" w:hAnsi="宋体" w:cs="宋体"/>
          <w:szCs w:val="21"/>
          <w:lang w:val="en-US" w:eastAsia="zh-CN"/>
        </w:rPr>
        <w:t>社</w:t>
      </w:r>
      <w:r>
        <w:rPr>
          <w:rFonts w:hint="eastAsia" w:ascii="宋体" w:hAnsi="宋体" w:cs="宋体"/>
          <w:szCs w:val="21"/>
        </w:rPr>
        <w:t>区桂园路范团小区A栋</w:t>
      </w:r>
      <w:r>
        <w:rPr>
          <w:rFonts w:hint="eastAsia" w:ascii="宋体" w:hAnsi="宋体" w:eastAsia="宋体" w:cs="Times New Roman"/>
          <w:bCs/>
          <w:color w:val="auto"/>
          <w:szCs w:val="21"/>
          <w:highlight w:val="none"/>
        </w:rPr>
        <w:t xml:space="preserve"> </w:t>
      </w:r>
    </w:p>
    <w:p>
      <w:pPr>
        <w:spacing w:line="360" w:lineRule="auto"/>
        <w:ind w:firstLine="424" w:firstLineChars="202"/>
        <w:rPr>
          <w:rFonts w:hint="eastAsia" w:ascii="宋体" w:hAnsi="宋体" w:cs="宋体"/>
          <w:szCs w:val="21"/>
        </w:rPr>
      </w:pPr>
      <w:r>
        <w:rPr>
          <w:rFonts w:hint="eastAsia" w:ascii="宋体" w:hAnsi="宋体" w:eastAsia="宋体" w:cs="Times New Roman"/>
          <w:bCs/>
          <w:color w:val="auto"/>
          <w:szCs w:val="21"/>
          <w:highlight w:val="none"/>
        </w:rPr>
        <w:t>联系方式：</w:t>
      </w:r>
      <w:r>
        <w:rPr>
          <w:rFonts w:hint="eastAsia" w:ascii="宋体" w:hAnsi="宋体" w:cs="宋体"/>
          <w:szCs w:val="21"/>
        </w:rPr>
        <w:t>黄主任</w:t>
      </w:r>
    </w:p>
    <w:p>
      <w:pPr>
        <w:spacing w:line="360" w:lineRule="auto"/>
        <w:ind w:firstLine="424" w:firstLineChars="202"/>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联系方式：0772-5511446</w:t>
      </w:r>
    </w:p>
    <w:p>
      <w:pPr>
        <w:spacing w:line="360" w:lineRule="auto"/>
        <w:ind w:firstLine="424" w:firstLineChars="202"/>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2.采购代理机构信息</w:t>
      </w:r>
      <w:bookmarkEnd w:id="42"/>
      <w:bookmarkEnd w:id="43"/>
    </w:p>
    <w:p>
      <w:pPr>
        <w:spacing w:line="360" w:lineRule="auto"/>
        <w:ind w:firstLine="424" w:firstLineChars="202"/>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rPr>
        <w:t>名称：</w:t>
      </w:r>
      <w:r>
        <w:rPr>
          <w:rFonts w:hint="eastAsia" w:ascii="宋体" w:hAnsi="宋体" w:eastAsia="宋体" w:cs="Times New Roman"/>
          <w:bCs/>
          <w:color w:val="auto"/>
          <w:szCs w:val="21"/>
          <w:highlight w:val="none"/>
          <w:lang w:eastAsia="zh-CN"/>
        </w:rPr>
        <w:t>广西同泽工程项目管理股份有限公司</w:t>
      </w:r>
    </w:p>
    <w:p>
      <w:pPr>
        <w:spacing w:line="360" w:lineRule="auto"/>
        <w:ind w:firstLine="424" w:firstLineChars="202"/>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地址：广西南宁市良庆区凯旋路16号广西裕达集团南宁五象总部基地广东大厦十八楼</w:t>
      </w:r>
    </w:p>
    <w:p>
      <w:pPr>
        <w:spacing w:line="360" w:lineRule="auto"/>
        <w:ind w:firstLine="424" w:firstLineChars="202"/>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联系电话: 0771-5590176</w:t>
      </w:r>
    </w:p>
    <w:p>
      <w:pPr>
        <w:spacing w:line="360" w:lineRule="auto"/>
        <w:ind w:firstLine="424" w:firstLineChars="202"/>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3.项目联系方式</w:t>
      </w:r>
    </w:p>
    <w:p>
      <w:pPr>
        <w:spacing w:line="360" w:lineRule="auto"/>
        <w:ind w:firstLine="424" w:firstLineChars="202"/>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项目联系人：陆珍花、奉云、农英民</w:t>
      </w:r>
    </w:p>
    <w:p>
      <w:pPr>
        <w:spacing w:line="360" w:lineRule="auto"/>
        <w:ind w:firstLine="424" w:firstLineChars="202"/>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电　话：0771-5590176</w:t>
      </w:r>
    </w:p>
    <w:p>
      <w:pPr>
        <w:spacing w:line="360" w:lineRule="auto"/>
        <w:rPr>
          <w:rFonts w:ascii="宋体" w:hAnsi="宋体"/>
          <w:color w:val="auto"/>
          <w:szCs w:val="21"/>
          <w:highlight w:val="none"/>
        </w:rPr>
      </w:pPr>
    </w:p>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r>
        <w:rPr>
          <w:rFonts w:ascii="仿宋_GB2312" w:hAnsi="宋体" w:eastAsia="仿宋_GB2312"/>
          <w:color w:val="auto"/>
          <w:sz w:val="24"/>
          <w:szCs w:val="20"/>
          <w:highlight w:val="none"/>
        </w:rPr>
        <w:br w:type="page"/>
      </w:r>
      <w:bookmarkStart w:id="44" w:name="_Toc28676"/>
      <w:bookmarkStart w:id="45" w:name="_Toc27979"/>
      <w:r>
        <w:rPr>
          <w:rFonts w:hint="eastAsia"/>
          <w:color w:val="auto"/>
          <w:highlight w:val="none"/>
        </w:rPr>
        <w:t>第二章  采购需求</w:t>
      </w:r>
      <w:bookmarkEnd w:id="44"/>
      <w:bookmarkEnd w:id="45"/>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cs="宋体"/>
          <w:szCs w:val="21"/>
        </w:rPr>
      </w:pPr>
      <w:r>
        <w:rPr>
          <w:rFonts w:hint="eastAsia" w:ascii="宋体" w:hAnsi="宋体" w:cs="宋体"/>
          <w:szCs w:val="21"/>
        </w:rPr>
        <w:t>说明：</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宋体"/>
          <w:szCs w:val="21"/>
        </w:rPr>
      </w:pPr>
      <w:r>
        <w:rPr>
          <w:rFonts w:hint="eastAsia" w:ascii="宋体" w:hAnsi="宋体" w:cs="宋体"/>
        </w:rPr>
        <w:t>1. 为落实政府采购政策需满足的要求: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宋体"/>
          <w:szCs w:val="21"/>
        </w:rPr>
      </w:pPr>
      <w:r>
        <w:rPr>
          <w:rFonts w:hint="eastAsia" w:ascii="宋体" w:hAnsi="宋体" w:cs="宋体"/>
          <w:szCs w:val="21"/>
        </w:rPr>
        <w:t>（1）本</w:t>
      </w:r>
      <w:r>
        <w:rPr>
          <w:rFonts w:hint="eastAsia" w:ascii="宋体" w:hAnsi="宋体" w:cs="宋体"/>
          <w:szCs w:val="21"/>
          <w:lang w:val="en-US" w:eastAsia="zh-CN"/>
        </w:rPr>
        <w:t>项目</w:t>
      </w:r>
      <w:r>
        <w:rPr>
          <w:rFonts w:hint="eastAsia" w:ascii="宋体" w:hAnsi="宋体" w:cs="宋体"/>
          <w:szCs w:val="21"/>
        </w:rPr>
        <w:t>采购文件所称中小企业必须符合《政府采购促进中小企业发展管理办法》（财库〔2020〕46号）的规定。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380" w:lineRule="exact"/>
        <w:ind w:firstLine="424" w:firstLineChars="202"/>
        <w:jc w:val="left"/>
        <w:textAlignment w:val="auto"/>
        <w:rPr>
          <w:rFonts w:hint="eastAsia" w:ascii="宋体" w:hAnsi="宋体" w:cs="宋体"/>
          <w:szCs w:val="21"/>
        </w:rPr>
      </w:pPr>
      <w:r>
        <w:rPr>
          <w:rFonts w:hint="eastAsia" w:ascii="宋体" w:hAnsi="宋体" w:cs="宋体"/>
          <w:szCs w:val="21"/>
        </w:rPr>
        <w:t>2.</w:t>
      </w:r>
      <w:r>
        <w:rPr>
          <w:rFonts w:hint="eastAsia" w:ascii="宋体" w:hAnsi="宋体" w:cs="宋体"/>
          <w:b/>
          <w:bCs/>
          <w:szCs w:val="21"/>
        </w:rPr>
        <w:t xml:space="preserve"> “实质性要求”是指采购需求中带“▲”的条款或者不能负偏离的条款或者已经指明不满足按响应文件按无效处理的条款。</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bCs/>
          <w:szCs w:val="21"/>
          <w:lang w:eastAsia="zh-CN"/>
        </w:rPr>
      </w:pPr>
      <w:r>
        <w:rPr>
          <w:rFonts w:hint="eastAsia" w:ascii="宋体" w:hAnsi="宋体" w:cs="宋体"/>
          <w:szCs w:val="21"/>
        </w:rPr>
        <w:t>3.</w:t>
      </w:r>
      <w:r>
        <w:rPr>
          <w:rFonts w:hint="eastAsia" w:ascii="宋体" w:hAnsi="宋体" w:cs="宋体"/>
        </w:rPr>
        <w:t>所属行业：</w:t>
      </w:r>
      <w:r>
        <w:rPr>
          <w:rFonts w:ascii="宋体" w:hAnsi="宋体" w:eastAsia="宋体" w:cs="宋体"/>
          <w:b/>
          <w:bCs/>
          <w:spacing w:val="-1"/>
          <w:sz w:val="21"/>
          <w:szCs w:val="21"/>
        </w:rPr>
        <w:t>本项目采购标的所属行业：其他未列明行业</w:t>
      </w:r>
      <w:r>
        <w:rPr>
          <w:rFonts w:hint="eastAsia" w:ascii="宋体" w:hAnsi="宋体" w:eastAsia="宋体" w:cs="宋体"/>
          <w:b/>
          <w:bCs/>
          <w:spacing w:val="-1"/>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cs="宋体"/>
          <w:b/>
          <w:bCs/>
          <w:szCs w:val="21"/>
          <w:lang w:eastAsia="zh-CN"/>
        </w:rPr>
      </w:pP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采购预算：</w:t>
      </w:r>
      <w:r>
        <w:rPr>
          <w:rFonts w:hint="eastAsia" w:ascii="宋体" w:hAnsi="宋体" w:cs="宋体"/>
          <w:b/>
          <w:bCs/>
          <w:szCs w:val="21"/>
          <w:lang w:val="en-US" w:eastAsia="zh-CN"/>
        </w:rPr>
        <w:t>150万</w:t>
      </w:r>
      <w:r>
        <w:rPr>
          <w:rFonts w:ascii="宋体" w:hAnsi="宋体" w:cs="宋体"/>
          <w:b/>
          <w:bCs/>
          <w:szCs w:val="21"/>
        </w:rPr>
        <w:t>元；最高限价</w:t>
      </w:r>
      <w:r>
        <w:rPr>
          <w:rFonts w:hint="eastAsia" w:ascii="宋体" w:hAnsi="宋体" w:cs="宋体"/>
          <w:b/>
          <w:bCs/>
          <w:szCs w:val="21"/>
          <w:lang w:val="en-US" w:eastAsia="zh-CN"/>
        </w:rPr>
        <w:t>150万</w:t>
      </w:r>
      <w:r>
        <w:rPr>
          <w:rFonts w:ascii="宋体" w:hAnsi="宋体" w:cs="宋体"/>
          <w:b/>
          <w:bCs/>
          <w:szCs w:val="21"/>
        </w:rPr>
        <w:t>元</w:t>
      </w:r>
      <w:r>
        <w:rPr>
          <w:rFonts w:hint="eastAsia" w:ascii="宋体" w:hAnsi="宋体" w:cs="宋体"/>
          <w:b/>
          <w:bCs/>
          <w:szCs w:val="21"/>
          <w:lang w:eastAsia="zh-CN"/>
        </w:rPr>
        <w:t>。</w:t>
      </w:r>
    </w:p>
    <w:tbl>
      <w:tblPr>
        <w:tblStyle w:val="26"/>
        <w:tblpPr w:leftFromText="180" w:rightFromText="180" w:vertAnchor="text" w:horzAnchor="page" w:tblpX="1688" w:tblpY="221"/>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1"/>
        <w:gridCol w:w="563"/>
        <w:gridCol w:w="156"/>
        <w:gridCol w:w="559"/>
        <w:gridCol w:w="6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562" w:type="pct"/>
            <w:vAlign w:val="top"/>
          </w:tcPr>
          <w:p>
            <w:pPr>
              <w:spacing w:line="241" w:lineRule="auto"/>
              <w:rPr>
                <w:rFonts w:ascii="Arial"/>
                <w:sz w:val="21"/>
                <w:szCs w:val="21"/>
              </w:rPr>
            </w:pPr>
          </w:p>
          <w:p>
            <w:pPr>
              <w:pStyle w:val="27"/>
              <w:spacing w:before="72" w:line="220" w:lineRule="auto"/>
              <w:ind w:left="114"/>
              <w:rPr>
                <w:sz w:val="21"/>
                <w:szCs w:val="21"/>
              </w:rPr>
            </w:pPr>
            <w:r>
              <w:rPr>
                <w:spacing w:val="2"/>
                <w:sz w:val="21"/>
                <w:szCs w:val="21"/>
              </w:rPr>
              <w:t>标项名称</w:t>
            </w:r>
          </w:p>
        </w:tc>
        <w:tc>
          <w:tcPr>
            <w:tcW w:w="411" w:type="pct"/>
            <w:gridSpan w:val="2"/>
            <w:vAlign w:val="top"/>
          </w:tcPr>
          <w:p>
            <w:pPr>
              <w:spacing w:line="241" w:lineRule="auto"/>
              <w:rPr>
                <w:rFonts w:ascii="Arial"/>
                <w:sz w:val="21"/>
                <w:szCs w:val="21"/>
              </w:rPr>
            </w:pPr>
          </w:p>
          <w:p>
            <w:pPr>
              <w:pStyle w:val="27"/>
              <w:spacing w:before="71" w:line="219" w:lineRule="auto"/>
              <w:ind w:left="180"/>
              <w:rPr>
                <w:sz w:val="21"/>
                <w:szCs w:val="21"/>
              </w:rPr>
            </w:pPr>
            <w:r>
              <w:rPr>
                <w:spacing w:val="-3"/>
                <w:sz w:val="21"/>
                <w:szCs w:val="21"/>
              </w:rPr>
              <w:t>数量</w:t>
            </w:r>
          </w:p>
        </w:tc>
        <w:tc>
          <w:tcPr>
            <w:tcW w:w="320" w:type="pct"/>
            <w:vAlign w:val="top"/>
          </w:tcPr>
          <w:p>
            <w:pPr>
              <w:spacing w:line="241" w:lineRule="auto"/>
              <w:rPr>
                <w:rFonts w:ascii="Arial"/>
                <w:sz w:val="21"/>
                <w:szCs w:val="21"/>
              </w:rPr>
            </w:pPr>
          </w:p>
          <w:p>
            <w:pPr>
              <w:pStyle w:val="27"/>
              <w:spacing w:before="72" w:line="220" w:lineRule="auto"/>
              <w:ind w:left="92"/>
              <w:rPr>
                <w:sz w:val="21"/>
                <w:szCs w:val="21"/>
              </w:rPr>
            </w:pPr>
            <w:r>
              <w:rPr>
                <w:color w:val="304040"/>
                <w:spacing w:val="-3"/>
                <w:sz w:val="21"/>
                <w:szCs w:val="21"/>
              </w:rPr>
              <w:t>单位</w:t>
            </w:r>
          </w:p>
        </w:tc>
        <w:tc>
          <w:tcPr>
            <w:tcW w:w="3705" w:type="pct"/>
            <w:vAlign w:val="top"/>
          </w:tcPr>
          <w:p>
            <w:pPr>
              <w:spacing w:line="241" w:lineRule="auto"/>
              <w:rPr>
                <w:rFonts w:ascii="Arial"/>
                <w:sz w:val="21"/>
                <w:szCs w:val="21"/>
              </w:rPr>
            </w:pPr>
          </w:p>
          <w:p>
            <w:pPr>
              <w:pStyle w:val="27"/>
              <w:spacing w:before="71" w:line="219" w:lineRule="auto"/>
              <w:ind w:firstLine="2472" w:firstLineChars="1200"/>
              <w:rPr>
                <w:sz w:val="21"/>
                <w:szCs w:val="21"/>
              </w:rPr>
            </w:pPr>
            <w:r>
              <w:rPr>
                <w:color w:val="404040"/>
                <w:spacing w:val="-2"/>
                <w:sz w:val="21"/>
                <w:szCs w:val="21"/>
              </w:rPr>
              <w:t>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562" w:type="pct"/>
            <w:vAlign w:val="top"/>
          </w:tcPr>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spacing w:line="360" w:lineRule="auto"/>
              <w:rPr>
                <w:rFonts w:ascii="Arial"/>
                <w:sz w:val="21"/>
                <w:szCs w:val="21"/>
              </w:rPr>
            </w:pPr>
          </w:p>
          <w:p>
            <w:pPr>
              <w:pStyle w:val="27"/>
              <w:spacing w:before="136" w:line="360" w:lineRule="auto"/>
              <w:rPr>
                <w:sz w:val="21"/>
                <w:szCs w:val="21"/>
              </w:rPr>
            </w:pPr>
            <w:r>
              <w:rPr>
                <w:rFonts w:hint="eastAsia"/>
                <w:sz w:val="21"/>
                <w:szCs w:val="21"/>
              </w:rPr>
              <w:t>广西来宾市忻城县2026年和美乡村建设项目设计服务</w:t>
            </w:r>
          </w:p>
        </w:tc>
        <w:tc>
          <w:tcPr>
            <w:tcW w:w="411" w:type="pct"/>
            <w:gridSpan w:val="2"/>
            <w:vAlign w:val="top"/>
          </w:tcPr>
          <w:p>
            <w:pPr>
              <w:pStyle w:val="27"/>
              <w:spacing w:before="72" w:line="360" w:lineRule="auto"/>
              <w:jc w:val="distribute"/>
              <w:rPr>
                <w:rFonts w:hint="eastAsia"/>
                <w:sz w:val="21"/>
                <w:szCs w:val="21"/>
                <w:lang w:val="en-US" w:eastAsia="zh-CN"/>
              </w:rPr>
            </w:pPr>
          </w:p>
          <w:p>
            <w:pPr>
              <w:pStyle w:val="27"/>
              <w:spacing w:before="72" w:line="360" w:lineRule="auto"/>
              <w:jc w:val="distribute"/>
              <w:rPr>
                <w:rFonts w:hint="eastAsia"/>
                <w:sz w:val="21"/>
                <w:szCs w:val="21"/>
                <w:lang w:val="en-US" w:eastAsia="zh-CN"/>
              </w:rPr>
            </w:pPr>
          </w:p>
          <w:p>
            <w:pPr>
              <w:pStyle w:val="27"/>
              <w:spacing w:before="72" w:line="360" w:lineRule="auto"/>
              <w:jc w:val="distribute"/>
              <w:rPr>
                <w:rFonts w:hint="eastAsia"/>
                <w:sz w:val="21"/>
                <w:szCs w:val="21"/>
                <w:lang w:val="en-US" w:eastAsia="zh-CN"/>
              </w:rPr>
            </w:pPr>
          </w:p>
          <w:p>
            <w:pPr>
              <w:pStyle w:val="27"/>
              <w:spacing w:before="72" w:line="360" w:lineRule="auto"/>
              <w:jc w:val="distribute"/>
              <w:rPr>
                <w:rFonts w:hint="eastAsia"/>
                <w:sz w:val="21"/>
                <w:szCs w:val="21"/>
                <w:lang w:val="en-US" w:eastAsia="zh-CN"/>
              </w:rPr>
            </w:pPr>
          </w:p>
          <w:p>
            <w:pPr>
              <w:pStyle w:val="27"/>
              <w:spacing w:before="72" w:line="360" w:lineRule="auto"/>
              <w:jc w:val="distribute"/>
              <w:rPr>
                <w:rFonts w:hint="default" w:eastAsia="宋体"/>
                <w:sz w:val="21"/>
                <w:szCs w:val="21"/>
                <w:lang w:val="en-US" w:eastAsia="zh-CN"/>
              </w:rPr>
            </w:pPr>
            <w:r>
              <w:rPr>
                <w:rFonts w:hint="eastAsia"/>
                <w:sz w:val="21"/>
                <w:szCs w:val="21"/>
                <w:lang w:val="en-US" w:eastAsia="zh-CN"/>
              </w:rPr>
              <w:t>1</w:t>
            </w:r>
          </w:p>
        </w:tc>
        <w:tc>
          <w:tcPr>
            <w:tcW w:w="320" w:type="pct"/>
            <w:vAlign w:val="top"/>
          </w:tcPr>
          <w:p>
            <w:pPr>
              <w:pStyle w:val="27"/>
              <w:spacing w:before="72" w:line="360" w:lineRule="auto"/>
              <w:ind w:left="0" w:leftChars="0"/>
              <w:jc w:val="distribute"/>
              <w:rPr>
                <w:rFonts w:hint="eastAsia"/>
                <w:sz w:val="21"/>
                <w:szCs w:val="21"/>
                <w:lang w:val="en-US" w:eastAsia="zh-CN"/>
              </w:rPr>
            </w:pPr>
          </w:p>
          <w:p>
            <w:pPr>
              <w:pStyle w:val="27"/>
              <w:spacing w:before="72" w:line="360" w:lineRule="auto"/>
              <w:ind w:left="0" w:leftChars="0"/>
              <w:jc w:val="distribute"/>
              <w:rPr>
                <w:rFonts w:hint="eastAsia"/>
                <w:sz w:val="21"/>
                <w:szCs w:val="21"/>
                <w:lang w:val="en-US" w:eastAsia="zh-CN"/>
              </w:rPr>
            </w:pPr>
          </w:p>
          <w:p>
            <w:pPr>
              <w:pStyle w:val="27"/>
              <w:spacing w:before="72" w:line="360" w:lineRule="auto"/>
              <w:ind w:left="0" w:leftChars="0"/>
              <w:jc w:val="distribute"/>
              <w:rPr>
                <w:rFonts w:hint="eastAsia"/>
                <w:sz w:val="21"/>
                <w:szCs w:val="21"/>
                <w:lang w:val="en-US" w:eastAsia="zh-CN"/>
              </w:rPr>
            </w:pPr>
          </w:p>
          <w:p>
            <w:pPr>
              <w:pStyle w:val="27"/>
              <w:spacing w:before="72" w:line="360" w:lineRule="auto"/>
              <w:ind w:left="0" w:leftChars="0"/>
              <w:jc w:val="distribute"/>
              <w:rPr>
                <w:rFonts w:hint="eastAsia"/>
                <w:sz w:val="21"/>
                <w:szCs w:val="21"/>
                <w:lang w:val="en-US" w:eastAsia="zh-CN"/>
              </w:rPr>
            </w:pPr>
          </w:p>
          <w:p>
            <w:pPr>
              <w:pStyle w:val="27"/>
              <w:spacing w:before="72" w:line="360" w:lineRule="auto"/>
              <w:ind w:left="0" w:leftChars="0"/>
              <w:jc w:val="distribute"/>
              <w:rPr>
                <w:rFonts w:hint="default" w:eastAsia="宋体"/>
                <w:sz w:val="21"/>
                <w:szCs w:val="21"/>
                <w:lang w:val="en-US" w:eastAsia="zh-CN"/>
              </w:rPr>
            </w:pPr>
            <w:r>
              <w:rPr>
                <w:rFonts w:hint="eastAsia"/>
                <w:sz w:val="21"/>
                <w:szCs w:val="21"/>
                <w:lang w:val="en-US" w:eastAsia="zh-CN"/>
              </w:rPr>
              <w:t>项</w:t>
            </w:r>
          </w:p>
        </w:tc>
        <w:tc>
          <w:tcPr>
            <w:tcW w:w="3705" w:type="pct"/>
            <w:vAlign w:val="top"/>
          </w:tcPr>
          <w:p>
            <w:pPr>
              <w:pStyle w:val="27"/>
              <w:numPr>
                <w:ilvl w:val="0"/>
                <w:numId w:val="0"/>
              </w:numPr>
              <w:spacing w:before="1" w:line="360" w:lineRule="auto"/>
              <w:ind w:left="82" w:leftChars="0"/>
              <w:rPr>
                <w:rFonts w:hint="eastAsia"/>
                <w:sz w:val="21"/>
                <w:szCs w:val="21"/>
              </w:rPr>
            </w:pPr>
            <w:r>
              <w:rPr>
                <w:rFonts w:hint="eastAsia" w:ascii="宋体" w:hAnsi="宋体" w:cs="宋体"/>
                <w:b/>
                <w:bCs/>
                <w:szCs w:val="21"/>
              </w:rPr>
              <w:t>▲</w:t>
            </w:r>
            <w:r>
              <w:rPr>
                <w:rFonts w:hint="eastAsia" w:ascii="宋体" w:hAnsi="宋体" w:eastAsia="宋体" w:cs="宋体"/>
                <w:kern w:val="2"/>
                <w:sz w:val="21"/>
                <w:szCs w:val="21"/>
                <w:lang w:val="en-US" w:eastAsia="en-US" w:bidi="ar-SA"/>
              </w:rPr>
              <w:t>一、</w:t>
            </w:r>
            <w:r>
              <w:rPr>
                <w:rFonts w:hint="eastAsia"/>
                <w:sz w:val="21"/>
                <w:szCs w:val="21"/>
              </w:rPr>
              <w:t>项目基本概况介绍：广西来宾市忻城县2026年和美乡村建设项目设计服务一项。</w:t>
            </w:r>
          </w:p>
          <w:p>
            <w:pPr>
              <w:pStyle w:val="27"/>
              <w:numPr>
                <w:ilvl w:val="0"/>
                <w:numId w:val="0"/>
              </w:numPr>
              <w:spacing w:before="1" w:line="360" w:lineRule="auto"/>
              <w:ind w:left="82" w:leftChars="0"/>
              <w:rPr>
                <w:rFonts w:hint="eastAsia"/>
                <w:sz w:val="21"/>
                <w:szCs w:val="21"/>
              </w:rPr>
            </w:pPr>
            <w:r>
              <w:rPr>
                <w:rFonts w:hint="eastAsia" w:ascii="宋体" w:hAnsi="宋体" w:cs="宋体"/>
                <w:b/>
                <w:bCs/>
                <w:szCs w:val="21"/>
              </w:rPr>
              <w:t>▲</w:t>
            </w:r>
            <w:r>
              <w:rPr>
                <w:rFonts w:hint="eastAsia" w:ascii="宋体" w:hAnsi="宋体" w:eastAsia="宋体" w:cs="宋体"/>
                <w:kern w:val="2"/>
                <w:sz w:val="21"/>
                <w:szCs w:val="21"/>
                <w:lang w:val="en-US" w:eastAsia="en-US" w:bidi="ar-SA"/>
              </w:rPr>
              <w:t>二、</w:t>
            </w:r>
            <w:r>
              <w:rPr>
                <w:rFonts w:hint="eastAsia"/>
                <w:sz w:val="21"/>
                <w:szCs w:val="21"/>
              </w:rPr>
              <w:t>服务质量要求：设计成果文件符合国家规定的标准、政策和现行技术规范、规程要求。</w:t>
            </w:r>
          </w:p>
          <w:p>
            <w:pPr>
              <w:pStyle w:val="27"/>
              <w:numPr>
                <w:ilvl w:val="0"/>
                <w:numId w:val="0"/>
              </w:numPr>
              <w:spacing w:before="1" w:line="360" w:lineRule="auto"/>
              <w:ind w:left="82" w:leftChars="0"/>
              <w:rPr>
                <w:rFonts w:hint="eastAsia"/>
                <w:sz w:val="21"/>
                <w:szCs w:val="21"/>
              </w:rPr>
            </w:pPr>
            <w:r>
              <w:rPr>
                <w:rFonts w:hint="eastAsia" w:ascii="宋体" w:hAnsi="宋体" w:cs="宋体"/>
                <w:b/>
                <w:bCs/>
                <w:szCs w:val="21"/>
              </w:rPr>
              <w:t>▲</w:t>
            </w:r>
            <w:r>
              <w:rPr>
                <w:rFonts w:hint="eastAsia" w:ascii="宋体" w:hAnsi="宋体" w:eastAsia="宋体" w:cs="宋体"/>
                <w:kern w:val="2"/>
                <w:sz w:val="21"/>
                <w:szCs w:val="21"/>
                <w:lang w:val="en-US" w:eastAsia="en-US" w:bidi="ar-SA"/>
              </w:rPr>
              <w:t>三、</w:t>
            </w:r>
            <w:r>
              <w:rPr>
                <w:rFonts w:hint="eastAsia"/>
                <w:sz w:val="21"/>
                <w:szCs w:val="21"/>
              </w:rPr>
              <w:t>详细服务内容：勘察设计（含初步设计概算）、施工图设计（含施工工程预算编制）等相关设计预算服务工作，要求协助采购人获得上级主管部门对本项目设计文件的批复。</w:t>
            </w:r>
          </w:p>
          <w:p>
            <w:pPr>
              <w:pStyle w:val="27"/>
              <w:numPr>
                <w:ilvl w:val="0"/>
                <w:numId w:val="0"/>
              </w:numPr>
              <w:spacing w:before="1" w:line="360" w:lineRule="auto"/>
              <w:ind w:left="82" w:leftChars="0"/>
              <w:rPr>
                <w:rFonts w:hint="eastAsia"/>
                <w:sz w:val="21"/>
                <w:szCs w:val="21"/>
              </w:rPr>
            </w:pPr>
            <w:r>
              <w:rPr>
                <w:rFonts w:hint="eastAsia" w:ascii="宋体" w:hAnsi="宋体" w:cs="宋体"/>
                <w:b/>
                <w:bCs/>
                <w:szCs w:val="21"/>
              </w:rPr>
              <w:t>▲</w:t>
            </w:r>
            <w:r>
              <w:rPr>
                <w:rFonts w:hint="eastAsia" w:ascii="宋体" w:hAnsi="宋体" w:eastAsia="宋体" w:cs="宋体"/>
                <w:kern w:val="2"/>
                <w:sz w:val="21"/>
                <w:szCs w:val="21"/>
                <w:lang w:val="en-US" w:eastAsia="en-US" w:bidi="ar-SA"/>
              </w:rPr>
              <w:t>四、</w:t>
            </w:r>
            <w:r>
              <w:rPr>
                <w:rFonts w:hint="eastAsia"/>
                <w:sz w:val="21"/>
                <w:szCs w:val="21"/>
              </w:rPr>
              <w:t>设计技术标准与规范</w:t>
            </w:r>
          </w:p>
          <w:p>
            <w:pPr>
              <w:pStyle w:val="27"/>
              <w:numPr>
                <w:ilvl w:val="0"/>
                <w:numId w:val="0"/>
              </w:numPr>
              <w:spacing w:before="1" w:line="360" w:lineRule="auto"/>
              <w:rPr>
                <w:rFonts w:hint="eastAsia"/>
                <w:sz w:val="21"/>
                <w:szCs w:val="21"/>
              </w:rPr>
            </w:pPr>
            <w:r>
              <w:rPr>
                <w:rFonts w:hint="eastAsia"/>
                <w:sz w:val="21"/>
                <w:szCs w:val="21"/>
                <w:lang w:val="en-US" w:eastAsia="zh-CN"/>
              </w:rPr>
              <w:t>1.</w:t>
            </w:r>
            <w:r>
              <w:rPr>
                <w:rFonts w:hint="eastAsia"/>
                <w:sz w:val="21"/>
                <w:szCs w:val="21"/>
              </w:rPr>
              <w:t>本工程的设计过程和成果均必须符合国家有关工程建设标准强制性条文、中华人民共和国国家标准和其它部委颁布的有关设计方面现行的标准、规范、规程、 定额、办法、示例。</w:t>
            </w:r>
          </w:p>
          <w:p>
            <w:pPr>
              <w:pStyle w:val="27"/>
              <w:numPr>
                <w:ilvl w:val="0"/>
                <w:numId w:val="0"/>
              </w:numPr>
              <w:spacing w:before="1" w:line="360" w:lineRule="auto"/>
              <w:rPr>
                <w:rFonts w:hint="eastAsia"/>
                <w:sz w:val="21"/>
                <w:szCs w:val="21"/>
              </w:rPr>
            </w:pPr>
            <w:r>
              <w:rPr>
                <w:rFonts w:hint="eastAsia"/>
                <w:sz w:val="21"/>
                <w:szCs w:val="21"/>
                <w:lang w:val="en-US" w:eastAsia="zh-CN"/>
              </w:rPr>
              <w:t>2.</w:t>
            </w:r>
            <w:r>
              <w:rPr>
                <w:rFonts w:hint="eastAsia"/>
                <w:sz w:val="21"/>
                <w:szCs w:val="21"/>
              </w:rPr>
              <w:t>设计人在设计工作中使用或参考上述标准、规范以外的技术标准、规范时，应征得发包人或发包人的指定代表人的同意。</w:t>
            </w:r>
          </w:p>
          <w:p>
            <w:pPr>
              <w:pStyle w:val="27"/>
              <w:numPr>
                <w:ilvl w:val="0"/>
                <w:numId w:val="0"/>
              </w:numPr>
              <w:spacing w:before="1" w:line="360" w:lineRule="auto"/>
              <w:rPr>
                <w:rFonts w:hint="eastAsia"/>
                <w:sz w:val="21"/>
                <w:szCs w:val="21"/>
              </w:rPr>
            </w:pPr>
            <w:r>
              <w:rPr>
                <w:rFonts w:hint="eastAsia"/>
                <w:sz w:val="21"/>
                <w:szCs w:val="21"/>
                <w:lang w:val="en-US" w:eastAsia="zh-CN"/>
              </w:rPr>
              <w:t>3.</w:t>
            </w:r>
            <w:r>
              <w:rPr>
                <w:rFonts w:hint="eastAsia"/>
                <w:sz w:val="21"/>
                <w:szCs w:val="21"/>
              </w:rPr>
              <w:t>在设计过程中，如果国家或有关部门颁布了新的技术标准或规范，则设计人应采用新的标准或规范进行设计。</w:t>
            </w:r>
          </w:p>
          <w:p>
            <w:pPr>
              <w:pStyle w:val="27"/>
              <w:numPr>
                <w:ilvl w:val="0"/>
                <w:numId w:val="0"/>
              </w:numPr>
              <w:spacing w:before="1" w:line="360" w:lineRule="auto"/>
              <w:rPr>
                <w:rFonts w:hint="eastAsia"/>
                <w:sz w:val="21"/>
                <w:szCs w:val="21"/>
              </w:rPr>
            </w:pPr>
            <w:r>
              <w:rPr>
                <w:rFonts w:hint="eastAsia" w:ascii="宋体" w:hAnsi="宋体" w:cs="宋体"/>
                <w:b/>
                <w:bCs/>
                <w:szCs w:val="21"/>
              </w:rPr>
              <w:t>▲</w:t>
            </w:r>
            <w:r>
              <w:rPr>
                <w:rFonts w:hint="eastAsia"/>
                <w:sz w:val="21"/>
                <w:szCs w:val="21"/>
              </w:rPr>
              <w:t>五、拟投入人员要求：</w:t>
            </w:r>
          </w:p>
          <w:p>
            <w:pPr>
              <w:pStyle w:val="27"/>
              <w:numPr>
                <w:ilvl w:val="0"/>
                <w:numId w:val="0"/>
              </w:numPr>
              <w:spacing w:before="1" w:line="360" w:lineRule="auto"/>
              <w:rPr>
                <w:rFonts w:hint="eastAsia"/>
                <w:sz w:val="21"/>
                <w:szCs w:val="21"/>
              </w:rPr>
            </w:pPr>
            <w:r>
              <w:rPr>
                <w:rFonts w:hint="eastAsia"/>
                <w:sz w:val="21"/>
                <w:szCs w:val="21"/>
              </w:rPr>
              <w:t>拟投入本项目的专业人员最低配置必须有</w:t>
            </w:r>
            <w:r>
              <w:rPr>
                <w:rFonts w:hint="eastAsia"/>
                <w:sz w:val="21"/>
                <w:szCs w:val="21"/>
                <w:lang w:val="en-US" w:eastAsia="zh-CN"/>
              </w:rPr>
              <w:t>市政公用工程类</w:t>
            </w:r>
            <w:r>
              <w:rPr>
                <w:rFonts w:hint="eastAsia"/>
                <w:sz w:val="21"/>
                <w:szCs w:val="21"/>
              </w:rPr>
              <w:t>专业2人、给排水专业 1人、电气专业1人，景观(或园林绿化)专业1人，造价专业1人。(在商务技术文件中提供项目实施人员一览表，不提供或不满足的竞标无效处理)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000" w:type="pct"/>
            <w:gridSpan w:val="5"/>
            <w:vAlign w:val="top"/>
          </w:tcPr>
          <w:p>
            <w:pPr>
              <w:pStyle w:val="27"/>
              <w:spacing w:before="93" w:line="219" w:lineRule="auto"/>
              <w:ind w:left="104"/>
              <w:rPr>
                <w:sz w:val="21"/>
                <w:szCs w:val="21"/>
              </w:rPr>
            </w:pPr>
            <w:r>
              <w:rPr>
                <w:rFonts w:hint="eastAsia" w:ascii="宋体" w:hAnsi="宋体" w:cs="宋体"/>
                <w:b/>
                <w:bCs/>
                <w:szCs w:val="21"/>
              </w:rPr>
              <w:t>▲</w:t>
            </w:r>
            <w:r>
              <w:rPr>
                <w:b/>
                <w:bCs/>
                <w:spacing w:val="-5"/>
                <w:sz w:val="21"/>
                <w:szCs w:val="21"/>
              </w:rPr>
              <w:t>一、商务条款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4" w:type="pct"/>
            <w:gridSpan w:val="2"/>
            <w:vAlign w:val="top"/>
          </w:tcPr>
          <w:p>
            <w:pPr>
              <w:pStyle w:val="27"/>
              <w:spacing w:before="136" w:line="360" w:lineRule="auto"/>
              <w:ind w:left="84"/>
              <w:rPr>
                <w:sz w:val="21"/>
                <w:szCs w:val="21"/>
              </w:rPr>
            </w:pPr>
            <w:r>
              <w:rPr>
                <w:spacing w:val="3"/>
                <w:sz w:val="21"/>
                <w:szCs w:val="21"/>
              </w:rPr>
              <w:t>提交成果时间</w:t>
            </w:r>
          </w:p>
          <w:p>
            <w:pPr>
              <w:pStyle w:val="27"/>
              <w:spacing w:before="136" w:line="360" w:lineRule="auto"/>
              <w:ind w:left="84"/>
              <w:rPr>
                <w:sz w:val="21"/>
                <w:szCs w:val="21"/>
              </w:rPr>
            </w:pPr>
            <w:r>
              <w:rPr>
                <w:color w:val="505050"/>
                <w:spacing w:val="8"/>
                <w:sz w:val="21"/>
                <w:szCs w:val="21"/>
              </w:rPr>
              <w:t>(服务时间)</w:t>
            </w:r>
          </w:p>
        </w:tc>
        <w:tc>
          <w:tcPr>
            <w:tcW w:w="4115" w:type="pct"/>
            <w:gridSpan w:val="3"/>
            <w:vAlign w:val="top"/>
          </w:tcPr>
          <w:p>
            <w:pPr>
              <w:pStyle w:val="27"/>
              <w:spacing w:before="296" w:line="360" w:lineRule="auto"/>
              <w:ind w:left="212"/>
              <w:rPr>
                <w:sz w:val="21"/>
                <w:szCs w:val="21"/>
              </w:rPr>
            </w:pPr>
            <w:r>
              <w:rPr>
                <w:rFonts w:hint="eastAsia" w:ascii="宋体" w:hAnsi="宋体" w:cs="宋体"/>
                <w:sz w:val="21"/>
                <w:szCs w:val="21"/>
              </w:rPr>
              <w:t>自合同签订之日起</w:t>
            </w:r>
            <w:r>
              <w:rPr>
                <w:rFonts w:hint="eastAsia" w:ascii="宋体" w:hAnsi="宋体" w:cs="宋体"/>
                <w:sz w:val="21"/>
                <w:szCs w:val="21"/>
                <w:lang w:val="en-US" w:eastAsia="zh-CN"/>
              </w:rPr>
              <w:t>30日内</w:t>
            </w:r>
            <w:r>
              <w:rPr>
                <w:rFonts w:hint="eastAsia" w:ascii="宋体" w:hAnsi="宋体" w:cs="宋体"/>
                <w:sz w:val="21"/>
                <w:szCs w:val="21"/>
              </w:rPr>
              <w:t>完成本项目的全部服务内容</w:t>
            </w:r>
            <w:r>
              <w:rPr>
                <w:rFonts w:hint="eastAsia" w:ascii="宋体" w:hAnsi="宋体" w:cs="宋体"/>
                <w:sz w:val="21"/>
                <w:szCs w:val="21"/>
                <w:lang w:eastAsia="zh-CN"/>
              </w:rPr>
              <w:t>，</w:t>
            </w:r>
            <w:r>
              <w:rPr>
                <w:rFonts w:hint="eastAsia" w:ascii="宋体" w:hAnsi="宋体" w:cs="宋体"/>
                <w:sz w:val="21"/>
                <w:szCs w:val="21"/>
                <w:lang w:val="en-US" w:eastAsia="zh-CN"/>
              </w:rPr>
              <w:t>提交成果文件。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84" w:type="pct"/>
            <w:gridSpan w:val="2"/>
            <w:vAlign w:val="top"/>
          </w:tcPr>
          <w:p>
            <w:pPr>
              <w:pStyle w:val="27"/>
              <w:spacing w:before="269" w:line="360" w:lineRule="auto"/>
              <w:ind w:left="84"/>
              <w:rPr>
                <w:sz w:val="21"/>
                <w:szCs w:val="21"/>
              </w:rPr>
            </w:pPr>
            <w:r>
              <w:rPr>
                <w:spacing w:val="3"/>
                <w:sz w:val="21"/>
                <w:szCs w:val="21"/>
              </w:rPr>
              <w:t>合同签订时间</w:t>
            </w:r>
          </w:p>
        </w:tc>
        <w:tc>
          <w:tcPr>
            <w:tcW w:w="4115" w:type="pct"/>
            <w:gridSpan w:val="3"/>
            <w:vAlign w:val="top"/>
          </w:tcPr>
          <w:p>
            <w:pPr>
              <w:pStyle w:val="27"/>
              <w:spacing w:before="275" w:line="360" w:lineRule="auto"/>
              <w:ind w:left="212"/>
              <w:rPr>
                <w:sz w:val="21"/>
                <w:szCs w:val="21"/>
              </w:rPr>
            </w:pPr>
            <w:r>
              <w:rPr>
                <w:spacing w:val="-1"/>
                <w:sz w:val="21"/>
                <w:szCs w:val="21"/>
              </w:rPr>
              <w:t>自成交通知书发出之日起</w:t>
            </w:r>
            <w:r>
              <w:rPr>
                <w:rFonts w:hint="eastAsia"/>
                <w:spacing w:val="-1"/>
                <w:sz w:val="21"/>
                <w:szCs w:val="21"/>
                <w:lang w:val="en-US" w:eastAsia="zh-CN"/>
              </w:rPr>
              <w:t>25</w:t>
            </w:r>
            <w:r>
              <w:rPr>
                <w:spacing w:val="-1"/>
                <w:sz w:val="21"/>
                <w:szCs w:val="21"/>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884" w:type="pct"/>
            <w:gridSpan w:val="2"/>
            <w:vAlign w:val="top"/>
          </w:tcPr>
          <w:p>
            <w:pPr>
              <w:spacing w:line="360" w:lineRule="auto"/>
              <w:rPr>
                <w:rFonts w:ascii="Arial"/>
                <w:sz w:val="21"/>
                <w:szCs w:val="21"/>
              </w:rPr>
            </w:pPr>
          </w:p>
          <w:p>
            <w:pPr>
              <w:spacing w:line="360" w:lineRule="auto"/>
              <w:rPr>
                <w:rFonts w:ascii="Arial"/>
                <w:sz w:val="21"/>
                <w:szCs w:val="21"/>
              </w:rPr>
            </w:pPr>
          </w:p>
          <w:p>
            <w:pPr>
              <w:pStyle w:val="27"/>
              <w:spacing w:before="72" w:line="360" w:lineRule="auto"/>
              <w:ind w:left="84"/>
              <w:rPr>
                <w:sz w:val="21"/>
                <w:szCs w:val="21"/>
              </w:rPr>
            </w:pPr>
            <w:r>
              <w:rPr>
                <w:spacing w:val="-2"/>
                <w:sz w:val="21"/>
                <w:szCs w:val="21"/>
              </w:rPr>
              <w:t>报价要求</w:t>
            </w:r>
          </w:p>
        </w:tc>
        <w:tc>
          <w:tcPr>
            <w:tcW w:w="4115" w:type="pct"/>
            <w:gridSpan w:val="3"/>
            <w:vAlign w:val="top"/>
          </w:tcPr>
          <w:p>
            <w:pPr>
              <w:pStyle w:val="27"/>
              <w:spacing w:before="156" w:line="360" w:lineRule="auto"/>
              <w:ind w:left="212"/>
              <w:rPr>
                <w:sz w:val="21"/>
                <w:szCs w:val="21"/>
              </w:rPr>
            </w:pPr>
            <w:r>
              <w:rPr>
                <w:spacing w:val="12"/>
                <w:sz w:val="21"/>
                <w:szCs w:val="21"/>
              </w:rPr>
              <w:t>(1)服务的价格；</w:t>
            </w:r>
          </w:p>
          <w:p>
            <w:pPr>
              <w:pStyle w:val="27"/>
              <w:spacing w:before="132" w:line="360" w:lineRule="auto"/>
              <w:ind w:left="212"/>
              <w:rPr>
                <w:sz w:val="21"/>
                <w:szCs w:val="21"/>
              </w:rPr>
            </w:pPr>
            <w:r>
              <w:rPr>
                <w:spacing w:val="6"/>
                <w:sz w:val="21"/>
                <w:szCs w:val="21"/>
              </w:rPr>
              <w:t>(2)必要的保险费用和各项税金；</w:t>
            </w:r>
          </w:p>
          <w:p>
            <w:pPr>
              <w:pStyle w:val="27"/>
              <w:spacing w:before="156" w:line="360" w:lineRule="auto"/>
              <w:ind w:left="212" w:firstLine="9"/>
              <w:rPr>
                <w:sz w:val="21"/>
                <w:szCs w:val="21"/>
              </w:rPr>
            </w:pPr>
            <w:r>
              <w:rPr>
                <w:spacing w:val="-7"/>
                <w:sz w:val="21"/>
                <w:szCs w:val="21"/>
              </w:rPr>
              <w:t>(3)实施和完成工作所需的劳务费、技术服务费、交通、通信、办公场地、</w:t>
            </w:r>
            <w:r>
              <w:rPr>
                <w:spacing w:val="-8"/>
                <w:sz w:val="21"/>
                <w:szCs w:val="21"/>
              </w:rPr>
              <w:t>管理费、税</w:t>
            </w:r>
            <w:r>
              <w:rPr>
                <w:spacing w:val="-2"/>
                <w:sz w:val="21"/>
                <w:szCs w:val="21"/>
              </w:rPr>
              <w:t>费和利润等费用和政策性文件规定及合同包含的所有风险、责任等各项(所有费</w:t>
            </w:r>
            <w:r>
              <w:rPr>
                <w:spacing w:val="-3"/>
                <w:sz w:val="21"/>
                <w:szCs w:val="21"/>
              </w:rPr>
              <w:t>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884" w:type="pct"/>
            <w:gridSpan w:val="2"/>
            <w:vAlign w:val="top"/>
          </w:tcPr>
          <w:p>
            <w:pPr>
              <w:pStyle w:val="27"/>
              <w:spacing w:before="72" w:line="360" w:lineRule="auto"/>
              <w:ind w:left="84"/>
              <w:rPr>
                <w:rFonts w:hint="eastAsia" w:eastAsia="宋体"/>
                <w:sz w:val="21"/>
                <w:szCs w:val="21"/>
                <w:lang w:val="en-US" w:eastAsia="zh-CN"/>
              </w:rPr>
            </w:pPr>
            <w:r>
              <w:rPr>
                <w:rFonts w:hint="eastAsia"/>
                <w:sz w:val="21"/>
                <w:szCs w:val="21"/>
                <w:lang w:val="en-US" w:eastAsia="zh-CN"/>
              </w:rPr>
              <w:t>其他要求</w:t>
            </w:r>
          </w:p>
        </w:tc>
        <w:tc>
          <w:tcPr>
            <w:tcW w:w="4115" w:type="pct"/>
            <w:gridSpan w:val="3"/>
            <w:vAlign w:val="top"/>
          </w:tcPr>
          <w:p>
            <w:pPr>
              <w:pStyle w:val="27"/>
              <w:spacing w:before="92" w:line="360" w:lineRule="auto"/>
              <w:ind w:left="81"/>
              <w:rPr>
                <w:rFonts w:hint="eastAsia"/>
                <w:sz w:val="21"/>
                <w:szCs w:val="21"/>
              </w:rPr>
            </w:pPr>
            <w:r>
              <w:rPr>
                <w:rFonts w:hint="eastAsia"/>
                <w:sz w:val="21"/>
                <w:szCs w:val="21"/>
              </w:rPr>
              <w:t>(1)在履行本合同期间及以后，成交方未经采购人同意不得就本合同与任何第三方签订合同。否则，承担所有经济和法律责任。</w:t>
            </w:r>
          </w:p>
          <w:p>
            <w:pPr>
              <w:pStyle w:val="27"/>
              <w:spacing w:before="92" w:line="360" w:lineRule="auto"/>
              <w:ind w:left="81"/>
              <w:rPr>
                <w:sz w:val="21"/>
                <w:szCs w:val="21"/>
              </w:rPr>
            </w:pPr>
            <w:r>
              <w:rPr>
                <w:rFonts w:hint="eastAsia"/>
                <w:sz w:val="21"/>
                <w:szCs w:val="21"/>
              </w:rPr>
              <w:t>(2)成交方若无法在规定的时间内提交服务，采购人有权终止合同，并上报采购监督</w:t>
            </w:r>
            <w:r>
              <w:rPr>
                <w:rFonts w:hint="eastAsia"/>
                <w:sz w:val="21"/>
                <w:szCs w:val="21"/>
                <w:lang w:val="en-US" w:eastAsia="zh-CN"/>
              </w:rPr>
              <w:t>部</w:t>
            </w:r>
            <w:r>
              <w:rPr>
                <w:sz w:val="21"/>
                <w:szCs w:val="21"/>
              </w:rPr>
              <w:t>门，追究相关法律责任，对造成的损失采购人保留索赔的权利。</w:t>
            </w:r>
          </w:p>
          <w:p>
            <w:pPr>
              <w:pStyle w:val="27"/>
              <w:spacing w:before="87" w:line="360" w:lineRule="auto"/>
              <w:ind w:right="5"/>
              <w:jc w:val="center"/>
              <w:rPr>
                <w:spacing w:val="-5"/>
                <w:sz w:val="21"/>
                <w:szCs w:val="21"/>
              </w:rPr>
            </w:pPr>
            <w:r>
              <w:rPr>
                <w:spacing w:val="-5"/>
                <w:sz w:val="21"/>
                <w:szCs w:val="21"/>
              </w:rPr>
              <w:t>(3)合同履行期间，如成交人或法定代表人存在违法违规行为，在政府相关执法</w:t>
            </w:r>
          </w:p>
          <w:p>
            <w:pPr>
              <w:pStyle w:val="27"/>
              <w:spacing w:before="87" w:line="360" w:lineRule="auto"/>
              <w:ind w:right="5"/>
              <w:jc w:val="both"/>
              <w:rPr>
                <w:sz w:val="21"/>
                <w:szCs w:val="21"/>
              </w:rPr>
            </w:pPr>
            <w:r>
              <w:rPr>
                <w:spacing w:val="-5"/>
                <w:sz w:val="21"/>
                <w:szCs w:val="21"/>
              </w:rPr>
              <w:t>部门调</w:t>
            </w:r>
            <w:r>
              <w:rPr>
                <w:spacing w:val="-1"/>
                <w:sz w:val="21"/>
                <w:szCs w:val="21"/>
              </w:rPr>
              <w:t>查可被行政处罚期间，采购方可视情况中止合同。</w:t>
            </w:r>
          </w:p>
        </w:tc>
      </w:tr>
    </w:tbl>
    <w:p>
      <w:pPr>
        <w:pStyle w:val="16"/>
        <w:rPr>
          <w:rFonts w:hint="eastAsia" w:ascii="宋体" w:hAnsi="宋体" w:cs="宋体"/>
          <w:b/>
          <w:szCs w:val="21"/>
          <w:u w:val="single"/>
        </w:rPr>
      </w:pPr>
    </w:p>
    <w:p>
      <w:pPr>
        <w:widowControl/>
        <w:ind w:firstLine="585" w:firstLineChars="208"/>
        <w:rPr>
          <w:rFonts w:hint="eastAsia" w:ascii="宋体" w:hAnsi="宋体"/>
          <w:b/>
          <w:color w:val="auto"/>
          <w:kern w:val="0"/>
          <w:sz w:val="28"/>
          <w:szCs w:val="28"/>
          <w:highlight w:val="none"/>
          <w:u w:val="single"/>
        </w:rPr>
        <w:sectPr>
          <w:footerReference r:id="rId6" w:type="default"/>
          <w:pgSz w:w="11910" w:h="16840"/>
          <w:pgMar w:top="1519" w:right="1500" w:bottom="278" w:left="1680" w:header="720" w:footer="720" w:gutter="0"/>
          <w:pgNumType w:fmt="decimal" w:start="1"/>
          <w:cols w:space="720" w:num="1"/>
          <w:rtlGutter w:val="0"/>
          <w:docGrid w:linePitch="286" w:charSpace="0"/>
        </w:sectPr>
      </w:pPr>
    </w:p>
    <w:p>
      <w:pPr>
        <w:widowControl/>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w:t>
      </w:r>
    </w:p>
    <w:p>
      <w:pPr>
        <w:pStyle w:val="9"/>
        <w:jc w:val="center"/>
        <w:rPr>
          <w:rFonts w:hint="eastAsia"/>
          <w:b/>
          <w:color w:val="auto"/>
          <w:sz w:val="28"/>
          <w:szCs w:val="28"/>
          <w:highlight w:val="none"/>
        </w:rPr>
      </w:pPr>
      <w:r>
        <w:rPr>
          <w:rFonts w:hint="eastAsia"/>
          <w:b/>
          <w:color w:val="auto"/>
          <w:sz w:val="28"/>
          <w:szCs w:val="28"/>
          <w:highlight w:val="none"/>
        </w:rPr>
        <w:t>中小企业划型标准规定</w:t>
      </w:r>
    </w:p>
    <w:p>
      <w:pPr>
        <w:pStyle w:val="9"/>
        <w:jc w:val="center"/>
        <w:rPr>
          <w:rFonts w:ascii="宋体" w:hAnsi="宋体"/>
          <w:color w:val="auto"/>
          <w:sz w:val="21"/>
          <w:szCs w:val="21"/>
          <w:highlight w:val="none"/>
        </w:rPr>
      </w:pPr>
      <w:r>
        <w:rPr>
          <w:rFonts w:hint="eastAsia" w:ascii="宋体" w:hAnsi="宋体"/>
          <w:color w:val="auto"/>
          <w:szCs w:val="21"/>
          <w:highlight w:val="none"/>
        </w:rPr>
        <w:t>工信部联企业[2011]300号</w:t>
      </w:r>
    </w:p>
    <w:p>
      <w:pPr>
        <w:pStyle w:val="9"/>
        <w:rPr>
          <w:rFonts w:hint="eastAsia"/>
          <w:color w:val="auto"/>
          <w:szCs w:val="21"/>
          <w:highlight w:val="none"/>
        </w:rPr>
      </w:pPr>
    </w:p>
    <w:p>
      <w:pPr>
        <w:pStyle w:val="9"/>
        <w:rPr>
          <w:rFonts w:hint="eastAsia" w:asciiTheme="minorEastAsia" w:hAnsiTheme="minorEastAsia" w:eastAsiaTheme="minorEastAsia" w:cstheme="minorEastAsia"/>
          <w:color w:val="auto"/>
          <w:sz w:val="21"/>
          <w:szCs w:val="21"/>
          <w:highlight w:val="none"/>
        </w:rPr>
      </w:pPr>
      <w:r>
        <w:rPr>
          <w:rFonts w:hint="eastAsia"/>
          <w:color w:val="auto"/>
          <w:szCs w:val="21"/>
          <w:highlight w:val="none"/>
        </w:rPr>
        <w:t>　　</w:t>
      </w:r>
      <w:r>
        <w:rPr>
          <w:rFonts w:hint="eastAsia" w:asciiTheme="minorEastAsia" w:hAnsiTheme="minorEastAsia" w:eastAsiaTheme="minorEastAsia" w:cstheme="minorEastAsia"/>
          <w:color w:val="auto"/>
          <w:sz w:val="21"/>
          <w:szCs w:val="21"/>
          <w:highlight w:val="none"/>
        </w:rPr>
        <w:t>一、根据《中华人民共和国中小企业促进法》和《国务院关于进一步促进中小企业发展的若干意见》(国发[2009]36号)，制定本规定。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二、中小企业划分为中型、小型、微型三种类型，具体标准根据企业从业人员、营业收入、资产总额等指标，结合行业特点制定。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四、各行业划型标准为：</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五、企业类型的划分以统计部门的统计数据为依据。</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六、本规定适用于在中华人民共和国境内依法设立的各类所有制和各种组织形式的企业。个体工商户和本规定以外的行业，参照本规定进行划型。</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八、本规定由工业和信息化部、国家统计局会同有关部门根据《国民经济行业分类》修订情况和企业发展变化情况适时修订。</w:t>
      </w:r>
    </w:p>
    <w:p>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九、本规定由工业和信息化部、国家统计局会同有关部门负责解释。</w:t>
      </w:r>
    </w:p>
    <w:p>
      <w:pPr>
        <w:pStyle w:val="9"/>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十、本规定自发布之日起执行，原国家经贸委、原国家计委、财政部和国家统计局2003年颁布的《中小企业标准暂行规定》同时废止。</w:t>
      </w:r>
    </w:p>
    <w:p>
      <w:pPr>
        <w:rPr>
          <w:rFonts w:hint="eastAsia" w:asciiTheme="minorEastAsia" w:hAnsiTheme="minorEastAsia" w:eastAsiaTheme="minorEastAsia" w:cstheme="minorEastAsia"/>
          <w:color w:val="auto"/>
          <w:sz w:val="21"/>
          <w:szCs w:val="21"/>
          <w:highlight w:val="none"/>
        </w:rPr>
      </w:pPr>
    </w:p>
    <w:p>
      <w:pPr>
        <w:spacing w:before="3"/>
        <w:rPr>
          <w:rFonts w:hint="eastAsia" w:asciiTheme="minorEastAsia" w:hAnsiTheme="minorEastAsia" w:eastAsiaTheme="minorEastAsia" w:cstheme="minorEastAsia"/>
          <w:color w:val="auto"/>
          <w:sz w:val="21"/>
          <w:szCs w:val="21"/>
          <w:highlight w:val="none"/>
        </w:rPr>
      </w:pPr>
    </w:p>
    <w:p>
      <w:pPr>
        <w:widowControl/>
        <w:rPr>
          <w:rFonts w:hint="eastAsia" w:asciiTheme="minorEastAsia" w:hAnsiTheme="minorEastAsia" w:eastAsiaTheme="minorEastAsia" w:cstheme="minorEastAsia"/>
          <w:color w:val="auto"/>
          <w:sz w:val="21"/>
          <w:szCs w:val="21"/>
          <w:highlight w:val="none"/>
        </w:rPr>
        <w:sectPr>
          <w:footerReference r:id="rId8" w:type="first"/>
          <w:footerReference r:id="rId7" w:type="default"/>
          <w:pgSz w:w="11910" w:h="16840"/>
          <w:pgMar w:top="1520" w:right="1500" w:bottom="280" w:left="1680" w:header="720" w:footer="720" w:gutter="0"/>
          <w:pgNumType w:fmt="decimal"/>
          <w:cols w:space="720" w:num="1"/>
          <w:titlePg/>
          <w:docGrid w:linePitch="286" w:charSpace="0"/>
        </w:sectPr>
      </w:pPr>
    </w:p>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bookmarkStart w:id="46" w:name="_Toc25688"/>
      <w:bookmarkStart w:id="47" w:name="_Toc21011"/>
      <w:r>
        <w:rPr>
          <w:rFonts w:hint="eastAsia"/>
          <w:color w:val="auto"/>
          <w:highlight w:val="none"/>
        </w:rPr>
        <w:t>第三章  投标人须知</w:t>
      </w:r>
      <w:bookmarkEnd w:id="46"/>
      <w:bookmarkEnd w:id="47"/>
    </w:p>
    <w:p>
      <w:pPr>
        <w:jc w:val="center"/>
        <w:rPr>
          <w:rFonts w:hint="eastAsia"/>
          <w:color w:val="auto"/>
          <w:sz w:val="36"/>
          <w:szCs w:val="36"/>
          <w:highlight w:val="none"/>
        </w:rPr>
      </w:pPr>
      <w:bookmarkStart w:id="48" w:name="_Toc254970667"/>
      <w:bookmarkStart w:id="49" w:name="_Toc254970526"/>
      <w:r>
        <w:rPr>
          <w:rFonts w:hint="eastAsia"/>
          <w:color w:val="auto"/>
          <w:sz w:val="36"/>
          <w:szCs w:val="36"/>
          <w:highlight w:val="none"/>
        </w:rPr>
        <w:t>投标人须知前附表</w:t>
      </w:r>
      <w:bookmarkEnd w:id="48"/>
      <w:bookmarkEnd w:id="49"/>
    </w:p>
    <w:tbl>
      <w:tblPr>
        <w:tblStyle w:val="17"/>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bookmarkStart w:id="50" w:name="_5"/>
            <w:bookmarkEnd w:id="50"/>
            <w:bookmarkStart w:id="51" w:name="_8.1"/>
            <w:bookmarkEnd w:id="51"/>
            <w:bookmarkStart w:id="52" w:name="_9.2"/>
            <w:bookmarkEnd w:id="52"/>
            <w:r>
              <w:rPr>
                <w:rFonts w:hint="eastAsia" w:ascii="宋体" w:hAnsi="宋体"/>
                <w:color w:val="auto"/>
                <w:szCs w:val="21"/>
                <w:highlight w:val="none"/>
              </w:rPr>
              <w:t>6.1</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本项目是否接受联合体投标：否。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ascii="宋体" w:hAnsi="宋体"/>
                <w:color w:val="auto"/>
                <w:szCs w:val="21"/>
                <w:highlight w:val="none"/>
              </w:rPr>
              <w:t>6.2</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rPr>
                <w:rFonts w:ascii="宋体" w:hAnsi="宋体"/>
                <w:color w:val="auto"/>
                <w:szCs w:val="21"/>
                <w:highlight w:val="none"/>
                <w:lang w:val="en-US" w:eastAsia="zh-CN"/>
              </w:rPr>
            </w:pPr>
            <w:bookmarkStart w:id="53" w:name="_Hlk54105293"/>
            <w:r>
              <w:rPr>
                <w:rFonts w:hint="eastAsia" w:ascii="宋体" w:hAnsi="宋体"/>
                <w:color w:val="auto"/>
                <w:szCs w:val="21"/>
                <w:highlight w:val="none"/>
                <w:lang w:val="en-US" w:eastAsia="zh-CN"/>
              </w:rPr>
              <w:t>如接受联合体投标，</w:t>
            </w:r>
            <w:bookmarkEnd w:id="53"/>
            <w:r>
              <w:rPr>
                <w:rFonts w:hint="eastAsia" w:ascii="宋体" w:hAnsi="宋体"/>
                <w:color w:val="auto"/>
                <w:szCs w:val="21"/>
                <w:highlight w:val="none"/>
                <w:lang w:val="en-US" w:eastAsia="zh-CN"/>
              </w:rPr>
              <w:t>联合体投标要求如下：</w:t>
            </w:r>
          </w:p>
          <w:p>
            <w:pPr>
              <w:pStyle w:val="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两个以上投标人可以组成一个投标联合体，以一个投标人的身份共同参加投标。联合体投标的，须提供《联合体投标协议书》（格式后附）。</w:t>
            </w:r>
          </w:p>
          <w:p>
            <w:pPr>
              <w:pStyle w:val="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pPr>
              <w:pStyle w:val="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联合体各方之间必须签订联合投标协议，协议书必须明确主体方（或者牵头方）并明确约定联合体各方承担的工作和相应的责任（</w:t>
            </w:r>
            <w:r>
              <w:rPr>
                <w:rFonts w:hint="eastAsia" w:ascii="宋体" w:hAnsi="宋体"/>
                <w:b/>
                <w:color w:val="auto"/>
                <w:szCs w:val="21"/>
                <w:highlight w:val="none"/>
                <w:lang w:val="en-US" w:eastAsia="zh-CN"/>
              </w:rPr>
              <w:t>各方承担责任与义务的分工必须符合采购需求，否则，联合体投标无效</w:t>
            </w:r>
            <w:r>
              <w:rPr>
                <w:rFonts w:hint="eastAsia" w:ascii="宋体" w:hAnsi="宋体"/>
                <w:color w:val="auto"/>
                <w:szCs w:val="21"/>
                <w:highlight w:val="none"/>
                <w:lang w:val="en-US" w:eastAsia="zh-CN"/>
              </w:rPr>
              <w:t>），并将联合投标协议放入投标文件。联合体各方必须共同与采购人签订采购合同，就采购合同约定的事项对采购人承担连带责任。</w:t>
            </w:r>
          </w:p>
          <w:p>
            <w:pPr>
              <w:pStyle w:val="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以联合体形式参加政府采购活动的，联合体各方不得再单独参加或者与其他投标人另外组成联合体参加同一合同项下的政府采购活动。</w:t>
            </w:r>
          </w:p>
          <w:p>
            <w:pPr>
              <w:pStyle w:val="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联合体中有同类资质的投标人按照联合体分工承担相同工作的，应当按照资质等级较低的投标人确定资质等级。</w:t>
            </w:r>
          </w:p>
          <w:p>
            <w:pPr>
              <w:pStyle w:val="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联合体投标业绩、履约能力按照联合体各方其中较高的一方认定并计算（招标文件另有规定的除外）。</w:t>
            </w:r>
          </w:p>
          <w:p>
            <w:pPr>
              <w:pStyle w:val="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投标人为联合体的，可以由联合体中的一方或者多方共同交纳投标保证金，其交纳的保证金对联合体各方均具有约束力。</w:t>
            </w:r>
          </w:p>
          <w:p>
            <w:pPr>
              <w:pStyle w:val="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8</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☑不允许分包</w:t>
            </w:r>
          </w:p>
          <w:p>
            <w:pPr>
              <w:pStyle w:val="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□允许分包</w:t>
            </w:r>
          </w:p>
          <w:p>
            <w:pPr>
              <w:pStyle w:val="7"/>
              <w:spacing w:line="360" w:lineRule="auto"/>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分包内容：</w:t>
            </w:r>
            <w:r>
              <w:rPr>
                <w:rFonts w:hint="eastAsia" w:ascii="宋体" w:hAnsi="宋体"/>
                <w:color w:val="auto"/>
                <w:szCs w:val="21"/>
                <w:highlight w:val="none"/>
                <w:u w:val="single"/>
                <w:lang w:val="en-US" w:eastAsia="zh-CN"/>
              </w:rPr>
              <w:t xml:space="preserve">                                     。</w:t>
            </w:r>
          </w:p>
          <w:p>
            <w:pPr>
              <w:pStyle w:val="7"/>
              <w:spacing w:line="360" w:lineRule="auto"/>
              <w:jc w:val="both"/>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分包金额或者比例：</w:t>
            </w:r>
            <w:r>
              <w:rPr>
                <w:rFonts w:hint="eastAsia" w:ascii="宋体" w:hAnsi="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不组织现场考察</w:t>
            </w:r>
          </w:p>
          <w:p>
            <w:pPr>
              <w:snapToGrid w:val="0"/>
              <w:spacing w:line="360" w:lineRule="auto"/>
              <w:rPr>
                <w:rFonts w:ascii="宋体" w:hAnsi="宋体"/>
                <w:color w:val="auto"/>
                <w:szCs w:val="21"/>
                <w:highlight w:val="none"/>
              </w:rPr>
            </w:pPr>
            <w:r>
              <w:rPr>
                <w:rFonts w:hint="eastAsia" w:ascii="宋体" w:hAnsi="宋体"/>
                <w:color w:val="auto"/>
                <w:szCs w:val="21"/>
                <w:highlight w:val="none"/>
              </w:rPr>
              <w:t>□组织现场考察：</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不组织召开开标前答疑会</w:t>
            </w:r>
          </w:p>
          <w:p>
            <w:pPr>
              <w:snapToGrid w:val="0"/>
              <w:spacing w:line="360" w:lineRule="auto"/>
              <w:rPr>
                <w:rFonts w:ascii="宋体" w:hAnsi="宋体"/>
                <w:color w:val="auto"/>
                <w:szCs w:val="21"/>
                <w:highlight w:val="none"/>
              </w:rPr>
            </w:pPr>
            <w:r>
              <w:rPr>
                <w:rFonts w:hint="eastAsia" w:ascii="宋体" w:hAnsi="宋体"/>
                <w:color w:val="auto"/>
                <w:szCs w:val="21"/>
                <w:highlight w:val="none"/>
              </w:rPr>
              <w:t>□组织召开开标前答疑会</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54" w:name="_13.1"/>
            <w:bookmarkEnd w:id="54"/>
            <w:r>
              <w:rPr>
                <w:rFonts w:hint="eastAsia" w:ascii="宋体" w:hAnsi="宋体"/>
                <w:color w:val="auto"/>
                <w:szCs w:val="21"/>
                <w:highlight w:val="none"/>
              </w:rPr>
              <w:t>13</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2.开标一览表（格式后附）；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s="宋体"/>
              </w:rPr>
              <w:t>3.中小企业声明函或残疾人福利性单位声明函或监狱企业证明（格式后附）。（如有）</w:t>
            </w:r>
          </w:p>
          <w:p>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.投标人针对报价需要说明的其他文件和说明（格式自拟）。</w:t>
            </w:r>
          </w:p>
          <w:p>
            <w:pPr>
              <w:tabs>
                <w:tab w:val="left" w:pos="15"/>
              </w:tabs>
              <w:snapToGrid w:val="0"/>
              <w:spacing w:line="360" w:lineRule="auto"/>
              <w:ind w:left="15" w:firstLine="403" w:firstLineChars="191"/>
              <w:jc w:val="left"/>
              <w:rPr>
                <w:rFonts w:hint="eastAsia" w:ascii="宋体" w:hAnsi="宋体"/>
                <w:color w:val="auto"/>
                <w:szCs w:val="21"/>
                <w:highlight w:val="none"/>
              </w:rPr>
            </w:pPr>
            <w:r>
              <w:rPr>
                <w:rFonts w:hint="eastAsia" w:ascii="宋体" w:hAnsi="宋体" w:cs="宋体"/>
                <w:b/>
                <w:color w:val="auto"/>
                <w:szCs w:val="21"/>
                <w:highlight w:val="none"/>
              </w:rPr>
              <w:t>注：</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continue"/>
            <w:tcBorders>
              <w:left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55" w:name="_13.2"/>
            <w:bookmarkEnd w:id="55"/>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pPr>
              <w:pStyle w:val="7"/>
              <w:tabs>
                <w:tab w:val="left" w:pos="312"/>
              </w:tabs>
              <w:spacing w:line="360" w:lineRule="auto"/>
              <w:ind w:firstLine="420" w:firstLineChars="200"/>
              <w:rPr>
                <w:rFonts w:hint="eastAsia" w:ascii="宋体" w:hAnsi="宋体" w:cs="宋体"/>
                <w:szCs w:val="21"/>
              </w:rPr>
            </w:pPr>
            <w:r>
              <w:rPr>
                <w:rFonts w:hint="eastAsia" w:ascii="宋体" w:hAnsi="宋体" w:cs="宋体"/>
                <w:szCs w:val="21"/>
              </w:rPr>
              <w:t>1.供应商为法人或者其他组织的提供其营业执照、股权结构图等证明文件（如营业执照或者事业单位法人证书或者执业许可证或者登记证书等）；（</w:t>
            </w:r>
            <w:r>
              <w:rPr>
                <w:rFonts w:hint="eastAsia" w:ascii="宋体" w:hAnsi="宋体" w:cs="宋体"/>
                <w:b/>
                <w:szCs w:val="21"/>
              </w:rPr>
              <w:t>必须提供，否则响应文件按无效响应处理</w:t>
            </w:r>
            <w:r>
              <w:rPr>
                <w:rFonts w:hint="eastAsia" w:ascii="宋体" w:hAnsi="宋体" w:cs="宋体"/>
                <w:szCs w:val="21"/>
              </w:rPr>
              <w:t>）</w:t>
            </w:r>
          </w:p>
          <w:p>
            <w:pPr>
              <w:pStyle w:val="7"/>
              <w:spacing w:line="360" w:lineRule="auto"/>
              <w:ind w:firstLine="420" w:firstLineChars="200"/>
              <w:rPr>
                <w:rFonts w:hint="eastAsia" w:ascii="宋体" w:hAnsi="宋体" w:cs="宋体"/>
                <w:szCs w:val="21"/>
              </w:rPr>
            </w:pPr>
            <w:r>
              <w:rPr>
                <w:rFonts w:hint="eastAsia" w:ascii="宋体" w:hAnsi="宋体" w:cs="宋体"/>
                <w:szCs w:val="21"/>
              </w:rPr>
              <w:t>2.供应商依法缴纳税收的相关材料[竞标截止前半年内（不含竞标当月）连续3个月的依法缴纳税收的凭据复印件；依法免税的供应商，必须提供相应文件证明其依法免税。从成立之日起到响应文件提交截止时间止不足要求月数的，只需提供从成立之日起的依法缴纳税收相应证明文件]；</w:t>
            </w:r>
            <w:r>
              <w:rPr>
                <w:rFonts w:hint="eastAsia" w:ascii="宋体" w:hAnsi="宋体" w:cs="宋体"/>
                <w:b/>
                <w:szCs w:val="21"/>
              </w:rPr>
              <w:t>（必须提供，否则按无效投标处理）</w:t>
            </w:r>
          </w:p>
          <w:p>
            <w:pPr>
              <w:pStyle w:val="7"/>
              <w:spacing w:line="360" w:lineRule="auto"/>
              <w:ind w:firstLine="420" w:firstLineChars="200"/>
              <w:rPr>
                <w:rFonts w:hint="eastAsia" w:ascii="宋体" w:hAnsi="宋体" w:cs="宋体"/>
                <w:szCs w:val="21"/>
              </w:rPr>
            </w:pPr>
            <w:r>
              <w:rPr>
                <w:rFonts w:hint="eastAsia" w:ascii="宋体" w:hAnsi="宋体" w:cs="宋体"/>
                <w:szCs w:val="21"/>
              </w:rPr>
              <w:t>3.供应商依法缴纳社会保障资金的相关材料[竞标截止前半年内（不含竞标当月）连续3个月的依法缴纳社会保障资金的缴费凭证（专用收据或者社会保险缴纳清单或其他缴费证明材料）复印件；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szCs w:val="21"/>
              </w:rPr>
              <w:t>（必须提供，否则按无效投标处理</w:t>
            </w:r>
            <w:r>
              <w:rPr>
                <w:rFonts w:hint="eastAsia" w:ascii="宋体" w:hAnsi="宋体" w:cs="宋体"/>
                <w:szCs w:val="21"/>
              </w:rPr>
              <w:t>）</w:t>
            </w:r>
          </w:p>
          <w:p>
            <w:pPr>
              <w:pStyle w:val="7"/>
              <w:spacing w:line="360" w:lineRule="auto"/>
              <w:ind w:firstLine="420" w:firstLineChars="200"/>
              <w:rPr>
                <w:rFonts w:hint="eastAsia" w:ascii="宋体" w:hAnsi="宋体" w:cs="宋体"/>
                <w:b/>
                <w:szCs w:val="21"/>
              </w:rPr>
            </w:pPr>
            <w:r>
              <w:rPr>
                <w:rFonts w:hint="eastAsia" w:ascii="宋体" w:hAnsi="宋体" w:cs="宋体"/>
                <w:szCs w:val="21"/>
              </w:rPr>
              <w:t>4.供应商财务状况报告（2023年度或2024年度财务报表复印件或者银行出具的资信证明；竞标人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hint="eastAsia" w:ascii="宋体" w:hAnsi="宋体" w:cs="宋体"/>
                <w:b/>
                <w:szCs w:val="21"/>
              </w:rPr>
              <w:t>（除自然人外必须提供，否则按无效投标处理</w:t>
            </w:r>
            <w:r>
              <w:rPr>
                <w:rFonts w:hint="eastAsia" w:ascii="宋体" w:hAnsi="宋体" w:cs="宋体"/>
                <w:bCs/>
                <w:szCs w:val="21"/>
              </w:rPr>
              <w:t>）</w:t>
            </w:r>
          </w:p>
          <w:p>
            <w:pPr>
              <w:pStyle w:val="7"/>
              <w:spacing w:line="360" w:lineRule="auto"/>
              <w:ind w:firstLine="420" w:firstLineChars="200"/>
              <w:rPr>
                <w:rFonts w:hint="eastAsia"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pPr>
              <w:pStyle w:val="7"/>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投标</w:t>
            </w:r>
            <w:r>
              <w:rPr>
                <w:rFonts w:hint="eastAsia" w:ascii="宋体" w:hAnsi="宋体" w:cs="宋体"/>
                <w:szCs w:val="21"/>
              </w:rPr>
              <w:t>声明（格式后附）；（</w:t>
            </w:r>
            <w:r>
              <w:rPr>
                <w:rFonts w:hint="eastAsia" w:ascii="宋体" w:hAnsi="宋体" w:cs="宋体"/>
                <w:b/>
                <w:szCs w:val="21"/>
              </w:rPr>
              <w:t>必须提供，否则响应文件按无效响应处理</w:t>
            </w:r>
            <w:r>
              <w:rPr>
                <w:rFonts w:hint="eastAsia" w:ascii="宋体" w:hAnsi="宋体" w:cs="宋体"/>
                <w:szCs w:val="21"/>
              </w:rPr>
              <w:t>）</w:t>
            </w:r>
          </w:p>
          <w:p>
            <w:pPr>
              <w:pStyle w:val="7"/>
              <w:spacing w:line="360" w:lineRule="auto"/>
              <w:ind w:firstLine="420" w:firstLineChars="200"/>
              <w:rPr>
                <w:rFonts w:hint="eastAsia" w:ascii="宋体" w:hAnsi="宋体" w:cs="宋体"/>
                <w:color w:val="000000"/>
                <w:szCs w:val="21"/>
              </w:rPr>
            </w:pPr>
            <w:r>
              <w:rPr>
                <w:rFonts w:hint="eastAsia" w:ascii="宋体" w:hAnsi="宋体" w:cs="宋体"/>
                <w:szCs w:val="21"/>
              </w:rPr>
              <w:t>7.</w:t>
            </w:r>
            <w:r>
              <w:rPr>
                <w:rFonts w:hint="eastAsia" w:ascii="宋体" w:hAnsi="宋体" w:cs="宋体"/>
                <w:color w:val="000000"/>
                <w:szCs w:val="21"/>
              </w:rPr>
              <w:t>中小企业声明函（格式后附）（本项目属于专门面向中小企业采购的项目</w:t>
            </w:r>
            <w:bookmarkStart w:id="160" w:name="_GoBack"/>
            <w:bookmarkEnd w:id="160"/>
            <w:r>
              <w:rPr>
                <w:rFonts w:hint="eastAsia" w:ascii="宋体" w:hAnsi="宋体" w:cs="宋体"/>
                <w:color w:val="000000"/>
                <w:szCs w:val="21"/>
              </w:rPr>
              <w:t>，供应商应为中小微企业或监狱企业或残疾人福利性单位，并根据《政府采购促进中小企业发展管理办法》（财库[2020] 46号）中《中小企业声明函》格式要求填报及提供声明函原件或《残疾人福利性单位声明函》原件或属于监狱企业的证明文件复印件。）</w:t>
            </w:r>
            <w:r>
              <w:rPr>
                <w:rFonts w:hint="eastAsia" w:ascii="宋体" w:hAnsi="宋体" w:cs="宋体"/>
                <w:b/>
                <w:bCs/>
                <w:color w:val="000000"/>
                <w:szCs w:val="21"/>
              </w:rPr>
              <w:t>（必须提供，否则响应文件按无效响应处理）</w:t>
            </w:r>
          </w:p>
          <w:p>
            <w:pPr>
              <w:jc w:val="both"/>
              <w:rPr>
                <w:rFonts w:hint="eastAsia" w:ascii="宋体" w:hAnsi="宋体" w:cs="宋体"/>
                <w:b/>
                <w:bCs/>
                <w:color w:val="auto"/>
                <w:szCs w:val="21"/>
                <w:highlight w:val="none"/>
              </w:rPr>
            </w:pPr>
            <w:r>
              <w:rPr>
                <w:rFonts w:hint="eastAsia" w:ascii="宋体" w:hAnsi="宋体" w:cs="宋体"/>
                <w:color w:val="auto"/>
                <w:szCs w:val="21"/>
                <w:highlight w:val="none"/>
              </w:rPr>
              <w:t>8.本项目的特定资格要求：供应商须具备以下资质之一：①市政行业(道路工 程)专业设计乙级(含)以上资质及风景园林工程设计专项乙级资质；②市政行业工程设计甲级资质及风景园林工程设计专项乙级资质；③工程设计综合甲级资质；拟派项目负责人具备道路或相关专业中级(含中级)以上职称。</w:t>
            </w:r>
            <w:r>
              <w:rPr>
                <w:rFonts w:hint="eastAsia" w:ascii="宋体" w:hAnsi="宋体" w:cs="宋体"/>
                <w:b/>
                <w:bCs/>
                <w:color w:val="auto"/>
                <w:szCs w:val="21"/>
                <w:highlight w:val="none"/>
              </w:rPr>
              <w:t>(提供供应商有效的资质证书、拟派项目负责人的职称证书及供应商为其缴纳开标截止当月前半年内任意连续三个月社保凭证</w:t>
            </w:r>
            <w:r>
              <w:rPr>
                <w:rFonts w:hint="eastAsia" w:ascii="宋体" w:hAnsi="宋体" w:eastAsia="宋体" w:cs="宋体"/>
                <w:b/>
                <w:bCs w:val="0"/>
                <w:color w:val="auto"/>
                <w:kern w:val="2"/>
                <w:sz w:val="22"/>
                <w:szCs w:val="22"/>
                <w:highlight w:val="none"/>
                <w:lang w:val="en-US" w:eastAsia="zh-CN" w:bidi="ar"/>
              </w:rPr>
              <w:t>（原件或复印件）扫描件或劳动合同或工资支付记录</w:t>
            </w:r>
            <w:r>
              <w:rPr>
                <w:rFonts w:hint="eastAsia" w:ascii="宋体" w:hAnsi="宋体" w:eastAsia="宋体" w:cs="宋体"/>
                <w:b/>
                <w:bCs w:val="0"/>
                <w:color w:val="auto"/>
                <w:szCs w:val="21"/>
                <w:highlight w:val="none"/>
              </w:rPr>
              <w:t>，若为离退休返聘人员需提供相关的离退休证及聘用合同证明文件复印件。</w:t>
            </w:r>
            <w:r>
              <w:rPr>
                <w:rFonts w:hint="eastAsia" w:ascii="宋体" w:hAnsi="宋体" w:cs="宋体"/>
                <w:b/>
                <w:bCs/>
                <w:color w:val="auto"/>
                <w:szCs w:val="21"/>
                <w:highlight w:val="none"/>
              </w:rPr>
              <w:t>必须提供，否则响应文件按无效响应处理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p>
          <w:p>
            <w:pPr>
              <w:pStyle w:val="7"/>
              <w:spacing w:line="360" w:lineRule="auto"/>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除</w:t>
            </w:r>
            <w:r>
              <w:rPr>
                <w:rFonts w:hint="eastAsia" w:ascii="宋体" w:hAnsi="宋体" w:cs="宋体"/>
                <w:szCs w:val="21"/>
                <w:lang w:val="en-US" w:eastAsia="zh-CN"/>
              </w:rPr>
              <w:t>招标</w:t>
            </w:r>
            <w:r>
              <w:rPr>
                <w:rFonts w:hint="eastAsia" w:ascii="宋体" w:hAnsi="宋体" w:cs="宋体"/>
                <w:szCs w:val="21"/>
              </w:rPr>
              <w:t>文件规定必须提供以外，供应商认为需要提供的其他证明材料；</w:t>
            </w:r>
          </w:p>
          <w:p>
            <w:pPr>
              <w:pStyle w:val="7"/>
              <w:ind w:firstLine="422" w:firstLineChars="200"/>
              <w:rPr>
                <w:rFonts w:hint="eastAsia" w:ascii="宋体" w:hAnsi="宋体" w:cs="宋体"/>
                <w:b/>
                <w:szCs w:val="21"/>
              </w:rPr>
            </w:pPr>
            <w:r>
              <w:rPr>
                <w:rFonts w:hint="eastAsia" w:ascii="宋体" w:hAnsi="宋体" w:cs="宋体"/>
                <w:b/>
                <w:szCs w:val="21"/>
              </w:rPr>
              <w:t>注：</w:t>
            </w:r>
          </w:p>
          <w:p>
            <w:pPr>
              <w:pStyle w:val="7"/>
              <w:ind w:firstLine="422" w:firstLineChars="200"/>
              <w:rPr>
                <w:rFonts w:hint="eastAsia" w:ascii="宋体" w:hAnsi="宋体" w:cs="宋体"/>
                <w:b/>
                <w:szCs w:val="21"/>
              </w:rPr>
            </w:pPr>
            <w:r>
              <w:rPr>
                <w:rFonts w:hint="eastAsia" w:ascii="宋体" w:hAnsi="宋体" w:cs="宋体"/>
                <w:b/>
                <w:szCs w:val="21"/>
              </w:rPr>
              <w:t>1.以上标明“必须提供”的材料属于复印件的，必须加盖供应商</w:t>
            </w:r>
            <w:r>
              <w:rPr>
                <w:rFonts w:hint="eastAsia" w:ascii="宋体" w:hAnsi="宋体" w:cs="宋体"/>
                <w:b/>
              </w:rPr>
              <w:t>电子签章</w:t>
            </w:r>
            <w:r>
              <w:rPr>
                <w:rFonts w:hint="eastAsia" w:ascii="宋体" w:hAnsi="宋体" w:cs="宋体"/>
                <w:b/>
                <w:szCs w:val="21"/>
              </w:rPr>
              <w:t>，否则响应文件按无效处理。</w:t>
            </w:r>
          </w:p>
          <w:p>
            <w:pPr>
              <w:pStyle w:val="7"/>
              <w:spacing w:line="360" w:lineRule="auto"/>
              <w:ind w:firstLine="422" w:firstLineChars="200"/>
              <w:rPr>
                <w:rFonts w:hint="eastAsia" w:ascii="宋体" w:hAnsi="宋体" w:cs="宋体"/>
                <w:b/>
                <w:szCs w:val="21"/>
              </w:rPr>
            </w:pPr>
            <w:r>
              <w:rPr>
                <w:rFonts w:hint="eastAsia" w:ascii="宋体" w:hAnsi="宋体" w:cs="宋体"/>
                <w:b/>
                <w:szCs w:val="21"/>
              </w:rPr>
              <w:t>2.竞标声明必须由法定代表人在规定签章处签字并加盖供应商电子签章，否则响应文件按无效响应处理。</w:t>
            </w:r>
          </w:p>
          <w:p>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cs="宋体"/>
                <w:b/>
                <w:szCs w:val="21"/>
              </w:rPr>
              <w:t>3.供应商直接控股、管理关系信息表必须由法定代表人或者委托代理人在规定签章处签字并加盖供应商电子签章，否则响应文件按无效响应处理。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56" w:name="_13.3"/>
            <w:bookmarkEnd w:id="56"/>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b/>
                <w:color w:val="auto"/>
                <w:kern w:val="0"/>
                <w:highlight w:val="none"/>
                <w:u w:val="single"/>
              </w:rPr>
              <w:t>商务及技术文件</w:t>
            </w:r>
            <w:r>
              <w:rPr>
                <w:rFonts w:hint="eastAsia" w:ascii="宋体" w:hAnsi="宋体" w:cs="Courier New"/>
                <w:b/>
                <w:color w:val="auto"/>
                <w:szCs w:val="21"/>
                <w:highlight w:val="none"/>
              </w:rPr>
              <w:t>：</w:t>
            </w:r>
          </w:p>
          <w:p>
            <w:pPr>
              <w:spacing w:line="360" w:lineRule="auto"/>
              <w:rPr>
                <w:rFonts w:hint="eastAsia" w:ascii="宋体" w:hAnsi="宋体" w:cs="宋体"/>
              </w:rPr>
            </w:pPr>
            <w:r>
              <w:rPr>
                <w:rFonts w:hint="eastAsia" w:ascii="宋体" w:hAnsi="宋体" w:cs="宋体"/>
              </w:rPr>
              <w:t>1.无串通</w:t>
            </w:r>
            <w:r>
              <w:rPr>
                <w:rFonts w:hint="eastAsia" w:ascii="宋体" w:hAnsi="宋体" w:cs="宋体"/>
                <w:lang w:val="en-US" w:eastAsia="zh-CN"/>
              </w:rPr>
              <w:t>投</w:t>
            </w:r>
            <w:r>
              <w:rPr>
                <w:rFonts w:hint="eastAsia" w:ascii="宋体" w:hAnsi="宋体" w:cs="宋体"/>
              </w:rPr>
              <w:t>标行为的承诺函（格式后附）；（必须提供，否则响应文件按无效响应处理）</w:t>
            </w:r>
          </w:p>
          <w:p>
            <w:pPr>
              <w:snapToGrid w:val="0"/>
              <w:spacing w:line="360" w:lineRule="auto"/>
              <w:jc w:val="left"/>
              <w:rPr>
                <w:rFonts w:hint="eastAsia" w:ascii="宋体" w:hAnsi="宋体" w:cs="宋体"/>
              </w:rPr>
            </w:pPr>
            <w:r>
              <w:rPr>
                <w:rFonts w:hint="eastAsia" w:ascii="宋体" w:hAnsi="宋体" w:cs="宋体"/>
              </w:rPr>
              <w:t>2.法定代表人身份证明书及法定代表人有效身份证正反面复印件（格式后附）；（除自然人</w:t>
            </w:r>
            <w:r>
              <w:rPr>
                <w:rFonts w:hint="eastAsia" w:ascii="宋体" w:hAnsi="宋体" w:cs="宋体"/>
                <w:lang w:val="en-US" w:eastAsia="zh-CN"/>
              </w:rPr>
              <w:t>投</w:t>
            </w:r>
            <w:r>
              <w:rPr>
                <w:rFonts w:hint="eastAsia" w:ascii="宋体" w:hAnsi="宋体" w:cs="宋体"/>
              </w:rPr>
              <w:t>标外必须提供，否则响应文件按无效响应处理）</w:t>
            </w:r>
          </w:p>
          <w:p>
            <w:pPr>
              <w:spacing w:line="360" w:lineRule="auto"/>
              <w:rPr>
                <w:rFonts w:hint="eastAsia" w:ascii="宋体" w:hAnsi="宋体" w:cs="宋体"/>
              </w:rPr>
            </w:pPr>
            <w:r>
              <w:rPr>
                <w:rFonts w:hint="eastAsia" w:ascii="宋体" w:hAnsi="宋体" w:cs="宋体"/>
              </w:rPr>
              <w:t>3.授权委托书及委托代理人有效身份证正反面复印件（格式后附）；（委托时必须提供，否则响应文件按无效响应处理）</w:t>
            </w:r>
          </w:p>
          <w:p>
            <w:pPr>
              <w:pStyle w:val="7"/>
              <w:spacing w:line="360" w:lineRule="auto"/>
              <w:rPr>
                <w:rFonts w:hint="eastAsia" w:ascii="宋体" w:hAnsi="宋体" w:cs="宋体"/>
              </w:rPr>
            </w:pPr>
            <w:r>
              <w:rPr>
                <w:rFonts w:hint="eastAsia" w:ascii="宋体" w:hAnsi="宋体" w:cs="宋体"/>
              </w:rPr>
              <w:t>4.商务要求偏离表（格式后附）；（必须提供，否则响应文件按无效响应处理）</w:t>
            </w:r>
          </w:p>
          <w:p>
            <w:pPr>
              <w:spacing w:line="360" w:lineRule="auto"/>
              <w:rPr>
                <w:rFonts w:hint="eastAsia" w:ascii="宋体" w:hAnsi="宋体" w:cs="宋体"/>
              </w:rPr>
            </w:pPr>
            <w:r>
              <w:rPr>
                <w:rFonts w:ascii="宋体" w:hAnsi="宋体" w:cs="宋体"/>
              </w:rPr>
              <w:t>5</w:t>
            </w:r>
            <w:r>
              <w:rPr>
                <w:rFonts w:hint="eastAsia" w:ascii="宋体" w:hAnsi="宋体" w:cs="宋体"/>
              </w:rPr>
              <w:t>.服务需求偏离表（格式后附）；（必须提供，否则响应文件按无效响应处理）</w:t>
            </w:r>
          </w:p>
          <w:p>
            <w:pPr>
              <w:spacing w:line="360" w:lineRule="auto"/>
              <w:rPr>
                <w:rFonts w:hint="eastAsia" w:ascii="宋体" w:hAnsi="宋体" w:cs="宋体"/>
                <w:szCs w:val="21"/>
              </w:rPr>
            </w:pPr>
            <w:r>
              <w:rPr>
                <w:rFonts w:ascii="宋体" w:hAnsi="宋体" w:cs="宋体"/>
              </w:rPr>
              <w:t>6</w:t>
            </w:r>
            <w:r>
              <w:rPr>
                <w:rFonts w:hint="eastAsia" w:ascii="宋体" w:hAnsi="宋体" w:cs="宋体"/>
              </w:rPr>
              <w:t>.技</w:t>
            </w:r>
            <w:r>
              <w:rPr>
                <w:rFonts w:hint="eastAsia" w:ascii="宋体" w:hAnsi="宋体" w:cs="宋体"/>
                <w:szCs w:val="21"/>
              </w:rPr>
              <w:t>术</w:t>
            </w:r>
            <w:r>
              <w:rPr>
                <w:rFonts w:hint="eastAsia" w:ascii="宋体" w:hAnsi="宋体" w:cs="宋体"/>
                <w:szCs w:val="21"/>
                <w:lang w:eastAsia="zh-CN"/>
              </w:rPr>
              <w:t>（</w:t>
            </w:r>
            <w:r>
              <w:rPr>
                <w:rFonts w:hint="eastAsia" w:ascii="宋体" w:hAnsi="宋体" w:cs="宋体"/>
                <w:szCs w:val="21"/>
                <w:lang w:val="en-US" w:eastAsia="zh-CN"/>
              </w:rPr>
              <w:t>设计</w:t>
            </w:r>
            <w:r>
              <w:rPr>
                <w:rFonts w:hint="eastAsia" w:ascii="宋体" w:hAnsi="宋体" w:cs="宋体"/>
                <w:szCs w:val="21"/>
                <w:lang w:eastAsia="zh-CN"/>
              </w:rPr>
              <w:t>）</w:t>
            </w:r>
            <w:r>
              <w:rPr>
                <w:rFonts w:hint="eastAsia" w:ascii="宋体" w:hAnsi="宋体" w:cs="宋体"/>
                <w:szCs w:val="21"/>
              </w:rPr>
              <w:t>服务方案；（格式自拟，必须提供，否则响应文件按无效响应处理）</w:t>
            </w:r>
          </w:p>
          <w:p>
            <w:pPr>
              <w:spacing w:line="360" w:lineRule="auto"/>
              <w:rPr>
                <w:rFonts w:hint="eastAsia" w:ascii="宋体" w:hAnsi="宋体" w:cs="宋体"/>
                <w:szCs w:val="21"/>
              </w:rPr>
            </w:pPr>
            <w:r>
              <w:rPr>
                <w:rFonts w:ascii="宋体" w:hAnsi="宋体" w:cs="宋体"/>
                <w:szCs w:val="21"/>
              </w:rPr>
              <w:t>7</w:t>
            </w:r>
            <w:r>
              <w:rPr>
                <w:rFonts w:hint="eastAsia" w:ascii="宋体" w:hAnsi="宋体" w:cs="宋体"/>
                <w:szCs w:val="21"/>
              </w:rPr>
              <w:t>.项目实施人员一览表；（格式自拟，必须提供，否则响应文件按无效响应处理）</w:t>
            </w:r>
          </w:p>
          <w:p>
            <w:pPr>
              <w:spacing w:line="360" w:lineRule="auto"/>
              <w:rPr>
                <w:rFonts w:hint="eastAsia" w:ascii="宋体" w:hAnsi="宋体" w:cs="宋体"/>
              </w:rPr>
            </w:pPr>
            <w:r>
              <w:rPr>
                <w:rFonts w:ascii="宋体" w:hAnsi="宋体" w:cs="宋体"/>
                <w:szCs w:val="21"/>
              </w:rPr>
              <w:t>8</w:t>
            </w:r>
            <w:r>
              <w:rPr>
                <w:rFonts w:hint="eastAsia" w:ascii="宋体" w:hAnsi="宋体" w:cs="宋体"/>
                <w:szCs w:val="21"/>
              </w:rPr>
              <w:t>.对应采购需求的技术要求、商务要求提供的其他文件资料（格式自拟）；</w:t>
            </w:r>
          </w:p>
          <w:p>
            <w:pPr>
              <w:spacing w:line="360" w:lineRule="auto"/>
              <w:rPr>
                <w:rFonts w:hint="eastAsia" w:ascii="宋体" w:hAnsi="宋体" w:cs="宋体"/>
              </w:rPr>
            </w:pPr>
            <w:r>
              <w:rPr>
                <w:rFonts w:ascii="宋体" w:hAnsi="宋体" w:cs="宋体"/>
              </w:rPr>
              <w:t>9</w:t>
            </w:r>
            <w:r>
              <w:rPr>
                <w:rFonts w:hint="eastAsia" w:ascii="宋体" w:hAnsi="宋体" w:cs="宋体"/>
              </w:rPr>
              <w:t>.供应商认为需要提供的其他有关资料。</w:t>
            </w:r>
          </w:p>
          <w:p>
            <w:pPr>
              <w:snapToGrid w:val="0"/>
              <w:spacing w:line="360" w:lineRule="auto"/>
              <w:jc w:val="left"/>
              <w:rPr>
                <w:rFonts w:hint="eastAsia" w:ascii="宋体" w:hAnsi="宋体" w:cs="宋体"/>
              </w:rPr>
            </w:pPr>
            <w:r>
              <w:rPr>
                <w:rFonts w:hint="eastAsia" w:ascii="宋体" w:hAnsi="宋体" w:cs="宋体"/>
              </w:rPr>
              <w:t>注：1.法定代表人授权委托书必须由法定代表人及委托代理人签字或签章，并加盖供应商电子签章，否则响应文件按无效响应处理。</w:t>
            </w:r>
          </w:p>
          <w:p>
            <w:pPr>
              <w:snapToGrid w:val="0"/>
              <w:spacing w:line="360" w:lineRule="auto"/>
              <w:jc w:val="left"/>
              <w:rPr>
                <w:rFonts w:hint="eastAsia" w:ascii="宋体" w:hAnsi="宋体" w:cs="宋体"/>
              </w:rPr>
            </w:pPr>
            <w:r>
              <w:rPr>
                <w:rFonts w:hint="eastAsia" w:ascii="宋体" w:hAnsi="宋体" w:cs="宋体"/>
              </w:rPr>
              <w:t>2.以上标明“必须提供”的材料属于复印件的，必须加盖供应商电子签章，否则响应文件按无效响应处理。</w:t>
            </w:r>
          </w:p>
          <w:p>
            <w:pPr>
              <w:snapToGrid w:val="0"/>
              <w:spacing w:line="360" w:lineRule="auto"/>
              <w:jc w:val="left"/>
              <w:rPr>
                <w:rFonts w:hint="eastAsia" w:ascii="宋体" w:hAnsi="宋体" w:cs="Courier New"/>
                <w:b/>
                <w:color w:val="auto"/>
                <w:szCs w:val="21"/>
                <w:highlight w:val="none"/>
              </w:rPr>
            </w:pPr>
            <w:r>
              <w:rPr>
                <w:rFonts w:hint="eastAsia" w:ascii="宋体" w:hAnsi="宋体" w:cs="宋体"/>
              </w:rPr>
              <w:t>3.以上材料未附格式的，由供应商自行拟定。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1"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57" w:name="_16.2"/>
            <w:bookmarkEnd w:id="57"/>
            <w:bookmarkStart w:id="58" w:name="_13.5"/>
            <w:bookmarkEnd w:id="58"/>
            <w:bookmarkStart w:id="59" w:name="_13.4"/>
            <w:bookmarkEnd w:id="59"/>
            <w:r>
              <w:rPr>
                <w:rFonts w:hint="eastAsia" w:ascii="宋体" w:hAnsi="宋体"/>
                <w:color w:val="auto"/>
                <w:szCs w:val="21"/>
                <w:highlight w:val="none"/>
              </w:rPr>
              <w:t>16</w:t>
            </w:r>
            <w:bookmarkStart w:id="60" w:name="_Hlt19693758"/>
            <w:bookmarkStart w:id="61" w:name="_Hlt19693759"/>
            <w:bookmarkStart w:id="62" w:name="_Hlt19194066"/>
            <w:bookmarkStart w:id="63" w:name="_Hlt19194067"/>
            <w:r>
              <w:rPr>
                <w:rFonts w:hint="eastAsia" w:ascii="宋体" w:hAnsi="宋体"/>
                <w:color w:val="auto"/>
                <w:szCs w:val="21"/>
                <w:highlight w:val="none"/>
              </w:rPr>
              <w:t>.</w:t>
            </w:r>
            <w:bookmarkEnd w:id="60"/>
            <w:bookmarkEnd w:id="61"/>
            <w:bookmarkEnd w:id="62"/>
            <w:bookmarkEnd w:id="63"/>
            <w:r>
              <w:rPr>
                <w:rFonts w:hint="eastAsia" w:ascii="宋体" w:hAnsi="宋体"/>
                <w:color w:val="auto"/>
                <w:szCs w:val="21"/>
                <w:highlight w:val="none"/>
              </w:rPr>
              <w:t>2</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adjustRightInd w:val="0"/>
              <w:snapToGrid w:val="0"/>
              <w:spacing w:line="360" w:lineRule="auto"/>
              <w:ind w:firstLine="210" w:firstLineChars="100"/>
              <w:jc w:val="left"/>
              <w:rPr>
                <w:rFonts w:hint="eastAsia" w:ascii="宋体" w:hAnsi="宋体" w:cs="宋体"/>
                <w:bCs/>
                <w:szCs w:val="21"/>
              </w:rPr>
            </w:pPr>
            <w:r>
              <w:rPr>
                <w:rFonts w:hint="eastAsia" w:ascii="宋体" w:hAnsi="宋体" w:cs="宋体"/>
                <w:bCs/>
                <w:szCs w:val="21"/>
              </w:rPr>
              <w:t>报价必须包含：</w:t>
            </w:r>
          </w:p>
          <w:p>
            <w:pPr>
              <w:adjustRightInd w:val="0"/>
              <w:snapToGrid w:val="0"/>
              <w:spacing w:line="360" w:lineRule="auto"/>
              <w:ind w:firstLine="210" w:firstLineChars="100"/>
              <w:jc w:val="left"/>
              <w:rPr>
                <w:rFonts w:hint="eastAsia" w:ascii="宋体" w:hAnsi="宋体" w:cs="宋体"/>
                <w:bCs/>
                <w:szCs w:val="21"/>
              </w:rPr>
            </w:pPr>
            <w:r>
              <w:rPr>
                <w:rFonts w:hint="eastAsia" w:ascii="宋体" w:hAnsi="宋体" w:cs="宋体"/>
                <w:bCs/>
                <w:szCs w:val="21"/>
              </w:rPr>
              <w:t>（1）服务的价格；</w:t>
            </w:r>
          </w:p>
          <w:p>
            <w:pPr>
              <w:adjustRightInd w:val="0"/>
              <w:snapToGrid w:val="0"/>
              <w:spacing w:line="360" w:lineRule="auto"/>
              <w:ind w:firstLine="210" w:firstLineChars="100"/>
              <w:jc w:val="left"/>
              <w:rPr>
                <w:rFonts w:hint="eastAsia" w:ascii="宋体" w:hAnsi="宋体" w:cs="宋体"/>
                <w:bCs/>
                <w:szCs w:val="21"/>
              </w:rPr>
            </w:pPr>
            <w:r>
              <w:rPr>
                <w:rFonts w:hint="eastAsia" w:ascii="宋体" w:hAnsi="宋体" w:cs="宋体"/>
                <w:bCs/>
                <w:szCs w:val="21"/>
              </w:rPr>
              <w:t>（2）必要的保险费用和各项税金；</w:t>
            </w:r>
          </w:p>
          <w:p>
            <w:pPr>
              <w:adjustRightInd w:val="0"/>
              <w:snapToGrid w:val="0"/>
              <w:spacing w:line="360" w:lineRule="auto"/>
              <w:ind w:firstLine="210" w:firstLineChars="100"/>
              <w:jc w:val="left"/>
              <w:rPr>
                <w:rFonts w:hint="eastAsia" w:ascii="宋体" w:hAnsi="宋体" w:cs="宋体"/>
                <w:bCs/>
                <w:szCs w:val="21"/>
              </w:rPr>
            </w:pPr>
            <w:r>
              <w:rPr>
                <w:rFonts w:hint="eastAsia" w:ascii="宋体" w:hAnsi="宋体" w:cs="宋体"/>
                <w:bCs/>
                <w:szCs w:val="21"/>
              </w:rPr>
              <w:t>（3）其他（如运输、装卸、安装、调试、培训、技术支持、售后服务、更新升级等）费用。</w:t>
            </w:r>
          </w:p>
          <w:p>
            <w:pPr>
              <w:spacing w:after="120" w:line="380" w:lineRule="exact"/>
              <w:ind w:firstLine="420" w:firstLineChars="200"/>
              <w:jc w:val="left"/>
              <w:rPr>
                <w:rFonts w:hint="eastAsia" w:ascii="宋体" w:hAnsi="宋体" w:cs="宋体"/>
                <w:bCs/>
                <w:szCs w:val="21"/>
              </w:rPr>
            </w:pPr>
            <w:r>
              <w:rPr>
                <w:rFonts w:hint="eastAsia" w:ascii="宋体" w:hAnsi="宋体" w:cs="宋体"/>
                <w:bCs/>
                <w:szCs w:val="21"/>
              </w:rPr>
              <w:t>本项目报价包含完成上述服务内容所需的费用。如提供服务过程中产生额外费用，由成交供应商自行负责。</w:t>
            </w:r>
          </w:p>
          <w:p>
            <w:pPr>
              <w:snapToGrid w:val="0"/>
              <w:spacing w:line="360" w:lineRule="auto"/>
              <w:rPr>
                <w:rFonts w:hint="eastAsia" w:ascii="宋体" w:hAnsi="宋体"/>
                <w:b/>
                <w:i/>
                <w:color w:val="auto"/>
                <w:szCs w:val="21"/>
                <w:highlight w:val="none"/>
              </w:rPr>
            </w:pPr>
            <w:r>
              <w:rPr>
                <w:rFonts w:hint="eastAsia" w:ascii="宋体" w:hAnsi="宋体" w:cs="宋体"/>
                <w:bCs/>
                <w:szCs w:val="21"/>
              </w:rPr>
              <w:t>2、</w:t>
            </w:r>
            <w:r>
              <w:rPr>
                <w:rFonts w:hint="eastAsia" w:ascii="宋体" w:hAnsi="宋体" w:cs="宋体"/>
                <w:bCs/>
                <w:szCs w:val="21"/>
                <w:lang w:val="en-US" w:eastAsia="zh-CN"/>
              </w:rPr>
              <w:t>投标</w:t>
            </w:r>
            <w:r>
              <w:rPr>
                <w:rFonts w:hint="eastAsia" w:ascii="宋体" w:hAnsi="宋体" w:cs="宋体"/>
                <w:bCs/>
                <w:szCs w:val="21"/>
              </w:rPr>
              <w:t>报价是</w:t>
            </w:r>
            <w:r>
              <w:rPr>
                <w:rFonts w:hint="eastAsia" w:ascii="宋体" w:hAnsi="宋体" w:cs="宋体"/>
                <w:bCs/>
                <w:szCs w:val="21"/>
                <w:lang w:val="en-US" w:eastAsia="zh-CN"/>
              </w:rPr>
              <w:t>投标</w:t>
            </w:r>
            <w:r>
              <w:rPr>
                <w:rFonts w:hint="eastAsia" w:ascii="宋体" w:hAnsi="宋体" w:cs="宋体"/>
                <w:bCs/>
                <w:szCs w:val="21"/>
              </w:rPr>
              <w:t>人为完成本项目所发生的一切费用。采购人不接受任何有选择的报价。</w:t>
            </w:r>
            <w:r>
              <w:rPr>
                <w:rFonts w:hint="eastAsia" w:ascii="宋体" w:hAnsi="宋体" w:cs="宋体"/>
                <w:bCs/>
                <w:szCs w:val="21"/>
                <w:lang w:val="en-US" w:eastAsia="zh-CN"/>
              </w:rPr>
              <w:t>投标</w:t>
            </w:r>
            <w:r>
              <w:rPr>
                <w:rFonts w:hint="eastAsia" w:ascii="宋体" w:hAnsi="宋体" w:cs="宋体"/>
                <w:bCs/>
                <w:szCs w:val="21"/>
              </w:rPr>
              <w:t>人最终报价均不得超过采购预算价，否则按无效投标处理。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64" w:name="_17.1"/>
            <w:bookmarkEnd w:id="64"/>
            <w:r>
              <w:rPr>
                <w:rFonts w:hint="eastAsia" w:ascii="宋体" w:hAnsi="宋体"/>
                <w:color w:val="auto"/>
                <w:szCs w:val="21"/>
                <w:highlight w:val="none"/>
              </w:rPr>
              <w:t>17.</w:t>
            </w:r>
            <w:r>
              <w:rPr>
                <w:rFonts w:ascii="宋体" w:hAnsi="宋体"/>
                <w:color w:val="auto"/>
                <w:szCs w:val="21"/>
                <w:highlight w:val="none"/>
              </w:rPr>
              <w:t>2</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投标有效期：自投标截止之日起</w:t>
            </w:r>
            <w:r>
              <w:rPr>
                <w:rFonts w:hint="eastAsia" w:ascii="宋体" w:hAnsi="宋体"/>
                <w:color w:val="auto"/>
                <w:szCs w:val="21"/>
                <w:highlight w:val="none"/>
                <w:u w:val="single"/>
                <w:lang w:val="en-US" w:eastAsia="zh-CN"/>
              </w:rPr>
              <w:t>90</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65" w:name="_18"/>
            <w:bookmarkEnd w:id="65"/>
            <w:r>
              <w:rPr>
                <w:rFonts w:hint="eastAsia" w:ascii="宋体" w:hAnsi="宋体"/>
                <w:color w:val="auto"/>
                <w:szCs w:val="21"/>
                <w:highlight w:val="none"/>
              </w:rPr>
              <w:t>18</w:t>
            </w:r>
            <w:r>
              <w:rPr>
                <w:rFonts w:ascii="宋体" w:hAnsi="宋体"/>
                <w:color w:val="auto"/>
                <w:szCs w:val="21"/>
                <w:highlight w:val="none"/>
              </w:rPr>
              <w:t>.1</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本项目不收取投标保证金。</w:t>
            </w:r>
          </w:p>
          <w:p>
            <w:pPr>
              <w:snapToGrid w:val="0"/>
              <w:spacing w:line="360" w:lineRule="auto"/>
              <w:rPr>
                <w:rFonts w:ascii="宋体" w:hAnsi="宋体"/>
                <w:color w:val="auto"/>
                <w:szCs w:val="21"/>
                <w:highlight w:val="none"/>
              </w:rPr>
            </w:pPr>
            <w:r>
              <w:rPr>
                <w:rFonts w:hint="eastAsia" w:ascii="宋体" w:hAnsi="宋体"/>
                <w:color w:val="auto"/>
                <w:szCs w:val="21"/>
                <w:highlight w:val="none"/>
              </w:rPr>
              <w:t>□本项目收取投标保证金，具体规定如下：</w:t>
            </w:r>
          </w:p>
          <w:p>
            <w:pPr>
              <w:snapToGrid w:val="0"/>
              <w:spacing w:line="360" w:lineRule="auto"/>
              <w:rPr>
                <w:rFonts w:hint="eastAsia" w:ascii="宋体" w:hAnsi="宋体"/>
                <w:i w:val="0"/>
                <w:iCs w:val="0"/>
                <w:color w:val="auto"/>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i w:val="0"/>
                <w:iCs w:val="0"/>
                <w:color w:val="auto"/>
                <w:kern w:val="0"/>
                <w:szCs w:val="21"/>
                <w:highlight w:val="none"/>
                <w:u w:val="single"/>
              </w:rPr>
              <w:t xml:space="preserve">  </w:t>
            </w:r>
            <w:r>
              <w:rPr>
                <w:rFonts w:hint="eastAsia" w:ascii="宋体" w:hAnsi="宋体" w:cs="宋体"/>
                <w:i w:val="0"/>
                <w:iCs w:val="0"/>
                <w:color w:val="auto"/>
                <w:kern w:val="0"/>
                <w:szCs w:val="21"/>
                <w:highlight w:val="none"/>
              </w:rPr>
              <w:t>分标投标保证金人民币</w:t>
            </w:r>
            <w:r>
              <w:rPr>
                <w:rFonts w:hint="eastAsia" w:ascii="宋体" w:hAnsi="宋体" w:cs="宋体"/>
                <w:i w:val="0"/>
                <w:iCs w:val="0"/>
                <w:color w:val="auto"/>
                <w:kern w:val="0"/>
                <w:szCs w:val="21"/>
                <w:highlight w:val="none"/>
                <w:u w:val="single"/>
              </w:rPr>
              <w:t xml:space="preserve">            </w:t>
            </w:r>
            <w:r>
              <w:rPr>
                <w:rFonts w:hint="eastAsia" w:ascii="宋体" w:hAnsi="宋体" w:cs="宋体"/>
                <w:i w:val="0"/>
                <w:iCs w:val="0"/>
                <w:color w:val="auto"/>
                <w:kern w:val="0"/>
                <w:szCs w:val="21"/>
                <w:highlight w:val="none"/>
              </w:rPr>
              <w:t>元。</w:t>
            </w:r>
            <w:r>
              <w:rPr>
                <w:rFonts w:hint="eastAsia" w:ascii="宋体" w:hAnsi="宋体"/>
                <w:i w:val="0"/>
                <w:iCs w:val="0"/>
                <w:color w:val="auto"/>
                <w:szCs w:val="21"/>
                <w:highlight w:val="none"/>
              </w:rPr>
              <w:t>[注：根据《广西壮族自治区财政厅关于规范政府采购货物和服务项目保证金管理的通知》（桂财规〔2022〕8号）的规定，保证金的数额不得超过采购项目预算金额的1%]</w:t>
            </w:r>
          </w:p>
          <w:p>
            <w:pPr>
              <w:snapToGrid w:val="0"/>
              <w:spacing w:line="360" w:lineRule="auto"/>
              <w:rPr>
                <w:rFonts w:hint="eastAsia" w:ascii="宋体" w:hAnsi="宋体"/>
                <w:color w:val="auto"/>
                <w:szCs w:val="21"/>
                <w:highlight w:val="none"/>
              </w:rPr>
            </w:pPr>
            <w:r>
              <w:rPr>
                <w:rFonts w:hint="eastAsia" w:ascii="宋体" w:hAnsi="宋体" w:cs="宋体"/>
                <w:i w:val="0"/>
                <w:iCs w:val="0"/>
                <w:color w:val="auto"/>
                <w:kern w:val="0"/>
                <w:szCs w:val="21"/>
                <w:highlight w:val="none"/>
              </w:rPr>
              <w:t>投标保证金的交纳方式：银行转账、支票、汇票、本票或者银行、保险机构出具的保函</w:t>
            </w:r>
            <w:r>
              <w:rPr>
                <w:i w:val="0"/>
                <w:iCs w:val="0"/>
                <w:color w:val="auto"/>
                <w:highlight w:val="none"/>
              </w:rPr>
              <w:t>（包含电子保函）</w:t>
            </w:r>
            <w:r>
              <w:rPr>
                <w:rFonts w:hint="eastAsia" w:ascii="宋体" w:hAnsi="宋体" w:cs="宋体"/>
                <w:i w:val="0"/>
                <w:iCs w:val="0"/>
                <w:color w:val="auto"/>
                <w:kern w:val="0"/>
                <w:szCs w:val="21"/>
                <w:highlight w:val="none"/>
              </w:rPr>
              <w:t>，禁止采用现钞方式。采用银行转账方式的，在投标截止时间前</w:t>
            </w:r>
            <w:r>
              <w:rPr>
                <w:rFonts w:hint="eastAsia"/>
                <w:i w:val="0"/>
                <w:iCs w:val="0"/>
                <w:color w:val="auto"/>
                <w:highlight w:val="none"/>
              </w:rPr>
              <w:t>从投标人账户</w:t>
            </w:r>
            <w:r>
              <w:rPr>
                <w:rFonts w:hint="eastAsia" w:ascii="宋体" w:hAnsi="宋体" w:cs="宋体"/>
                <w:i w:val="0"/>
                <w:iCs w:val="0"/>
                <w:color w:val="auto"/>
                <w:kern w:val="0"/>
                <w:szCs w:val="21"/>
                <w:highlight w:val="none"/>
              </w:rPr>
              <w:t>交至指定账户并且到账（开户银行：</w:t>
            </w:r>
            <w:r>
              <w:rPr>
                <w:rFonts w:hint="eastAsia" w:ascii="宋体" w:hAnsi="宋体" w:cs="宋体"/>
                <w:i w:val="0"/>
                <w:iCs w:val="0"/>
                <w:color w:val="auto"/>
                <w:kern w:val="0"/>
                <w:szCs w:val="21"/>
                <w:highlight w:val="none"/>
                <w:u w:val="single"/>
              </w:rPr>
              <w:t xml:space="preserve">            </w:t>
            </w:r>
            <w:r>
              <w:rPr>
                <w:rFonts w:hint="eastAsia" w:ascii="宋体" w:hAnsi="宋体" w:cs="宋体"/>
                <w:i w:val="0"/>
                <w:iCs w:val="0"/>
                <w:color w:val="auto"/>
                <w:kern w:val="0"/>
                <w:szCs w:val="21"/>
                <w:highlight w:val="none"/>
              </w:rPr>
              <w:t>，开户名称：</w:t>
            </w:r>
            <w:r>
              <w:rPr>
                <w:rFonts w:hint="eastAsia" w:ascii="宋体" w:hAnsi="宋体" w:cs="宋体"/>
                <w:i w:val="0"/>
                <w:iCs w:val="0"/>
                <w:color w:val="auto"/>
                <w:kern w:val="0"/>
                <w:szCs w:val="21"/>
                <w:highlight w:val="none"/>
                <w:u w:val="single"/>
              </w:rPr>
              <w:t xml:space="preserve">            </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）；采用支票、汇票、本票或者保函等方式的，在投标截止时间前，投标人必须递交单独密封的支票、汇票、本票或者保函原件。</w:t>
            </w:r>
            <w:r>
              <w:rPr>
                <w:rFonts w:hint="eastAsia" w:ascii="宋体" w:hAnsi="宋体" w:cs="宋体"/>
                <w:b/>
                <w:color w:val="auto"/>
                <w:kern w:val="0"/>
                <w:szCs w:val="21"/>
                <w:highlight w:val="none"/>
              </w:rPr>
              <w:t>否则视为无效投标保证金。</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相关要求：</w:t>
            </w:r>
          </w:p>
          <w:p>
            <w:pPr>
              <w:pStyle w:val="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1.投标保证金采用银行转账交纳方式，在投标截止时间前交至指定账户并且到账，投标人应将银行转账底单的复印件作为投标保证金提交凭证，</w:t>
            </w:r>
            <w:r>
              <w:rPr>
                <w:rFonts w:ascii="宋体" w:hAnsi="宋体"/>
                <w:color w:val="auto"/>
                <w:szCs w:val="21"/>
                <w:highlight w:val="none"/>
                <w:lang w:val="en-US" w:eastAsia="zh-CN"/>
              </w:rPr>
              <w:t>放置于</w:t>
            </w:r>
            <w:r>
              <w:rPr>
                <w:rFonts w:hint="eastAsia" w:ascii="宋体" w:hAnsi="宋体"/>
                <w:color w:val="auto"/>
                <w:szCs w:val="21"/>
                <w:highlight w:val="none"/>
                <w:lang w:val="en-US" w:eastAsia="zh-CN"/>
              </w:rPr>
              <w:t>商务及技术文件</w:t>
            </w:r>
            <w:r>
              <w:rPr>
                <w:rFonts w:ascii="宋体" w:hAnsi="宋体"/>
                <w:color w:val="auto"/>
                <w:szCs w:val="21"/>
                <w:highlight w:val="none"/>
                <w:lang w:val="en-US" w:eastAsia="zh-CN"/>
              </w:rPr>
              <w:t>中</w:t>
            </w:r>
            <w:r>
              <w:rPr>
                <w:rFonts w:hint="eastAsia" w:ascii="宋体" w:hAnsi="宋体"/>
                <w:color w:val="auto"/>
                <w:szCs w:val="21"/>
                <w:highlight w:val="none"/>
                <w:lang w:val="en-US" w:eastAsia="zh-CN"/>
              </w:rPr>
              <w:t>，</w:t>
            </w:r>
            <w:r>
              <w:rPr>
                <w:rFonts w:hint="eastAsia" w:ascii="宋体" w:hAnsi="宋体"/>
                <w:b/>
                <w:color w:val="auto"/>
                <w:szCs w:val="21"/>
                <w:highlight w:val="none"/>
                <w:lang w:val="en-US" w:eastAsia="zh-CN"/>
              </w:rPr>
              <w:t>否则投标无效</w:t>
            </w:r>
            <w:r>
              <w:rPr>
                <w:rFonts w:hint="eastAsia" w:ascii="宋体" w:hAnsi="宋体"/>
                <w:color w:val="auto"/>
                <w:szCs w:val="21"/>
                <w:highlight w:val="none"/>
                <w:lang w:val="en-US" w:eastAsia="zh-CN"/>
              </w:rPr>
              <w:t>。</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2.投标保证金采用支票、汇票、本票或者银行、保险机构出具的保函</w:t>
            </w:r>
            <w:r>
              <w:rPr>
                <w:color w:val="auto"/>
                <w:highlight w:val="none"/>
              </w:rPr>
              <w:t>（包含电子保函）</w:t>
            </w:r>
            <w:r>
              <w:rPr>
                <w:rFonts w:hint="eastAsia" w:ascii="宋体" w:hAnsi="宋体"/>
                <w:color w:val="auto"/>
                <w:szCs w:val="21"/>
                <w:highlight w:val="none"/>
              </w:rPr>
              <w:t>交纳方式的，投标人应将支票、汇票、本票或者银行、保险机构出具的保函</w:t>
            </w:r>
            <w:r>
              <w:rPr>
                <w:color w:val="auto"/>
                <w:highlight w:val="none"/>
              </w:rPr>
              <w:t>（包含电子保函）</w:t>
            </w:r>
            <w:r>
              <w:rPr>
                <w:rFonts w:hint="eastAsia" w:ascii="宋体" w:hAnsi="宋体"/>
                <w:color w:val="auto"/>
                <w:szCs w:val="21"/>
                <w:highlight w:val="none"/>
              </w:rPr>
              <w:t>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w:t>
            </w:r>
            <w:r>
              <w:rPr>
                <w:rFonts w:hint="eastAsia"/>
                <w:color w:val="auto"/>
                <w:highlight w:val="none"/>
              </w:rPr>
              <w:t>在投标截止时间前采用现场或邮寄方式（现场提交地址：</w:t>
            </w:r>
            <w:r>
              <w:rPr>
                <w:rFonts w:hint="eastAsia"/>
                <w:color w:val="auto"/>
                <w:highlight w:val="none"/>
                <w:u w:val="single"/>
              </w:rPr>
              <w:t xml:space="preserve">      </w:t>
            </w:r>
            <w:r>
              <w:rPr>
                <w:rFonts w:hint="eastAsia"/>
                <w:color w:val="auto"/>
                <w:highlight w:val="none"/>
              </w:rPr>
              <w:t>；邮寄地址：</w:t>
            </w:r>
            <w:r>
              <w:rPr>
                <w:rFonts w:hint="eastAsia"/>
                <w:color w:val="auto"/>
                <w:highlight w:val="none"/>
                <w:u w:val="single"/>
              </w:rPr>
              <w:t xml:space="preserve">      </w:t>
            </w:r>
            <w:r>
              <w:rPr>
                <w:rFonts w:hint="eastAsia"/>
                <w:color w:val="auto"/>
                <w:highlight w:val="none"/>
              </w:rPr>
              <w:t>，收件人：</w:t>
            </w:r>
            <w:r>
              <w:rPr>
                <w:rFonts w:hint="eastAsia"/>
                <w:color w:val="auto"/>
                <w:highlight w:val="none"/>
                <w:u w:val="single"/>
              </w:rPr>
              <w:t xml:space="preserve">      </w:t>
            </w:r>
            <w:r>
              <w:rPr>
                <w:rFonts w:hint="eastAsia"/>
                <w:color w:val="auto"/>
                <w:highlight w:val="none"/>
              </w:rPr>
              <w:t>，联系方式：</w:t>
            </w:r>
            <w:r>
              <w:rPr>
                <w:rFonts w:hint="eastAsia"/>
                <w:color w:val="auto"/>
                <w:highlight w:val="none"/>
                <w:u w:val="single"/>
              </w:rPr>
              <w:t xml:space="preserve">      </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支票、汇票、本票或者银行、保险机构出具的保函原件提交给采购人或者采购代理机构，未按时提交的</w:t>
            </w:r>
            <w:r>
              <w:rPr>
                <w:rFonts w:hint="eastAsia" w:ascii="宋体" w:hAnsi="宋体"/>
                <w:b/>
                <w:color w:val="auto"/>
                <w:szCs w:val="21"/>
                <w:highlight w:val="none"/>
              </w:rPr>
              <w:t>，投标无效</w:t>
            </w:r>
            <w:r>
              <w:rPr>
                <w:rFonts w:hint="eastAsia" w:ascii="宋体" w:hAnsi="宋体"/>
                <w:color w:val="auto"/>
                <w:szCs w:val="21"/>
                <w:highlight w:val="none"/>
              </w:rPr>
              <w:t>，由采购人或者采购代理机构向投标人出具回执（邮寄方式的除外），并妥善保管。</w:t>
            </w:r>
          </w:p>
          <w:p>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.投标人为联合体的，可以由联合体中的一方或者多方共同交纳投标保证金，其交纳的保证金对联合体各方均具有约束力。</w:t>
            </w:r>
          </w:p>
          <w:p>
            <w:pPr>
              <w:snapToGrid w:val="0"/>
              <w:spacing w:line="360" w:lineRule="auto"/>
              <w:rPr>
                <w:rFonts w:hint="eastAsia" w:ascii="宋体" w:hAnsi="宋体"/>
                <w:color w:val="auto"/>
                <w:szCs w:val="21"/>
                <w:highlight w:val="none"/>
              </w:rPr>
            </w:pP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 xml:space="preserve">备注： </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5.采用银行、保险机构出具保函的，必须为无条件保函，否则视为无效投标保证金。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66" w:name="_19.2"/>
            <w:bookmarkEnd w:id="66"/>
            <w:bookmarkStart w:id="67" w:name="_21.1"/>
            <w:bookmarkEnd w:id="67"/>
            <w:r>
              <w:rPr>
                <w:rFonts w:hint="eastAsia" w:ascii="宋体" w:hAnsi="宋体"/>
                <w:color w:val="auto"/>
                <w:szCs w:val="21"/>
                <w:highlight w:val="none"/>
              </w:rPr>
              <w:t>20</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备份投标文件；</w:t>
            </w:r>
          </w:p>
          <w:p>
            <w:pPr>
              <w:autoSpaceDE w:val="0"/>
              <w:autoSpaceDN w:val="0"/>
              <w:adjustRightInd w:val="0"/>
              <w:spacing w:line="360" w:lineRule="auto"/>
              <w:textAlignment w:val="bottom"/>
              <w:rPr>
                <w:rFonts w:hint="eastAsia"/>
                <w:color w:val="auto"/>
                <w:highlight w:val="none"/>
              </w:rPr>
            </w:pPr>
            <w:r>
              <w:rPr>
                <w:rFonts w:hint="eastAsia" w:ascii="宋体" w:hAnsi="宋体"/>
                <w:color w:val="auto"/>
                <w:szCs w:val="21"/>
                <w:highlight w:val="none"/>
                <w:lang w:eastAsia="zh-CN"/>
              </w:rPr>
              <w:t>□</w:t>
            </w:r>
            <w:r>
              <w:rPr>
                <w:rFonts w:hint="eastAsia"/>
                <w:color w:val="auto"/>
                <w:highlight w:val="none"/>
              </w:rPr>
              <w:t>本项目接受电子备份投标文件。</w:t>
            </w:r>
          </w:p>
          <w:p>
            <w:pPr>
              <w:autoSpaceDE w:val="0"/>
              <w:autoSpaceDN w:val="0"/>
              <w:adjustRightInd w:val="0"/>
              <w:spacing w:line="360" w:lineRule="auto"/>
              <w:ind w:firstLine="420" w:firstLineChars="200"/>
              <w:textAlignment w:val="bottom"/>
              <w:rPr>
                <w:color w:val="auto"/>
                <w:highlight w:val="none"/>
              </w:rPr>
            </w:pPr>
            <w:r>
              <w:rPr>
                <w:rFonts w:hint="eastAsia"/>
                <w:color w:val="auto"/>
                <w:highlight w:val="none"/>
              </w:rPr>
              <w:t>电子</w:t>
            </w:r>
            <w:r>
              <w:rPr>
                <w:rFonts w:hint="eastAsia" w:ascii="宋体" w:hAnsi="宋体"/>
                <w:color w:val="auto"/>
                <w:szCs w:val="21"/>
                <w:highlight w:val="none"/>
              </w:rPr>
              <w:t>备份投标文件</w:t>
            </w:r>
            <w:r>
              <w:rPr>
                <w:rFonts w:hint="eastAsia"/>
                <w:color w:val="auto"/>
                <w:highlight w:val="none"/>
              </w:rPr>
              <w:t>提交方式：投标人可以在投标截止时间前采用以下</w:t>
            </w:r>
            <w:r>
              <w:rPr>
                <w:color w:val="auto"/>
                <w:highlight w:val="none"/>
                <w:u w:val="single"/>
              </w:rPr>
              <w:t xml:space="preserve">     </w:t>
            </w:r>
            <w:r>
              <w:rPr>
                <w:rFonts w:hint="eastAsia"/>
                <w:color w:val="auto"/>
                <w:highlight w:val="none"/>
              </w:rPr>
              <w:t>种方式向采购代理机构提交电子备份投标文件：</w:t>
            </w:r>
          </w:p>
          <w:p>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1</w:t>
            </w:r>
            <w:r>
              <w:rPr>
                <w:rFonts w:hint="eastAsia"/>
                <w:color w:val="auto"/>
                <w:highlight w:val="none"/>
              </w:rPr>
              <w:t>）现场提交方式，应采用</w:t>
            </w:r>
            <w:r>
              <w:rPr>
                <w:color w:val="auto"/>
                <w:highlight w:val="none"/>
              </w:rPr>
              <w:t>U</w:t>
            </w:r>
            <w:r>
              <w:rPr>
                <w:rFonts w:hint="eastAsia"/>
                <w:color w:val="auto"/>
                <w:highlight w:val="none"/>
              </w:rPr>
              <w:t>盘进行存储，提交地址：</w:t>
            </w:r>
            <w:r>
              <w:rPr>
                <w:rFonts w:hint="eastAsia" w:ascii="宋体" w:hAnsi="宋体"/>
                <w:color w:val="auto"/>
                <w:szCs w:val="21"/>
                <w:highlight w:val="none"/>
                <w:u w:val="single"/>
              </w:rPr>
              <w:t xml:space="preserve">    </w:t>
            </w:r>
            <w:r>
              <w:rPr>
                <w:rFonts w:hint="eastAsia"/>
                <w:color w:val="auto"/>
                <w:highlight w:val="none"/>
              </w:rPr>
              <w:t>；提交截止时间：</w:t>
            </w:r>
            <w:r>
              <w:rPr>
                <w:rFonts w:hint="eastAsia" w:ascii="宋体" w:hAnsi="宋体"/>
                <w:color w:val="auto"/>
                <w:szCs w:val="21"/>
                <w:highlight w:val="none"/>
                <w:u w:val="single"/>
              </w:rPr>
              <w:t xml:space="preserve">    </w:t>
            </w:r>
            <w:r>
              <w:rPr>
                <w:rFonts w:hint="eastAsia"/>
                <w:color w:val="auto"/>
                <w:highlight w:val="none"/>
              </w:rPr>
              <w:t>；外包装上注明投标人名称、项目名称及项目编号（外包装不作密封要求）。</w:t>
            </w:r>
          </w:p>
          <w:p>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2</w:t>
            </w:r>
            <w:r>
              <w:rPr>
                <w:rFonts w:hint="eastAsia"/>
                <w:color w:val="auto"/>
                <w:highlight w:val="none"/>
              </w:rPr>
              <w:t>）电子邮件方式，接收电子备份投标文件的电子邮箱为：</w:t>
            </w:r>
            <w:r>
              <w:rPr>
                <w:color w:val="auto"/>
                <w:highlight w:val="none"/>
                <w:u w:val="single"/>
              </w:rPr>
              <w:t xml:space="preserve">            </w:t>
            </w:r>
            <w:r>
              <w:rPr>
                <w:rFonts w:hint="eastAsia"/>
                <w:color w:val="auto"/>
                <w:highlight w:val="none"/>
              </w:rPr>
              <w:t>。</w:t>
            </w:r>
          </w:p>
          <w:p>
            <w:pPr>
              <w:pStyle w:val="7"/>
              <w:spacing w:line="360" w:lineRule="auto"/>
              <w:jc w:val="both"/>
              <w:rPr>
                <w:color w:val="auto"/>
                <w:highlight w:val="none"/>
              </w:rPr>
            </w:pPr>
            <w:r>
              <w:rPr>
                <w:rFonts w:hint="eastAsia"/>
                <w:color w:val="auto"/>
                <w:highlight w:val="none"/>
              </w:rPr>
              <w:t>（</w:t>
            </w:r>
            <w:r>
              <w:rPr>
                <w:color w:val="auto"/>
                <w:highlight w:val="none"/>
              </w:rPr>
              <w:t>3</w:t>
            </w:r>
            <w:r>
              <w:rPr>
                <w:rFonts w:hint="eastAsia"/>
                <w:color w:val="auto"/>
                <w:highlight w:val="none"/>
              </w:rPr>
              <w:t>）邮寄方式，应采用</w:t>
            </w:r>
            <w:r>
              <w:rPr>
                <w:color w:val="auto"/>
                <w:highlight w:val="none"/>
              </w:rPr>
              <w:t>U</w:t>
            </w:r>
            <w:r>
              <w:rPr>
                <w:rFonts w:hint="eastAsia"/>
                <w:color w:val="auto"/>
                <w:highlight w:val="none"/>
              </w:rPr>
              <w:t>盘进行存储，邮寄地址：</w:t>
            </w:r>
            <w:r>
              <w:rPr>
                <w:color w:val="auto"/>
                <w:highlight w:val="none"/>
                <w:u w:val="single"/>
              </w:rPr>
              <w:t xml:space="preserve">       </w:t>
            </w:r>
            <w:r>
              <w:rPr>
                <w:rFonts w:hint="eastAsia"/>
                <w:color w:val="auto"/>
                <w:highlight w:val="none"/>
              </w:rPr>
              <w:t>，截止接收时间：</w:t>
            </w:r>
            <w:r>
              <w:rPr>
                <w:color w:val="auto"/>
                <w:highlight w:val="none"/>
                <w:u w:val="single"/>
              </w:rPr>
              <w:t xml:space="preserve">       </w:t>
            </w:r>
            <w:r>
              <w:rPr>
                <w:rFonts w:hint="eastAsia"/>
                <w:color w:val="auto"/>
                <w:highlight w:val="none"/>
              </w:rPr>
              <w:t>，收件人：</w:t>
            </w:r>
            <w:r>
              <w:rPr>
                <w:color w:val="auto"/>
                <w:highlight w:val="none"/>
                <w:u w:val="single"/>
              </w:rPr>
              <w:t xml:space="preserve">       </w:t>
            </w:r>
            <w:r>
              <w:rPr>
                <w:rFonts w:hint="eastAsia"/>
                <w:color w:val="auto"/>
                <w:highlight w:val="none"/>
              </w:rPr>
              <w:t>，联系方式：</w:t>
            </w:r>
            <w:r>
              <w:rPr>
                <w:color w:val="auto"/>
                <w:highlight w:val="none"/>
                <w:u w:val="single"/>
              </w:rPr>
              <w:t xml:space="preserve">       </w:t>
            </w:r>
            <w:r>
              <w:rPr>
                <w:rFonts w:hint="eastAsia"/>
                <w:color w:val="auto"/>
                <w:highlight w:val="none"/>
              </w:rPr>
              <w:t>；外包装上注明投标人名称、项目名称及项目编号（外包装不作密封要求）。</w:t>
            </w:r>
          </w:p>
          <w:p>
            <w:pPr>
              <w:autoSpaceDE w:val="0"/>
              <w:autoSpaceDN w:val="0"/>
              <w:snapToGrid w:val="0"/>
              <w:spacing w:line="360" w:lineRule="auto"/>
              <w:ind w:firstLine="420" w:firstLineChars="200"/>
              <w:textAlignment w:val="bottom"/>
              <w:rPr>
                <w:rFonts w:hint="eastAsia" w:ascii="宋体" w:hAnsi="宋体"/>
                <w:color w:val="auto"/>
                <w:szCs w:val="21"/>
                <w:highlight w:val="none"/>
              </w:rPr>
            </w:pPr>
            <w:r>
              <w:rPr>
                <w:rFonts w:hint="eastAsia"/>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color w:val="auto"/>
                <w:highlight w:val="none"/>
              </w:rPr>
              <w:t>投标人的投标文件作无效处理</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21.1</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1. 提交投标文件截止时间：详见招标公告</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68" w:name="_23"/>
            <w:bookmarkEnd w:id="68"/>
            <w:r>
              <w:rPr>
                <w:rFonts w:hint="eastAsia" w:ascii="宋体" w:hAnsi="宋体"/>
                <w:color w:val="auto"/>
                <w:szCs w:val="21"/>
                <w:highlight w:val="none"/>
              </w:rPr>
              <w:t>23</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1.开标时间：详见招标公告</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24.3（1）</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hAnsi="宋体"/>
                <w:color w:val="auto"/>
                <w:highlight w:val="none"/>
              </w:rPr>
              <w:t>电子投标文件解密时间：</w:t>
            </w:r>
            <w:r>
              <w:rPr>
                <w:rFonts w:hint="eastAsia" w:hAnsi="宋体"/>
                <w:color w:val="auto"/>
                <w:highlight w:val="none"/>
                <w:u w:val="single"/>
                <w:lang w:val="en-US" w:eastAsia="zh-CN"/>
              </w:rPr>
              <w:t>30</w:t>
            </w:r>
            <w:r>
              <w:rPr>
                <w:rFonts w:hint="eastAsia" w:hAnsi="宋体"/>
                <w:color w:val="auto"/>
                <w:highlight w:val="none"/>
              </w:rPr>
              <w:t>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69" w:name="_25.3"/>
            <w:bookmarkEnd w:id="69"/>
            <w:r>
              <w:rPr>
                <w:rFonts w:hint="eastAsia" w:ascii="宋体" w:hAnsi="宋体"/>
                <w:color w:val="auto"/>
                <w:szCs w:val="21"/>
                <w:highlight w:val="none"/>
              </w:rPr>
              <w:t>25.3（2）</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信用查询截止时点：资格审查结束前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查询记录和证据留存方式：在查询网站中直接截图查询记录，截图作为在广西政府采购云平台（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）作为附件上传保存。</w:t>
            </w:r>
          </w:p>
          <w:p>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bookmarkStart w:id="70" w:name="_26"/>
            <w:bookmarkEnd w:id="70"/>
            <w:r>
              <w:rPr>
                <w:rFonts w:hint="eastAsia" w:ascii="宋体" w:hAnsi="宋体"/>
                <w:color w:val="auto"/>
                <w:szCs w:val="21"/>
                <w:highlight w:val="none"/>
              </w:rPr>
              <w:t>26.1</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1" w:name="_28.3"/>
            <w:bookmarkEnd w:id="71"/>
            <w:r>
              <w:rPr>
                <w:rFonts w:ascii="宋体" w:hAnsi="宋体"/>
                <w:color w:val="auto"/>
                <w:szCs w:val="21"/>
                <w:highlight w:val="none"/>
              </w:rPr>
              <w:t>29.1</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评标方法：</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综合评分法</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2" w:name="_29.2.2（2）"/>
            <w:bookmarkEnd w:id="72"/>
            <w:r>
              <w:rPr>
                <w:rFonts w:hint="eastAsia" w:ascii="宋体" w:hAnsi="宋体"/>
                <w:color w:val="auto"/>
                <w:szCs w:val="21"/>
                <w:highlight w:val="none"/>
              </w:rPr>
              <w:t>29</w:t>
            </w:r>
            <w:r>
              <w:rPr>
                <w:rFonts w:ascii="宋体" w:hAnsi="宋体"/>
                <w:color w:val="auto"/>
                <w:szCs w:val="21"/>
                <w:highlight w:val="none"/>
              </w:rPr>
              <w:t>.2</w:t>
            </w:r>
          </w:p>
        </w:tc>
        <w:tc>
          <w:tcPr>
            <w:tcW w:w="8175" w:type="dxa"/>
            <w:tcBorders>
              <w:top w:val="single" w:color="auto" w:sz="4" w:space="0"/>
              <w:left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项。</w:t>
            </w:r>
          </w:p>
          <w:p>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978"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29.3</w:t>
            </w:r>
          </w:p>
        </w:tc>
        <w:tc>
          <w:tcPr>
            <w:tcW w:w="8175" w:type="dxa"/>
            <w:tcBorders>
              <w:top w:val="single" w:color="auto" w:sz="4" w:space="0"/>
              <w:left w:val="single" w:color="auto" w:sz="4" w:space="0"/>
              <w:right w:val="single" w:color="auto" w:sz="4" w:space="0"/>
            </w:tcBorders>
            <w:noWrap w:val="0"/>
            <w:vAlign w:val="center"/>
          </w:tcPr>
          <w:p>
            <w:pPr>
              <w:snapToGrid w:val="0"/>
              <w:spacing w:line="360" w:lineRule="auto"/>
              <w:rPr>
                <w:rFonts w:hAnsi="宋体"/>
                <w:color w:val="auto"/>
                <w:highlight w:val="none"/>
              </w:rPr>
            </w:pPr>
            <w:r>
              <w:rPr>
                <w:rFonts w:hAnsi="宋体"/>
                <w:color w:val="auto"/>
                <w:highlight w:val="none"/>
              </w:rPr>
              <w:t>中标候选人推荐数量</w:t>
            </w:r>
            <w:r>
              <w:rPr>
                <w:rFonts w:hint="eastAsia" w:hAnsi="宋体"/>
                <w:color w:val="auto"/>
                <w:highlight w:val="none"/>
              </w:rPr>
              <w:t>：</w:t>
            </w:r>
          </w:p>
          <w:p>
            <w:pPr>
              <w:snapToGrid w:val="0"/>
              <w:spacing w:line="360" w:lineRule="auto"/>
              <w:rPr>
                <w:rFonts w:hAnsi="宋体"/>
                <w:color w:val="auto"/>
                <w:highlight w:val="none"/>
              </w:rPr>
            </w:pPr>
            <w:r>
              <w:rPr>
                <w:rFonts w:hint="eastAsia" w:ascii="宋体" w:hAnsi="宋体"/>
                <w:color w:val="auto"/>
                <w:szCs w:val="21"/>
                <w:highlight w:val="none"/>
                <w:lang w:eastAsia="zh-CN"/>
              </w:rPr>
              <w:t>☑</w:t>
            </w:r>
            <w:r>
              <w:rPr>
                <w:rFonts w:hint="eastAsia" w:hAnsi="宋体"/>
                <w:color w:val="auto"/>
                <w:highlight w:val="none"/>
                <w:u w:val="single"/>
                <w:lang w:val="en-US" w:eastAsia="zh-CN"/>
              </w:rPr>
              <w:t>3</w:t>
            </w:r>
            <w:r>
              <w:rPr>
                <w:rFonts w:hAnsi="宋体"/>
                <w:color w:val="auto"/>
                <w:highlight w:val="none"/>
              </w:rPr>
              <w:t>名</w:t>
            </w:r>
          </w:p>
          <w:p>
            <w:pPr>
              <w:snapToGrid w:val="0"/>
              <w:spacing w:line="360" w:lineRule="auto"/>
              <w:rPr>
                <w:rFonts w:hint="eastAsia" w:ascii="宋体" w:hAnsi="宋体" w:eastAsia="宋体" w:cs="宋体"/>
                <w:color w:val="auto"/>
                <w:szCs w:val="21"/>
                <w:highlight w:val="none"/>
                <w:lang w:eastAsia="zh-CN"/>
              </w:rPr>
            </w:pPr>
            <w:r>
              <w:rPr>
                <w:rFonts w:hint="eastAsia" w:ascii="宋体" w:hAnsi="宋体"/>
                <w:color w:val="auto"/>
                <w:szCs w:val="21"/>
                <w:highlight w:val="none"/>
              </w:rPr>
              <w:t>□</w:t>
            </w:r>
            <w:r>
              <w:rPr>
                <w:rFonts w:hint="eastAsia" w:hAnsi="宋体"/>
                <w:color w:val="auto"/>
                <w:highlight w:val="none"/>
              </w:rPr>
              <w:t>根据[总得分由高到低（综合评分法）/评标报价从低到高（最低评标价法）</w:t>
            </w:r>
            <w:r>
              <w:rPr>
                <w:rFonts w:hAnsi="宋体"/>
                <w:color w:val="auto"/>
                <w:highlight w:val="none"/>
              </w:rPr>
              <w:t>]</w:t>
            </w:r>
            <w:r>
              <w:rPr>
                <w:rFonts w:hint="eastAsia" w:hAnsi="宋体"/>
                <w:color w:val="auto"/>
                <w:highlight w:val="none"/>
              </w:rPr>
              <w:t>排列次序并全部推荐为中标候选人</w:t>
            </w:r>
            <w:r>
              <w:rPr>
                <w:rFonts w:hint="eastAsia" w:hAnsi="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采用综合评分法的采购项目，采购人确定中标人时，出现中标候选人并列的情形，采购人按以下的方式确定中标人：</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依次按技术总得分由高到低、商务总得分由高到低的顺序确定；</w:t>
            </w:r>
            <w:r>
              <w:rPr>
                <w:rFonts w:hint="eastAsia" w:ascii="宋体" w:hAnsi="宋体"/>
                <w:color w:val="auto"/>
                <w:szCs w:val="21"/>
                <w:highlight w:val="none"/>
              </w:rPr>
              <w:t>若还出现分数并列的情形，再采用随机抽取的方式确定。</w:t>
            </w:r>
          </w:p>
          <w:p>
            <w:pPr>
              <w:autoSpaceDE w:val="0"/>
              <w:autoSpaceDN w:val="0"/>
              <w:snapToGrid w:val="0"/>
              <w:spacing w:line="360" w:lineRule="auto"/>
              <w:textAlignment w:val="bottom"/>
              <w:rPr>
                <w:rFonts w:hint="eastAsia" w:ascii="宋体" w:hAnsi="宋体" w:eastAsia="宋体"/>
                <w:b/>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3" w:name="_39.1"/>
            <w:bookmarkEnd w:id="73"/>
            <w:r>
              <w:rPr>
                <w:rFonts w:hint="eastAsia" w:ascii="宋体" w:hAnsi="宋体"/>
                <w:color w:val="auto"/>
                <w:szCs w:val="21"/>
                <w:highlight w:val="none"/>
              </w:rPr>
              <w:t>35</w:t>
            </w:r>
            <w:r>
              <w:rPr>
                <w:rFonts w:ascii="宋体" w:hAnsi="宋体"/>
                <w:color w:val="auto"/>
                <w:szCs w:val="21"/>
                <w:highlight w:val="none"/>
              </w:rPr>
              <w:t>.1</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i w:val="0"/>
                <w:iCs w:val="0"/>
                <w:color w:val="auto"/>
                <w:szCs w:val="21"/>
                <w:highlight w:val="none"/>
              </w:rPr>
            </w:pPr>
            <w:r>
              <w:rPr>
                <w:rFonts w:hint="eastAsia" w:ascii="宋体" w:hAnsi="宋体"/>
                <w:i w:val="0"/>
                <w:iCs w:val="0"/>
                <w:color w:val="auto"/>
                <w:szCs w:val="21"/>
                <w:highlight w:val="none"/>
                <w:lang w:eastAsia="zh-CN"/>
              </w:rPr>
              <w:t>☑</w:t>
            </w:r>
            <w:r>
              <w:rPr>
                <w:rFonts w:hint="eastAsia" w:ascii="宋体" w:hAnsi="宋体"/>
                <w:i w:val="0"/>
                <w:iCs w:val="0"/>
                <w:color w:val="auto"/>
                <w:szCs w:val="21"/>
                <w:highlight w:val="none"/>
              </w:rPr>
              <w:t>本项目不收取履约保证金。</w:t>
            </w:r>
          </w:p>
          <w:p>
            <w:pPr>
              <w:autoSpaceDE w:val="0"/>
              <w:autoSpaceDN w:val="0"/>
              <w:snapToGrid w:val="0"/>
              <w:spacing w:line="360" w:lineRule="auto"/>
              <w:textAlignment w:val="bottom"/>
              <w:rPr>
                <w:rFonts w:ascii="宋体" w:hAnsi="宋体"/>
                <w:i w:val="0"/>
                <w:iCs w:val="0"/>
                <w:color w:val="auto"/>
                <w:szCs w:val="21"/>
                <w:highlight w:val="none"/>
              </w:rPr>
            </w:pPr>
            <w:r>
              <w:rPr>
                <w:rFonts w:hint="eastAsia" w:ascii="宋体" w:hAnsi="宋体"/>
                <w:i w:val="0"/>
                <w:iCs w:val="0"/>
                <w:color w:val="auto"/>
                <w:szCs w:val="21"/>
                <w:highlight w:val="none"/>
              </w:rPr>
              <w:t>□本项目收取履约保证金，具体规定如下：</w:t>
            </w:r>
          </w:p>
          <w:p>
            <w:pPr>
              <w:autoSpaceDE w:val="0"/>
              <w:autoSpaceDN w:val="0"/>
              <w:snapToGrid w:val="0"/>
              <w:spacing w:line="360" w:lineRule="auto"/>
              <w:textAlignment w:val="bottom"/>
              <w:rPr>
                <w:rFonts w:hint="eastAsia" w:ascii="宋体" w:hAnsi="宋体"/>
                <w:i w:val="0"/>
                <w:iCs w:val="0"/>
                <w:color w:val="auto"/>
                <w:szCs w:val="21"/>
                <w:highlight w:val="none"/>
              </w:rPr>
            </w:pPr>
            <w:r>
              <w:rPr>
                <w:rFonts w:hint="eastAsia" w:ascii="宋体" w:hAnsi="宋体"/>
                <w:i w:val="0"/>
                <w:iCs w:val="0"/>
                <w:color w:val="auto"/>
                <w:szCs w:val="21"/>
                <w:highlight w:val="none"/>
              </w:rPr>
              <w:t>履约保证金金额：每分标按中标金额的</w:t>
            </w:r>
            <w:r>
              <w:rPr>
                <w:rFonts w:hint="eastAsia" w:ascii="宋体" w:hAnsi="宋体" w:cs="Arial"/>
                <w:i w:val="0"/>
                <w:iCs w:val="0"/>
                <w:color w:val="auto"/>
                <w:szCs w:val="21"/>
                <w:highlight w:val="none"/>
                <w:u w:val="single"/>
              </w:rPr>
              <w:t xml:space="preserve">   </w:t>
            </w:r>
            <w:r>
              <w:rPr>
                <w:rFonts w:hint="eastAsia" w:ascii="宋体" w:hAnsi="宋体"/>
                <w:i w:val="0"/>
                <w:iCs w:val="0"/>
                <w:color w:val="auto"/>
                <w:szCs w:val="21"/>
                <w:highlight w:val="none"/>
              </w:rPr>
              <w:t>%（注：履约保证金不超过</w:t>
            </w:r>
            <w:r>
              <w:rPr>
                <w:rFonts w:hint="eastAsia"/>
                <w:i w:val="0"/>
                <w:iCs w:val="0"/>
                <w:color w:val="auto"/>
                <w:highlight w:val="none"/>
              </w:rPr>
              <w:t>政府采购合同金额的</w:t>
            </w:r>
            <w:r>
              <w:rPr>
                <w:rFonts w:hint="eastAsia" w:ascii="宋体" w:hAnsi="宋体"/>
                <w:i w:val="0"/>
                <w:iCs w:val="0"/>
                <w:color w:val="auto"/>
                <w:szCs w:val="21"/>
                <w:highlight w:val="none"/>
              </w:rPr>
              <w:t>5%，对中小企业收取的履约保证金数额不得超过政府采购合同金额的2%）。</w:t>
            </w:r>
          </w:p>
          <w:p>
            <w:pPr>
              <w:autoSpaceDE w:val="0"/>
              <w:autoSpaceDN w:val="0"/>
              <w:snapToGrid w:val="0"/>
              <w:spacing w:line="360" w:lineRule="auto"/>
              <w:textAlignment w:val="bottom"/>
              <w:rPr>
                <w:rFonts w:hint="eastAsia" w:ascii="宋体" w:hAnsi="宋体"/>
                <w:i w:val="0"/>
                <w:iCs w:val="0"/>
                <w:color w:val="auto"/>
                <w:szCs w:val="21"/>
                <w:highlight w:val="none"/>
              </w:rPr>
            </w:pPr>
            <w:r>
              <w:rPr>
                <w:rFonts w:hint="eastAsia" w:ascii="宋体" w:hAnsi="宋体"/>
                <w:i w:val="0"/>
                <w:iCs w:val="0"/>
                <w:color w:val="auto"/>
                <w:szCs w:val="21"/>
                <w:highlight w:val="none"/>
              </w:rPr>
              <w:t>履约保证金递交方式：银行转账、支票、汇票、本票或者银行、保险机构出具的保函等非现金方式（参照投标保证金）</w:t>
            </w:r>
          </w:p>
          <w:p>
            <w:pPr>
              <w:autoSpaceDE w:val="0"/>
              <w:autoSpaceDN w:val="0"/>
              <w:snapToGrid w:val="0"/>
              <w:spacing w:line="360" w:lineRule="auto"/>
              <w:textAlignment w:val="bottom"/>
              <w:rPr>
                <w:rFonts w:hint="eastAsia" w:ascii="宋体" w:hAnsi="宋体"/>
                <w:i w:val="0"/>
                <w:iCs w:val="0"/>
                <w:color w:val="auto"/>
                <w:szCs w:val="21"/>
                <w:highlight w:val="none"/>
              </w:rPr>
            </w:pPr>
            <w:r>
              <w:rPr>
                <w:rFonts w:hint="eastAsia" w:ascii="宋体" w:hAnsi="宋体"/>
                <w:i w:val="0"/>
                <w:iCs w:val="0"/>
                <w:color w:val="auto"/>
                <w:szCs w:val="21"/>
                <w:highlight w:val="none"/>
              </w:rPr>
              <w:t>履约保证金缴纳期限:</w:t>
            </w:r>
            <w:r>
              <w:rPr>
                <w:i w:val="0"/>
                <w:iCs w:val="0"/>
                <w:color w:val="auto"/>
                <w:highlight w:val="none"/>
              </w:rPr>
              <w:t xml:space="preserve"> </w:t>
            </w:r>
            <w:r>
              <w:rPr>
                <w:rFonts w:hint="eastAsia" w:ascii="宋体" w:hAnsi="宋体"/>
                <w:i w:val="0"/>
                <w:iCs w:val="0"/>
                <w:color w:val="auto"/>
                <w:szCs w:val="21"/>
                <w:highlight w:val="none"/>
                <w:u w:val="single"/>
              </w:rPr>
              <w:t>自中标通知书发出之日起     日内(注意请勿超过采购需求中规定的签订合同时限)</w:t>
            </w:r>
            <w:r>
              <w:rPr>
                <w:rFonts w:hint="eastAsia" w:ascii="宋体" w:hAnsi="宋体"/>
                <w:i w:val="0"/>
                <w:iCs w:val="0"/>
                <w:color w:val="auto"/>
                <w:szCs w:val="21"/>
                <w:highlight w:val="none"/>
              </w:rPr>
              <w:t>。</w:t>
            </w:r>
          </w:p>
          <w:p>
            <w:pPr>
              <w:autoSpaceDE w:val="0"/>
              <w:autoSpaceDN w:val="0"/>
              <w:snapToGrid w:val="0"/>
              <w:spacing w:line="360" w:lineRule="auto"/>
              <w:textAlignment w:val="bottom"/>
              <w:rPr>
                <w:rFonts w:hint="eastAsia" w:ascii="宋体" w:hAnsi="宋体"/>
                <w:i w:val="0"/>
                <w:iCs w:val="0"/>
                <w:color w:val="auto"/>
                <w:szCs w:val="21"/>
                <w:highlight w:val="none"/>
                <w:u w:val="single"/>
              </w:rPr>
            </w:pPr>
            <w:r>
              <w:rPr>
                <w:rFonts w:hint="eastAsia" w:ascii="宋体" w:hAnsi="宋体"/>
                <w:i w:val="0"/>
                <w:iCs w:val="0"/>
                <w:color w:val="auto"/>
                <w:szCs w:val="21"/>
                <w:highlight w:val="none"/>
              </w:rPr>
              <w:t>履约保证金退付方式、时间及条件：</w:t>
            </w:r>
            <w:r>
              <w:rPr>
                <w:rFonts w:hint="eastAsia" w:ascii="宋体" w:hAnsi="宋体"/>
                <w:i w:val="0"/>
                <w:iCs w:val="0"/>
                <w:color w:val="auto"/>
                <w:szCs w:val="21"/>
                <w:highlight w:val="none"/>
                <w:u w:val="single"/>
              </w:rPr>
              <w:t xml:space="preserve">                                           。</w:t>
            </w:r>
          </w:p>
          <w:p>
            <w:pPr>
              <w:autoSpaceDE w:val="0"/>
              <w:autoSpaceDN w:val="0"/>
              <w:snapToGrid w:val="0"/>
              <w:spacing w:line="360" w:lineRule="auto"/>
              <w:textAlignment w:val="bottom"/>
              <w:rPr>
                <w:rFonts w:hint="eastAsia" w:ascii="宋体" w:hAnsi="宋体"/>
                <w:i w:val="0"/>
                <w:iCs w:val="0"/>
                <w:color w:val="auto"/>
                <w:szCs w:val="21"/>
                <w:highlight w:val="none"/>
              </w:rPr>
            </w:pPr>
            <w:r>
              <w:rPr>
                <w:rFonts w:hint="eastAsia" w:ascii="宋体" w:hAnsi="宋体"/>
                <w:i w:val="0"/>
                <w:iCs w:val="0"/>
                <w:color w:val="auto"/>
                <w:szCs w:val="21"/>
                <w:highlight w:val="none"/>
              </w:rPr>
              <w:t>履约保证金指定账户：</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开户名称：</w:t>
            </w:r>
            <w:r>
              <w:rPr>
                <w:rFonts w:hint="eastAsia" w:ascii="宋体" w:hAnsi="宋体" w:cs="Arial"/>
                <w:color w:val="auto"/>
                <w:szCs w:val="21"/>
                <w:highlight w:val="none"/>
                <w:u w:val="single"/>
              </w:rPr>
              <w:t xml:space="preserve">                </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s="Arial"/>
                <w:color w:val="auto"/>
                <w:szCs w:val="21"/>
                <w:highlight w:val="none"/>
                <w:u w:val="single"/>
              </w:rPr>
              <w:t xml:space="preserve">                </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银行账号：</w:t>
            </w:r>
            <w:r>
              <w:rPr>
                <w:rFonts w:hint="eastAsia" w:ascii="宋体" w:hAnsi="宋体" w:cs="Arial"/>
                <w:color w:val="auto"/>
                <w:szCs w:val="21"/>
                <w:highlight w:val="none"/>
                <w:u w:val="single"/>
              </w:rPr>
              <w:t xml:space="preserve">                </w:t>
            </w:r>
          </w:p>
          <w:p>
            <w:pPr>
              <w:spacing w:line="360" w:lineRule="auto"/>
              <w:jc w:val="left"/>
              <w:rPr>
                <w:rFonts w:ascii="宋体" w:hAnsi="宋体" w:cs="Courier New"/>
                <w:color w:val="auto"/>
                <w:szCs w:val="21"/>
                <w:highlight w:val="none"/>
              </w:rPr>
            </w:pPr>
            <w:r>
              <w:rPr>
                <w:rFonts w:ascii="宋体" w:hAnsi="宋体" w:cs="Courier New"/>
                <w:color w:val="auto"/>
                <w:szCs w:val="21"/>
                <w:highlight w:val="none"/>
              </w:rPr>
              <w:t>备注：</w:t>
            </w:r>
          </w:p>
          <w:p>
            <w:pPr>
              <w:spacing w:line="360" w:lineRule="auto"/>
              <w:jc w:val="left"/>
              <w:rPr>
                <w:rFonts w:hint="eastAsia"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 xml:space="preserve"> </w:t>
            </w:r>
            <w:bookmarkStart w:id="74" w:name="_Hlk54170335"/>
            <w:r>
              <w:rPr>
                <w:rFonts w:hint="eastAsia" w:ascii="宋体" w:hAnsi="宋体"/>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 w:val="24"/>
                <w:highlight w:val="none"/>
              </w:rPr>
              <w:t>。</w:t>
            </w:r>
            <w:bookmarkEnd w:id="74"/>
          </w:p>
          <w:p>
            <w:pPr>
              <w:spacing w:line="360" w:lineRule="auto"/>
              <w:jc w:val="left"/>
              <w:rPr>
                <w:rFonts w:hint="eastAsia" w:ascii="宋体" w:hAnsi="宋体" w:eastAsia="宋体"/>
                <w:b/>
                <w:color w:val="auto"/>
                <w:szCs w:val="21"/>
                <w:highlight w:val="none"/>
                <w:lang w:eastAsia="zh-CN"/>
              </w:rPr>
            </w:pPr>
            <w:r>
              <w:rPr>
                <w:rFonts w:ascii="宋体" w:hAnsi="宋体"/>
                <w:b/>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hint="eastAsia" w:ascii="宋体" w:hAnsi="宋体"/>
                <w:b/>
                <w:color w:val="auto"/>
                <w:szCs w:val="21"/>
                <w:highlight w:val="none"/>
              </w:rPr>
            </w:pPr>
            <w:r>
              <w:rPr>
                <w:rFonts w:ascii="宋体" w:hAnsi="宋体"/>
                <w:b/>
                <w:color w:val="auto"/>
                <w:szCs w:val="21"/>
                <w:highlight w:val="none"/>
              </w:rPr>
              <w:t>3.采用银行、保险机构出具的保函的，必须为无条件保函，否则不予签订合同。</w:t>
            </w:r>
          </w:p>
          <w:p>
            <w:pPr>
              <w:spacing w:line="360" w:lineRule="auto"/>
              <w:jc w:val="left"/>
              <w:rPr>
                <w:rFonts w:hint="eastAsia"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5" w:name="_40.1"/>
            <w:bookmarkEnd w:id="75"/>
            <w:r>
              <w:rPr>
                <w:rFonts w:hint="eastAsia" w:ascii="宋体" w:hAnsi="宋体"/>
                <w:color w:val="auto"/>
                <w:szCs w:val="21"/>
                <w:highlight w:val="none"/>
              </w:rPr>
              <w:t>36.1</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接收质疑函方式：以书面形式</w:t>
            </w:r>
          </w:p>
          <w:p>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lang w:val="en-US" w:eastAsia="zh-CN"/>
              </w:rPr>
              <w:t>广西同泽工程项目管理股份有限公司第七事业中心</w:t>
            </w:r>
            <w:r>
              <w:rPr>
                <w:rFonts w:hint="eastAsia" w:ascii="宋体" w:hAnsi="宋体"/>
                <w:color w:val="auto"/>
                <w:szCs w:val="21"/>
                <w:highlight w:val="none"/>
              </w:rPr>
              <w:t>，</w:t>
            </w:r>
            <w:r>
              <w:rPr>
                <w:rFonts w:ascii="宋体" w:hAnsi="宋体"/>
                <w:color w:val="auto"/>
                <w:szCs w:val="21"/>
                <w:highlight w:val="none"/>
              </w:rPr>
              <w:t>联系电话</w:t>
            </w:r>
            <w:r>
              <w:rPr>
                <w:rFonts w:hint="eastAsia" w:ascii="宋体" w:hAnsi="宋体"/>
                <w:color w:val="auto"/>
                <w:szCs w:val="21"/>
                <w:highlight w:val="none"/>
              </w:rPr>
              <w:t>：详见</w:t>
            </w:r>
            <w:r>
              <w:rPr>
                <w:rFonts w:hint="eastAsia" w:ascii="宋体" w:hAnsi="宋体"/>
                <w:color w:val="auto"/>
                <w:szCs w:val="21"/>
                <w:highlight w:val="none"/>
                <w:lang w:val="en-US" w:eastAsia="zh-CN"/>
              </w:rPr>
              <w:t>招标</w:t>
            </w:r>
            <w:r>
              <w:rPr>
                <w:rFonts w:hint="eastAsia" w:ascii="宋体" w:hAnsi="宋体"/>
                <w:color w:val="auto"/>
                <w:szCs w:val="21"/>
                <w:highlight w:val="none"/>
              </w:rPr>
              <w:t>公告，</w:t>
            </w:r>
            <w:r>
              <w:rPr>
                <w:rFonts w:ascii="宋体" w:hAnsi="宋体"/>
                <w:color w:val="auto"/>
                <w:szCs w:val="21"/>
                <w:highlight w:val="none"/>
              </w:rPr>
              <w:t>通讯地址</w:t>
            </w:r>
            <w:r>
              <w:rPr>
                <w:rFonts w:hint="eastAsia" w:ascii="宋体" w:hAnsi="宋体"/>
                <w:color w:val="auto"/>
                <w:szCs w:val="21"/>
                <w:highlight w:val="none"/>
              </w:rPr>
              <w:t>：详见</w:t>
            </w:r>
            <w:r>
              <w:rPr>
                <w:rFonts w:hint="eastAsia" w:ascii="宋体" w:hAnsi="宋体"/>
                <w:color w:val="auto"/>
                <w:szCs w:val="21"/>
                <w:highlight w:val="none"/>
                <w:lang w:val="en-US" w:eastAsia="zh-CN"/>
              </w:rPr>
              <w:t>招标</w:t>
            </w:r>
            <w:r>
              <w:rPr>
                <w:rFonts w:hint="eastAsia" w:ascii="宋体" w:hAnsi="宋体"/>
                <w:color w:val="auto"/>
                <w:szCs w:val="21"/>
                <w:highlight w:val="none"/>
              </w:rPr>
              <w:t>公告</w:t>
            </w:r>
            <w:r>
              <w:rPr>
                <w:rFonts w:hint="eastAsia" w:ascii="宋体" w:hAnsi="宋体"/>
                <w:color w:val="auto"/>
                <w:szCs w:val="21"/>
                <w:highlight w:val="none"/>
                <w:lang w:eastAsia="zh-CN"/>
              </w:rPr>
              <w:t>。</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业务时间：工作日每天上午</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ascii="宋体" w:hAnsi="宋体"/>
                <w:color w:val="auto"/>
                <w:szCs w:val="21"/>
                <w:highlight w:val="none"/>
              </w:rPr>
              <w:t>00</w:t>
            </w:r>
            <w:r>
              <w:rPr>
                <w:rFonts w:hint="eastAsia" w:ascii="宋体" w:hAnsi="宋体"/>
                <w:color w:val="auto"/>
                <w:szCs w:val="21"/>
                <w:highlight w:val="none"/>
              </w:rPr>
              <w:t>分到</w:t>
            </w:r>
            <w:r>
              <w:rPr>
                <w:rFonts w:ascii="宋体" w:hAnsi="宋体"/>
                <w:color w:val="auto"/>
                <w:szCs w:val="21"/>
                <w:highlight w:val="none"/>
              </w:rPr>
              <w:t>12</w:t>
            </w:r>
            <w:r>
              <w:rPr>
                <w:rFonts w:hint="eastAsia" w:ascii="宋体" w:hAnsi="宋体"/>
                <w:color w:val="auto"/>
                <w:szCs w:val="21"/>
                <w:highlight w:val="none"/>
              </w:rPr>
              <w:t>时</w:t>
            </w:r>
            <w:r>
              <w:rPr>
                <w:rFonts w:ascii="宋体" w:hAnsi="宋体"/>
                <w:color w:val="auto"/>
                <w:szCs w:val="21"/>
                <w:highlight w:val="none"/>
              </w:rPr>
              <w:t>00</w:t>
            </w:r>
            <w:r>
              <w:rPr>
                <w:rFonts w:hint="eastAsia" w:ascii="宋体" w:hAnsi="宋体"/>
                <w:color w:val="auto"/>
                <w:szCs w:val="21"/>
                <w:highlight w:val="none"/>
              </w:rPr>
              <w:t>分，下午</w:t>
            </w:r>
            <w:r>
              <w:rPr>
                <w:rFonts w:hint="eastAsia" w:ascii="宋体" w:hAnsi="宋体"/>
                <w:color w:val="auto"/>
                <w:szCs w:val="21"/>
                <w:highlight w:val="none"/>
                <w:lang w:val="en-US" w:eastAsia="zh-CN"/>
              </w:rPr>
              <w:t>14</w:t>
            </w:r>
            <w:r>
              <w:rPr>
                <w:rFonts w:hint="eastAsia" w:ascii="宋体" w:hAnsi="宋体"/>
                <w:color w:val="auto"/>
                <w:szCs w:val="21"/>
                <w:highlight w:val="none"/>
              </w:rPr>
              <w:t>时</w:t>
            </w:r>
            <w:r>
              <w:rPr>
                <w:rFonts w:hint="eastAsia" w:ascii="宋体" w:hAnsi="宋体"/>
                <w:color w:val="auto"/>
                <w:szCs w:val="21"/>
                <w:highlight w:val="none"/>
                <w:lang w:val="en-US" w:eastAsia="zh-CN"/>
              </w:rPr>
              <w:t>3</w:t>
            </w:r>
            <w:r>
              <w:rPr>
                <w:rFonts w:ascii="宋体" w:hAnsi="宋体"/>
                <w:color w:val="auto"/>
                <w:szCs w:val="21"/>
                <w:highlight w:val="none"/>
              </w:rPr>
              <w:t>0</w:t>
            </w:r>
            <w:r>
              <w:rPr>
                <w:rFonts w:hint="eastAsia" w:ascii="宋体" w:hAnsi="宋体"/>
                <w:color w:val="auto"/>
                <w:szCs w:val="21"/>
                <w:highlight w:val="none"/>
              </w:rPr>
              <w:t>分到</w:t>
            </w:r>
            <w:r>
              <w:rPr>
                <w:rFonts w:hint="eastAsia" w:ascii="宋体" w:hAnsi="宋体"/>
                <w:color w:val="auto"/>
                <w:szCs w:val="21"/>
                <w:highlight w:val="none"/>
                <w:lang w:val="en-US" w:eastAsia="zh-CN"/>
              </w:rPr>
              <w:t>17</w:t>
            </w:r>
            <w:r>
              <w:rPr>
                <w:rFonts w:hint="eastAsia" w:ascii="宋体" w:hAnsi="宋体"/>
                <w:color w:val="auto"/>
                <w:szCs w:val="21"/>
                <w:highlight w:val="none"/>
              </w:rPr>
              <w:t>时</w:t>
            </w:r>
            <w:r>
              <w:rPr>
                <w:rFonts w:hint="eastAsia" w:ascii="宋体" w:hAnsi="宋体"/>
                <w:color w:val="auto"/>
                <w:szCs w:val="21"/>
                <w:highlight w:val="none"/>
                <w:lang w:val="en-US" w:eastAsia="zh-CN"/>
              </w:rPr>
              <w:t>3</w:t>
            </w:r>
            <w:r>
              <w:rPr>
                <w:rFonts w:ascii="宋体" w:hAnsi="宋体"/>
                <w:color w:val="auto"/>
                <w:szCs w:val="21"/>
                <w:highlight w:val="none"/>
              </w:rPr>
              <w:t>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6" w:name="_42"/>
            <w:bookmarkEnd w:id="76"/>
            <w:bookmarkStart w:id="77" w:name="_41"/>
            <w:bookmarkEnd w:id="77"/>
            <w:bookmarkStart w:id="78" w:name="_Hlt17709148"/>
            <w:r>
              <w:rPr>
                <w:rFonts w:hint="eastAsia" w:ascii="宋体" w:hAnsi="宋体"/>
                <w:color w:val="auto"/>
                <w:szCs w:val="21"/>
                <w:highlight w:val="none"/>
              </w:rPr>
              <w:t>3</w:t>
            </w:r>
            <w:bookmarkEnd w:id="78"/>
            <w:r>
              <w:rPr>
                <w:rFonts w:ascii="宋体" w:hAnsi="宋体"/>
                <w:color w:val="auto"/>
                <w:szCs w:val="21"/>
                <w:highlight w:val="none"/>
              </w:rPr>
              <w:t>9.1</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中标人</w:t>
            </w:r>
            <w:r>
              <w:rPr>
                <w:rFonts w:hint="eastAsia" w:hAnsi="宋体" w:cs="宋体"/>
                <w:color w:val="auto"/>
                <w:sz w:val="21"/>
                <w:highlight w:val="none"/>
                <w:lang w:val="en-US" w:eastAsia="zh-CN"/>
              </w:rPr>
              <w:t>一次性向采购代理机构支付。</w:t>
            </w:r>
          </w:p>
          <w:p>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□采购人支付。</w:t>
            </w:r>
          </w:p>
          <w:p>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☑以分标（☑中标金额/□采购预算/□暂定中标金额/□其他</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lang w:val="en-US" w:eastAsia="zh-CN"/>
              </w:rPr>
              <w:t>）为计费额，按本须知正文第</w:t>
            </w:r>
            <w:r>
              <w:rPr>
                <w:rFonts w:hAnsi="宋体" w:cs="宋体"/>
                <w:color w:val="auto"/>
                <w:sz w:val="21"/>
                <w:highlight w:val="none"/>
                <w:lang w:val="en-US" w:eastAsia="zh-CN"/>
              </w:rPr>
              <w:t>39</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条规定的收费计算标准（□货物招标/☑服务招标/□工程招标）采用差额定率累进法计算出收费基准价格，采购代理收费以（☑收费基准价格/□收费基准价格下浮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Ansi="宋体" w:cs="宋体"/>
                <w:color w:val="auto"/>
                <w:sz w:val="21"/>
                <w:highlight w:val="none"/>
                <w:lang w:val="en-US" w:eastAsia="zh-CN"/>
              </w:rPr>
              <w:t>/</w:t>
            </w:r>
            <w:r>
              <w:rPr>
                <w:rFonts w:hint="eastAsia" w:hAnsi="宋体" w:cs="宋体"/>
                <w:color w:val="auto"/>
                <w:sz w:val="21"/>
                <w:highlight w:val="none"/>
                <w:lang w:val="en-US" w:eastAsia="zh-CN"/>
              </w:rPr>
              <w:t>□收费基准价格上浮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int="eastAsia" w:hAnsi="宋体" w:cs="宋体"/>
                <w:color w:val="auto"/>
                <w:sz w:val="21"/>
                <w:highlight w:val="none"/>
                <w:lang w:val="en-US" w:eastAsia="zh-CN"/>
              </w:rPr>
              <w:t>）收取。</w:t>
            </w:r>
          </w:p>
          <w:p>
            <w:pPr>
              <w:pStyle w:val="11"/>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p>
          <w:p>
            <w:pPr>
              <w:pStyle w:val="11"/>
              <w:snapToGrid w:val="0"/>
              <w:spacing w:line="360" w:lineRule="auto"/>
              <w:rPr>
                <w:rFonts w:hint="default" w:hAnsi="宋体" w:cs="宋体"/>
                <w:color w:val="auto"/>
                <w:sz w:val="21"/>
                <w:highlight w:val="none"/>
                <w:lang w:val="en-US" w:eastAsia="zh-CN"/>
              </w:rPr>
            </w:pPr>
            <w:r>
              <w:rPr>
                <w:rFonts w:hint="eastAsia" w:hAnsi="宋体" w:cs="宋体"/>
                <w:color w:val="auto"/>
                <w:sz w:val="21"/>
                <w:highlight w:val="none"/>
                <w:lang w:val="en-US" w:eastAsia="zh-CN"/>
              </w:rPr>
              <w:t>3</w:t>
            </w:r>
            <w:r>
              <w:rPr>
                <w:rFonts w:hAnsi="宋体" w:cs="宋体"/>
                <w:color w:val="auto"/>
                <w:sz w:val="21"/>
                <w:highlight w:val="none"/>
                <w:lang w:val="en-US" w:eastAsia="zh-CN"/>
              </w:rPr>
              <w:t>.</w:t>
            </w:r>
            <w:r>
              <w:rPr>
                <w:rFonts w:hint="eastAsia" w:hAnsi="宋体" w:cs="宋体"/>
                <w:color w:val="auto"/>
                <w:sz w:val="21"/>
                <w:highlight w:val="none"/>
                <w:lang w:val="en-US" w:eastAsia="zh-CN"/>
              </w:rPr>
              <w:t>开户名称：</w:t>
            </w:r>
            <w:r>
              <w:rPr>
                <w:rFonts w:hint="eastAsia" w:hAnsi="宋体" w:cs="宋体"/>
                <w:sz w:val="21"/>
              </w:rPr>
              <w:t>广西同泽工程项目管理股份有限公司南宁第八分公司</w:t>
            </w:r>
          </w:p>
          <w:p>
            <w:pPr>
              <w:pStyle w:val="11"/>
              <w:snapToGrid w:val="0"/>
              <w:spacing w:line="360" w:lineRule="auto"/>
              <w:rPr>
                <w:rFonts w:hint="eastAsia" w:hAnsi="宋体" w:cs="宋体"/>
                <w:sz w:val="21"/>
              </w:rPr>
            </w:pPr>
            <w:r>
              <w:rPr>
                <w:rFonts w:hint="eastAsia" w:hAnsi="宋体" w:cs="宋体"/>
                <w:color w:val="auto"/>
                <w:sz w:val="21"/>
                <w:highlight w:val="none"/>
                <w:lang w:val="en-US" w:eastAsia="zh-CN"/>
              </w:rPr>
              <w:t>账号：</w:t>
            </w:r>
            <w:r>
              <w:rPr>
                <w:rFonts w:hint="eastAsia" w:hAnsi="宋体" w:cs="宋体"/>
                <w:sz w:val="21"/>
              </w:rPr>
              <w:t>上海浦东发展银行广西自贸试验区南宁片区支行</w:t>
            </w:r>
          </w:p>
          <w:p>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开户行：</w:t>
            </w:r>
            <w:r>
              <w:rPr>
                <w:rFonts w:hint="eastAsia" w:hAnsi="宋体" w:cs="宋体"/>
                <w:sz w:val="21"/>
              </w:rPr>
              <w:t>63150078801600000504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40.1</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40.2</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pStyle w:val="11"/>
              <w:snapToGrid w:val="0"/>
              <w:spacing w:line="360" w:lineRule="auto"/>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1"/>
              <w:snapToGrid w:val="0"/>
              <w:spacing w:line="360" w:lineRule="auto"/>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2.本招标文件所称的“</w:t>
            </w:r>
            <w:r>
              <w:rPr>
                <w:rFonts w:hint="eastAsia" w:hAnsi="宋体"/>
                <w:color w:val="auto"/>
                <w:sz w:val="21"/>
                <w:highlight w:val="none"/>
                <w:lang w:val="en-US" w:eastAsia="zh-CN"/>
              </w:rPr>
              <w:t>电子签章</w:t>
            </w:r>
            <w:r>
              <w:rPr>
                <w:rFonts w:hint="eastAsia" w:hAnsi="宋体" w:cs="宋体"/>
                <w:bCs/>
                <w:color w:val="auto"/>
                <w:sz w:val="21"/>
                <w:highlight w:val="none"/>
                <w:lang w:val="en-US" w:eastAsia="zh-CN"/>
              </w:rPr>
              <w:t>”、“电子签名”</w:t>
            </w:r>
            <w:r>
              <w:rPr>
                <w:rFonts w:hint="eastAsia" w:hAnsi="宋体"/>
                <w:color w:val="auto"/>
                <w:sz w:val="21"/>
                <w:highlight w:val="none"/>
                <w:lang w:val="en-US" w:eastAsia="zh-CN"/>
              </w:rPr>
              <w:t>，是指经广西政府采购云平台认可的CA认证的电子签名数据为表现形式的印章，可用于签署电子投标文件，电子印章与实物印章具有同等法律效力，不因其采用电子化表现形式而否定其法律效力。</w:t>
            </w:r>
          </w:p>
          <w:p>
            <w:pPr>
              <w:pStyle w:val="11"/>
              <w:snapToGrid w:val="0"/>
              <w:spacing w:line="360" w:lineRule="auto"/>
              <w:rPr>
                <w:rFonts w:hint="eastAsia" w:ascii="宋体" w:hAnsi="宋体" w:eastAsia="宋体" w:cs="宋体"/>
                <w:bCs/>
                <w:color w:val="auto"/>
                <w:sz w:val="21"/>
                <w:highlight w:val="none"/>
                <w:lang w:val="en-US" w:eastAsia="zh-CN"/>
              </w:rPr>
            </w:pPr>
            <w:r>
              <w:rPr>
                <w:rFonts w:hint="eastAsia" w:hAnsi="宋体" w:cs="宋体"/>
                <w:bCs/>
                <w:color w:val="auto"/>
                <w:sz w:val="21"/>
                <w:highlight w:val="none"/>
                <w:lang w:val="en-US" w:eastAsia="zh-CN"/>
              </w:rPr>
              <w:t>3</w:t>
            </w:r>
            <w:r>
              <w:rPr>
                <w:rFonts w:hint="eastAsia" w:ascii="宋体" w:hAnsi="宋体" w:eastAsia="宋体" w:cs="宋体"/>
                <w:bCs/>
                <w:color w:val="auto"/>
                <w:sz w:val="21"/>
                <w:highlight w:val="none"/>
                <w:lang w:val="en-US" w:eastAsia="zh-CN"/>
              </w:rPr>
              <w:t>.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1"/>
              <w:snapToGrid w:val="0"/>
              <w:spacing w:line="360" w:lineRule="auto"/>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4.本招标文件中描述投标人的“签字”是指投标人的法定代表人或者委托代理人亲自在文件规定签字处亲笔写上个人的名字的行为，私章、签字章、印鉴、影印等其他形式均不能代替亲笔签字。</w:t>
            </w:r>
          </w:p>
          <w:p>
            <w:pPr>
              <w:pStyle w:val="11"/>
              <w:snapToGrid w:val="0"/>
              <w:spacing w:line="360" w:lineRule="auto"/>
              <w:rPr>
                <w:rFonts w:hint="eastAsia" w:ascii="宋体" w:hAnsi="宋体"/>
                <w:color w:val="auto"/>
                <w:szCs w:val="21"/>
                <w:highlight w:val="none"/>
              </w:rPr>
            </w:pPr>
            <w:r>
              <w:rPr>
                <w:rFonts w:hint="eastAsia" w:ascii="宋体" w:hAnsi="宋体" w:eastAsia="宋体" w:cs="宋体"/>
                <w:bCs/>
                <w:color w:val="auto"/>
                <w:sz w:val="21"/>
                <w:highlight w:val="none"/>
                <w:lang w:val="en-US" w:eastAsia="zh-CN"/>
              </w:rPr>
              <w:t>5.本招标文件所称的“以上”“以下”“以内”“届满”，包括本数；所称的“不满”“超过”“以外”，不包括本数。</w:t>
            </w:r>
          </w:p>
        </w:tc>
      </w:tr>
    </w:tbl>
    <w:p>
      <w:pPr>
        <w:snapToGrid w:val="0"/>
        <w:rPr>
          <w:rFonts w:hint="eastAsia" w:ascii="宋体" w:hAnsi="宋体"/>
          <w:color w:val="auto"/>
          <w:sz w:val="24"/>
          <w:szCs w:val="20"/>
          <w:highlight w:val="none"/>
        </w:rPr>
      </w:pPr>
    </w:p>
    <w:p>
      <w:pPr>
        <w:snapToGrid w:val="0"/>
        <w:rPr>
          <w:rFonts w:hint="eastAsia" w:ascii="宋体" w:hAnsi="宋体"/>
          <w:color w:val="auto"/>
          <w:sz w:val="24"/>
          <w:szCs w:val="20"/>
          <w:highlight w:val="none"/>
        </w:rPr>
      </w:pPr>
    </w:p>
    <w:p>
      <w:pPr>
        <w:pStyle w:val="3"/>
        <w:keepNext w:val="0"/>
        <w:keepLines w:val="0"/>
        <w:jc w:val="center"/>
        <w:rPr>
          <w:rFonts w:hint="eastAsia"/>
          <w:color w:val="auto"/>
          <w:highlight w:val="none"/>
        </w:rPr>
      </w:pPr>
      <w:r>
        <w:rPr>
          <w:color w:val="auto"/>
          <w:highlight w:val="none"/>
        </w:rPr>
        <w:br w:type="page"/>
      </w:r>
      <w:r>
        <w:rPr>
          <w:rFonts w:hint="eastAsia"/>
          <w:color w:val="auto"/>
          <w:highlight w:val="none"/>
        </w:rPr>
        <w:t>投标人须知正文</w:t>
      </w:r>
    </w:p>
    <w:p>
      <w:pPr>
        <w:pStyle w:val="3"/>
        <w:keepNext w:val="0"/>
        <w:keepLines w:val="0"/>
        <w:jc w:val="center"/>
        <w:rPr>
          <w:rFonts w:hint="eastAsia"/>
          <w:color w:val="auto"/>
          <w:highlight w:val="none"/>
        </w:rPr>
      </w:pPr>
      <w:r>
        <w:rPr>
          <w:rFonts w:hint="eastAsia"/>
          <w:color w:val="auto"/>
          <w:highlight w:val="none"/>
        </w:rPr>
        <w:t>一、总  则</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79" w:name="_Toc254970527"/>
      <w:bookmarkStart w:id="80" w:name="_Toc254970668"/>
      <w:r>
        <w:rPr>
          <w:rFonts w:hint="eastAsia" w:ascii="黑体" w:hAnsi="黑体" w:eastAsia="黑体"/>
          <w:color w:val="auto"/>
          <w:sz w:val="24"/>
          <w:highlight w:val="none"/>
        </w:rPr>
        <w:t>1.适用范围</w:t>
      </w:r>
      <w:bookmarkEnd w:id="79"/>
      <w:bookmarkEnd w:id="80"/>
    </w:p>
    <w:p>
      <w:pPr>
        <w:snapToGrid w:val="0"/>
        <w:spacing w:line="360" w:lineRule="auto"/>
        <w:ind w:firstLine="420" w:firstLineChars="200"/>
        <w:jc w:val="left"/>
        <w:rPr>
          <w:rFonts w:hint="eastAsia" w:ascii="宋体" w:hAnsi="宋体"/>
          <w:color w:val="auto"/>
          <w:szCs w:val="21"/>
          <w:highlight w:val="none"/>
        </w:rPr>
      </w:pPr>
      <w:bookmarkStart w:id="81" w:name="_Toc254970528"/>
      <w:bookmarkStart w:id="82" w:name="_Toc254970669"/>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对政府采购有关规定的约束和保护。</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2.定义</w:t>
      </w:r>
      <w:bookmarkEnd w:id="81"/>
      <w:bookmarkEnd w:id="82"/>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pPr>
        <w:pStyle w:val="6"/>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2.5“服务”是指除货物和工程以外的其他政府采购对象。</w:t>
      </w:r>
    </w:p>
    <w:p>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w:t>
      </w:r>
      <w:r>
        <w:rPr>
          <w:rFonts w:ascii="宋体" w:hAnsi="宋体"/>
          <w:b w:val="0"/>
          <w:color w:val="auto"/>
          <w:sz w:val="21"/>
          <w:szCs w:val="21"/>
          <w:highlight w:val="none"/>
        </w:rPr>
        <w:t>6</w:t>
      </w:r>
      <w:r>
        <w:rPr>
          <w:rFonts w:hint="eastAsia" w:ascii="宋体" w:hAnsi="宋体"/>
          <w:b w:val="0"/>
          <w:color w:val="auto"/>
          <w:sz w:val="21"/>
          <w:szCs w:val="21"/>
          <w:highlight w:val="none"/>
        </w:rPr>
        <w:t>“书面形式”是指合同书、信件和数据电文（包括电报、电传、传真、电子数据交换和电子邮件）等可以有形地表现所载内容的形式。</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w:t>
      </w:r>
      <w:r>
        <w:rPr>
          <w:rFonts w:ascii="宋体" w:hAnsi="宋体"/>
          <w:b w:val="0"/>
          <w:color w:val="auto"/>
          <w:sz w:val="21"/>
          <w:szCs w:val="21"/>
          <w:highlight w:val="none"/>
        </w:rPr>
        <w:t>7</w:t>
      </w:r>
      <w:r>
        <w:rPr>
          <w:rFonts w:hint="eastAsia" w:ascii="宋体" w:hAnsi="宋体"/>
          <w:b w:val="0"/>
          <w:color w:val="auto"/>
          <w:sz w:val="21"/>
          <w:szCs w:val="21"/>
          <w:highlight w:val="none"/>
        </w:rPr>
        <w:t>“实质性要求”是指招标文件中已经指明不满足则投标无效的条款，或者不能负偏离的条款，或者采购需求中带“▲”的条款。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0</w:t>
      </w:r>
      <w:r>
        <w:rPr>
          <w:rFonts w:hint="eastAsia" w:ascii="宋体" w:hAnsi="宋体" w:cs="宋体"/>
          <w:color w:val="auto"/>
          <w:szCs w:val="21"/>
          <w:highlight w:val="none"/>
        </w:rPr>
        <w:t>“允许负偏离的条款”是指采购需求中的不属于“实质性要求”的条款。</w:t>
      </w:r>
      <w:bookmarkStart w:id="83" w:name="_Toc254970670"/>
      <w:bookmarkStart w:id="84" w:name="_Toc254970529"/>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83"/>
      <w:bookmarkEnd w:id="84"/>
      <w:r>
        <w:rPr>
          <w:rFonts w:hint="eastAsia" w:ascii="黑体" w:hAnsi="黑体" w:eastAsia="黑体"/>
          <w:color w:val="auto"/>
          <w:sz w:val="24"/>
          <w:highlight w:val="none"/>
        </w:rPr>
        <w:t>投标人的资格要求</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85" w:name="_Toc254970671"/>
      <w:bookmarkStart w:id="86" w:name="_Toc254970530"/>
      <w:r>
        <w:rPr>
          <w:rFonts w:hint="eastAsia" w:ascii="黑体" w:hAnsi="黑体" w:eastAsia="黑体"/>
          <w:color w:val="auto"/>
          <w:sz w:val="24"/>
          <w:highlight w:val="none"/>
        </w:rPr>
        <w:t>4.投标委托</w:t>
      </w:r>
      <w:bookmarkEnd w:id="85"/>
      <w:bookmarkEnd w:id="86"/>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87" w:name="_5.投标费用"/>
      <w:bookmarkEnd w:id="87"/>
      <w:bookmarkStart w:id="88" w:name="_Toc254970672"/>
      <w:bookmarkStart w:id="89" w:name="_Toc254970531"/>
      <w:r>
        <w:rPr>
          <w:rFonts w:hint="eastAsia" w:ascii="黑体" w:hAnsi="黑体" w:eastAsia="黑体"/>
          <w:color w:val="auto"/>
          <w:sz w:val="24"/>
          <w:highlight w:val="none"/>
        </w:rPr>
        <w:t>5.投标费用</w:t>
      </w:r>
      <w:bookmarkEnd w:id="88"/>
      <w:bookmarkEnd w:id="89"/>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bCs/>
          <w:color w:val="auto"/>
          <w:szCs w:val="21"/>
          <w:highlight w:val="none"/>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90" w:name="_Toc254970673"/>
      <w:bookmarkStart w:id="91" w:name="_Toc254970532"/>
      <w:r>
        <w:rPr>
          <w:rFonts w:hint="eastAsia" w:ascii="宋体" w:hAnsi="宋体"/>
          <w:b w:val="0"/>
          <w:color w:val="auto"/>
          <w:sz w:val="21"/>
          <w:szCs w:val="21"/>
          <w:highlight w:val="none"/>
        </w:rPr>
        <w:t>7.1本项目不允许转包。</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8.特别说明</w:t>
      </w:r>
      <w:bookmarkEnd w:id="90"/>
      <w:bookmarkEnd w:id="91"/>
    </w:p>
    <w:p>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8.2投标人应仔细阅读招标文件的所有内容，按照招标文件的要求提交投标文件，并对所提供的全部资料的真实性承担法律责任。</w:t>
      </w:r>
    </w:p>
    <w:p>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pStyle w:val="5"/>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pPr>
        <w:pStyle w:val="11"/>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pPr>
        <w:pStyle w:val="11"/>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pPr>
        <w:pStyle w:val="11"/>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pPr>
        <w:pStyle w:val="11"/>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pPr>
        <w:pStyle w:val="11"/>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pPr>
        <w:pStyle w:val="11"/>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11"/>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pPr>
        <w:pStyle w:val="11"/>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pPr>
        <w:pStyle w:val="11"/>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pPr>
        <w:pStyle w:val="11"/>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pPr>
        <w:pStyle w:val="11"/>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pPr>
        <w:pStyle w:val="11"/>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pStyle w:val="11"/>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pPr>
        <w:pStyle w:val="11"/>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pPr>
        <w:pStyle w:val="11"/>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pPr>
        <w:pStyle w:val="11"/>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pPr>
        <w:pStyle w:val="11"/>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11"/>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pPr>
        <w:pStyle w:val="11"/>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pPr>
        <w:pStyle w:val="11"/>
        <w:snapToGrid w:val="0"/>
        <w:spacing w:line="360" w:lineRule="auto"/>
        <w:ind w:left="2" w:leftChars="1" w:firstLine="422" w:firstLineChars="200"/>
        <w:rPr>
          <w:rFonts w:hint="eastAsia" w:hAnsi="宋体"/>
          <w:b/>
          <w:color w:val="auto"/>
          <w:kern w:val="2"/>
          <w:sz w:val="21"/>
          <w:highlight w:val="none"/>
        </w:rPr>
      </w:pPr>
    </w:p>
    <w:p>
      <w:pPr>
        <w:pStyle w:val="3"/>
        <w:keepNext w:val="0"/>
        <w:keepLines w:val="0"/>
        <w:jc w:val="center"/>
        <w:rPr>
          <w:rFonts w:hint="eastAsia"/>
          <w:color w:val="auto"/>
          <w:highlight w:val="none"/>
        </w:rPr>
      </w:pPr>
      <w:bookmarkStart w:id="92" w:name="_Toc254970675"/>
      <w:bookmarkStart w:id="93" w:name="_Toc254970534"/>
      <w:r>
        <w:rPr>
          <w:rFonts w:hint="eastAsia"/>
          <w:color w:val="auto"/>
          <w:highlight w:val="none"/>
        </w:rPr>
        <w:t>二、招标文件</w:t>
      </w:r>
      <w:bookmarkEnd w:id="92"/>
      <w:bookmarkEnd w:id="93"/>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94"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4"/>
    <w:p>
      <w:pPr>
        <w:pStyle w:val="3"/>
        <w:keepNext w:val="0"/>
        <w:keepLines w:val="0"/>
        <w:jc w:val="center"/>
        <w:rPr>
          <w:rFonts w:hint="eastAsia"/>
          <w:color w:val="auto"/>
          <w:highlight w:val="none"/>
        </w:rPr>
      </w:pPr>
      <w:bookmarkStart w:id="95" w:name="_Toc254970676"/>
      <w:bookmarkStart w:id="96" w:name="_Toc254970535"/>
      <w:r>
        <w:rPr>
          <w:rFonts w:hint="eastAsia"/>
          <w:color w:val="auto"/>
          <w:highlight w:val="none"/>
        </w:rPr>
        <w:t>三、投标文件的编制</w:t>
      </w:r>
      <w:bookmarkEnd w:id="95"/>
      <w:bookmarkEnd w:id="96"/>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97" w:name="_Toc254970677"/>
      <w:bookmarkStart w:id="98" w:name="_Toc254970536"/>
      <w:r>
        <w:rPr>
          <w:rFonts w:hint="eastAsia" w:ascii="黑体" w:hAnsi="黑体" w:eastAsia="黑体"/>
          <w:color w:val="auto"/>
          <w:sz w:val="24"/>
          <w:highlight w:val="none"/>
        </w:rPr>
        <w:t>12.投标文件的编制原则</w:t>
      </w:r>
    </w:p>
    <w:p>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97"/>
      <w:bookmarkEnd w:id="98"/>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投标文件由报价文件、资格证明文件、商务及技术文件三部分组成。</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99" w:name="_13.1报价文件:_具体材料见“投标人须知前附表”。"/>
      <w:bookmarkEnd w:id="99"/>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00" w:name="_13.2资格证明文件：具体材料见“投标人须知前附表”。"/>
      <w:bookmarkEnd w:id="100"/>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01" w:name="_13.3商务文件:_具体材料见“投标人须知前附表”。"/>
      <w:bookmarkEnd w:id="101"/>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）商务及技术文件：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02" w:name="_13.5投标文件电子版：具体材料见“投标人须知前附表”。"/>
      <w:bookmarkEnd w:id="102"/>
      <w:bookmarkStart w:id="103" w:name="_13.4技术文件：具体材料见“投标人须知前附表”。"/>
      <w:bookmarkEnd w:id="103"/>
      <w:bookmarkStart w:id="104" w:name="_Toc254970678"/>
      <w:bookmarkStart w:id="105" w:name="_Toc254970537"/>
      <w:r>
        <w:rPr>
          <w:rFonts w:hint="eastAsia" w:ascii="黑体" w:hAnsi="黑体" w:eastAsia="黑体"/>
          <w:color w:val="auto"/>
          <w:sz w:val="24"/>
          <w:highlight w:val="none"/>
        </w:rPr>
        <w:t>14.投标文件的语言及计量</w:t>
      </w:r>
      <w:bookmarkEnd w:id="104"/>
      <w:bookmarkEnd w:id="105"/>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bCs/>
          <w:color w:val="auto"/>
          <w:sz w:val="21"/>
          <w:szCs w:val="21"/>
          <w:highlight w:val="none"/>
        </w:rPr>
        <w:t>，否则视同未响应。</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pPr>
        <w:pStyle w:val="11"/>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06" w:name="_Toc254970679"/>
      <w:bookmarkStart w:id="107" w:name="_Toc254970538"/>
      <w:r>
        <w:rPr>
          <w:rFonts w:hint="eastAsia" w:ascii="黑体" w:hAnsi="黑体" w:eastAsia="黑体"/>
          <w:color w:val="auto"/>
          <w:sz w:val="24"/>
          <w:highlight w:val="none"/>
        </w:rPr>
        <w:t>16.投标报价</w:t>
      </w:r>
      <w:bookmarkEnd w:id="106"/>
      <w:bookmarkEnd w:id="107"/>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08" w:name="_16.2投标报价具体定义见投标人须知前附表。"/>
      <w:bookmarkEnd w:id="108"/>
      <w:r>
        <w:rPr>
          <w:rFonts w:hint="eastAsia" w:ascii="宋体" w:hAnsi="宋体"/>
          <w:b w:val="0"/>
          <w:color w:val="auto"/>
          <w:sz w:val="21"/>
          <w:szCs w:val="21"/>
          <w:highlight w:val="none"/>
        </w:rPr>
        <w:t>16.2投标报价具体包括内容详见“投标人须知前附表”。</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bookmarkStart w:id="109" w:name="_17.1投标有效期应按“投标人须知中的前附表”规定的期限。"/>
      <w:bookmarkEnd w:id="109"/>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10" w:name="_Toc254970540"/>
      <w:bookmarkStart w:id="111" w:name="_Toc254970681"/>
      <w:r>
        <w:rPr>
          <w:rFonts w:hint="eastAsia" w:ascii="宋体" w:hAnsi="宋体"/>
          <w:b w:val="0"/>
          <w:color w:val="auto"/>
          <w:sz w:val="21"/>
          <w:szCs w:val="21"/>
          <w:highlight w:val="none"/>
        </w:rPr>
        <w:t xml:space="preserve"> 投标有效期应按招标文件规定的期限作出承诺，具体详见“投标人须知前附表”。</w:t>
      </w:r>
      <w:r>
        <w:rPr>
          <w:rFonts w:hint="eastAsia" w:ascii="宋体" w:hAnsi="宋体"/>
          <w:color w:val="auto"/>
          <w:sz w:val="21"/>
          <w:szCs w:val="21"/>
          <w:highlight w:val="none"/>
        </w:rPr>
        <w:t>承诺的投标有效期低于招标文件规定期限的，按无效投标处理。</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10"/>
      <w:bookmarkEnd w:id="111"/>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12" w:name="_18.投标保证金"/>
      <w:bookmarkEnd w:id="112"/>
      <w:bookmarkStart w:id="113" w:name="_Toc254970541"/>
      <w:bookmarkStart w:id="114" w:name="_Toc254970682"/>
      <w:r>
        <w:rPr>
          <w:rFonts w:hint="eastAsia" w:ascii="黑体" w:hAnsi="黑体" w:eastAsia="黑体"/>
          <w:color w:val="auto"/>
          <w:sz w:val="24"/>
          <w:highlight w:val="none"/>
        </w:rPr>
        <w:t>18.投标保证金</w:t>
      </w:r>
      <w:bookmarkEnd w:id="113"/>
      <w:bookmarkEnd w:id="114"/>
    </w:p>
    <w:p>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未中标人的投标保证金自中标通知书发出之日起</w:t>
      </w:r>
      <w:r>
        <w:rPr>
          <w:rFonts w:hint="eastAsia" w:ascii="宋体" w:hAnsi="宋体"/>
          <w:b w:val="0"/>
          <w:color w:val="auto"/>
          <w:sz w:val="21"/>
          <w:szCs w:val="21"/>
          <w:highlight w:val="none"/>
          <w:lang w:eastAsia="zh-CN"/>
        </w:rPr>
        <w:t>5</w:t>
      </w:r>
      <w:r>
        <w:rPr>
          <w:rFonts w:hint="eastAsia" w:ascii="宋体" w:hAnsi="宋体"/>
          <w:b w:val="0"/>
          <w:color w:val="auto"/>
          <w:sz w:val="21"/>
          <w:szCs w:val="21"/>
          <w:highlight w:val="none"/>
        </w:rPr>
        <w:t>个工作日内退还；中标人的投标保证金自政府采购合同签订之日起</w:t>
      </w:r>
      <w:r>
        <w:rPr>
          <w:rFonts w:hint="eastAsia" w:ascii="宋体" w:hAnsi="宋体"/>
          <w:b w:val="0"/>
          <w:color w:val="auto"/>
          <w:sz w:val="21"/>
          <w:szCs w:val="21"/>
          <w:highlight w:val="none"/>
          <w:lang w:eastAsia="zh-CN"/>
        </w:rPr>
        <w:t>5</w:t>
      </w:r>
      <w:r>
        <w:rPr>
          <w:rFonts w:hint="eastAsia" w:ascii="宋体" w:hAnsi="宋体"/>
          <w:b w:val="0"/>
          <w:color w:val="auto"/>
          <w:sz w:val="21"/>
          <w:szCs w:val="21"/>
          <w:highlight w:val="none"/>
        </w:rPr>
        <w:t xml:space="preserve">个工作日内退还。 </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20" w:firstLineChars="200"/>
        <w:rPr>
          <w:rFonts w:hint="eastAsia" w:ascii="宋体" w:hAnsi="宋体"/>
          <w:color w:val="auto"/>
          <w:szCs w:val="21"/>
          <w:highlight w:val="none"/>
        </w:rPr>
      </w:pPr>
      <w:bookmarkStart w:id="115" w:name="_Toc254970542"/>
      <w:bookmarkStart w:id="116" w:name="_Toc254970683"/>
      <w:r>
        <w:rPr>
          <w:rFonts w:hint="eastAsia" w:ascii="宋体" w:hAnsi="宋体"/>
          <w:color w:val="auto"/>
          <w:szCs w:val="21"/>
          <w:highlight w:val="none"/>
        </w:rPr>
        <w:t>（5）投标人出现本章第9.2、9.3情形的；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bookmarkEnd w:id="115"/>
    <w:bookmarkEnd w:id="116"/>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19.投标文件的编制</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bookmarkStart w:id="117" w:name="_19.2投标文件应按报价文件、资格证明文件、商务文件、技术文件分别编制"/>
      <w:bookmarkEnd w:id="117"/>
      <w:r>
        <w:rPr>
          <w:rFonts w:hint="eastAsia" w:ascii="宋体" w:hAnsi="宋体"/>
          <w:b w:val="0"/>
          <w:color w:val="auto"/>
          <w:sz w:val="21"/>
          <w:szCs w:val="21"/>
          <w:highlight w:val="none"/>
        </w:rPr>
        <w:t xml:space="preserve"> 19.1投标人应按照本项目招标文件规定的格式和顺序和</w:t>
      </w:r>
      <w:r>
        <w:rPr>
          <w:rFonts w:hint="eastAsia" w:ascii="宋体" w:hAnsi="宋体"/>
          <w:b w:val="0"/>
          <w:color w:val="auto"/>
          <w:sz w:val="21"/>
          <w:szCs w:val="21"/>
          <w:highlight w:val="none"/>
          <w:lang w:val="en-US"/>
        </w:rPr>
        <w:t>广西政府采购云平台</w:t>
      </w:r>
      <w:r>
        <w:rPr>
          <w:rFonts w:hint="eastAsia" w:ascii="宋体" w:hAnsi="宋体"/>
          <w:b w:val="0"/>
          <w:color w:val="auto"/>
          <w:sz w:val="21"/>
          <w:szCs w:val="21"/>
          <w:highlight w:val="none"/>
        </w:rPr>
        <w:t>的要求编制</w:t>
      </w:r>
      <w:r>
        <w:rPr>
          <w:rFonts w:hint="eastAsia" w:ascii="宋体" w:hAnsi="宋体"/>
          <w:b w:val="0"/>
          <w:color w:val="auto"/>
          <w:sz w:val="21"/>
          <w:szCs w:val="21"/>
          <w:highlight w:val="none"/>
          <w:lang w:eastAsia="zh-CN"/>
        </w:rPr>
        <w:t>投标文件</w:t>
      </w:r>
      <w:r>
        <w:rPr>
          <w:rFonts w:hint="eastAsia" w:ascii="宋体" w:hAnsi="宋体"/>
          <w:b w:val="0"/>
          <w:color w:val="auto"/>
          <w:sz w:val="21"/>
          <w:szCs w:val="21"/>
          <w:highlight w:val="none"/>
        </w:rPr>
        <w:t>并加密。投标文件内容不完整、编排混乱导致投标文件被误读、漏读或者查找不到相关内容的，由此引发的后果由投标人承担。</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lang w:eastAsia="zh-CN"/>
        </w:rPr>
        <w:t xml:space="preserve"> </w:t>
      </w:r>
      <w:r>
        <w:rPr>
          <w:rFonts w:hint="eastAsia" w:ascii="宋体" w:hAnsi="宋体"/>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lang w:eastAsia="zh-CN"/>
        </w:rPr>
        <w:t xml:space="preserve">    </w:t>
      </w:r>
      <w:r>
        <w:rPr>
          <w:rFonts w:hint="eastAsia" w:ascii="宋体" w:hAnsi="宋体"/>
          <w:b w:val="0"/>
          <w:color w:val="auto"/>
          <w:sz w:val="21"/>
          <w:szCs w:val="21"/>
          <w:highlight w:val="none"/>
        </w:rPr>
        <w:t>19.3投标文件须由投标人在规定位置签字（或者电子签名）、盖章（具体以投标人须知前附表或投标文件格式规定为准），</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lang w:eastAsia="zh-CN"/>
        </w:rPr>
        <w:t xml:space="preserve"> </w:t>
      </w:r>
      <w:r>
        <w:rPr>
          <w:rFonts w:hint="eastAsia" w:ascii="宋体" w:hAnsi="宋体"/>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w:t>
      </w:r>
      <w:r>
        <w:rPr>
          <w:rFonts w:hint="eastAsia" w:ascii="宋体" w:hAnsi="宋体"/>
          <w:b w:val="0"/>
          <w:color w:val="auto"/>
          <w:sz w:val="21"/>
          <w:szCs w:val="21"/>
          <w:highlight w:val="none"/>
          <w:lang w:eastAsia="zh-CN"/>
        </w:rPr>
        <w:t>（或者电子签名）</w:t>
      </w:r>
      <w:r>
        <w:rPr>
          <w:rFonts w:hint="eastAsia" w:ascii="宋体" w:hAnsi="宋体"/>
          <w:b w:val="0"/>
          <w:color w:val="auto"/>
          <w:sz w:val="21"/>
          <w:szCs w:val="21"/>
          <w:highlight w:val="none"/>
        </w:rPr>
        <w:t>或者加盖公章或者加盖电子签章。投标文件因字迹潦草或者表达不清所引起的后果由投标人承担。</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20.电子备份投标文件</w:t>
      </w:r>
    </w:p>
    <w:p>
      <w:pPr>
        <w:spacing w:line="360" w:lineRule="auto"/>
        <w:ind w:firstLine="420" w:firstLineChars="200"/>
        <w:rPr>
          <w:rFonts w:hint="eastAsia" w:ascii="黑体" w:hAnsi="黑体" w:eastAsia="黑体"/>
          <w:color w:val="auto"/>
          <w:sz w:val="24"/>
          <w:highlight w:val="none"/>
        </w:rPr>
      </w:pPr>
      <w:r>
        <w:rPr>
          <w:rFonts w:hint="eastAsia"/>
          <w:color w:val="auto"/>
          <w:highlight w:val="none"/>
        </w:rPr>
        <w:t>电子备份投标文件是指通过在线编制生成且后缀名为“</w:t>
      </w:r>
      <w:r>
        <w:rPr>
          <w:color w:val="auto"/>
          <w:highlight w:val="none"/>
        </w:rPr>
        <w:t>bfbs</w:t>
      </w:r>
      <w:r>
        <w:rPr>
          <w:rFonts w:hint="eastAsia"/>
          <w:color w:val="auto"/>
          <w:highlight w:val="none"/>
        </w:rPr>
        <w:t>”的文件，是否接受电子备份投标文件</w:t>
      </w:r>
      <w:r>
        <w:rPr>
          <w:rFonts w:hint="eastAsia" w:hAnsi="宋体"/>
          <w:bCs/>
          <w:color w:val="auto"/>
          <w:szCs w:val="21"/>
          <w:highlight w:val="none"/>
        </w:rPr>
        <w:t>详见在“投标人须知前附表”。</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pPr>
        <w:spacing w:line="360" w:lineRule="auto"/>
        <w:ind w:firstLine="420" w:firstLineChars="200"/>
        <w:rPr>
          <w:rFonts w:hint="eastAsia" w:hAnsi="宋体"/>
          <w:b/>
          <w:color w:val="auto"/>
          <w:highlight w:val="none"/>
        </w:rPr>
      </w:pPr>
      <w:bookmarkStart w:id="118" w:name="_21.1投标人必须在“投标人须知中的前附表”规定的投标文件接收时间和投"/>
      <w:bookmarkEnd w:id="118"/>
      <w:r>
        <w:rPr>
          <w:rFonts w:hint="eastAsia" w:hAnsi="宋体"/>
          <w:bCs/>
          <w:color w:val="auto"/>
          <w:szCs w:val="21"/>
          <w:highlight w:val="none"/>
        </w:rPr>
        <w:t>21.1投标人必须在“投标人须知前附表”规定的</w:t>
      </w:r>
      <w:r>
        <w:rPr>
          <w:rFonts w:hint="eastAsia" w:ascii="宋体" w:hAnsi="宋体"/>
          <w:color w:val="auto"/>
          <w:szCs w:val="21"/>
          <w:highlight w:val="none"/>
        </w:rPr>
        <w:t>提交投标文件截止时间前将</w:t>
      </w:r>
      <w:r>
        <w:rPr>
          <w:rFonts w:hint="eastAsia" w:hAnsi="宋体"/>
          <w:bCs/>
          <w:color w:val="auto"/>
          <w:szCs w:val="21"/>
          <w:highlight w:val="none"/>
        </w:rPr>
        <w:t>电子投标文件提交至投标地点。电子投标文件应在制作完成后，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w:t>
      </w:r>
      <w:r>
        <w:rPr>
          <w:rFonts w:hint="eastAsia" w:ascii="宋体" w:hAnsi="宋体"/>
          <w:b/>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pPr>
        <w:spacing w:line="360" w:lineRule="auto"/>
        <w:ind w:firstLine="422" w:firstLineChars="200"/>
        <w:rPr>
          <w:rFonts w:hint="eastAsia"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未在规定时间内提交或者未按照招标文件要求加密的电子投标文件，广西政府采购云平台将拒收。</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pPr>
        <w:snapToGrid w:val="0"/>
        <w:spacing w:line="360" w:lineRule="auto"/>
        <w:ind w:firstLine="420"/>
        <w:jc w:val="left"/>
        <w:rPr>
          <w:rFonts w:hint="eastAsia" w:ascii="宋体" w:hAnsi="宋体"/>
          <w:color w:val="auto"/>
          <w:szCs w:val="21"/>
          <w:highlight w:val="none"/>
        </w:rPr>
      </w:pPr>
      <w:bookmarkStart w:id="119" w:name="_Toc254970684"/>
      <w:bookmarkStart w:id="120" w:name="_Toc254970543"/>
      <w:r>
        <w:rPr>
          <w:rFonts w:ascii="宋体" w:hAnsi="宋体" w:cs="宋体"/>
          <w:color w:val="auto"/>
          <w:szCs w:val="21"/>
          <w:highlight w:val="none"/>
        </w:rPr>
        <w:t>22</w:t>
      </w:r>
      <w:r>
        <w:rPr>
          <w:rFonts w:hint="eastAsia" w:ascii="宋体" w:hAnsi="宋体" w:cs="宋体"/>
          <w:color w:val="auto"/>
          <w:szCs w:val="21"/>
          <w:highlight w:val="none"/>
        </w:rPr>
        <w:t>.1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依次进入“服务中心”中查看</w:t>
      </w:r>
      <w:r>
        <w:rPr>
          <w:rFonts w:hint="eastAsia" w:ascii="宋体" w:hAnsi="宋体" w:cs="宋体"/>
          <w:color w:val="auto"/>
          <w:szCs w:val="21"/>
          <w:highlight w:val="none"/>
        </w:rPr>
        <w:t xml:space="preserve"> “电子投标文件制作与投送教程”）</w:t>
      </w:r>
    </w:p>
    <w:bookmarkEnd w:id="119"/>
    <w:bookmarkEnd w:id="120"/>
    <w:p>
      <w:pPr>
        <w:pStyle w:val="22"/>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2“广西政府采购云平台收到投标文件后向供应商发出确认回执通知。在投标截止时间前，除供应商补充、修改或者撤回投标文件外，任何单位和个人不得解密或提取投标文件。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在投标截止时间后，采购人和采购代理机构对已提交的投标文件概不退回。</w:t>
      </w:r>
    </w:p>
    <w:p>
      <w:pPr>
        <w:pStyle w:val="3"/>
        <w:keepNext w:val="0"/>
        <w:keepLines w:val="0"/>
        <w:jc w:val="center"/>
        <w:rPr>
          <w:rFonts w:hint="eastAsia"/>
          <w:color w:val="auto"/>
          <w:highlight w:val="none"/>
        </w:rPr>
      </w:pPr>
      <w:bookmarkStart w:id="121" w:name="_Toc254970544"/>
      <w:bookmarkStart w:id="122" w:name="_Toc254970685"/>
      <w:r>
        <w:rPr>
          <w:rFonts w:hint="eastAsia"/>
          <w:color w:val="auto"/>
          <w:highlight w:val="none"/>
        </w:rPr>
        <w:t>四、开    标</w:t>
      </w:r>
      <w:bookmarkEnd w:id="121"/>
      <w:bookmarkEnd w:id="122"/>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23" w:name="_23.开标时间和地点"/>
      <w:bookmarkEnd w:id="123"/>
      <w:r>
        <w:rPr>
          <w:rFonts w:hint="eastAsia" w:ascii="黑体" w:hAnsi="黑体" w:eastAsia="黑体"/>
          <w:color w:val="auto"/>
          <w:sz w:val="24"/>
          <w:highlight w:val="none"/>
        </w:rPr>
        <w:t>23.开标时间和地点</w:t>
      </w:r>
    </w:p>
    <w:p>
      <w:pPr>
        <w:spacing w:line="360" w:lineRule="auto"/>
        <w:ind w:firstLine="420" w:firstLineChars="200"/>
        <w:rPr>
          <w:rFonts w:hint="eastAsia" w:hAnsi="宋体"/>
          <w:bCs/>
          <w:color w:val="auto"/>
          <w:highlight w:val="none"/>
        </w:rPr>
      </w:pPr>
      <w:r>
        <w:rPr>
          <w:rFonts w:hint="eastAsia" w:hAnsi="宋体"/>
          <w:bCs/>
          <w:color w:val="auto"/>
          <w:highlight w:val="none"/>
        </w:rPr>
        <w:t>开标时间及地点详见“投标人须知前附表”</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pPr>
        <w:pStyle w:val="6"/>
        <w:spacing w:line="360" w:lineRule="auto"/>
        <w:rPr>
          <w:color w:val="auto"/>
          <w:highlight w:val="none"/>
        </w:rPr>
      </w:pPr>
      <w:r>
        <w:rPr>
          <w:rFonts w:hint="eastAsia"/>
          <w:color w:val="auto"/>
          <w:highlight w:val="none"/>
        </w:rPr>
        <w:t>2</w:t>
      </w:r>
      <w:r>
        <w:rPr>
          <w:color w:val="auto"/>
          <w:highlight w:val="none"/>
        </w:rPr>
        <w:t>4.1</w:t>
      </w:r>
      <w:r>
        <w:rPr>
          <w:rFonts w:hint="eastAsia"/>
          <w:color w:val="auto"/>
          <w:highlight w:val="none"/>
        </w:rPr>
        <w:t>提交投标文件截止时间止，投标人不足3家的，不得开标。</w:t>
      </w:r>
    </w:p>
    <w:p>
      <w:pPr>
        <w:pStyle w:val="6"/>
        <w:spacing w:line="360" w:lineRule="auto"/>
        <w:rPr>
          <w:color w:val="auto"/>
          <w:highlight w:val="none"/>
        </w:rPr>
      </w:pPr>
      <w:r>
        <w:rPr>
          <w:rFonts w:hint="eastAsia"/>
          <w:color w:val="auto"/>
          <w:highlight w:val="none"/>
        </w:rPr>
        <w:t>24.</w:t>
      </w:r>
      <w:r>
        <w:rPr>
          <w:color w:val="auto"/>
          <w:highlight w:val="none"/>
        </w:rPr>
        <w:t>2</w:t>
      </w:r>
      <w:r>
        <w:rPr>
          <w:rFonts w:hint="eastAsia"/>
          <w:color w:val="auto"/>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pPr>
        <w:pStyle w:val="6"/>
        <w:spacing w:line="360" w:lineRule="auto"/>
        <w:rPr>
          <w:rFonts w:hint="eastAsia"/>
          <w:color w:val="auto"/>
          <w:highlight w:val="none"/>
        </w:rPr>
      </w:pPr>
      <w:r>
        <w:rPr>
          <w:rFonts w:hint="eastAsia"/>
          <w:color w:val="auto"/>
          <w:highlight w:val="none"/>
        </w:rPr>
        <w:t>24.</w:t>
      </w:r>
      <w:r>
        <w:rPr>
          <w:color w:val="auto"/>
          <w:highlight w:val="none"/>
        </w:rPr>
        <w:t>3</w:t>
      </w:r>
      <w:r>
        <w:rPr>
          <w:rFonts w:hint="eastAsia"/>
          <w:color w:val="auto"/>
          <w:highlight w:val="none"/>
        </w:rPr>
        <w:t>开标程序</w:t>
      </w:r>
    </w:p>
    <w:p>
      <w:pPr>
        <w:pStyle w:val="6"/>
        <w:spacing w:line="360" w:lineRule="auto"/>
        <w:rPr>
          <w:rFonts w:hint="eastAsia"/>
          <w:color w:val="auto"/>
          <w:highlight w:val="none"/>
        </w:rPr>
      </w:pPr>
      <w:r>
        <w:rPr>
          <w:rFonts w:hint="eastAsia"/>
          <w:color w:val="auto"/>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规定的时间内自行进行投标文件解密。投标人的法定代表人或其委托代理人须凭加密时所用的CA锁准时登录到广西政府采购云平台电子开标大厅签到并对电子投标文件解密。</w:t>
      </w:r>
      <w:r>
        <w:rPr>
          <w:b/>
          <w:color w:val="auto"/>
          <w:highlight w:val="none"/>
        </w:rPr>
        <w:t>投标人</w:t>
      </w:r>
      <w:r>
        <w:rPr>
          <w:rFonts w:hint="eastAsia"/>
          <w:b/>
          <w:color w:val="auto"/>
          <w:highlight w:val="none"/>
        </w:rPr>
        <w:t>未在</w:t>
      </w:r>
      <w:r>
        <w:rPr>
          <w:b/>
          <w:color w:val="auto"/>
          <w:highlight w:val="none"/>
        </w:rPr>
        <w:t>规定的时间内解密</w:t>
      </w:r>
      <w:r>
        <w:rPr>
          <w:rFonts w:hint="eastAsia"/>
          <w:b/>
          <w:color w:val="auto"/>
          <w:highlight w:val="none"/>
        </w:rPr>
        <w:t>投标文件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w:t>
      </w:r>
      <w:r>
        <w:rPr>
          <w:rFonts w:hint="eastAsia" w:ascii="宋体" w:hAnsi="宋体"/>
          <w:b/>
          <w:color w:val="auto"/>
          <w:szCs w:val="21"/>
          <w:highlight w:val="none"/>
        </w:rPr>
        <w:t>投标人的投标文件作无效处理</w:t>
      </w:r>
      <w:r>
        <w:rPr>
          <w:b/>
          <w:color w:val="auto"/>
          <w:highlight w:val="none"/>
        </w:rPr>
        <w:t>。</w:t>
      </w:r>
    </w:p>
    <w:p>
      <w:pPr>
        <w:pStyle w:val="6"/>
        <w:spacing w:line="360" w:lineRule="auto"/>
        <w:rPr>
          <w:rFonts w:hint="eastAsia"/>
          <w:color w:val="auto"/>
          <w:highlight w:val="none"/>
        </w:rPr>
      </w:pPr>
      <w:r>
        <w:rPr>
          <w:rFonts w:hint="eastAsia"/>
          <w:color w:val="auto"/>
          <w:highlight w:val="none"/>
        </w:rPr>
        <w:t>（2）电子唱标。投标文件解密结束，宣布的内容均在广西政府采购云平台远程开标大厅展示，具体详见</w:t>
      </w:r>
      <w:r>
        <w:rPr>
          <w:rFonts w:hint="eastAsia" w:hAnsi="宋体"/>
          <w:bCs/>
          <w:color w:val="auto"/>
          <w:highlight w:val="none"/>
        </w:rPr>
        <w:t>“投标人须知前附表”</w:t>
      </w:r>
      <w:r>
        <w:rPr>
          <w:rFonts w:hint="eastAsia"/>
          <w:color w:val="auto"/>
          <w:highlight w:val="none"/>
        </w:rPr>
        <w:t>；</w:t>
      </w:r>
    </w:p>
    <w:p>
      <w:pPr>
        <w:pStyle w:val="6"/>
        <w:spacing w:line="360" w:lineRule="auto"/>
        <w:rPr>
          <w:rFonts w:hint="eastAsia"/>
          <w:color w:val="auto"/>
          <w:highlight w:val="none"/>
        </w:rPr>
      </w:pPr>
      <w:r>
        <w:rPr>
          <w:rFonts w:hint="eastAsia"/>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pPr>
        <w:pStyle w:val="6"/>
        <w:spacing w:line="360" w:lineRule="auto"/>
        <w:rPr>
          <w:rFonts w:hint="eastAsia"/>
          <w:color w:val="auto"/>
          <w:highlight w:val="none"/>
        </w:rPr>
      </w:pPr>
      <w:r>
        <w:rPr>
          <w:rFonts w:hint="eastAsia"/>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6"/>
        <w:spacing w:line="360" w:lineRule="auto"/>
        <w:rPr>
          <w:rFonts w:hint="eastAsia"/>
          <w:color w:val="auto"/>
          <w:szCs w:val="21"/>
          <w:highlight w:val="none"/>
        </w:rPr>
      </w:pPr>
      <w:r>
        <w:rPr>
          <w:rFonts w:hint="eastAsia"/>
          <w:color w:val="auto"/>
          <w:szCs w:val="21"/>
          <w:highlight w:val="none"/>
        </w:rPr>
        <w:t>（5）开标结束。</w:t>
      </w:r>
    </w:p>
    <w:p>
      <w:pPr>
        <w:pStyle w:val="11"/>
        <w:snapToGrid w:val="0"/>
        <w:spacing w:line="360" w:lineRule="auto"/>
        <w:ind w:firstLine="420" w:firstLineChars="200"/>
        <w:rPr>
          <w:rFonts w:hint="eastAsia" w:hAnsi="宋体"/>
          <w:color w:val="auto"/>
          <w:sz w:val="21"/>
          <w:highlight w:val="none"/>
        </w:rPr>
      </w:pPr>
      <w:r>
        <w:rPr>
          <w:rFonts w:hint="eastAsia"/>
          <w:color w:val="auto"/>
          <w:sz w:val="21"/>
          <w:highlight w:val="none"/>
        </w:rPr>
        <w:t>特别说明：如遇广西政府采购云平台电子化开标或评审程序调整的，按调整后执行。</w:t>
      </w:r>
    </w:p>
    <w:p>
      <w:pPr>
        <w:pStyle w:val="11"/>
        <w:snapToGrid w:val="0"/>
        <w:spacing w:line="360" w:lineRule="auto"/>
        <w:ind w:left="689" w:leftChars="228" w:hanging="210" w:hangingChars="100"/>
        <w:rPr>
          <w:rFonts w:hint="eastAsia" w:hAnsi="宋体"/>
          <w:color w:val="auto"/>
          <w:sz w:val="21"/>
          <w:highlight w:val="none"/>
        </w:rPr>
      </w:pPr>
    </w:p>
    <w:p>
      <w:pPr>
        <w:pStyle w:val="3"/>
        <w:keepNext w:val="0"/>
        <w:keepLines w:val="0"/>
        <w:jc w:val="center"/>
        <w:rPr>
          <w:rFonts w:hint="eastAsia"/>
          <w:color w:val="auto"/>
          <w:highlight w:val="none"/>
        </w:rPr>
      </w:pPr>
      <w:r>
        <w:rPr>
          <w:rFonts w:hint="eastAsia"/>
          <w:color w:val="auto"/>
          <w:highlight w:val="none"/>
        </w:rPr>
        <w:t>五、资格审查</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pPr>
        <w:pStyle w:val="5"/>
        <w:keepNext w:val="0"/>
        <w:keepLines w:val="0"/>
        <w:numPr>
          <w:ilvl w:val="0"/>
          <w:numId w:val="0"/>
        </w:numPr>
        <w:spacing w:before="0" w:after="0" w:line="360" w:lineRule="auto"/>
        <w:ind w:firstLine="422" w:firstLineChars="200"/>
        <w:rPr>
          <w:rFonts w:hint="eastAsia" w:ascii="宋体" w:hAnsi="宋体"/>
          <w:color w:val="auto"/>
          <w:sz w:val="21"/>
          <w:szCs w:val="21"/>
          <w:highlight w:val="none"/>
        </w:rPr>
      </w:pPr>
      <w:bookmarkStart w:id="124" w:name="_25.3_投标人有下列情形之一的，资格审查不通过而导致其投标无效："/>
      <w:bookmarkEnd w:id="124"/>
      <w:r>
        <w:rPr>
          <w:rFonts w:hint="eastAsia" w:ascii="宋体" w:hAnsi="宋体"/>
          <w:color w:val="auto"/>
          <w:sz w:val="21"/>
          <w:szCs w:val="21"/>
          <w:highlight w:val="none"/>
        </w:rPr>
        <w:t>25.3 投标人有下列情形之一的，资格审查不通过，作无效投标处理：</w:t>
      </w:r>
    </w:p>
    <w:p>
      <w:pPr>
        <w:pStyle w:val="11"/>
        <w:snapToGrid w:val="0"/>
        <w:spacing w:line="360" w:lineRule="auto"/>
        <w:ind w:firstLine="422" w:firstLineChars="200"/>
        <w:rPr>
          <w:rFonts w:hAnsi="宋体"/>
          <w:b/>
          <w:color w:val="auto"/>
          <w:sz w:val="21"/>
          <w:highlight w:val="none"/>
        </w:rPr>
      </w:pPr>
      <w:r>
        <w:rPr>
          <w:rFonts w:hint="eastAsia" w:hAnsi="宋体"/>
          <w:b/>
          <w:color w:val="auto"/>
          <w:sz w:val="21"/>
          <w:highlight w:val="none"/>
        </w:rPr>
        <w:t>（1）不具备招标文件中规定的资格要求的；</w:t>
      </w:r>
    </w:p>
    <w:p>
      <w:pPr>
        <w:pStyle w:val="11"/>
        <w:snapToGrid w:val="0"/>
        <w:spacing w:line="360" w:lineRule="auto"/>
        <w:ind w:firstLine="422" w:firstLineChars="200"/>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pPr>
        <w:pStyle w:val="11"/>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pPr>
        <w:pStyle w:val="11"/>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pPr>
        <w:pStyle w:val="11"/>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pPr>
        <w:pStyle w:val="11"/>
        <w:snapToGrid w:val="0"/>
        <w:spacing w:line="360" w:lineRule="auto"/>
        <w:ind w:left="689" w:leftChars="228" w:hanging="210" w:hangingChars="100"/>
        <w:rPr>
          <w:rFonts w:hint="eastAsia" w:hAnsi="宋体"/>
          <w:color w:val="auto"/>
          <w:sz w:val="21"/>
          <w:highlight w:val="none"/>
        </w:rPr>
      </w:pPr>
    </w:p>
    <w:p>
      <w:pPr>
        <w:pStyle w:val="3"/>
        <w:keepNext w:val="0"/>
        <w:keepLines w:val="0"/>
        <w:jc w:val="center"/>
        <w:rPr>
          <w:rFonts w:hint="eastAsia"/>
          <w:color w:val="auto"/>
          <w:highlight w:val="none"/>
        </w:rPr>
      </w:pPr>
      <w:r>
        <w:rPr>
          <w:rFonts w:hint="eastAsia"/>
          <w:color w:val="auto"/>
          <w:highlight w:val="none"/>
        </w:rPr>
        <w:t>六、评   标</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25" w:name="_26.组建评标委员会"/>
      <w:bookmarkEnd w:id="125"/>
      <w:r>
        <w:rPr>
          <w:rFonts w:hint="eastAsia" w:ascii="黑体" w:hAnsi="黑体" w:eastAsia="黑体"/>
          <w:color w:val="auto"/>
          <w:sz w:val="24"/>
          <w:highlight w:val="none"/>
        </w:rPr>
        <w:t>26.组建评标委员会</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pPr>
        <w:pStyle w:val="11"/>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26.2参加过采购项目前期咨询论证的专家，不得参加该采购项目的评审活动。</w:t>
      </w:r>
    </w:p>
    <w:p>
      <w:pPr>
        <w:pStyle w:val="11"/>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w:t>
      </w:r>
      <w:r>
        <w:rPr>
          <w:rFonts w:hint="eastAsia" w:hAnsi="宋体"/>
          <w:bCs/>
          <w:color w:val="auto"/>
          <w:sz w:val="21"/>
          <w:highlight w:val="none"/>
          <w:lang w:eastAsia="zh-CN"/>
        </w:rPr>
        <w:t>应当</w:t>
      </w:r>
      <w:r>
        <w:rPr>
          <w:rFonts w:hint="eastAsia" w:hAnsi="宋体"/>
          <w:bCs/>
          <w:color w:val="auto"/>
          <w:sz w:val="21"/>
          <w:highlight w:val="none"/>
        </w:rPr>
        <w:t>基于广西政府采购云平台抽</w:t>
      </w:r>
      <w:r>
        <w:rPr>
          <w:rFonts w:hint="eastAsia" w:hAnsi="宋体"/>
          <w:bCs/>
          <w:color w:val="auto"/>
          <w:sz w:val="21"/>
          <w:highlight w:val="none"/>
          <w:lang w:eastAsia="zh-CN"/>
        </w:rPr>
        <w:t>（选）</w:t>
      </w:r>
      <w:r>
        <w:rPr>
          <w:rFonts w:hint="eastAsia" w:hAnsi="宋体"/>
          <w:bCs/>
          <w:color w:val="auto"/>
          <w:sz w:val="21"/>
          <w:highlight w:val="none"/>
        </w:rPr>
        <w:t>取评审专家。</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w:t>
      </w:r>
      <w:bookmarkStart w:id="126" w:name="_28.3评标方法。本项目将按须知前附表规定的评标办法进行评标，具体评标"/>
      <w:bookmarkEnd w:id="126"/>
      <w:r>
        <w:rPr>
          <w:rFonts w:hint="eastAsia" w:hAnsi="宋体"/>
          <w:color w:val="auto"/>
          <w:sz w:val="21"/>
          <w:highlight w:val="none"/>
        </w:rPr>
        <w:t>评委表决。评标委员会成员对需要共同认定的事项存在争议的，应当按照少数服从多数的原则作出结论。</w:t>
      </w:r>
    </w:p>
    <w:p>
      <w:pPr>
        <w:pStyle w:val="11"/>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pPr>
        <w:pStyle w:val="5"/>
        <w:keepNext w:val="0"/>
        <w:keepLines w:val="0"/>
        <w:spacing w:before="0" w:after="0" w:line="360" w:lineRule="auto"/>
        <w:ind w:left="420" w:leftChars="200"/>
        <w:rPr>
          <w:rFonts w:hint="eastAsia" w:ascii="黑体" w:hAnsi="黑体" w:eastAsia="黑体"/>
          <w:color w:val="auto"/>
          <w:sz w:val="21"/>
          <w:szCs w:val="21"/>
          <w:highlight w:val="none"/>
        </w:rPr>
      </w:pPr>
      <w:r>
        <w:rPr>
          <w:rFonts w:hint="eastAsia" w:ascii="黑体" w:hAnsi="黑体" w:eastAsia="黑体"/>
          <w:color w:val="auto"/>
          <w:sz w:val="21"/>
          <w:szCs w:val="21"/>
          <w:highlight w:val="none"/>
        </w:rPr>
        <w:t>29.评标方法及中标候选人推荐</w:t>
      </w:r>
    </w:p>
    <w:p>
      <w:pPr>
        <w:pStyle w:val="11"/>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pPr>
        <w:pStyle w:val="11"/>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int="eastAsia" w:hAnsi="宋体" w:cs="宋体"/>
          <w:color w:val="auto"/>
          <w:sz w:val="21"/>
          <w:highlight w:val="none"/>
        </w:rPr>
        <w:t>商务</w:t>
      </w:r>
      <w:r>
        <w:rPr>
          <w:rFonts w:hint="eastAsia" w:hAnsi="宋体" w:cs="宋体"/>
          <w:color w:val="auto"/>
          <w:sz w:val="21"/>
          <w:highlight w:val="none"/>
          <w:lang w:eastAsia="zh-CN"/>
        </w:rPr>
        <w:t>/技术</w:t>
      </w:r>
      <w:r>
        <w:rPr>
          <w:rFonts w:hint="eastAsia" w:hAnsi="宋体" w:cs="宋体"/>
          <w:color w:val="auto"/>
          <w:sz w:val="21"/>
          <w:highlight w:val="none"/>
        </w:rPr>
        <w:t>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pPr>
        <w:pStyle w:val="11"/>
        <w:snapToGrid w:val="0"/>
        <w:spacing w:line="360" w:lineRule="auto"/>
        <w:ind w:firstLine="420" w:firstLineChars="200"/>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9.3</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29.</w:t>
      </w:r>
      <w:r>
        <w:rPr>
          <w:rFonts w:hAnsi="宋体"/>
          <w:color w:val="auto"/>
          <w:sz w:val="21"/>
          <w:highlight w:val="none"/>
        </w:rPr>
        <w:t>4</w:t>
      </w:r>
      <w:r>
        <w:rPr>
          <w:rFonts w:hint="eastAsia" w:hAnsi="宋体"/>
          <w:color w:val="auto"/>
          <w:sz w:val="21"/>
          <w:highlight w:val="none"/>
        </w:rPr>
        <w:t xml:space="preserve"> 电子交易活动的中止。采购过程中出现以下情形，导致电子交易平台无法正常运行，或者无法保证电子交易的公平、公正和安全时，采购代理机构可以中止电子交易活动：</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 xml:space="preserve">（1）电子交易平台发生故障而无法登录访问的； </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（2）电子交易平台应用或数据库出现错误，不能进行正常操作的；</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（3）电子交易平台发现严重安全漏洞，有潜在泄密危险的；</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 xml:space="preserve">（4）病毒发作导致不能进行正常操作的； </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（5）其他无法保证电子交易的公平、公正和安全的情况。</w:t>
      </w:r>
    </w:p>
    <w:p>
      <w:pPr>
        <w:pStyle w:val="11"/>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pStyle w:val="11"/>
        <w:snapToGrid w:val="0"/>
        <w:spacing w:line="360" w:lineRule="auto"/>
        <w:ind w:firstLine="420" w:firstLineChars="200"/>
        <w:rPr>
          <w:rFonts w:hAnsi="宋体"/>
          <w:color w:val="auto"/>
          <w:sz w:val="21"/>
          <w:highlight w:val="none"/>
        </w:rPr>
      </w:pPr>
      <w:r>
        <w:rPr>
          <w:rFonts w:hint="eastAsia" w:hAnsi="宋体"/>
          <w:color w:val="auto"/>
          <w:sz w:val="21"/>
          <w:highlight w:val="none"/>
        </w:rPr>
        <w:t>29.5出现下列情形之一的，应予废标：</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（1）符合专业条件的供应商或者对招标文件作实质响应的供应商不足三家的；</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（2）出现影响采购公正的违法、违规行为的；</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（3）投标人的报价均超过了</w:t>
      </w:r>
      <w:r>
        <w:rPr>
          <w:rFonts w:hint="eastAsia" w:hAnsi="宋体"/>
          <w:color w:val="auto"/>
          <w:sz w:val="21"/>
          <w:highlight w:val="none"/>
          <w:lang w:val="en-US" w:eastAsia="zh-CN"/>
        </w:rPr>
        <w:t>最高限价</w:t>
      </w:r>
      <w:r>
        <w:rPr>
          <w:rFonts w:hint="eastAsia" w:hAnsi="宋体"/>
          <w:color w:val="auto"/>
          <w:sz w:val="21"/>
          <w:highlight w:val="none"/>
        </w:rPr>
        <w:t>，采购人不能支付的；</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（4）因重大变故，采购任务取消的。</w:t>
      </w:r>
    </w:p>
    <w:p>
      <w:pPr>
        <w:pStyle w:val="11"/>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rPr>
        <w:t>废标后，采购人应当将废标理由通知所有投标人。</w:t>
      </w:r>
    </w:p>
    <w:p>
      <w:pPr>
        <w:pStyle w:val="11"/>
        <w:snapToGrid w:val="0"/>
        <w:spacing w:line="360" w:lineRule="auto"/>
        <w:rPr>
          <w:rFonts w:hint="eastAsia" w:hAnsi="宋体"/>
          <w:color w:val="auto"/>
          <w:sz w:val="21"/>
          <w:highlight w:val="none"/>
        </w:rPr>
      </w:pPr>
    </w:p>
    <w:p>
      <w:pPr>
        <w:pStyle w:val="3"/>
        <w:keepNext w:val="0"/>
        <w:keepLines w:val="0"/>
        <w:jc w:val="center"/>
        <w:rPr>
          <w:rFonts w:hint="eastAsia"/>
          <w:color w:val="auto"/>
          <w:highlight w:val="none"/>
        </w:rPr>
      </w:pPr>
      <w:bookmarkStart w:id="127" w:name="_Toc254970687"/>
      <w:bookmarkStart w:id="128" w:name="_Toc254970546"/>
      <w:r>
        <w:rPr>
          <w:rFonts w:hint="eastAsia"/>
          <w:color w:val="auto"/>
          <w:highlight w:val="none"/>
        </w:rPr>
        <w:t>七、</w:t>
      </w:r>
      <w:bookmarkEnd w:id="127"/>
      <w:bookmarkEnd w:id="128"/>
      <w:r>
        <w:rPr>
          <w:rFonts w:hint="eastAsia"/>
          <w:color w:val="auto"/>
          <w:highlight w:val="none"/>
        </w:rPr>
        <w:t>中标和合同</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以上信息查询记录及相关证据与招标文件一并保存。</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bookmarkStart w:id="129" w:name="_39.1中标人须于签订合同前按本须知前附表规定的金额转账或电汇到指定账"/>
      <w:bookmarkEnd w:id="129"/>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w:t>
      </w:r>
      <w:r>
        <w:rPr>
          <w:rFonts w:hint="eastAsia" w:ascii="宋体" w:hAnsi="宋体"/>
          <w:b w:val="0"/>
          <w:color w:val="auto"/>
          <w:sz w:val="21"/>
          <w:szCs w:val="21"/>
          <w:highlight w:val="none"/>
          <w:lang w:val="en-US"/>
        </w:rPr>
        <w:t>缴纳期限、</w:t>
      </w:r>
      <w:r>
        <w:rPr>
          <w:rFonts w:hint="eastAsia" w:ascii="宋体" w:hAnsi="宋体"/>
          <w:b w:val="0"/>
          <w:color w:val="auto"/>
          <w:sz w:val="21"/>
          <w:szCs w:val="21"/>
          <w:highlight w:val="none"/>
        </w:rPr>
        <w:t>退付的时间和条件详见 “投标人须知前附表”。中标人未按规定提交履约保证金的，视为拒绝与采购人签订合同。</w:t>
      </w:r>
    </w:p>
    <w:p>
      <w:pPr>
        <w:pStyle w:val="5"/>
        <w:keepNext w:val="0"/>
        <w:keepLines w:val="0"/>
        <w:spacing w:before="0" w:after="0" w:line="360" w:lineRule="auto"/>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bookmarkStart w:id="130" w:name="_40.1投标人接到中标通知书后，按须知前附表规定向采购人出示相关资格证"/>
      <w:bookmarkEnd w:id="130"/>
      <w:r>
        <w:rPr>
          <w:rFonts w:hint="eastAsia" w:ascii="宋体" w:hAnsi="宋体"/>
          <w:b w:val="0"/>
          <w:color w:val="auto"/>
          <w:sz w:val="21"/>
          <w:szCs w:val="21"/>
          <w:highlight w:val="none"/>
        </w:rPr>
        <w:t xml:space="preserve"> </w:t>
      </w:r>
      <w:r>
        <w:rPr>
          <w:rFonts w:hint="eastAsia" w:ascii="宋体" w:hAnsi="宋体"/>
          <w:color w:val="auto"/>
          <w:sz w:val="21"/>
          <w:szCs w:val="21"/>
          <w:highlight w:val="none"/>
        </w:rPr>
        <w:t>36.1签订电子采购合同：中标人领取电子中标通知书后，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pPr>
        <w:pStyle w:val="5"/>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31" w:name="_41.政府采购合同公告"/>
      <w:bookmarkEnd w:id="131"/>
      <w:r>
        <w:rPr>
          <w:rFonts w:hint="eastAsia" w:ascii="黑体" w:hAnsi="黑体" w:eastAsia="黑体"/>
          <w:color w:val="auto"/>
          <w:sz w:val="24"/>
          <w:highlight w:val="none"/>
        </w:rPr>
        <w:t>37.政府采购合同公告</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pStyle w:val="6"/>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1"/>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pPr>
        <w:pStyle w:val="11"/>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pPr>
        <w:pStyle w:val="11"/>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pPr>
        <w:pStyle w:val="5"/>
        <w:keepNext w:val="0"/>
        <w:keepLines w:val="0"/>
        <w:spacing w:before="0" w:after="0" w:line="360" w:lineRule="auto"/>
        <w:ind w:firstLine="315" w:firstLineChars="150"/>
        <w:rPr>
          <w:rFonts w:ascii="宋体" w:hAnsi="宋体"/>
          <w:b w:val="0"/>
          <w:color w:val="auto"/>
          <w:sz w:val="21"/>
          <w:szCs w:val="21"/>
          <w:highlight w:val="none"/>
        </w:rPr>
      </w:pPr>
      <w:bookmarkStart w:id="132" w:name="_9.2质疑、投诉应当采用书面形式，质疑函、投诉书均应明确阐述招标文件、"/>
      <w:bookmarkEnd w:id="132"/>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pPr>
        <w:pStyle w:val="11"/>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pPr>
        <w:pStyle w:val="11"/>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pPr>
        <w:pStyle w:val="11"/>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pPr>
        <w:pStyle w:val="11"/>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pPr>
        <w:pStyle w:val="11"/>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pPr>
        <w:pStyle w:val="11"/>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pPr>
        <w:pStyle w:val="11"/>
        <w:snapToGrid w:val="0"/>
        <w:spacing w:line="360" w:lineRule="auto"/>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pPr>
        <w:pStyle w:val="5"/>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11"/>
        <w:snapToGrid w:val="0"/>
        <w:spacing w:line="360" w:lineRule="auto"/>
        <w:rPr>
          <w:rFonts w:hint="eastAsia"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pPr>
        <w:pStyle w:val="11"/>
        <w:snapToGrid w:val="0"/>
        <w:spacing w:line="360" w:lineRule="auto"/>
        <w:rPr>
          <w:rFonts w:hint="eastAsia"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pPr>
        <w:pStyle w:val="11"/>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pPr>
        <w:pStyle w:val="11"/>
        <w:snapToGrid w:val="0"/>
        <w:spacing w:line="360" w:lineRule="auto"/>
        <w:ind w:firstLine="420" w:firstLineChars="200"/>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3"/>
        <w:keepNext w:val="0"/>
        <w:keepLines w:val="0"/>
        <w:spacing w:before="240" w:after="240" w:line="415" w:lineRule="auto"/>
        <w:jc w:val="center"/>
        <w:rPr>
          <w:rFonts w:hint="eastAsia"/>
          <w:color w:val="auto"/>
          <w:highlight w:val="none"/>
        </w:rPr>
      </w:pPr>
      <w:bookmarkStart w:id="133" w:name="_八、其他事项"/>
      <w:bookmarkEnd w:id="133"/>
      <w:r>
        <w:rPr>
          <w:rFonts w:hint="eastAsia"/>
          <w:color w:val="auto"/>
          <w:highlight w:val="none"/>
        </w:rPr>
        <w:t>八、其他事项</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34" w:name="_42.代理服务费"/>
      <w:bookmarkEnd w:id="134"/>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.1代理服务收取标准及缴费账户详见“投标人须知前附表”，投标人为联合体的，可以由联合体中的一方或者多方共同交纳代理服务费。</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.2代理服务收费标准：</w:t>
      </w:r>
    </w:p>
    <w:p>
      <w:pPr>
        <w:spacing w:line="360" w:lineRule="auto"/>
        <w:rPr>
          <w:rFonts w:hint="eastAsia" w:ascii="宋体" w:hAnsi="宋体"/>
          <w:color w:val="auto"/>
          <w:szCs w:val="21"/>
          <w:highlight w:val="none"/>
        </w:rPr>
      </w:pPr>
    </w:p>
    <w:tbl>
      <w:tblPr>
        <w:tblStyle w:val="1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费率</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预算金额或</w:t>
            </w:r>
            <w:r>
              <w:rPr>
                <w:rFonts w:hint="eastAsia" w:ascii="宋体" w:hAnsi="宋体"/>
                <w:color w:val="auto"/>
                <w:szCs w:val="21"/>
                <w:highlight w:val="none"/>
              </w:rPr>
              <w:t>中标金额</w:t>
            </w:r>
          </w:p>
        </w:tc>
        <w:tc>
          <w:tcPr>
            <w:tcW w:w="1659" w:type="dxa"/>
            <w:noWrap w:val="0"/>
            <w:vAlign w:val="center"/>
          </w:tcPr>
          <w:p>
            <w:pPr>
              <w:spacing w:line="360"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687"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1659"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noWrap w:val="0"/>
            <w:vAlign w:val="top"/>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100万元～500万元</w:t>
            </w:r>
          </w:p>
        </w:tc>
        <w:tc>
          <w:tcPr>
            <w:tcW w:w="1659"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500万元～1000万元</w:t>
            </w:r>
          </w:p>
        </w:tc>
        <w:tc>
          <w:tcPr>
            <w:tcW w:w="1659" w:type="dxa"/>
            <w:noWrap w:val="0"/>
            <w:vAlign w:val="top"/>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1000万元～5000万元</w:t>
            </w:r>
          </w:p>
        </w:tc>
        <w:tc>
          <w:tcPr>
            <w:tcW w:w="1659"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1亿元～5亿元</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0.05%</w:t>
            </w:r>
          </w:p>
        </w:tc>
        <w:tc>
          <w:tcPr>
            <w:tcW w:w="16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c>
          <w:tcPr>
            <w:tcW w:w="1659"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5亿元～10亿元</w:t>
            </w:r>
          </w:p>
        </w:tc>
        <w:tc>
          <w:tcPr>
            <w:tcW w:w="1659" w:type="dxa"/>
            <w:noWrap w:val="0"/>
            <w:vAlign w:val="top"/>
          </w:tcPr>
          <w:p>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c>
          <w:tcPr>
            <w:tcW w:w="16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0.035%</w:t>
            </w:r>
          </w:p>
        </w:tc>
        <w:tc>
          <w:tcPr>
            <w:tcW w:w="1659"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10亿元～50亿元</w:t>
            </w:r>
          </w:p>
        </w:tc>
        <w:tc>
          <w:tcPr>
            <w:tcW w:w="1659" w:type="dxa"/>
            <w:noWrap w:val="0"/>
            <w:vAlign w:val="top"/>
          </w:tcPr>
          <w:p>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c>
          <w:tcPr>
            <w:tcW w:w="1687" w:type="dxa"/>
            <w:noWrap w:val="0"/>
            <w:vAlign w:val="to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50亿元～100亿元</w:t>
            </w:r>
          </w:p>
        </w:tc>
        <w:tc>
          <w:tcPr>
            <w:tcW w:w="1659"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0.006%</w:t>
            </w:r>
          </w:p>
        </w:tc>
        <w:tc>
          <w:tcPr>
            <w:tcW w:w="1687" w:type="dxa"/>
            <w:noWrap w:val="0"/>
            <w:vAlign w:val="to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0.004%</w:t>
            </w:r>
          </w:p>
        </w:tc>
        <w:tc>
          <w:tcPr>
            <w:tcW w:w="1687" w:type="dxa"/>
            <w:noWrap w:val="0"/>
            <w:vAlign w:val="to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lang w:val="en-US" w:eastAsia="zh-CN"/>
        </w:rPr>
        <w:t>预算</w:t>
      </w:r>
      <w:r>
        <w:rPr>
          <w:rFonts w:ascii="宋体" w:hAnsi="宋体" w:cs="宋体"/>
          <w:color w:val="auto"/>
          <w:szCs w:val="21"/>
          <w:highlight w:val="none"/>
        </w:rPr>
        <w:t>金额为200万元，计算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×0.8%＝0.8万元</w:t>
      </w:r>
    </w:p>
    <w:p>
      <w:pPr>
        <w:pStyle w:val="11"/>
        <w:snapToGrid w:val="0"/>
        <w:spacing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0.8＝ 2.3（万元）</w:t>
      </w:r>
    </w:p>
    <w:p>
      <w:pPr>
        <w:pStyle w:val="5"/>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pPr>
        <w:pStyle w:val="11"/>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pPr>
        <w:pStyle w:val="11"/>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40.2 其他事项详见“投标人须知前附表”。</w:t>
      </w:r>
    </w:p>
    <w:p>
      <w:pPr>
        <w:pStyle w:val="11"/>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11"/>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11"/>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pPr>
        <w:pStyle w:val="11"/>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1"/>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11"/>
        <w:spacing w:line="360" w:lineRule="auto"/>
        <w:ind w:firstLine="420" w:firstLineChars="200"/>
        <w:rPr>
          <w:rFonts w:hint="eastAsia" w:hAnsi="宋体"/>
          <w:color w:val="auto"/>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r>
        <w:rPr>
          <w:rFonts w:hAnsi="宋体"/>
          <w:color w:val="auto"/>
          <w:highlight w:val="none"/>
        </w:rPr>
        <w:br w:type="page"/>
      </w:r>
    </w:p>
    <w:p>
      <w:pPr>
        <w:pStyle w:val="11"/>
        <w:snapToGrid w:val="0"/>
        <w:spacing w:before="120" w:after="120"/>
        <w:rPr>
          <w:rFonts w:hint="eastAsia" w:hAnsi="宋体"/>
          <w:color w:val="auto"/>
          <w:highlight w:val="none"/>
        </w:rPr>
      </w:pPr>
    </w:p>
    <w:p>
      <w:pPr>
        <w:pStyle w:val="11"/>
        <w:snapToGrid w:val="0"/>
        <w:spacing w:before="120" w:after="120"/>
        <w:rPr>
          <w:rFonts w:hint="eastAsia" w:hAnsi="宋体"/>
          <w:color w:val="auto"/>
          <w:highlight w:val="none"/>
        </w:rPr>
      </w:pPr>
    </w:p>
    <w:p>
      <w:pPr>
        <w:pStyle w:val="11"/>
        <w:snapToGrid w:val="0"/>
        <w:spacing w:before="120" w:after="120"/>
        <w:rPr>
          <w:rFonts w:hint="eastAsia" w:hAnsi="宋体"/>
          <w:color w:val="auto"/>
          <w:highlight w:val="none"/>
        </w:rPr>
      </w:pPr>
    </w:p>
    <w:p>
      <w:pPr>
        <w:pStyle w:val="11"/>
        <w:snapToGrid w:val="0"/>
        <w:spacing w:before="120" w:after="120"/>
        <w:rPr>
          <w:rFonts w:hint="eastAsia" w:hAnsi="宋体"/>
          <w:color w:val="auto"/>
          <w:highlight w:val="none"/>
        </w:rPr>
      </w:pPr>
    </w:p>
    <w:p>
      <w:pPr>
        <w:pStyle w:val="11"/>
        <w:snapToGrid w:val="0"/>
        <w:spacing w:before="120" w:after="120"/>
        <w:rPr>
          <w:rFonts w:hint="eastAsia" w:hAnsi="宋体"/>
          <w:color w:val="auto"/>
          <w:highlight w:val="none"/>
        </w:rPr>
      </w:pPr>
    </w:p>
    <w:p>
      <w:pPr>
        <w:pStyle w:val="11"/>
        <w:snapToGrid w:val="0"/>
        <w:spacing w:before="120" w:after="120"/>
        <w:rPr>
          <w:rFonts w:hint="eastAsia" w:hAnsi="宋体"/>
          <w:color w:val="auto"/>
          <w:highlight w:val="none"/>
        </w:rPr>
      </w:pPr>
    </w:p>
    <w:p>
      <w:pPr>
        <w:pStyle w:val="11"/>
        <w:snapToGrid w:val="0"/>
        <w:spacing w:before="120" w:after="120"/>
        <w:rPr>
          <w:rFonts w:hint="eastAsia" w:hAnsi="宋体"/>
          <w:color w:val="auto"/>
          <w:highlight w:val="none"/>
        </w:rPr>
      </w:pPr>
    </w:p>
    <w:p>
      <w:pPr>
        <w:pStyle w:val="11"/>
        <w:snapToGrid w:val="0"/>
        <w:spacing w:before="120" w:after="120"/>
        <w:rPr>
          <w:rFonts w:hint="eastAsia" w:hAnsi="宋体"/>
          <w:color w:val="auto"/>
          <w:highlight w:val="none"/>
        </w:rPr>
      </w:pPr>
    </w:p>
    <w:p>
      <w:pPr>
        <w:pStyle w:val="11"/>
        <w:snapToGrid w:val="0"/>
        <w:spacing w:before="120" w:after="120"/>
        <w:rPr>
          <w:rFonts w:hint="eastAsia" w:hAnsi="宋体"/>
          <w:color w:val="auto"/>
          <w:highlight w:val="none"/>
        </w:rPr>
      </w:pPr>
    </w:p>
    <w:p>
      <w:pPr>
        <w:pStyle w:val="11"/>
        <w:snapToGrid w:val="0"/>
        <w:spacing w:before="120" w:after="120"/>
        <w:rPr>
          <w:rFonts w:hint="eastAsia" w:hAnsi="宋体"/>
          <w:color w:val="auto"/>
          <w:highlight w:val="none"/>
        </w:rPr>
      </w:pPr>
    </w:p>
    <w:p>
      <w:pPr>
        <w:pStyle w:val="11"/>
        <w:snapToGrid w:val="0"/>
        <w:spacing w:before="120" w:after="120"/>
        <w:rPr>
          <w:rFonts w:hint="eastAsia" w:hAnsi="宋体"/>
          <w:color w:val="auto"/>
          <w:highlight w:val="none"/>
        </w:rPr>
      </w:pPr>
    </w:p>
    <w:p>
      <w:pPr>
        <w:pStyle w:val="11"/>
        <w:snapToGrid w:val="0"/>
        <w:spacing w:before="120" w:after="120"/>
        <w:rPr>
          <w:rFonts w:hint="eastAsia" w:hAnsi="宋体"/>
          <w:color w:val="auto"/>
          <w:highlight w:val="none"/>
        </w:rPr>
      </w:pPr>
    </w:p>
    <w:p>
      <w:pPr>
        <w:pStyle w:val="11"/>
        <w:snapToGrid w:val="0"/>
        <w:spacing w:before="120" w:after="120"/>
        <w:rPr>
          <w:rFonts w:hint="eastAsia" w:hAnsi="宋体"/>
          <w:color w:val="auto"/>
          <w:highlight w:val="none"/>
        </w:rPr>
      </w:pPr>
    </w:p>
    <w:p>
      <w:pPr>
        <w:pStyle w:val="2"/>
        <w:jc w:val="center"/>
        <w:rPr>
          <w:rFonts w:hint="eastAsia"/>
          <w:color w:val="auto"/>
          <w:highlight w:val="none"/>
        </w:rPr>
      </w:pPr>
      <w:bookmarkStart w:id="135" w:name="_Toc15687"/>
      <w:bookmarkStart w:id="136" w:name="_Toc254970689"/>
      <w:bookmarkStart w:id="137" w:name="_Toc254970548"/>
      <w:bookmarkStart w:id="138" w:name="_Toc330456896"/>
      <w:bookmarkStart w:id="139" w:name="_Toc17540"/>
      <w:r>
        <w:rPr>
          <w:rFonts w:hint="eastAsia"/>
          <w:color w:val="auto"/>
          <w:highlight w:val="none"/>
        </w:rPr>
        <w:t>第四章  评标方法及评标标准</w:t>
      </w:r>
      <w:bookmarkEnd w:id="135"/>
      <w:bookmarkEnd w:id="136"/>
      <w:bookmarkEnd w:id="137"/>
      <w:bookmarkEnd w:id="138"/>
      <w:bookmarkEnd w:id="139"/>
    </w:p>
    <w:p>
      <w:pPr>
        <w:rPr>
          <w:rFonts w:hint="eastAsia"/>
          <w:color w:val="auto"/>
          <w:highlight w:val="none"/>
        </w:rPr>
      </w:pPr>
      <w:bookmarkStart w:id="140" w:name="_Toc254970690"/>
      <w:bookmarkStart w:id="141" w:name="_Toc254970549"/>
    </w:p>
    <w:bookmarkEnd w:id="140"/>
    <w:bookmarkEnd w:id="141"/>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pStyle w:val="11"/>
        <w:spacing w:line="360" w:lineRule="exact"/>
        <w:rPr>
          <w:rFonts w:hint="eastAsia" w:hAnsi="宋体"/>
          <w:b/>
          <w:color w:val="auto"/>
          <w:sz w:val="24"/>
          <w:highlight w:val="none"/>
        </w:rPr>
      </w:pPr>
    </w:p>
    <w:p>
      <w:pPr>
        <w:pStyle w:val="11"/>
        <w:spacing w:line="360" w:lineRule="exact"/>
        <w:rPr>
          <w:rFonts w:hint="eastAsia" w:hAnsi="宋体"/>
          <w:b/>
          <w:color w:val="auto"/>
          <w:sz w:val="24"/>
          <w:highlight w:val="none"/>
        </w:rPr>
      </w:pPr>
    </w:p>
    <w:p>
      <w:pPr>
        <w:pStyle w:val="11"/>
        <w:spacing w:line="360" w:lineRule="exact"/>
        <w:rPr>
          <w:rFonts w:hint="eastAsia" w:hAnsi="宋体"/>
          <w:b/>
          <w:color w:val="auto"/>
          <w:sz w:val="24"/>
          <w:highlight w:val="none"/>
        </w:rPr>
      </w:pPr>
    </w:p>
    <w:p>
      <w:pPr>
        <w:pStyle w:val="11"/>
        <w:spacing w:line="360" w:lineRule="exact"/>
        <w:rPr>
          <w:rFonts w:hint="eastAsia" w:hAnsi="宋体"/>
          <w:b/>
          <w:color w:val="auto"/>
          <w:sz w:val="24"/>
          <w:highlight w:val="none"/>
        </w:rPr>
      </w:pPr>
    </w:p>
    <w:p>
      <w:pPr>
        <w:pStyle w:val="11"/>
        <w:spacing w:line="360" w:lineRule="exact"/>
        <w:rPr>
          <w:rFonts w:hint="eastAsia" w:hAnsi="宋体"/>
          <w:b/>
          <w:color w:val="auto"/>
          <w:sz w:val="24"/>
          <w:highlight w:val="none"/>
        </w:rPr>
      </w:pPr>
    </w:p>
    <w:p>
      <w:pPr>
        <w:pStyle w:val="11"/>
        <w:spacing w:line="360" w:lineRule="exact"/>
        <w:rPr>
          <w:rFonts w:hint="eastAsia" w:hAnsi="宋体"/>
          <w:b/>
          <w:color w:val="auto"/>
          <w:sz w:val="24"/>
          <w:highlight w:val="none"/>
        </w:rPr>
      </w:pPr>
    </w:p>
    <w:p>
      <w:pPr>
        <w:pStyle w:val="11"/>
        <w:spacing w:line="360" w:lineRule="exact"/>
        <w:rPr>
          <w:rFonts w:hint="eastAsia" w:hAnsi="宋体"/>
          <w:bCs/>
          <w:color w:val="auto"/>
          <w:highlight w:val="none"/>
        </w:rPr>
      </w:pPr>
      <w:r>
        <w:rPr>
          <w:rFonts w:hAnsi="宋体"/>
          <w:bCs/>
          <w:color w:val="auto"/>
          <w:highlight w:val="none"/>
        </w:rPr>
        <w:t xml:space="preserve"> </w:t>
      </w:r>
    </w:p>
    <w:p>
      <w:pPr>
        <w:pStyle w:val="3"/>
        <w:keepNext w:val="0"/>
        <w:keepLines w:val="0"/>
        <w:jc w:val="center"/>
        <w:rPr>
          <w:color w:val="auto"/>
          <w:highlight w:val="none"/>
        </w:rPr>
      </w:pPr>
      <w:r>
        <w:rPr>
          <w:rFonts w:hint="eastAsia"/>
          <w:color w:val="auto"/>
          <w:highlight w:val="none"/>
        </w:rPr>
        <w:br w:type="page"/>
      </w:r>
      <w:r>
        <w:rPr>
          <w:rFonts w:hint="eastAsia"/>
          <w:color w:val="auto"/>
          <w:highlight w:val="none"/>
        </w:rPr>
        <w:t>一、评标方法</w:t>
      </w:r>
    </w:p>
    <w:p>
      <w:pPr>
        <w:pStyle w:val="11"/>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pPr>
        <w:pStyle w:val="11"/>
        <w:spacing w:line="360" w:lineRule="auto"/>
        <w:ind w:firstLine="420"/>
        <w:rPr>
          <w:rFonts w:hAnsi="宋体"/>
          <w:color w:val="auto"/>
          <w:sz w:val="21"/>
          <w:highlight w:val="none"/>
        </w:rPr>
      </w:pPr>
      <w:r>
        <w:rPr>
          <w:rFonts w:hint="eastAsia" w:hAnsi="宋体"/>
          <w:color w:val="auto"/>
          <w:sz w:val="21"/>
          <w:highlight w:val="none"/>
        </w:rPr>
        <w:t>最低评标价法，是指投标文件满足招标文件全部实质性要求，且投标报价最低的投标人为中标候选人的评标方法。</w:t>
      </w:r>
    </w:p>
    <w:p>
      <w:pPr>
        <w:pStyle w:val="3"/>
        <w:keepNext w:val="0"/>
        <w:keepLines w:val="0"/>
        <w:jc w:val="center"/>
        <w:rPr>
          <w:rFonts w:hint="eastAsia"/>
          <w:color w:val="auto"/>
          <w:highlight w:val="none"/>
        </w:rPr>
      </w:pPr>
      <w:r>
        <w:rPr>
          <w:rFonts w:hint="eastAsia"/>
          <w:color w:val="auto"/>
          <w:highlight w:val="none"/>
        </w:rPr>
        <w:t>二、评标程序</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pPr>
        <w:pStyle w:val="11"/>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6"/>
        <w:numPr>
          <w:ilvl w:val="0"/>
          <w:numId w:val="3"/>
        </w:numPr>
        <w:spacing w:line="360" w:lineRule="auto"/>
        <w:ind w:firstLine="398" w:firstLineChars="200"/>
        <w:rPr>
          <w:rFonts w:hint="eastAsia" w:ascii="宋体" w:hAnsi="宋体"/>
          <w:b/>
          <w:color w:val="auto"/>
          <w:spacing w:val="-6"/>
          <w:szCs w:val="21"/>
          <w:highlight w:val="none"/>
        </w:rPr>
      </w:pPr>
      <w:r>
        <w:rPr>
          <w:rFonts w:hint="eastAsia" w:ascii="宋体" w:hAnsi="宋体"/>
          <w:b/>
          <w:color w:val="auto"/>
          <w:spacing w:val="-6"/>
          <w:szCs w:val="21"/>
          <w:highlight w:val="none"/>
        </w:rPr>
        <w:t>报价文件未提供“投标人须知前附表”第13条</w:t>
      </w:r>
      <w:r>
        <w:rPr>
          <w:rFonts w:hint="eastAsia" w:ascii="宋体" w:hAnsi="宋体"/>
          <w:b/>
          <w:color w:val="auto"/>
          <w:szCs w:val="21"/>
          <w:highlight w:val="none"/>
        </w:rPr>
        <w:t>“报价文件”</w:t>
      </w:r>
      <w:r>
        <w:rPr>
          <w:rFonts w:hint="eastAsia" w:ascii="宋体" w:hAnsi="宋体"/>
          <w:b/>
          <w:color w:val="auto"/>
          <w:spacing w:val="-6"/>
          <w:szCs w:val="21"/>
          <w:highlight w:val="none"/>
        </w:rPr>
        <w:t>规定中“必须提供”的文件资料的；</w:t>
      </w:r>
    </w:p>
    <w:p>
      <w:pPr>
        <w:pStyle w:val="6"/>
        <w:numPr>
          <w:ilvl w:val="0"/>
          <w:numId w:val="3"/>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6"/>
        <w:numPr>
          <w:ilvl w:val="0"/>
          <w:numId w:val="3"/>
        </w:numPr>
        <w:spacing w:line="360" w:lineRule="auto"/>
        <w:ind w:left="-2" w:firstLine="422"/>
        <w:rPr>
          <w:rFonts w:hint="eastAsia" w:ascii="宋体" w:hAnsi="宋体"/>
          <w:b/>
          <w:color w:val="auto"/>
          <w:spacing w:val="-6"/>
          <w:szCs w:val="21"/>
          <w:highlight w:val="none"/>
        </w:rPr>
      </w:pPr>
      <w:r>
        <w:rPr>
          <w:rFonts w:hint="eastAsia" w:ascii="宋体" w:hAnsi="宋体"/>
          <w:b/>
          <w:color w:val="auto"/>
          <w:spacing w:val="-6"/>
          <w:szCs w:val="21"/>
          <w:highlight w:val="none"/>
        </w:rPr>
        <w:t>各分标报价超出招标文件相应分标规定最高限价；</w:t>
      </w:r>
    </w:p>
    <w:p>
      <w:pPr>
        <w:pStyle w:val="6"/>
        <w:numPr>
          <w:ilvl w:val="0"/>
          <w:numId w:val="3"/>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6"/>
        <w:numPr>
          <w:ilvl w:val="0"/>
          <w:numId w:val="3"/>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pPr>
        <w:pStyle w:val="6"/>
        <w:numPr>
          <w:ilvl w:val="0"/>
          <w:numId w:val="3"/>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pPr>
        <w:pStyle w:val="6"/>
        <w:numPr>
          <w:ilvl w:val="0"/>
          <w:numId w:val="3"/>
        </w:numPr>
        <w:spacing w:line="360" w:lineRule="auto"/>
        <w:ind w:firstLine="398" w:firstLineChars="200"/>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w:t>
      </w:r>
      <w:r>
        <w:rPr>
          <w:rFonts w:hint="eastAsia" w:ascii="宋体" w:hAnsi="宋体"/>
          <w:color w:val="auto"/>
          <w:sz w:val="21"/>
          <w:szCs w:val="21"/>
          <w:highlight w:val="none"/>
          <w:lang w:val="en-US"/>
        </w:rPr>
        <w:t>及技术</w:t>
      </w:r>
      <w:r>
        <w:rPr>
          <w:rFonts w:hint="eastAsia" w:ascii="宋体" w:hAnsi="宋体"/>
          <w:color w:val="auto"/>
          <w:sz w:val="21"/>
          <w:szCs w:val="21"/>
          <w:highlight w:val="none"/>
        </w:rPr>
        <w:t>评审时，如发现下列情形之一的，将被视为投标无效：</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委托代理人未能出具有效身份证或者出具的身份证与授权委托书中的信息不符的； </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投标文件未提供“投标人须知前附表”第13条“商务及技术文件”规定中“必须提供”或者“委托时必须提供”的文件资料的；</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投标文件中承诺的投标有效期低于招标文件要求的期限的；</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虚假投标，或者出现其他情形而导致被评标委员会认定无效的；</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招标文件未载明允许提供备选（替代）投标方案或明确不允许提供备选（替代）投标方案时，投标人提供了备选（替代）投标方案的；</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spacing w:line="360" w:lineRule="auto"/>
        <w:ind w:firstLine="420" w:firstLineChars="200"/>
        <w:rPr>
          <w:rFonts w:hint="eastAsia"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11"/>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11"/>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pPr>
        <w:pStyle w:val="11"/>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11"/>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11"/>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pPr>
        <w:pStyle w:val="5"/>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pPr>
        <w:snapToGrid w:val="0"/>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评标委员会认为投标人的报价明显低于其他通过符合性审查</w:t>
      </w:r>
      <w:r>
        <w:rPr>
          <w:rFonts w:hint="eastAsia" w:ascii="宋体" w:hAnsi="宋体"/>
          <w:color w:val="auto"/>
          <w:szCs w:val="21"/>
          <w:highlight w:val="none"/>
          <w:lang w:eastAsia="zh-CN"/>
        </w:rPr>
        <w:t>的</w:t>
      </w:r>
      <w:r>
        <w:rPr>
          <w:rFonts w:hint="eastAsia" w:ascii="宋体" w:hAnsi="宋体"/>
          <w:color w:val="auto"/>
          <w:szCs w:val="21"/>
          <w:highlight w:val="none"/>
        </w:rPr>
        <w:t>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投标人不能证明其报价合理性的，评标委员会应当将其作为无效投标处理。</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pPr>
        <w:snapToGrid w:val="0"/>
        <w:spacing w:line="360" w:lineRule="auto"/>
        <w:ind w:firstLine="424" w:firstLineChars="202"/>
        <w:jc w:val="left"/>
        <w:rPr>
          <w:rFonts w:hint="eastAsia" w:ascii="宋体" w:hAnsi="宋体"/>
          <w:b/>
          <w:color w:val="auto"/>
          <w:szCs w:val="21"/>
          <w:highlight w:val="none"/>
        </w:rPr>
      </w:pPr>
      <w:r>
        <w:rPr>
          <w:rFonts w:hint="eastAsia" w:ascii="宋体" w:hAnsi="宋体"/>
          <w:color w:val="auto"/>
          <w:szCs w:val="21"/>
          <w:highlight w:val="none"/>
        </w:rPr>
        <w:t>（2）评标委员会认为投标人的报价明显低于其他通过符合性审查</w:t>
      </w:r>
      <w:r>
        <w:rPr>
          <w:rFonts w:hint="eastAsia" w:ascii="宋体" w:hAnsi="宋体"/>
          <w:color w:val="auto"/>
          <w:szCs w:val="21"/>
          <w:highlight w:val="none"/>
          <w:lang w:eastAsia="zh-CN"/>
        </w:rPr>
        <w:t>的</w:t>
      </w:r>
      <w:r>
        <w:rPr>
          <w:rFonts w:hint="eastAsia" w:ascii="宋体" w:hAnsi="宋体"/>
          <w:color w:val="auto"/>
          <w:szCs w:val="21"/>
          <w:highlight w:val="none"/>
        </w:rPr>
        <w:t>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p>
    <w:p>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4" w:firstLineChars="202"/>
        <w:jc w:val="center"/>
        <w:rPr>
          <w:rFonts w:hint="eastAsia" w:ascii="宋体" w:hAnsi="宋体"/>
          <w:color w:val="auto"/>
          <w:szCs w:val="21"/>
          <w:highlight w:val="none"/>
        </w:rPr>
      </w:pPr>
    </w:p>
    <w:p>
      <w:pPr>
        <w:snapToGrid w:val="0"/>
        <w:spacing w:line="360" w:lineRule="auto"/>
        <w:ind w:firstLine="424" w:firstLineChars="202"/>
        <w:jc w:val="center"/>
        <w:rPr>
          <w:rFonts w:hint="eastAsia" w:eastAsia="宋体"/>
          <w:color w:val="auto"/>
          <w:highlight w:val="none"/>
          <w:lang w:eastAsia="zh-CN"/>
        </w:rPr>
      </w:pPr>
      <w:r>
        <w:rPr>
          <w:rFonts w:hAnsi="宋体"/>
          <w:color w:val="auto"/>
          <w:highlight w:val="none"/>
        </w:rPr>
        <w:br w:type="page"/>
      </w:r>
      <w:bookmarkStart w:id="142" w:name="_Hlk71707917"/>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bookmarkEnd w:id="142"/>
    <w:p>
      <w:pPr>
        <w:pStyle w:val="3"/>
        <w:keepNext w:val="0"/>
        <w:keepLines w:val="0"/>
        <w:pageBreakBefore w:val="0"/>
        <w:widowControl w:val="0"/>
        <w:suppressAutoHyphens/>
        <w:kinsoku/>
        <w:wordWrap/>
        <w:overflowPunct/>
        <w:topLinePunct w:val="0"/>
        <w:autoSpaceDE/>
        <w:autoSpaceDN/>
        <w:bidi w:val="0"/>
        <w:adjustRightInd/>
        <w:snapToGrid/>
        <w:spacing w:before="0" w:after="0" w:line="240" w:lineRule="auto"/>
        <w:jc w:val="center"/>
        <w:textAlignment w:val="auto"/>
        <w:rPr>
          <w:rFonts w:hint="eastAsia"/>
          <w:color w:val="auto"/>
          <w:highlight w:val="none"/>
        </w:rPr>
      </w:pPr>
      <w:r>
        <w:rPr>
          <w:rFonts w:hint="eastAsia"/>
          <w:color w:val="auto"/>
          <w:highlight w:val="none"/>
        </w:rPr>
        <w:t>综合评分法，计分方法按四舍五入取至百分位</w:t>
      </w:r>
    </w:p>
    <w:p>
      <w:pPr>
        <w:suppressAutoHyphens/>
        <w:bidi w:val="0"/>
        <w:rPr>
          <w:rFonts w:hint="eastAsia"/>
          <w:color w:val="auto"/>
          <w:highlight w:val="none"/>
        </w:rPr>
      </w:pPr>
    </w:p>
    <w:tbl>
      <w:tblPr>
        <w:tblStyle w:val="17"/>
        <w:tblW w:w="92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776"/>
        <w:gridCol w:w="7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655" w:type="dxa"/>
            <w:noWrap w:val="0"/>
            <w:vAlign w:val="center"/>
          </w:tcPr>
          <w:p>
            <w:pPr>
              <w:spacing w:line="360" w:lineRule="exact"/>
              <w:jc w:val="center"/>
              <w:rPr>
                <w:rFonts w:hint="eastAsia" w:ascii="宋体" w:hAnsi="宋体" w:cs="宋体"/>
                <w:b/>
                <w:sz w:val="21"/>
                <w:szCs w:val="21"/>
              </w:rPr>
            </w:pPr>
            <w:r>
              <w:rPr>
                <w:rFonts w:hint="eastAsia" w:ascii="宋体" w:hAnsi="宋体" w:cs="宋体"/>
                <w:b/>
                <w:sz w:val="21"/>
                <w:szCs w:val="21"/>
              </w:rPr>
              <w:t>评标项目</w:t>
            </w:r>
          </w:p>
        </w:tc>
        <w:tc>
          <w:tcPr>
            <w:tcW w:w="776" w:type="dxa"/>
            <w:noWrap w:val="0"/>
            <w:vAlign w:val="center"/>
          </w:tcPr>
          <w:p>
            <w:pPr>
              <w:spacing w:line="360" w:lineRule="exact"/>
              <w:jc w:val="center"/>
              <w:rPr>
                <w:rFonts w:hint="eastAsia" w:ascii="宋体" w:hAnsi="宋体" w:cs="宋体"/>
                <w:b/>
                <w:sz w:val="21"/>
                <w:szCs w:val="21"/>
              </w:rPr>
            </w:pPr>
            <w:r>
              <w:rPr>
                <w:rFonts w:hint="eastAsia" w:ascii="宋体" w:hAnsi="宋体" w:cs="宋体"/>
                <w:b/>
                <w:sz w:val="21"/>
                <w:szCs w:val="21"/>
              </w:rPr>
              <w:t>评标</w:t>
            </w:r>
          </w:p>
          <w:p>
            <w:pPr>
              <w:spacing w:line="360" w:lineRule="exact"/>
              <w:jc w:val="center"/>
              <w:rPr>
                <w:rFonts w:hint="eastAsia" w:ascii="宋体" w:hAnsi="宋体" w:cs="宋体"/>
                <w:b/>
                <w:sz w:val="21"/>
                <w:szCs w:val="21"/>
              </w:rPr>
            </w:pPr>
            <w:r>
              <w:rPr>
                <w:rFonts w:hint="eastAsia" w:ascii="宋体" w:hAnsi="宋体" w:cs="宋体"/>
                <w:b/>
                <w:sz w:val="21"/>
                <w:szCs w:val="21"/>
              </w:rPr>
              <w:t>分值</w:t>
            </w:r>
          </w:p>
        </w:tc>
        <w:tc>
          <w:tcPr>
            <w:tcW w:w="7749" w:type="dxa"/>
            <w:noWrap w:val="0"/>
            <w:vAlign w:val="center"/>
          </w:tcPr>
          <w:p>
            <w:pPr>
              <w:spacing w:line="360" w:lineRule="exact"/>
              <w:jc w:val="center"/>
              <w:rPr>
                <w:rFonts w:hint="eastAsia" w:ascii="宋体" w:hAnsi="宋体" w:cs="宋体"/>
                <w:b/>
                <w:sz w:val="21"/>
                <w:szCs w:val="21"/>
              </w:rPr>
            </w:pPr>
            <w:r>
              <w:rPr>
                <w:rFonts w:hint="eastAsia" w:ascii="宋体" w:hAnsi="宋体" w:cs="宋体"/>
                <w:b/>
                <w:sz w:val="21"/>
                <w:szCs w:val="21"/>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noWrap w:val="0"/>
            <w:vAlign w:val="center"/>
          </w:tcPr>
          <w:p>
            <w:pPr>
              <w:spacing w:line="360" w:lineRule="exact"/>
              <w:jc w:val="center"/>
              <w:rPr>
                <w:rFonts w:hint="eastAsia" w:ascii="宋体" w:hAnsi="宋体" w:cs="宋体"/>
                <w:sz w:val="21"/>
                <w:szCs w:val="21"/>
              </w:rPr>
            </w:pPr>
            <w:r>
              <w:rPr>
                <w:rFonts w:hint="eastAsia" w:ascii="宋体" w:hAnsi="宋体" w:cs="宋体"/>
                <w:sz w:val="21"/>
                <w:szCs w:val="21"/>
              </w:rPr>
              <w:t>价</w:t>
            </w:r>
          </w:p>
          <w:p>
            <w:pPr>
              <w:spacing w:line="360" w:lineRule="exact"/>
              <w:jc w:val="center"/>
              <w:rPr>
                <w:rFonts w:hint="eastAsia" w:ascii="宋体" w:hAnsi="宋体" w:cs="宋体"/>
                <w:sz w:val="21"/>
                <w:szCs w:val="21"/>
              </w:rPr>
            </w:pPr>
            <w:r>
              <w:rPr>
                <w:rFonts w:hint="eastAsia" w:ascii="宋体" w:hAnsi="宋体" w:cs="宋体"/>
                <w:sz w:val="21"/>
                <w:szCs w:val="21"/>
              </w:rPr>
              <w:t>格</w:t>
            </w:r>
          </w:p>
          <w:p>
            <w:pPr>
              <w:spacing w:line="360" w:lineRule="exact"/>
              <w:jc w:val="center"/>
              <w:rPr>
                <w:rFonts w:hint="eastAsia" w:ascii="宋体" w:hAnsi="宋体" w:cs="宋体"/>
                <w:sz w:val="21"/>
                <w:szCs w:val="21"/>
              </w:rPr>
            </w:pPr>
            <w:r>
              <w:rPr>
                <w:rFonts w:hint="eastAsia" w:ascii="宋体" w:hAnsi="宋体" w:cs="宋体"/>
                <w:sz w:val="21"/>
                <w:szCs w:val="21"/>
              </w:rPr>
              <w:t>分</w:t>
            </w:r>
          </w:p>
        </w:tc>
        <w:tc>
          <w:tcPr>
            <w:tcW w:w="776" w:type="dxa"/>
            <w:noWrap w:val="0"/>
            <w:vAlign w:val="center"/>
          </w:tcPr>
          <w:p>
            <w:pPr>
              <w:spacing w:line="360" w:lineRule="exact"/>
              <w:jc w:val="center"/>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分</w:t>
            </w:r>
          </w:p>
        </w:tc>
        <w:tc>
          <w:tcPr>
            <w:tcW w:w="7749" w:type="dxa"/>
            <w:noWrap w:val="0"/>
            <w:vAlign w:val="center"/>
          </w:tcPr>
          <w:p>
            <w:pPr>
              <w:spacing w:line="400" w:lineRule="exact"/>
              <w:jc w:val="left"/>
              <w:rPr>
                <w:rFonts w:ascii="宋体" w:hAnsi="宋体" w:cs="宋体"/>
                <w:color w:val="000000"/>
                <w:kern w:val="0"/>
                <w:sz w:val="21"/>
                <w:szCs w:val="21"/>
                <w:shd w:val="clear" w:color="auto" w:fill="FFFFFF"/>
              </w:rPr>
            </w:pPr>
            <w:r>
              <w:rPr>
                <w:rFonts w:hint="eastAsia" w:ascii="宋体" w:hAnsi="宋体" w:cs="宋体"/>
                <w:color w:val="000000"/>
                <w:sz w:val="21"/>
                <w:szCs w:val="21"/>
              </w:rPr>
              <w:t>1、</w:t>
            </w:r>
            <w:r>
              <w:rPr>
                <w:rFonts w:hint="eastAsia" w:ascii="宋体" w:hAnsi="宋体" w:cs="宋体"/>
                <w:color w:val="000000"/>
                <w:sz w:val="21"/>
                <w:szCs w:val="21"/>
                <w:highlight w:val="none"/>
              </w:rPr>
              <w:t>本项目属于专门面向中小企业采购的项目，供应商应为中</w:t>
            </w:r>
            <w:r>
              <w:rPr>
                <w:rFonts w:hint="eastAsia" w:ascii="宋体" w:hAnsi="宋体" w:cs="宋体"/>
                <w:color w:val="000000"/>
                <w:sz w:val="21"/>
                <w:szCs w:val="21"/>
              </w:rPr>
              <w:t>小微企业或监狱企业或残疾人福利性单位，并根据《政府采购促进中小企业发展管理办法》（财库[2020] 46号）中《中小企业声明函》格式要求填报及提供声明函原件或《残疾人福利性单位声明函》原件或属于监狱企业的证明文件复印件，否则响应无效。评审价为供应商的最后报价，最终成交供应商的成交金额等于最后报价（如有修正，以确认修正后的最后报价为准）。</w:t>
            </w:r>
          </w:p>
          <w:p>
            <w:pPr>
              <w:pStyle w:val="27"/>
              <w:spacing w:line="400" w:lineRule="exact"/>
              <w:rPr>
                <w:color w:val="000000"/>
                <w:sz w:val="21"/>
                <w:szCs w:val="21"/>
                <w:lang w:eastAsia="zh-CN"/>
              </w:rPr>
            </w:pPr>
            <w:r>
              <w:rPr>
                <w:rFonts w:hint="eastAsia"/>
                <w:color w:val="000000"/>
                <w:sz w:val="21"/>
                <w:szCs w:val="21"/>
                <w:lang w:eastAsia="zh-CN"/>
              </w:rPr>
              <w:t>2、以进入比较与评价环节的最低的评审价为基准价，基准价得分为</w:t>
            </w:r>
            <w:r>
              <w:rPr>
                <w:rFonts w:hint="eastAsia"/>
                <w:color w:val="000000"/>
                <w:sz w:val="21"/>
                <w:szCs w:val="21"/>
                <w:u w:val="single"/>
                <w:lang w:eastAsia="zh-CN"/>
              </w:rPr>
              <w:t>1</w:t>
            </w:r>
            <w:r>
              <w:rPr>
                <w:rFonts w:hint="eastAsia"/>
                <w:color w:val="000000"/>
                <w:sz w:val="21"/>
                <w:szCs w:val="21"/>
                <w:u w:val="single"/>
                <w:lang w:val="en-US" w:eastAsia="zh-CN"/>
              </w:rPr>
              <w:t>0</w:t>
            </w:r>
            <w:r>
              <w:rPr>
                <w:rFonts w:hint="eastAsia"/>
                <w:color w:val="000000"/>
                <w:sz w:val="21"/>
                <w:szCs w:val="21"/>
                <w:u w:val="single"/>
                <w:lang w:eastAsia="zh-CN"/>
              </w:rPr>
              <w:t>分</w:t>
            </w:r>
            <w:r>
              <w:rPr>
                <w:rFonts w:hint="eastAsia"/>
                <w:color w:val="000000"/>
                <w:sz w:val="21"/>
                <w:szCs w:val="21"/>
                <w:lang w:eastAsia="zh-CN"/>
              </w:rPr>
              <w:t>。</w:t>
            </w:r>
          </w:p>
          <w:p>
            <w:pPr>
              <w:spacing w:line="380" w:lineRule="exact"/>
              <w:jc w:val="left"/>
              <w:rPr>
                <w:rFonts w:hint="eastAsia" w:ascii="宋体" w:hAnsi="宋体" w:cs="宋体"/>
                <w:sz w:val="21"/>
                <w:szCs w:val="21"/>
              </w:rPr>
            </w:pPr>
            <w:r>
              <w:rPr>
                <w:rFonts w:hint="eastAsia" w:ascii="宋体" w:hAnsi="宋体" w:cs="宋体"/>
                <w:sz w:val="21"/>
                <w:szCs w:val="21"/>
              </w:rPr>
              <w:t>（1）以进入综合评分环节的最低的评标报价为基准价，基准价报价得分为1</w:t>
            </w:r>
            <w:r>
              <w:rPr>
                <w:rFonts w:hint="eastAsia" w:ascii="宋体" w:hAnsi="宋体" w:cs="宋体"/>
                <w:sz w:val="21"/>
                <w:szCs w:val="21"/>
                <w:lang w:val="en-US" w:eastAsia="zh-CN"/>
              </w:rPr>
              <w:t>0</w:t>
            </w:r>
            <w:r>
              <w:rPr>
                <w:rFonts w:hint="eastAsia" w:ascii="宋体" w:hAnsi="宋体" w:cs="宋体"/>
                <w:sz w:val="21"/>
                <w:szCs w:val="21"/>
              </w:rPr>
              <w:t>分。</w:t>
            </w:r>
          </w:p>
          <w:p>
            <w:pPr>
              <w:snapToGrid w:val="0"/>
              <w:spacing w:line="360" w:lineRule="exact"/>
              <w:jc w:val="left"/>
              <w:rPr>
                <w:rFonts w:hint="eastAsia" w:ascii="宋体" w:hAnsi="宋体" w:cs="宋体"/>
                <w:sz w:val="21"/>
                <w:szCs w:val="21"/>
              </w:rPr>
            </w:pPr>
            <w:r>
              <w:rPr>
                <w:rFonts w:hint="eastAsia" w:ascii="宋体" w:hAnsi="宋体" w:cs="宋体"/>
                <w:sz w:val="21"/>
                <w:szCs w:val="21"/>
              </w:rPr>
              <w:t>（2）价格分计算公式：</w:t>
            </w:r>
            <w:bookmarkStart w:id="143" w:name="_Hlt141959152"/>
            <w:bookmarkEnd w:id="143"/>
            <w:bookmarkStart w:id="144" w:name="_Hlt141959151"/>
            <w:bookmarkEnd w:id="144"/>
            <w:r>
              <w:rPr>
                <w:rFonts w:hint="eastAsia" w:ascii="宋体" w:hAnsi="宋体" w:cs="宋体"/>
                <w:sz w:val="21"/>
                <w:szCs w:val="21"/>
              </w:rPr>
              <w:t>某供应商价格分=基准价/某供应商评标报价金额×1</w:t>
            </w:r>
            <w:r>
              <w:rPr>
                <w:rFonts w:hint="eastAsia" w:ascii="宋体" w:hAnsi="宋体" w:cs="宋体"/>
                <w:sz w:val="21"/>
                <w:szCs w:val="21"/>
                <w:lang w:val="en-US" w:eastAsia="zh-CN"/>
              </w:rPr>
              <w:t>0</w:t>
            </w:r>
            <w:r>
              <w:rPr>
                <w:rFonts w:hint="eastAsia" w:ascii="宋体" w:hAnsi="宋体" w:cs="宋体"/>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Merge w:val="restart"/>
            <w:noWrap w:val="0"/>
            <w:vAlign w:val="center"/>
          </w:tcPr>
          <w:p>
            <w:pPr>
              <w:spacing w:line="360" w:lineRule="exact"/>
              <w:jc w:val="center"/>
              <w:rPr>
                <w:rFonts w:hint="eastAsia" w:ascii="宋体" w:hAnsi="宋体" w:cs="宋体"/>
                <w:b/>
                <w:sz w:val="21"/>
                <w:szCs w:val="21"/>
                <w:lang w:bidi="ar"/>
              </w:rPr>
            </w:pPr>
            <w:r>
              <w:rPr>
                <w:rFonts w:hint="eastAsia" w:ascii="宋体" w:hAnsi="宋体" w:cs="宋体"/>
                <w:b/>
                <w:sz w:val="21"/>
                <w:szCs w:val="21"/>
                <w:lang w:bidi="ar"/>
              </w:rPr>
              <w:t>技</w:t>
            </w:r>
          </w:p>
          <w:p>
            <w:pPr>
              <w:spacing w:line="360" w:lineRule="exact"/>
              <w:jc w:val="center"/>
              <w:rPr>
                <w:rFonts w:hint="eastAsia" w:ascii="宋体" w:hAnsi="宋体" w:cs="宋体"/>
                <w:b/>
                <w:sz w:val="21"/>
                <w:szCs w:val="21"/>
                <w:lang w:bidi="ar"/>
              </w:rPr>
            </w:pPr>
            <w:r>
              <w:rPr>
                <w:rFonts w:hint="eastAsia" w:ascii="宋体" w:hAnsi="宋体" w:cs="宋体"/>
                <w:b/>
                <w:sz w:val="21"/>
                <w:szCs w:val="21"/>
                <w:lang w:bidi="ar"/>
              </w:rPr>
              <w:t>术</w:t>
            </w:r>
          </w:p>
          <w:p>
            <w:pPr>
              <w:spacing w:line="360" w:lineRule="exact"/>
              <w:jc w:val="center"/>
              <w:rPr>
                <w:rFonts w:hint="eastAsia" w:ascii="宋体" w:hAnsi="宋体" w:cs="宋体"/>
                <w:sz w:val="21"/>
                <w:szCs w:val="21"/>
              </w:rPr>
            </w:pPr>
            <w:r>
              <w:rPr>
                <w:rFonts w:hint="eastAsia" w:ascii="宋体" w:hAnsi="宋体" w:cs="宋体"/>
                <w:b/>
                <w:sz w:val="21"/>
                <w:szCs w:val="21"/>
                <w:lang w:bidi="ar"/>
              </w:rPr>
              <w:t>分</w:t>
            </w:r>
          </w:p>
        </w:tc>
        <w:tc>
          <w:tcPr>
            <w:tcW w:w="776" w:type="dxa"/>
            <w:vMerge w:val="restart"/>
            <w:noWrap w:val="0"/>
            <w:vAlign w:val="center"/>
          </w:tcPr>
          <w:p>
            <w:pPr>
              <w:spacing w:line="360" w:lineRule="auto"/>
              <w:jc w:val="center"/>
              <w:rPr>
                <w:rFonts w:hint="default" w:ascii="宋体" w:hAnsi="宋体" w:eastAsia="宋体" w:cs="宋体"/>
                <w:bCs/>
                <w:szCs w:val="21"/>
                <w:lang w:val="en-US" w:eastAsia="zh-CN"/>
              </w:rPr>
            </w:pPr>
            <w:r>
              <w:rPr>
                <w:rFonts w:hint="eastAsia" w:ascii="宋体" w:hAnsi="宋体" w:cs="宋体"/>
                <w:bCs/>
                <w:szCs w:val="21"/>
                <w:highlight w:val="none"/>
                <w:lang w:val="en-US" w:eastAsia="zh-CN"/>
              </w:rPr>
              <w:t>77</w:t>
            </w:r>
            <w:r>
              <w:rPr>
                <w:rFonts w:hint="eastAsia" w:ascii="宋体" w:hAnsi="宋体" w:eastAsia="宋体" w:cs="宋体"/>
                <w:bCs/>
                <w:szCs w:val="21"/>
                <w:highlight w:val="none"/>
                <w:lang w:val="en-US" w:eastAsia="zh-CN"/>
              </w:rPr>
              <w:t>分</w:t>
            </w:r>
          </w:p>
        </w:tc>
        <w:tc>
          <w:tcPr>
            <w:tcW w:w="7749" w:type="dxa"/>
            <w:noWrap w:val="0"/>
            <w:vAlign w:val="center"/>
          </w:tcPr>
          <w:p>
            <w:pPr>
              <w:spacing w:line="360" w:lineRule="auto"/>
              <w:rPr>
                <w:rFonts w:hint="eastAsia" w:ascii="宋体" w:hAnsi="宋体" w:eastAsia="宋体" w:cs="宋体"/>
                <w:bCs/>
                <w:szCs w:val="21"/>
              </w:rPr>
            </w:pPr>
            <w:r>
              <w:rPr>
                <w:rFonts w:hint="eastAsia" w:ascii="宋体" w:hAnsi="宋体" w:eastAsia="宋体" w:cs="宋体"/>
                <w:bCs/>
                <w:szCs w:val="21"/>
                <w:lang w:val="en-US" w:eastAsia="zh-CN"/>
              </w:rPr>
              <w:t>1、设计服务技术方案(30分)</w:t>
            </w:r>
          </w:p>
          <w:p>
            <w:pPr>
              <w:spacing w:line="360" w:lineRule="auto"/>
              <w:rPr>
                <w:rFonts w:hint="eastAsia" w:ascii="宋体" w:hAnsi="宋体" w:eastAsia="宋体" w:cs="宋体"/>
                <w:bCs/>
                <w:szCs w:val="21"/>
              </w:rPr>
            </w:pPr>
            <w:r>
              <w:rPr>
                <w:rFonts w:hint="eastAsia" w:ascii="宋体" w:hAnsi="宋体" w:eastAsia="宋体" w:cs="宋体"/>
                <w:bCs/>
                <w:szCs w:val="21"/>
              </w:rPr>
              <w:t>一档(10分):根据规划、建设标准、设计规范从设计依据、设计说明、工程方案等方面综合描述说明，总体设  计思路不清晰；设计图纸涉及建筑、道路、给排水、电气、 景观绿化等各专业不完整，各专业技术指标不合理，整体内容差，总体评价差。</w:t>
            </w:r>
          </w:p>
          <w:p>
            <w:pPr>
              <w:spacing w:line="360" w:lineRule="auto"/>
              <w:rPr>
                <w:rFonts w:hint="eastAsia" w:ascii="宋体" w:hAnsi="宋体" w:eastAsia="宋体" w:cs="宋体"/>
                <w:bCs/>
                <w:szCs w:val="21"/>
              </w:rPr>
            </w:pPr>
            <w:r>
              <w:rPr>
                <w:rFonts w:hint="eastAsia" w:ascii="宋体" w:hAnsi="宋体" w:eastAsia="宋体" w:cs="宋体"/>
                <w:bCs/>
                <w:szCs w:val="21"/>
              </w:rPr>
              <w:t>二档(20分):根据规划、建设标准、设计规范从设计依据、设计说明、工程方案等方面综合描述说明，总体设  计思路清晰、完整；设计图纸涉及建筑、道路、给排水、 电气、景观绿化等各专业完整，各专业技术指标较合理， 较严谨，整体内容好，总体评价中。</w:t>
            </w:r>
          </w:p>
          <w:p>
            <w:pPr>
              <w:spacing w:line="360" w:lineRule="auto"/>
              <w:rPr>
                <w:rFonts w:hint="eastAsia" w:ascii="宋体" w:hAnsi="宋体" w:eastAsia="宋体" w:cs="宋体"/>
                <w:bCs/>
                <w:szCs w:val="21"/>
              </w:rPr>
            </w:pPr>
            <w:r>
              <w:rPr>
                <w:rFonts w:hint="eastAsia" w:ascii="宋体" w:hAnsi="宋体" w:eastAsia="宋体" w:cs="宋体"/>
                <w:bCs/>
                <w:szCs w:val="21"/>
              </w:rPr>
              <w:t>三档(30分):根据规划、建设标准、设计规范从设计依据、设计说明、工程方案等方面综合描述说明，总体设计思路非常清晰、非常完整，经济分析充分，提供方案优缺点对比分析；设计图纸涉及建筑、道路、给排水、电气、 景观绿化等各专业非常完整，专业技术指标非常合理，非常严谨，整体内容优，总体评价优秀。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Merge w:val="continue"/>
            <w:noWrap w:val="0"/>
            <w:vAlign w:val="center"/>
          </w:tcPr>
          <w:p>
            <w:pPr>
              <w:spacing w:line="360" w:lineRule="exact"/>
              <w:jc w:val="center"/>
              <w:rPr>
                <w:rFonts w:hint="eastAsia" w:ascii="宋体" w:hAnsi="宋体" w:cs="宋体"/>
                <w:b/>
                <w:sz w:val="21"/>
                <w:szCs w:val="21"/>
                <w:lang w:bidi="ar"/>
              </w:rPr>
            </w:pPr>
          </w:p>
        </w:tc>
        <w:tc>
          <w:tcPr>
            <w:tcW w:w="776" w:type="dxa"/>
            <w:vMerge w:val="continue"/>
            <w:noWrap w:val="0"/>
            <w:vAlign w:val="center"/>
          </w:tcPr>
          <w:p>
            <w:pPr>
              <w:spacing w:line="360" w:lineRule="auto"/>
              <w:rPr>
                <w:rFonts w:hint="eastAsia" w:ascii="宋体" w:hAnsi="宋体" w:eastAsia="宋体" w:cs="宋体"/>
                <w:bCs/>
                <w:szCs w:val="21"/>
              </w:rPr>
            </w:pPr>
          </w:p>
        </w:tc>
        <w:tc>
          <w:tcPr>
            <w:tcW w:w="7749" w:type="dxa"/>
            <w:noWrap w:val="0"/>
            <w:vAlign w:val="center"/>
          </w:tcPr>
          <w:p>
            <w:pPr>
              <w:spacing w:line="360" w:lineRule="auto"/>
              <w:rPr>
                <w:rFonts w:hint="eastAsia" w:ascii="宋体" w:hAnsi="宋体" w:eastAsia="宋体" w:cs="宋体"/>
                <w:bCs/>
                <w:szCs w:val="21"/>
              </w:rPr>
            </w:pPr>
            <w:r>
              <w:rPr>
                <w:rFonts w:hint="eastAsia" w:ascii="宋体" w:hAnsi="宋体" w:eastAsia="宋体" w:cs="宋体"/>
                <w:bCs/>
                <w:szCs w:val="21"/>
                <w:lang w:val="en-US" w:eastAsia="zh-CN"/>
              </w:rPr>
              <w:t>2、</w:t>
            </w:r>
            <w:r>
              <w:rPr>
                <w:rFonts w:hint="eastAsia" w:ascii="宋体" w:hAnsi="宋体" w:eastAsia="宋体" w:cs="宋体"/>
                <w:bCs/>
                <w:szCs w:val="21"/>
              </w:rPr>
              <w:t>工作计划、工期及质量保障 措施(1</w:t>
            </w:r>
            <w:r>
              <w:rPr>
                <w:rFonts w:hint="eastAsia" w:ascii="宋体" w:hAnsi="宋体" w:cs="宋体"/>
                <w:bCs/>
                <w:szCs w:val="21"/>
                <w:lang w:val="en-US" w:eastAsia="zh-CN"/>
              </w:rPr>
              <w:t>5</w:t>
            </w:r>
            <w:r>
              <w:rPr>
                <w:rFonts w:hint="eastAsia" w:ascii="宋体" w:hAnsi="宋体" w:eastAsia="宋体" w:cs="宋体"/>
                <w:bCs/>
                <w:szCs w:val="21"/>
              </w:rPr>
              <w:t>分)</w:t>
            </w:r>
          </w:p>
          <w:p>
            <w:pPr>
              <w:spacing w:line="360" w:lineRule="auto"/>
              <w:rPr>
                <w:rFonts w:hint="eastAsia" w:ascii="宋体" w:hAnsi="宋体" w:eastAsia="宋体" w:cs="宋体"/>
                <w:bCs/>
                <w:szCs w:val="21"/>
              </w:rPr>
            </w:pPr>
            <w:r>
              <w:rPr>
                <w:rFonts w:hint="eastAsia" w:ascii="宋体" w:hAnsi="宋体" w:eastAsia="宋体" w:cs="宋体"/>
                <w:bCs/>
                <w:szCs w:val="21"/>
              </w:rPr>
              <w:t>一档(</w:t>
            </w:r>
            <w:r>
              <w:rPr>
                <w:rFonts w:hint="eastAsia" w:ascii="宋体" w:hAnsi="宋体" w:cs="宋体"/>
                <w:bCs/>
                <w:szCs w:val="21"/>
                <w:lang w:val="en-US" w:eastAsia="zh-CN"/>
              </w:rPr>
              <w:t>5</w:t>
            </w:r>
            <w:r>
              <w:rPr>
                <w:rFonts w:hint="eastAsia" w:ascii="宋体" w:hAnsi="宋体" w:eastAsia="宋体" w:cs="宋体"/>
                <w:bCs/>
                <w:szCs w:val="21"/>
              </w:rPr>
              <w:t>分):设计工作计划编排一般，针对性一般，工期及质量保障措施可实施性差。</w:t>
            </w:r>
          </w:p>
          <w:p>
            <w:pPr>
              <w:spacing w:line="360" w:lineRule="auto"/>
              <w:rPr>
                <w:rFonts w:hint="eastAsia" w:ascii="宋体" w:hAnsi="宋体" w:eastAsia="宋体" w:cs="宋体"/>
                <w:bCs/>
                <w:szCs w:val="21"/>
              </w:rPr>
            </w:pPr>
            <w:r>
              <w:rPr>
                <w:rFonts w:hint="eastAsia" w:ascii="宋体" w:hAnsi="宋体" w:eastAsia="宋体" w:cs="宋体"/>
                <w:bCs/>
                <w:szCs w:val="21"/>
              </w:rPr>
              <w:t>二档(</w:t>
            </w:r>
            <w:r>
              <w:rPr>
                <w:rFonts w:hint="eastAsia" w:ascii="宋体" w:hAnsi="宋体" w:cs="宋体"/>
                <w:bCs/>
                <w:szCs w:val="21"/>
                <w:lang w:val="en-US" w:eastAsia="zh-CN"/>
              </w:rPr>
              <w:t>10</w:t>
            </w:r>
            <w:r>
              <w:rPr>
                <w:rFonts w:hint="eastAsia" w:ascii="宋体" w:hAnsi="宋体" w:eastAsia="宋体" w:cs="宋体"/>
                <w:bCs/>
                <w:szCs w:val="21"/>
              </w:rPr>
              <w:t xml:space="preserve">分):设计工作计划编排合理，能考虑到本项目的部分情况并采取保障措施，针对性强，可实施性强。 </w:t>
            </w:r>
          </w:p>
          <w:p>
            <w:pPr>
              <w:spacing w:line="360" w:lineRule="auto"/>
              <w:rPr>
                <w:rFonts w:hint="eastAsia" w:ascii="宋体" w:hAnsi="宋体" w:eastAsia="宋体" w:cs="宋体"/>
                <w:bCs/>
                <w:szCs w:val="21"/>
              </w:rPr>
            </w:pPr>
            <w:r>
              <w:rPr>
                <w:rFonts w:hint="eastAsia" w:ascii="宋体" w:hAnsi="宋体" w:eastAsia="宋体" w:cs="宋体"/>
                <w:bCs/>
                <w:szCs w:val="21"/>
              </w:rPr>
              <w:t>三档(1</w:t>
            </w:r>
            <w:r>
              <w:rPr>
                <w:rFonts w:hint="eastAsia" w:ascii="宋体" w:hAnsi="宋体" w:cs="宋体"/>
                <w:bCs/>
                <w:szCs w:val="21"/>
                <w:lang w:val="en-US" w:eastAsia="zh-CN"/>
              </w:rPr>
              <w:t>5</w:t>
            </w:r>
            <w:r>
              <w:rPr>
                <w:rFonts w:hint="eastAsia" w:ascii="宋体" w:hAnsi="宋体" w:eastAsia="宋体" w:cs="宋体"/>
                <w:bCs/>
                <w:szCs w:val="21"/>
              </w:rPr>
              <w:t>分):设计工作计划编排较合理，能充分考虑到本项目的实际情况并采取具体工期及质量保障措施，针对性较强，可实施性较强。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Merge w:val="continue"/>
            <w:noWrap w:val="0"/>
            <w:vAlign w:val="center"/>
          </w:tcPr>
          <w:p>
            <w:pPr>
              <w:spacing w:line="360" w:lineRule="exact"/>
              <w:jc w:val="center"/>
              <w:rPr>
                <w:rFonts w:hint="eastAsia" w:ascii="宋体" w:hAnsi="宋体" w:cs="宋体"/>
                <w:b/>
                <w:sz w:val="21"/>
                <w:szCs w:val="21"/>
                <w:lang w:bidi="ar"/>
              </w:rPr>
            </w:pPr>
          </w:p>
        </w:tc>
        <w:tc>
          <w:tcPr>
            <w:tcW w:w="776" w:type="dxa"/>
            <w:vMerge w:val="continue"/>
            <w:noWrap w:val="0"/>
            <w:vAlign w:val="center"/>
          </w:tcPr>
          <w:p>
            <w:pPr>
              <w:spacing w:line="360" w:lineRule="auto"/>
              <w:rPr>
                <w:rFonts w:hint="eastAsia" w:ascii="宋体" w:hAnsi="宋体" w:eastAsia="宋体" w:cs="宋体"/>
                <w:bCs/>
                <w:szCs w:val="21"/>
              </w:rPr>
            </w:pPr>
          </w:p>
        </w:tc>
        <w:tc>
          <w:tcPr>
            <w:tcW w:w="7749" w:type="dxa"/>
            <w:noWrap w:val="0"/>
            <w:vAlign w:val="center"/>
          </w:tcPr>
          <w:p>
            <w:pPr>
              <w:spacing w:line="360" w:lineRule="auto"/>
              <w:rPr>
                <w:rFonts w:hint="eastAsia" w:ascii="宋体" w:hAnsi="宋体" w:eastAsia="宋体" w:cs="宋体"/>
                <w:bCs/>
                <w:szCs w:val="21"/>
              </w:rPr>
            </w:pPr>
            <w:r>
              <w:rPr>
                <w:rFonts w:hint="eastAsia" w:ascii="宋体" w:hAnsi="宋体" w:cs="宋体"/>
                <w:bCs/>
                <w:szCs w:val="21"/>
                <w:lang w:val="en-US" w:eastAsia="zh-CN"/>
              </w:rPr>
              <w:t>3</w:t>
            </w:r>
            <w:r>
              <w:rPr>
                <w:rFonts w:hint="eastAsia" w:ascii="宋体" w:hAnsi="宋体" w:eastAsia="宋体" w:cs="宋体"/>
                <w:bCs/>
                <w:szCs w:val="21"/>
                <w:lang w:val="en-US" w:eastAsia="zh-CN"/>
              </w:rPr>
              <w:t>、后续服务工作安排与承诺 (</w:t>
            </w:r>
            <w:r>
              <w:rPr>
                <w:rFonts w:hint="eastAsia" w:ascii="宋体" w:hAnsi="宋体" w:cs="宋体"/>
                <w:bCs/>
                <w:szCs w:val="21"/>
                <w:lang w:val="en-US" w:eastAsia="zh-CN"/>
              </w:rPr>
              <w:t>15</w:t>
            </w:r>
            <w:r>
              <w:rPr>
                <w:rFonts w:hint="eastAsia" w:ascii="宋体" w:hAnsi="宋体" w:eastAsia="宋体" w:cs="宋体"/>
                <w:bCs/>
                <w:szCs w:val="21"/>
                <w:lang w:val="en-US" w:eastAsia="zh-CN"/>
              </w:rPr>
              <w:t>分)</w:t>
            </w:r>
          </w:p>
          <w:p>
            <w:pPr>
              <w:spacing w:line="360" w:lineRule="auto"/>
              <w:rPr>
                <w:rFonts w:hint="eastAsia" w:ascii="宋体" w:hAnsi="宋体" w:eastAsia="宋体" w:cs="宋体"/>
                <w:bCs/>
                <w:szCs w:val="21"/>
              </w:rPr>
            </w:pPr>
            <w:r>
              <w:rPr>
                <w:rFonts w:hint="eastAsia" w:ascii="宋体" w:hAnsi="宋体" w:eastAsia="宋体" w:cs="宋体"/>
                <w:bCs/>
                <w:szCs w:val="21"/>
              </w:rPr>
              <w:t>一档(</w:t>
            </w:r>
            <w:r>
              <w:rPr>
                <w:rFonts w:hint="eastAsia" w:ascii="宋体" w:hAnsi="宋体" w:cs="宋体"/>
                <w:bCs/>
                <w:szCs w:val="21"/>
                <w:lang w:val="en-US" w:eastAsia="zh-CN"/>
              </w:rPr>
              <w:t>5</w:t>
            </w:r>
            <w:r>
              <w:rPr>
                <w:rFonts w:hint="eastAsia" w:ascii="宋体" w:hAnsi="宋体" w:eastAsia="宋体" w:cs="宋体"/>
                <w:bCs/>
                <w:szCs w:val="21"/>
              </w:rPr>
              <w:t>分),针对项目实际提出基本的服务措施，基本满足采购文件要求。</w:t>
            </w:r>
          </w:p>
          <w:p>
            <w:pPr>
              <w:spacing w:line="360" w:lineRule="auto"/>
              <w:rPr>
                <w:rFonts w:hint="eastAsia" w:ascii="宋体" w:hAnsi="宋体" w:eastAsia="宋体" w:cs="宋体"/>
                <w:bCs/>
                <w:szCs w:val="21"/>
              </w:rPr>
            </w:pPr>
            <w:r>
              <w:rPr>
                <w:rFonts w:hint="eastAsia" w:ascii="宋体" w:hAnsi="宋体" w:eastAsia="宋体" w:cs="宋体"/>
                <w:bCs/>
                <w:szCs w:val="21"/>
              </w:rPr>
              <w:t>二档(</w:t>
            </w:r>
            <w:r>
              <w:rPr>
                <w:rFonts w:hint="eastAsia" w:ascii="宋体" w:hAnsi="宋体" w:cs="宋体"/>
                <w:bCs/>
                <w:szCs w:val="21"/>
                <w:lang w:val="en-US" w:eastAsia="zh-CN"/>
              </w:rPr>
              <w:t>10</w:t>
            </w:r>
            <w:r>
              <w:rPr>
                <w:rFonts w:hint="eastAsia" w:ascii="宋体" w:hAnsi="宋体" w:eastAsia="宋体" w:cs="宋体"/>
                <w:bCs/>
                <w:szCs w:val="21"/>
              </w:rPr>
              <w:t>分),针对项目实际提出先进、可行、具体的服务措施，后续服务人员素质较高，基本满足采购文件的质量要求。</w:t>
            </w:r>
          </w:p>
          <w:p>
            <w:pPr>
              <w:spacing w:line="360" w:lineRule="auto"/>
              <w:rPr>
                <w:rFonts w:hint="eastAsia" w:ascii="宋体" w:hAnsi="宋体" w:eastAsia="宋体" w:cs="宋体"/>
                <w:bCs/>
                <w:szCs w:val="21"/>
              </w:rPr>
            </w:pPr>
            <w:r>
              <w:rPr>
                <w:rFonts w:hint="eastAsia" w:ascii="宋体" w:hAnsi="宋体" w:eastAsia="宋体" w:cs="宋体"/>
                <w:bCs/>
                <w:szCs w:val="21"/>
              </w:rPr>
              <w:t>三档(1</w:t>
            </w:r>
            <w:r>
              <w:rPr>
                <w:rFonts w:hint="eastAsia" w:ascii="宋体" w:hAnsi="宋体" w:cs="宋体"/>
                <w:bCs/>
                <w:szCs w:val="21"/>
                <w:lang w:val="en-US" w:eastAsia="zh-CN"/>
              </w:rPr>
              <w:t>5</w:t>
            </w:r>
            <w:r>
              <w:rPr>
                <w:rFonts w:hint="eastAsia" w:ascii="宋体" w:hAnsi="宋体" w:eastAsia="宋体" w:cs="宋体"/>
                <w:bCs/>
                <w:szCs w:val="21"/>
              </w:rPr>
              <w:t>分)针对项目实际提出先进、可行、具体的服务措施，完全满足采购文件的质量要求及施工验收规范要求，后续服务组织完善，后续服务人员素质较高，服务效率高，承诺施工期间派设计代表常驻工地。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Merge w:val="continue"/>
            <w:noWrap w:val="0"/>
            <w:vAlign w:val="center"/>
          </w:tcPr>
          <w:p>
            <w:pPr>
              <w:spacing w:line="360" w:lineRule="exact"/>
              <w:jc w:val="center"/>
              <w:rPr>
                <w:rFonts w:hint="eastAsia" w:ascii="宋体" w:hAnsi="宋体" w:cs="宋体"/>
                <w:b/>
                <w:sz w:val="21"/>
                <w:szCs w:val="21"/>
                <w:lang w:bidi="ar"/>
              </w:rPr>
            </w:pPr>
          </w:p>
        </w:tc>
        <w:tc>
          <w:tcPr>
            <w:tcW w:w="776" w:type="dxa"/>
            <w:vMerge w:val="continue"/>
            <w:noWrap w:val="0"/>
            <w:vAlign w:val="center"/>
          </w:tcPr>
          <w:p>
            <w:pPr>
              <w:spacing w:line="360" w:lineRule="auto"/>
              <w:rPr>
                <w:rFonts w:hint="eastAsia" w:ascii="宋体" w:hAnsi="宋体" w:eastAsia="宋体" w:cs="宋体"/>
                <w:bCs/>
                <w:szCs w:val="21"/>
              </w:rPr>
            </w:pPr>
          </w:p>
        </w:tc>
        <w:tc>
          <w:tcPr>
            <w:tcW w:w="7749" w:type="dxa"/>
            <w:noWrap w:val="0"/>
            <w:vAlign w:val="center"/>
          </w:tcPr>
          <w:p>
            <w:pPr>
              <w:numPr>
                <w:ilvl w:val="0"/>
                <w:numId w:val="5"/>
              </w:numPr>
              <w:spacing w:line="360" w:lineRule="auto"/>
              <w:rPr>
                <w:rFonts w:hint="eastAsia" w:ascii="宋体" w:hAnsi="宋体" w:eastAsia="宋体" w:cs="宋体"/>
                <w:bCs/>
                <w:szCs w:val="21"/>
              </w:rPr>
            </w:pPr>
            <w:r>
              <w:rPr>
                <w:rFonts w:hint="eastAsia" w:ascii="宋体" w:hAnsi="宋体" w:eastAsia="宋体" w:cs="宋体"/>
                <w:bCs/>
                <w:szCs w:val="21"/>
              </w:rPr>
              <w:t>人员配备(1</w:t>
            </w:r>
            <w:r>
              <w:rPr>
                <w:rFonts w:hint="eastAsia" w:ascii="宋体" w:hAnsi="宋体" w:cs="宋体"/>
                <w:bCs/>
                <w:szCs w:val="21"/>
                <w:lang w:val="en-US" w:eastAsia="zh-CN"/>
              </w:rPr>
              <w:t>7</w:t>
            </w:r>
            <w:r>
              <w:rPr>
                <w:rFonts w:hint="eastAsia" w:ascii="宋体" w:hAnsi="宋体" w:eastAsia="宋体" w:cs="宋体"/>
                <w:bCs/>
                <w:szCs w:val="21"/>
              </w:rPr>
              <w:t>分)</w:t>
            </w:r>
          </w:p>
          <w:p>
            <w:pPr>
              <w:numPr>
                <w:ilvl w:val="0"/>
                <w:numId w:val="0"/>
              </w:numPr>
              <w:spacing w:line="360" w:lineRule="auto"/>
              <w:rPr>
                <w:rFonts w:hint="eastAsia" w:ascii="宋体" w:hAnsi="宋体" w:eastAsia="宋体" w:cs="宋体"/>
                <w:bCs/>
                <w:szCs w:val="21"/>
              </w:rPr>
            </w:pPr>
            <w:r>
              <w:rPr>
                <w:rFonts w:hint="eastAsia" w:ascii="宋体" w:hAnsi="宋体" w:eastAsia="宋体" w:cs="宋体"/>
                <w:bCs/>
                <w:szCs w:val="21"/>
              </w:rPr>
              <w:t>1.设计总负责人(5分)</w:t>
            </w:r>
          </w:p>
          <w:p>
            <w:pPr>
              <w:numPr>
                <w:ilvl w:val="0"/>
                <w:numId w:val="0"/>
              </w:numPr>
              <w:spacing w:line="360" w:lineRule="auto"/>
              <w:rPr>
                <w:rFonts w:hint="eastAsia" w:ascii="宋体" w:hAnsi="宋体" w:eastAsia="宋体" w:cs="宋体"/>
                <w:bCs/>
                <w:szCs w:val="21"/>
              </w:rPr>
            </w:pPr>
            <w:r>
              <w:rPr>
                <w:rFonts w:hint="eastAsia" w:ascii="宋体" w:hAnsi="宋体" w:eastAsia="宋体" w:cs="宋体"/>
                <w:bCs/>
                <w:szCs w:val="21"/>
              </w:rPr>
              <w:t>拟投入本项目的设计总负责人具有教授级高级职称得2 分，高级职称得1分。具备注册土木工程师</w:t>
            </w:r>
            <w:r>
              <w:rPr>
                <w:rFonts w:hint="eastAsia" w:ascii="宋体" w:hAnsi="宋体" w:cs="宋体"/>
                <w:bCs/>
                <w:szCs w:val="21"/>
                <w:lang w:eastAsia="zh-CN"/>
              </w:rPr>
              <w:t>（</w:t>
            </w:r>
            <w:r>
              <w:rPr>
                <w:rFonts w:hint="eastAsia" w:ascii="宋体" w:hAnsi="宋体" w:cs="宋体"/>
                <w:bCs/>
                <w:szCs w:val="21"/>
                <w:lang w:val="en-US" w:eastAsia="zh-CN"/>
              </w:rPr>
              <w:t>市政公用工程类</w:t>
            </w:r>
            <w:r>
              <w:rPr>
                <w:rFonts w:hint="eastAsia" w:ascii="宋体" w:hAnsi="宋体" w:cs="宋体"/>
                <w:bCs/>
                <w:szCs w:val="21"/>
                <w:lang w:eastAsia="zh-CN"/>
              </w:rPr>
              <w:t>）</w:t>
            </w:r>
            <w:r>
              <w:rPr>
                <w:rFonts w:hint="eastAsia" w:ascii="宋体" w:hAnsi="宋体" w:eastAsia="宋体" w:cs="宋体"/>
                <w:bCs/>
                <w:szCs w:val="21"/>
              </w:rPr>
              <w:t>或注册市政公用工程咨询工程师其中一项的，得2分，有两项的得3分，此项满分5分。</w:t>
            </w:r>
          </w:p>
          <w:p>
            <w:pPr>
              <w:numPr>
                <w:ilvl w:val="0"/>
                <w:numId w:val="0"/>
              </w:numPr>
              <w:spacing w:line="360" w:lineRule="auto"/>
              <w:rPr>
                <w:rFonts w:hint="eastAsia" w:ascii="宋体" w:hAnsi="宋体" w:eastAsia="宋体" w:cs="宋体"/>
                <w:bCs/>
                <w:szCs w:val="21"/>
              </w:rPr>
            </w:pPr>
            <w:r>
              <w:rPr>
                <w:rFonts w:hint="eastAsia" w:ascii="宋体" w:hAnsi="宋体" w:eastAsia="宋体" w:cs="宋体"/>
                <w:bCs/>
                <w:szCs w:val="21"/>
              </w:rPr>
              <w:t>2.拟投入专业人员(1</w:t>
            </w:r>
            <w:r>
              <w:rPr>
                <w:rFonts w:hint="eastAsia" w:ascii="宋体" w:hAnsi="宋体" w:cs="宋体"/>
                <w:bCs/>
                <w:szCs w:val="21"/>
                <w:lang w:val="en-US" w:eastAsia="zh-CN"/>
              </w:rPr>
              <w:t>2</w:t>
            </w:r>
            <w:r>
              <w:rPr>
                <w:rFonts w:hint="eastAsia" w:ascii="宋体" w:hAnsi="宋体" w:eastAsia="宋体" w:cs="宋体"/>
                <w:bCs/>
                <w:szCs w:val="21"/>
              </w:rPr>
              <w:t>分)</w:t>
            </w:r>
          </w:p>
          <w:p>
            <w:pPr>
              <w:numPr>
                <w:ilvl w:val="0"/>
                <w:numId w:val="0"/>
              </w:numPr>
              <w:spacing w:line="360" w:lineRule="auto"/>
              <w:rPr>
                <w:rFonts w:hint="eastAsia" w:ascii="宋体" w:hAnsi="宋体" w:eastAsia="宋体" w:cs="宋体"/>
                <w:bCs/>
                <w:szCs w:val="21"/>
              </w:rPr>
            </w:pPr>
            <w:r>
              <w:rPr>
                <w:rFonts w:hint="eastAsia" w:ascii="宋体" w:hAnsi="宋体" w:eastAsia="宋体" w:cs="宋体"/>
                <w:bCs/>
                <w:szCs w:val="21"/>
              </w:rPr>
              <w:t>拟投入本项目的专业人员最低配置必须有道路(</w:t>
            </w:r>
            <w:r>
              <w:rPr>
                <w:rFonts w:hint="eastAsia" w:ascii="宋体" w:hAnsi="宋体" w:cs="宋体"/>
                <w:bCs/>
                <w:szCs w:val="21"/>
                <w:lang w:val="en-US" w:eastAsia="zh-CN"/>
              </w:rPr>
              <w:t>市政公用工程类</w:t>
            </w:r>
            <w:r>
              <w:rPr>
                <w:rFonts w:hint="eastAsia" w:ascii="宋体" w:hAnsi="宋体" w:eastAsia="宋体" w:cs="宋体"/>
                <w:bCs/>
                <w:szCs w:val="21"/>
              </w:rPr>
              <w:t>) 专业2人、给排水专业1人、电气专业1人，景观(或园林绿化)专业1人，造价专业1人。</w:t>
            </w:r>
          </w:p>
          <w:p>
            <w:pPr>
              <w:numPr>
                <w:ilvl w:val="0"/>
                <w:numId w:val="0"/>
              </w:numPr>
              <w:spacing w:line="360" w:lineRule="auto"/>
              <w:rPr>
                <w:rFonts w:hint="eastAsia" w:ascii="宋体" w:hAnsi="宋体" w:eastAsia="宋体" w:cs="宋体"/>
                <w:bCs/>
                <w:szCs w:val="21"/>
              </w:rPr>
            </w:pPr>
            <w:r>
              <w:rPr>
                <w:rFonts w:hint="eastAsia" w:ascii="宋体" w:hAnsi="宋体" w:eastAsia="宋体" w:cs="宋体"/>
                <w:bCs/>
                <w:szCs w:val="21"/>
              </w:rPr>
              <w:t>(1)项目组织机构和专业人员配备齐全，拟投入本项目的人员不少于12人，且满足最低专业配置，人员中具有高级职称6人或以上得</w:t>
            </w:r>
            <w:r>
              <w:rPr>
                <w:rFonts w:hint="eastAsia" w:ascii="宋体" w:hAnsi="宋体" w:cs="宋体"/>
                <w:bCs/>
                <w:szCs w:val="21"/>
                <w:lang w:val="en-US" w:eastAsia="zh-CN"/>
              </w:rPr>
              <w:t>12</w:t>
            </w:r>
            <w:r>
              <w:rPr>
                <w:rFonts w:hint="eastAsia" w:ascii="宋体" w:hAnsi="宋体" w:eastAsia="宋体" w:cs="宋体"/>
                <w:bCs/>
                <w:szCs w:val="21"/>
              </w:rPr>
              <w:t>分。</w:t>
            </w:r>
          </w:p>
          <w:p>
            <w:pPr>
              <w:numPr>
                <w:ilvl w:val="0"/>
                <w:numId w:val="0"/>
              </w:numPr>
              <w:spacing w:line="360" w:lineRule="auto"/>
              <w:rPr>
                <w:rFonts w:hint="eastAsia" w:ascii="宋体" w:hAnsi="宋体" w:eastAsia="宋体" w:cs="宋体"/>
                <w:bCs/>
                <w:szCs w:val="21"/>
              </w:rPr>
            </w:pPr>
            <w:r>
              <w:rPr>
                <w:rFonts w:hint="eastAsia" w:ascii="宋体" w:hAnsi="宋体" w:eastAsia="宋体" w:cs="宋体"/>
                <w:bCs/>
                <w:szCs w:val="21"/>
              </w:rPr>
              <w:t>(2)项目组织机构和专业人员配备齐全，拟投入本项目的人员满足最低专业配置，人员中具有高级职称3人或以上得5分。</w:t>
            </w:r>
          </w:p>
          <w:p>
            <w:pPr>
              <w:keepNext w:val="0"/>
              <w:keepLines w:val="0"/>
              <w:widowControl w:val="0"/>
              <w:suppressLineNumbers w:val="0"/>
              <w:spacing w:before="0" w:beforeAutospacing="0" w:after="0" w:afterAutospacing="0"/>
              <w:ind w:left="0" w:right="0"/>
              <w:jc w:val="both"/>
              <w:rPr>
                <w:b/>
                <w:bCs w:val="0"/>
              </w:rPr>
            </w:pPr>
            <w:r>
              <w:rPr>
                <w:rFonts w:hint="eastAsia" w:ascii="宋体" w:hAnsi="宋体" w:eastAsia="宋体" w:cs="宋体"/>
                <w:b/>
                <w:bCs w:val="0"/>
                <w:szCs w:val="21"/>
              </w:rPr>
              <w:t>注：拟投入的项目设计人员，</w:t>
            </w:r>
            <w:r>
              <w:rPr>
                <w:rFonts w:hint="eastAsia" w:ascii="宋体" w:hAnsi="宋体" w:cs="宋体"/>
                <w:b/>
                <w:bCs w:val="0"/>
                <w:szCs w:val="21"/>
                <w:lang w:val="en-US" w:eastAsia="zh-CN"/>
              </w:rPr>
              <w:t>响应文件中</w:t>
            </w:r>
            <w:r>
              <w:rPr>
                <w:rFonts w:hint="eastAsia" w:ascii="宋体" w:hAnsi="宋体" w:eastAsia="宋体" w:cs="宋体"/>
                <w:b/>
                <w:bCs w:val="0"/>
                <w:szCs w:val="21"/>
              </w:rPr>
              <w:t>提供供应商为其缴纳开标截止当月前半年内任意连续三个月社保凭证</w:t>
            </w:r>
            <w:r>
              <w:rPr>
                <w:rFonts w:hint="eastAsia" w:ascii="宋体" w:hAnsi="宋体" w:eastAsia="宋体" w:cs="宋体"/>
                <w:b/>
                <w:bCs w:val="0"/>
                <w:kern w:val="2"/>
                <w:sz w:val="22"/>
                <w:szCs w:val="22"/>
                <w:lang w:val="en-US" w:eastAsia="zh-CN" w:bidi="ar"/>
              </w:rPr>
              <w:t>（原件或复印件）扫描件或劳动合同或工资支付记录。</w:t>
            </w:r>
          </w:p>
          <w:p>
            <w:pPr>
              <w:numPr>
                <w:ilvl w:val="0"/>
                <w:numId w:val="0"/>
              </w:numPr>
              <w:spacing w:line="360" w:lineRule="auto"/>
              <w:rPr>
                <w:rFonts w:hint="eastAsia" w:ascii="宋体" w:hAnsi="宋体" w:eastAsia="宋体" w:cs="宋体"/>
                <w:bCs/>
                <w:szCs w:val="21"/>
              </w:rPr>
            </w:pPr>
            <w:r>
              <w:rPr>
                <w:rFonts w:hint="eastAsia" w:ascii="宋体" w:hAnsi="宋体" w:eastAsia="宋体" w:cs="宋体"/>
                <w:b/>
                <w:bCs w:val="0"/>
                <w:szCs w:val="21"/>
              </w:rPr>
              <w:t>，若为离退休返聘人员需提供相关的离退休证及聘用合同证明文件复印件。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9" w:hRule="atLeast"/>
        </w:trPr>
        <w:tc>
          <w:tcPr>
            <w:tcW w:w="655" w:type="dxa"/>
            <w:noWrap w:val="0"/>
            <w:vAlign w:val="center"/>
          </w:tcPr>
          <w:p>
            <w:pPr>
              <w:spacing w:line="360" w:lineRule="exact"/>
              <w:jc w:val="center"/>
              <w:rPr>
                <w:rFonts w:hint="eastAsia" w:ascii="宋体" w:hAnsi="宋体" w:cs="宋体"/>
                <w:b/>
                <w:sz w:val="21"/>
                <w:szCs w:val="21"/>
                <w:lang w:bidi="ar"/>
              </w:rPr>
            </w:pPr>
            <w:r>
              <w:rPr>
                <w:rFonts w:hint="eastAsia" w:ascii="宋体" w:hAnsi="宋体" w:cs="宋体"/>
                <w:b/>
                <w:sz w:val="21"/>
                <w:szCs w:val="21"/>
                <w:lang w:bidi="ar"/>
              </w:rPr>
              <w:t>商</w:t>
            </w:r>
          </w:p>
          <w:p>
            <w:pPr>
              <w:spacing w:line="360" w:lineRule="exact"/>
              <w:jc w:val="center"/>
              <w:rPr>
                <w:rFonts w:hint="default" w:ascii="宋体" w:hAnsi="宋体" w:eastAsia="宋体" w:cs="宋体"/>
                <w:b/>
                <w:sz w:val="21"/>
                <w:szCs w:val="21"/>
                <w:lang w:val="en-US" w:eastAsia="zh-CN" w:bidi="ar"/>
              </w:rPr>
            </w:pPr>
            <w:r>
              <w:rPr>
                <w:rFonts w:hint="eastAsia" w:ascii="宋体" w:hAnsi="宋体" w:cs="宋体"/>
                <w:b/>
                <w:sz w:val="21"/>
                <w:szCs w:val="21"/>
                <w:lang w:bidi="ar"/>
              </w:rPr>
              <w:t>务</w:t>
            </w:r>
            <w:r>
              <w:rPr>
                <w:rFonts w:hint="eastAsia" w:ascii="宋体" w:hAnsi="宋体" w:cs="宋体"/>
                <w:b/>
                <w:sz w:val="21"/>
                <w:szCs w:val="21"/>
                <w:lang w:val="en-US" w:eastAsia="zh-CN" w:bidi="ar"/>
              </w:rPr>
              <w:t>、信誉及业绩</w:t>
            </w:r>
          </w:p>
          <w:p>
            <w:pPr>
              <w:spacing w:line="360" w:lineRule="exact"/>
              <w:jc w:val="center"/>
              <w:rPr>
                <w:rFonts w:hint="eastAsia" w:ascii="宋体" w:hAnsi="宋体" w:cs="宋体"/>
                <w:b/>
                <w:sz w:val="21"/>
                <w:szCs w:val="21"/>
                <w:lang w:bidi="ar"/>
              </w:rPr>
            </w:pPr>
            <w:r>
              <w:rPr>
                <w:rFonts w:hint="eastAsia" w:ascii="宋体" w:hAnsi="宋体" w:cs="宋体"/>
                <w:b/>
                <w:sz w:val="21"/>
                <w:szCs w:val="21"/>
                <w:lang w:bidi="ar"/>
              </w:rPr>
              <w:t>分</w:t>
            </w:r>
          </w:p>
        </w:tc>
        <w:tc>
          <w:tcPr>
            <w:tcW w:w="776" w:type="dxa"/>
            <w:noWrap w:val="0"/>
            <w:vAlign w:val="center"/>
          </w:tcPr>
          <w:p>
            <w:pPr>
              <w:spacing w:line="360" w:lineRule="exact"/>
              <w:jc w:val="center"/>
              <w:rPr>
                <w:rFonts w:hint="eastAsia" w:ascii="宋体" w:hAnsi="宋体" w:cs="宋体"/>
                <w:sz w:val="21"/>
                <w:szCs w:val="21"/>
              </w:rPr>
            </w:pPr>
            <w:r>
              <w:rPr>
                <w:rFonts w:hint="eastAsia" w:ascii="宋体" w:hAnsi="宋体" w:cs="宋体"/>
                <w:sz w:val="21"/>
                <w:szCs w:val="21"/>
                <w:lang w:val="en-US" w:eastAsia="zh-CN"/>
              </w:rPr>
              <w:t>13</w:t>
            </w:r>
            <w:r>
              <w:rPr>
                <w:rFonts w:hint="eastAsia" w:ascii="宋体" w:hAnsi="宋体" w:cs="宋体"/>
                <w:sz w:val="21"/>
                <w:szCs w:val="21"/>
              </w:rPr>
              <w:t>分</w:t>
            </w:r>
          </w:p>
        </w:tc>
        <w:tc>
          <w:tcPr>
            <w:tcW w:w="7749" w:type="dxa"/>
            <w:noWrap w:val="0"/>
            <w:vAlign w:val="center"/>
          </w:tcPr>
          <w:p>
            <w:pPr>
              <w:numPr>
                <w:ilvl w:val="0"/>
                <w:numId w:val="0"/>
              </w:numPr>
              <w:spacing w:line="360" w:lineRule="auto"/>
              <w:rPr>
                <w:rFonts w:hint="default" w:ascii="宋体" w:hAnsi="宋体" w:eastAsia="宋体" w:cs="宋体"/>
                <w:bCs/>
                <w:szCs w:val="21"/>
                <w:lang w:val="en-US" w:eastAsia="zh-CN"/>
              </w:rPr>
            </w:pPr>
            <w:r>
              <w:rPr>
                <w:rFonts w:hint="eastAsia" w:ascii="宋体" w:hAnsi="宋体" w:cs="宋体"/>
                <w:bCs/>
                <w:szCs w:val="21"/>
                <w:lang w:val="en-US" w:eastAsia="zh-CN"/>
              </w:rPr>
              <w:t>一、</w:t>
            </w:r>
            <w:r>
              <w:rPr>
                <w:rFonts w:hint="default" w:ascii="宋体" w:hAnsi="宋体" w:eastAsia="宋体" w:cs="宋体"/>
                <w:bCs/>
                <w:szCs w:val="21"/>
                <w:lang w:val="en-US" w:eastAsia="zh-CN"/>
              </w:rPr>
              <w:t>业绩分(</w:t>
            </w:r>
            <w:r>
              <w:rPr>
                <w:rFonts w:hint="eastAsia" w:ascii="宋体" w:hAnsi="宋体" w:cs="宋体"/>
                <w:bCs/>
                <w:szCs w:val="21"/>
                <w:lang w:val="en-US" w:eastAsia="zh-CN"/>
              </w:rPr>
              <w:t>10</w:t>
            </w:r>
            <w:r>
              <w:rPr>
                <w:rFonts w:hint="default" w:ascii="宋体" w:hAnsi="宋体" w:eastAsia="宋体" w:cs="宋体"/>
                <w:bCs/>
                <w:szCs w:val="21"/>
                <w:lang w:val="en-US" w:eastAsia="zh-CN"/>
              </w:rPr>
              <w:t>分)</w:t>
            </w:r>
          </w:p>
          <w:p>
            <w:pPr>
              <w:numPr>
                <w:ilvl w:val="0"/>
                <w:numId w:val="0"/>
              </w:numPr>
              <w:spacing w:line="360" w:lineRule="auto"/>
              <w:rPr>
                <w:rFonts w:hint="default" w:ascii="宋体" w:hAnsi="宋体" w:eastAsia="宋体" w:cs="宋体"/>
                <w:bCs/>
                <w:szCs w:val="21"/>
                <w:lang w:val="en-US" w:eastAsia="zh-CN"/>
              </w:rPr>
            </w:pPr>
            <w:r>
              <w:rPr>
                <w:rFonts w:hint="default" w:ascii="宋体" w:hAnsi="宋体" w:eastAsia="宋体" w:cs="宋体"/>
                <w:bCs/>
                <w:szCs w:val="21"/>
                <w:lang w:val="en-US" w:eastAsia="zh-CN"/>
              </w:rPr>
              <w:t>竞标人2021年1月1日起至投标截止之日止承接过</w:t>
            </w:r>
            <w:r>
              <w:rPr>
                <w:rFonts w:hint="eastAsia" w:ascii="宋体" w:hAnsi="宋体" w:cs="宋体"/>
                <w:bCs/>
                <w:szCs w:val="21"/>
                <w:lang w:val="en-US" w:eastAsia="zh-CN"/>
              </w:rPr>
              <w:t>类似</w:t>
            </w:r>
            <w:r>
              <w:rPr>
                <w:rFonts w:hint="default" w:ascii="宋体" w:hAnsi="宋体" w:eastAsia="宋体" w:cs="宋体"/>
                <w:bCs/>
                <w:szCs w:val="21"/>
                <w:lang w:val="en-US" w:eastAsia="zh-CN"/>
              </w:rPr>
              <w:t>市政</w:t>
            </w:r>
            <w:r>
              <w:rPr>
                <w:rFonts w:hint="eastAsia" w:ascii="宋体" w:hAnsi="宋体" w:cs="宋体"/>
                <w:bCs/>
                <w:szCs w:val="21"/>
                <w:lang w:val="en-US" w:eastAsia="zh-CN"/>
              </w:rPr>
              <w:t>勘查</w:t>
            </w:r>
            <w:r>
              <w:rPr>
                <w:rFonts w:hint="default" w:ascii="宋体" w:hAnsi="宋体" w:eastAsia="宋体" w:cs="宋体"/>
                <w:bCs/>
                <w:szCs w:val="21"/>
                <w:lang w:val="en-US" w:eastAsia="zh-CN"/>
              </w:rPr>
              <w:t>设计含初步设计概算）</w:t>
            </w:r>
            <w:r>
              <w:rPr>
                <w:rFonts w:hint="eastAsia" w:ascii="宋体" w:hAnsi="宋体" w:cs="宋体"/>
                <w:bCs/>
                <w:szCs w:val="21"/>
                <w:lang w:val="en-US" w:eastAsia="zh-CN"/>
              </w:rPr>
              <w:t>或者</w:t>
            </w:r>
            <w:r>
              <w:rPr>
                <w:rFonts w:hint="default" w:ascii="宋体" w:hAnsi="宋体" w:eastAsia="宋体" w:cs="宋体"/>
                <w:bCs/>
                <w:szCs w:val="21"/>
                <w:lang w:val="en-US" w:eastAsia="zh-CN"/>
              </w:rPr>
              <w:t>施工图设计（含施工工程预算编制）项目业绩的每提供一个得2 分，满分</w:t>
            </w:r>
            <w:r>
              <w:rPr>
                <w:rFonts w:hint="eastAsia" w:ascii="宋体" w:hAnsi="宋体" w:cs="宋体"/>
                <w:bCs/>
                <w:szCs w:val="21"/>
                <w:lang w:val="en-US" w:eastAsia="zh-CN"/>
              </w:rPr>
              <w:t>10</w:t>
            </w:r>
            <w:r>
              <w:rPr>
                <w:rFonts w:hint="default" w:ascii="宋体" w:hAnsi="宋体" w:eastAsia="宋体" w:cs="宋体"/>
                <w:bCs/>
                <w:szCs w:val="21"/>
                <w:lang w:val="en-US" w:eastAsia="zh-CN"/>
              </w:rPr>
              <w:t>分。</w:t>
            </w:r>
          </w:p>
          <w:p>
            <w:pPr>
              <w:numPr>
                <w:ilvl w:val="0"/>
                <w:numId w:val="0"/>
              </w:numPr>
              <w:spacing w:line="360" w:lineRule="auto"/>
              <w:rPr>
                <w:rFonts w:hint="default" w:ascii="宋体" w:hAnsi="宋体" w:eastAsia="宋体" w:cs="宋体"/>
                <w:bCs/>
                <w:szCs w:val="21"/>
                <w:lang w:val="en-US" w:eastAsia="zh-CN"/>
              </w:rPr>
            </w:pPr>
            <w:r>
              <w:rPr>
                <w:rFonts w:hint="default" w:ascii="宋体" w:hAnsi="宋体" w:eastAsia="宋体" w:cs="宋体"/>
                <w:bCs/>
                <w:szCs w:val="21"/>
                <w:lang w:val="en-US" w:eastAsia="zh-CN"/>
              </w:rPr>
              <w:t>注：(响应文件中须提供合同协议书或中标(成交)通知书扫描件加盖公章)。</w:t>
            </w:r>
          </w:p>
          <w:p>
            <w:pPr>
              <w:numPr>
                <w:ilvl w:val="0"/>
                <w:numId w:val="0"/>
              </w:numPr>
              <w:spacing w:line="360" w:lineRule="auto"/>
              <w:rPr>
                <w:rFonts w:hint="eastAsia" w:ascii="宋体" w:hAnsi="宋体" w:eastAsia="宋体" w:cs="宋体"/>
                <w:bCs/>
                <w:szCs w:val="21"/>
                <w:lang w:val="en-US" w:eastAsia="zh-CN"/>
              </w:rPr>
            </w:pPr>
            <w:r>
              <w:rPr>
                <w:rFonts w:hint="eastAsia" w:ascii="宋体" w:hAnsi="宋体" w:cs="宋体"/>
                <w:bCs/>
                <w:szCs w:val="21"/>
                <w:lang w:val="en-US" w:eastAsia="zh-CN"/>
              </w:rPr>
              <w:t>二、</w:t>
            </w:r>
            <w:r>
              <w:rPr>
                <w:rFonts w:hint="eastAsia" w:ascii="宋体" w:hAnsi="宋体" w:eastAsia="宋体" w:cs="宋体"/>
                <w:bCs/>
                <w:szCs w:val="21"/>
                <w:lang w:val="en-US" w:eastAsia="zh-CN"/>
              </w:rPr>
              <w:t>信誉分(</w:t>
            </w:r>
            <w:r>
              <w:rPr>
                <w:rFonts w:hint="eastAsia" w:ascii="宋体" w:hAnsi="宋体" w:cs="宋体"/>
                <w:bCs/>
                <w:szCs w:val="21"/>
                <w:lang w:val="en-US" w:eastAsia="zh-CN"/>
              </w:rPr>
              <w:t>3分</w:t>
            </w:r>
            <w:r>
              <w:rPr>
                <w:rFonts w:hint="eastAsia" w:ascii="宋体" w:hAnsi="宋体" w:eastAsia="宋体" w:cs="宋体"/>
                <w:bCs/>
                <w:szCs w:val="21"/>
                <w:lang w:val="en-US" w:eastAsia="zh-CN"/>
              </w:rPr>
              <w:t>)</w:t>
            </w:r>
          </w:p>
          <w:p>
            <w:pPr>
              <w:numPr>
                <w:ilvl w:val="0"/>
                <w:numId w:val="0"/>
              </w:numPr>
              <w:spacing w:line="360" w:lineRule="auto"/>
              <w:rPr>
                <w:rFonts w:hint="default" w:ascii="宋体" w:hAnsi="宋体"/>
                <w:kern w:val="2"/>
                <w:sz w:val="24"/>
                <w:szCs w:val="24"/>
                <w:lang w:val="en-US" w:eastAsia="zh-CN"/>
              </w:rPr>
            </w:pPr>
            <w:r>
              <w:rPr>
                <w:rFonts w:hint="eastAsia" w:ascii="宋体" w:hAnsi="宋体" w:eastAsia="宋体" w:cs="宋体"/>
                <w:bCs/>
                <w:szCs w:val="21"/>
                <w:lang w:val="en-US" w:eastAsia="zh-CN"/>
              </w:rPr>
              <w:t>具备质量管理体系认证，环境管理体系认证、职业健康安全管理体系认证的，每项得1分，满分3分。</w:t>
            </w:r>
          </w:p>
        </w:tc>
      </w:tr>
    </w:tbl>
    <w:p>
      <w:pPr>
        <w:spacing w:line="360" w:lineRule="auto"/>
        <w:ind w:firstLine="420" w:firstLineChars="200"/>
        <w:rPr>
          <w:rFonts w:hint="eastAsia" w:ascii="宋体" w:hAnsi="宋体" w:cs="宋体"/>
          <w:color w:val="auto"/>
          <w:highlight w:val="none"/>
        </w:rPr>
      </w:pPr>
    </w:p>
    <w:p>
      <w:pPr>
        <w:pStyle w:val="3"/>
        <w:keepNext w:val="0"/>
        <w:keepLines w:val="0"/>
        <w:jc w:val="center"/>
        <w:rPr>
          <w:color w:val="auto"/>
          <w:sz w:val="30"/>
          <w:szCs w:val="30"/>
          <w:highlight w:val="none"/>
        </w:rPr>
      </w:pPr>
      <w:r>
        <w:rPr>
          <w:rFonts w:hint="eastAsia"/>
          <w:color w:val="auto"/>
          <w:sz w:val="30"/>
          <w:szCs w:val="30"/>
          <w:highlight w:val="none"/>
        </w:rPr>
        <w:br w:type="page"/>
      </w:r>
      <w:r>
        <w:rPr>
          <w:rFonts w:hint="eastAsia"/>
          <w:color w:val="auto"/>
          <w:sz w:val="30"/>
          <w:szCs w:val="30"/>
          <w:highlight w:val="none"/>
        </w:rPr>
        <w:t>四、中标候选人推荐原则</w:t>
      </w:r>
    </w:p>
    <w:p>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hAnsi="宋体"/>
          <w:b/>
          <w:bCs/>
          <w:color w:val="auto"/>
          <w:sz w:val="24"/>
          <w:szCs w:val="24"/>
          <w:highlight w:val="none"/>
        </w:rPr>
      </w:pPr>
      <w:r>
        <w:rPr>
          <w:rFonts w:hint="eastAsia" w:hAnsi="宋体"/>
          <w:b/>
          <w:bCs/>
          <w:color w:val="auto"/>
          <w:sz w:val="24"/>
          <w:szCs w:val="24"/>
          <w:highlight w:val="none"/>
        </w:rPr>
        <w:t>（一）综合评分法</w:t>
      </w:r>
    </w:p>
    <w:p>
      <w:pPr>
        <w:pStyle w:val="11"/>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pPr>
        <w:pStyle w:val="11"/>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jc w:val="left"/>
        <w:textAlignment w:val="baseline"/>
        <w:rPr>
          <w:rFonts w:hint="eastAsia" w:hAnsi="宋体"/>
          <w:color w:val="auto"/>
          <w:sz w:val="21"/>
          <w:highlight w:val="none"/>
        </w:rPr>
      </w:pPr>
      <w:r>
        <w:rPr>
          <w:rFonts w:hAnsi="宋体"/>
          <w:b/>
          <w:color w:val="auto"/>
          <w:sz w:val="24"/>
          <w:highlight w:val="none"/>
        </w:rPr>
        <w:br w:type="page"/>
      </w: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pStyle w:val="2"/>
        <w:jc w:val="center"/>
        <w:rPr>
          <w:rFonts w:hint="eastAsia"/>
          <w:color w:val="auto"/>
          <w:highlight w:val="none"/>
        </w:rPr>
      </w:pPr>
      <w:bookmarkStart w:id="145" w:name="_Toc17731"/>
      <w:bookmarkStart w:id="146" w:name="_Toc25250"/>
      <w:r>
        <w:rPr>
          <w:rFonts w:hint="eastAsia"/>
          <w:color w:val="auto"/>
          <w:highlight w:val="none"/>
        </w:rPr>
        <w:t>第五章  拟签订的合同文本</w:t>
      </w:r>
      <w:bookmarkEnd w:id="145"/>
      <w:bookmarkEnd w:id="146"/>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jc w:val="center"/>
        <w:rPr>
          <w:rFonts w:hint="eastAsia" w:ascii="宋体" w:hAnsi="宋体" w:cs="宋体"/>
          <w:b/>
          <w:bCs/>
          <w:sz w:val="52"/>
          <w:szCs w:val="52"/>
        </w:rPr>
      </w:pPr>
      <w:r>
        <w:rPr>
          <w:rFonts w:ascii="宋体" w:hAnsi="宋体"/>
          <w:bCs/>
          <w:color w:val="auto"/>
          <w:highlight w:val="none"/>
        </w:rPr>
        <w:br w:type="page"/>
      </w:r>
      <w:r>
        <w:rPr>
          <w:rFonts w:hint="eastAsia" w:ascii="宋体" w:hAnsi="宋体" w:cs="宋体"/>
          <w:b/>
          <w:bCs/>
          <w:sz w:val="52"/>
          <w:szCs w:val="52"/>
        </w:rPr>
        <w:t>广西壮族自治区政府采购合同</w:t>
      </w:r>
    </w:p>
    <w:p>
      <w:pPr>
        <w:rPr>
          <w:rFonts w:hint="eastAsia" w:ascii="宋体" w:hAnsi="宋体" w:cs="宋体"/>
          <w:szCs w:val="21"/>
        </w:rPr>
      </w:pPr>
      <w:r>
        <w:rPr>
          <w:rFonts w:hint="eastAsia" w:ascii="宋体" w:hAnsi="宋体" w:cs="宋体"/>
        </w:rPr>
        <w:t xml:space="preserve"> </w:t>
      </w:r>
    </w:p>
    <w:p>
      <w:pPr>
        <w:rPr>
          <w:rFonts w:hint="eastAsia" w:ascii="宋体" w:hAnsi="宋体" w:cs="宋体"/>
        </w:rPr>
      </w:pPr>
      <w:r>
        <w:rPr>
          <w:rFonts w:hint="eastAsia" w:ascii="宋体" w:hAnsi="宋体" w:cs="宋体"/>
        </w:rPr>
        <w:t xml:space="preserve"> </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rPr>
          <w:rFonts w:hint="eastAsia" w:ascii="宋体" w:hAnsi="宋体" w:cs="宋体"/>
        </w:rPr>
      </w:pPr>
    </w:p>
    <w:p>
      <w:pPr>
        <w:rPr>
          <w:rFonts w:hint="eastAsia" w:ascii="宋体" w:hAnsi="宋体" w:cs="宋体"/>
        </w:rPr>
      </w:pPr>
      <w:r>
        <w:rPr>
          <w:rFonts w:hint="eastAsia" w:ascii="宋体" w:hAnsi="宋体" w:cs="宋体"/>
        </w:rPr>
        <w:t xml:space="preserve"> </w:t>
      </w:r>
    </w:p>
    <w:p>
      <w:pPr>
        <w:rPr>
          <w:rFonts w:hint="eastAsia" w:ascii="宋体" w:hAnsi="宋体" w:cs="宋体"/>
        </w:rPr>
      </w:pPr>
      <w:r>
        <w:rPr>
          <w:rFonts w:hint="eastAsia" w:ascii="宋体" w:hAnsi="宋体" w:cs="宋体"/>
        </w:rPr>
        <w:t xml:space="preserve"> </w:t>
      </w:r>
    </w:p>
    <w:p>
      <w:pPr>
        <w:spacing w:line="560" w:lineRule="exact"/>
        <w:ind w:left="1925" w:leftChars="152" w:hanging="1606" w:hangingChars="500"/>
        <w:rPr>
          <w:rFonts w:hint="eastAsia" w:asciiTheme="minorEastAsia" w:hAnsiTheme="minorEastAsia" w:eastAsiaTheme="minorEastAsia" w:cstheme="minorEastAsia"/>
          <w:b/>
          <w:bCs/>
          <w:sz w:val="32"/>
          <w:szCs w:val="32"/>
          <w:u w:val="single"/>
          <w:lang w:eastAsia="zh-CN"/>
        </w:rPr>
      </w:pPr>
      <w:r>
        <w:rPr>
          <w:rFonts w:hint="eastAsia" w:asciiTheme="minorEastAsia" w:hAnsiTheme="minorEastAsia" w:eastAsiaTheme="minorEastAsia" w:cstheme="minorEastAsia"/>
          <w:b/>
          <w:bCs/>
          <w:sz w:val="32"/>
          <w:szCs w:val="32"/>
        </w:rPr>
        <w:t>项目名称：</w:t>
      </w:r>
      <w:r>
        <w:rPr>
          <w:rFonts w:hint="eastAsia" w:asciiTheme="minorEastAsia" w:hAnsiTheme="minorEastAsia" w:eastAsiaTheme="minorEastAsia" w:cstheme="minorEastAsia"/>
          <w:b/>
          <w:bCs/>
          <w:sz w:val="32"/>
          <w:szCs w:val="32"/>
          <w:u w:val="single"/>
          <w:lang w:eastAsia="zh-CN"/>
        </w:rPr>
        <w:t>广西来宾市忻城县2026年和美乡村建设项目设计服务</w:t>
      </w:r>
    </w:p>
    <w:p>
      <w:pPr>
        <w:spacing w:line="560" w:lineRule="exact"/>
        <w:ind w:firstLine="321" w:firstLineChars="100"/>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u w:val="single"/>
        </w:rPr>
        <w:t xml:space="preserve">                                 </w:t>
      </w:r>
    </w:p>
    <w:p>
      <w:pPr>
        <w:spacing w:line="560" w:lineRule="exact"/>
        <w:ind w:left="1925" w:leftChars="152" w:hanging="1606" w:hangingChars="5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采购单位（甲方）：</w:t>
      </w:r>
      <w:r>
        <w:rPr>
          <w:rFonts w:hint="eastAsia" w:asciiTheme="minorEastAsia" w:hAnsiTheme="minorEastAsia" w:eastAsiaTheme="minorEastAsia" w:cstheme="minorEastAsia"/>
          <w:b/>
          <w:bCs/>
          <w:sz w:val="32"/>
          <w:szCs w:val="32"/>
          <w:u w:val="single"/>
          <w:lang w:eastAsia="zh-CN"/>
        </w:rPr>
        <w:t>忻城县农业农村局</w:t>
      </w:r>
      <w:r>
        <w:rPr>
          <w:rFonts w:hint="eastAsia" w:asciiTheme="minorEastAsia" w:hAnsiTheme="minorEastAsia" w:eastAsiaTheme="minorEastAsia" w:cstheme="minorEastAsia"/>
          <w:b/>
          <w:bCs/>
          <w:sz w:val="32"/>
          <w:szCs w:val="32"/>
        </w:rPr>
        <w:t xml:space="preserve"> </w:t>
      </w:r>
    </w:p>
    <w:p>
      <w:pPr>
        <w:spacing w:line="560" w:lineRule="exact"/>
        <w:ind w:left="1925" w:leftChars="152" w:hanging="1606" w:hangingChars="5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供 应 商（乙方）：</w:t>
      </w:r>
      <w:r>
        <w:rPr>
          <w:rFonts w:hint="eastAsia" w:asciiTheme="minorEastAsia" w:hAnsiTheme="minorEastAsia" w:eastAsiaTheme="minorEastAsia" w:cstheme="minorEastAsia"/>
          <w:b/>
          <w:bCs/>
          <w:sz w:val="32"/>
          <w:szCs w:val="32"/>
          <w:u w:val="single"/>
        </w:rPr>
        <w:t xml:space="preserve">                        </w:t>
      </w:r>
      <w:r>
        <w:rPr>
          <w:rFonts w:hint="eastAsia" w:asciiTheme="minorEastAsia" w:hAnsiTheme="minorEastAsia" w:eastAsiaTheme="minorEastAsia" w:cstheme="minorEastAsia"/>
          <w:b/>
          <w:bCs/>
          <w:sz w:val="32"/>
          <w:szCs w:val="32"/>
        </w:rPr>
        <w:t xml:space="preserve">                         </w:t>
      </w:r>
    </w:p>
    <w:p>
      <w:pPr>
        <w:spacing w:line="560" w:lineRule="exact"/>
        <w:ind w:firstLine="321" w:firstLineChars="100"/>
        <w:rPr>
          <w:rFonts w:hint="eastAsia" w:asciiTheme="minorEastAsia" w:hAnsiTheme="minorEastAsia" w:eastAsiaTheme="minorEastAsia" w:cstheme="minorEastAsia"/>
          <w:b/>
          <w:bCs/>
          <w:sz w:val="32"/>
          <w:szCs w:val="32"/>
          <w:u w:val="none"/>
        </w:rPr>
      </w:pPr>
      <w:r>
        <w:rPr>
          <w:rFonts w:hint="eastAsia" w:asciiTheme="minorEastAsia" w:hAnsiTheme="minorEastAsia" w:eastAsiaTheme="minorEastAsia" w:cstheme="minorEastAsia"/>
          <w:b/>
          <w:bCs/>
          <w:sz w:val="32"/>
          <w:szCs w:val="32"/>
        </w:rPr>
        <w:t>签订合同地点：</w:t>
      </w:r>
      <w:r>
        <w:rPr>
          <w:rFonts w:hint="eastAsia" w:asciiTheme="minorEastAsia" w:hAnsiTheme="minorEastAsia" w:eastAsiaTheme="minorEastAsia" w:cstheme="minorEastAsia"/>
          <w:b/>
          <w:bCs/>
          <w:sz w:val="32"/>
          <w:szCs w:val="32"/>
          <w:u w:val="none"/>
        </w:rPr>
        <w:t xml:space="preserve">                            </w:t>
      </w:r>
    </w:p>
    <w:p>
      <w:pPr>
        <w:spacing w:line="560" w:lineRule="exact"/>
        <w:ind w:firstLine="321" w:firstLineChars="100"/>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签订合同时间：</w:t>
      </w:r>
      <w:r>
        <w:rPr>
          <w:rFonts w:hint="eastAsia" w:asciiTheme="minorEastAsia" w:hAnsiTheme="minorEastAsia" w:eastAsiaTheme="minorEastAsia" w:cstheme="minorEastAsia"/>
          <w:b/>
          <w:bCs/>
          <w:sz w:val="32"/>
          <w:szCs w:val="32"/>
          <w:u w:val="single"/>
        </w:rPr>
        <w:t xml:space="preserve">                                </w:t>
      </w:r>
    </w:p>
    <w:p>
      <w:pPr>
        <w:jc w:val="center"/>
        <w:rPr>
          <w:rFonts w:hint="eastAsia" w:ascii="宋体" w:hAnsi="宋体" w:cs="宋体"/>
          <w:szCs w:val="21"/>
        </w:rPr>
      </w:pPr>
      <w:r>
        <w:rPr>
          <w:rFonts w:hint="eastAsia" w:ascii="宋体" w:hAnsi="宋体" w:cs="宋体"/>
        </w:rPr>
        <w:t xml:space="preserve"> </w:t>
      </w:r>
    </w:p>
    <w:p>
      <w:pPr>
        <w:jc w:val="center"/>
        <w:rPr>
          <w:rFonts w:hint="eastAsia" w:ascii="宋体" w:hAnsi="宋体" w:cs="宋体"/>
        </w:rPr>
      </w:pPr>
      <w:r>
        <w:rPr>
          <w:rFonts w:hint="eastAsia" w:ascii="宋体" w:hAnsi="宋体" w:cs="宋体"/>
        </w:rPr>
        <w:t xml:space="preserve"> </w:t>
      </w:r>
    </w:p>
    <w:p>
      <w:pPr>
        <w:jc w:val="center"/>
        <w:rPr>
          <w:rFonts w:hint="eastAsia" w:ascii="宋体" w:hAnsi="宋体" w:cs="宋体"/>
        </w:rPr>
      </w:pPr>
      <w:r>
        <w:rPr>
          <w:rFonts w:hint="eastAsia" w:ascii="宋体" w:hAnsi="宋体" w:cs="宋体"/>
        </w:rPr>
        <w:t xml:space="preserve"> </w:t>
      </w:r>
    </w:p>
    <w:p>
      <w:pPr>
        <w:jc w:val="center"/>
        <w:rPr>
          <w:rFonts w:hint="eastAsia" w:ascii="宋体" w:hAnsi="宋体" w:cs="宋体"/>
        </w:rPr>
      </w:pPr>
      <w:r>
        <w:rPr>
          <w:rFonts w:hint="eastAsia" w:ascii="宋体" w:hAnsi="宋体" w:cs="宋体"/>
        </w:rPr>
        <w:br w:type="page"/>
      </w:r>
    </w:p>
    <w:p>
      <w:pPr>
        <w:spacing w:line="300" w:lineRule="auto"/>
        <w:jc w:val="center"/>
        <w:rPr>
          <w:rFonts w:hint="eastAsia" w:ascii="宋体" w:hAnsi="宋体" w:cs="宋体"/>
        </w:rPr>
      </w:pPr>
      <w:r>
        <w:rPr>
          <w:rFonts w:hint="eastAsia" w:ascii="宋体" w:hAnsi="宋体" w:cs="宋体"/>
        </w:rPr>
        <w:t xml:space="preserve"> </w:t>
      </w:r>
    </w:p>
    <w:p>
      <w:pPr>
        <w:snapToGrid w:val="0"/>
        <w:spacing w:line="360" w:lineRule="exact"/>
        <w:jc w:val="center"/>
        <w:rPr>
          <w:rFonts w:hint="eastAsia" w:ascii="宋体" w:hAnsi="宋体" w:cs="宋体"/>
          <w:b/>
          <w:bCs/>
          <w:sz w:val="32"/>
          <w:szCs w:val="32"/>
        </w:rPr>
      </w:pPr>
      <w:r>
        <w:rPr>
          <w:rFonts w:hint="eastAsia" w:ascii="宋体" w:hAnsi="宋体" w:cs="宋体"/>
          <w:b/>
          <w:bCs/>
          <w:sz w:val="32"/>
          <w:szCs w:val="32"/>
        </w:rPr>
        <w:t>广西壮族自治区政府采购合同</w:t>
      </w:r>
    </w:p>
    <w:p>
      <w:pPr>
        <w:snapToGrid w:val="0"/>
        <w:spacing w:line="360" w:lineRule="exact"/>
        <w:jc w:val="center"/>
        <w:rPr>
          <w:rFonts w:hint="eastAsia" w:ascii="宋体" w:hAnsi="宋体" w:cs="宋体"/>
          <w:szCs w:val="21"/>
        </w:rPr>
      </w:pPr>
      <w:r>
        <w:rPr>
          <w:rFonts w:hint="eastAsia" w:ascii="宋体" w:hAnsi="宋体" w:cs="宋体"/>
        </w:rPr>
        <w:t xml:space="preserve"> </w:t>
      </w:r>
    </w:p>
    <w:p>
      <w:pPr>
        <w:wordWrap w:val="0"/>
        <w:snapToGrid w:val="0"/>
        <w:spacing w:line="360" w:lineRule="exact"/>
        <w:ind w:right="60"/>
        <w:jc w:val="right"/>
        <w:rPr>
          <w:rFonts w:hint="eastAsia" w:ascii="宋体" w:hAnsi="宋体" w:cs="宋体"/>
          <w:u w:val="single"/>
        </w:rPr>
      </w:pPr>
      <w:r>
        <w:rPr>
          <w:rFonts w:hint="eastAsia" w:ascii="宋体" w:hAnsi="宋体" w:cs="宋体"/>
        </w:rPr>
        <w:t xml:space="preserve">  合同编号：                      </w:t>
      </w:r>
    </w:p>
    <w:p>
      <w:pPr>
        <w:snapToGrid w:val="0"/>
        <w:spacing w:line="360" w:lineRule="exact"/>
        <w:rPr>
          <w:rFonts w:hint="eastAsia" w:ascii="宋体" w:hAnsi="宋体" w:cs="宋体"/>
        </w:rPr>
      </w:pPr>
      <w:r>
        <w:rPr>
          <w:rFonts w:hint="eastAsia" w:ascii="宋体" w:hAnsi="宋体" w:cs="宋体"/>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none"/>
          <w:lang w:eastAsia="zh-CN"/>
        </w:rPr>
        <w:t>忻城县农业农村局</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供应商（乙方）：</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项目名称：</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合同名称：</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采购计划号：</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项目编号：</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color w:val="auto"/>
          <w:spacing w:val="0"/>
          <w:sz w:val="21"/>
          <w:szCs w:val="21"/>
          <w:highlight w:val="none"/>
          <w:lang w:val="en-US" w:eastAsia="zh-CN"/>
        </w:rPr>
      </w:pPr>
      <w:r>
        <w:rPr>
          <w:rFonts w:hint="eastAsia" w:ascii="宋体" w:hAnsi="宋体" w:eastAsia="宋体" w:cs="宋体"/>
          <w:color w:val="auto"/>
          <w:sz w:val="21"/>
          <w:szCs w:val="21"/>
          <w:highlight w:val="none"/>
        </w:rPr>
        <w:t>签</w:t>
      </w:r>
      <w:r>
        <w:rPr>
          <w:rFonts w:hint="eastAsia" w:ascii="宋体" w:hAnsi="宋体" w:eastAsia="宋体" w:cs="宋体"/>
          <w:color w:val="auto"/>
          <w:spacing w:val="0"/>
          <w:sz w:val="21"/>
          <w:szCs w:val="21"/>
          <w:highlight w:val="none"/>
        </w:rPr>
        <w:t>订地点：</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rPr>
        <w:t>签订时间：</w:t>
      </w:r>
      <w:r>
        <w:rPr>
          <w:rFonts w:hint="eastAsia" w:ascii="宋体" w:hAnsi="宋体" w:eastAsia="宋体" w:cs="宋体"/>
          <w:color w:val="auto"/>
          <w:spacing w:val="0"/>
          <w:sz w:val="21"/>
          <w:szCs w:val="21"/>
          <w:highlight w:val="none"/>
          <w:u w:val="none"/>
          <w:lang w:val="en-US" w:eastAsia="zh-CN"/>
        </w:rPr>
        <w:t>2025年</w:t>
      </w:r>
      <w:r>
        <w:rPr>
          <w:rFonts w:hint="eastAsia" w:ascii="宋体" w:hAnsi="宋体" w:cs="宋体"/>
          <w:color w:val="auto"/>
          <w:spacing w:val="0"/>
          <w:sz w:val="21"/>
          <w:szCs w:val="21"/>
          <w:highlight w:val="none"/>
          <w:u w:val="none"/>
          <w:lang w:val="en-US" w:eastAsia="zh-CN"/>
        </w:rPr>
        <w:t xml:space="preserve"> </w:t>
      </w:r>
      <w:r>
        <w:rPr>
          <w:rFonts w:hint="eastAsia" w:ascii="宋体" w:hAnsi="宋体" w:eastAsia="宋体" w:cs="宋体"/>
          <w:color w:val="auto"/>
          <w:spacing w:val="0"/>
          <w:sz w:val="21"/>
          <w:szCs w:val="21"/>
          <w:highlight w:val="none"/>
          <w:u w:val="none"/>
          <w:lang w:val="en-US" w:eastAsia="zh-CN"/>
        </w:rPr>
        <w:t xml:space="preserve"> 月</w:t>
      </w:r>
      <w:r>
        <w:rPr>
          <w:rFonts w:hint="eastAsia" w:ascii="宋体" w:hAnsi="宋体" w:cs="宋体"/>
          <w:color w:val="auto"/>
          <w:spacing w:val="0"/>
          <w:sz w:val="21"/>
          <w:szCs w:val="21"/>
          <w:highlight w:val="none"/>
          <w:u w:val="none"/>
          <w:lang w:val="en-US" w:eastAsia="zh-CN"/>
        </w:rPr>
        <w:t xml:space="preserve">  </w:t>
      </w:r>
      <w:r>
        <w:rPr>
          <w:rFonts w:hint="eastAsia" w:ascii="宋体" w:hAnsi="宋体" w:eastAsia="宋体" w:cs="宋体"/>
          <w:color w:val="auto"/>
          <w:spacing w:val="0"/>
          <w:sz w:val="21"/>
          <w:szCs w:val="21"/>
          <w:highlight w:val="none"/>
          <w:u w:val="none"/>
          <w:lang w:val="en-US" w:eastAsia="zh-CN"/>
        </w:rPr>
        <w:t>日</w:t>
      </w:r>
    </w:p>
    <w:p>
      <w:pPr>
        <w:spacing w:line="560" w:lineRule="exact"/>
        <w:ind w:firstLine="420" w:firstLineChars="200"/>
        <w:rPr>
          <w:rFonts w:hint="eastAsia" w:ascii="宋体" w:hAnsi="宋体" w:cs="宋体"/>
          <w:sz w:val="21"/>
          <w:szCs w:val="21"/>
        </w:rPr>
      </w:pPr>
      <w:r>
        <w:rPr>
          <w:rFonts w:hint="eastAsia" w:ascii="宋体" w:hAnsi="宋体" w:cs="宋体"/>
          <w:sz w:val="21"/>
          <w:szCs w:val="21"/>
        </w:rPr>
        <w:t>根据《中华人民共和国政府采购法》、《中华人民共和国民法典》等法律、法规规定，甲乙双方签订本合同。</w:t>
      </w:r>
    </w:p>
    <w:p>
      <w:pPr>
        <w:snapToGrid w:val="0"/>
        <w:spacing w:line="560" w:lineRule="exact"/>
        <w:ind w:firstLine="422" w:firstLineChars="200"/>
        <w:rPr>
          <w:rFonts w:hint="eastAsia" w:ascii="宋体" w:hAnsi="宋体" w:cs="宋体"/>
          <w:b/>
          <w:bCs/>
          <w:sz w:val="21"/>
          <w:szCs w:val="21"/>
        </w:rPr>
      </w:pPr>
      <w:r>
        <w:rPr>
          <w:rFonts w:hint="eastAsia" w:ascii="宋体" w:hAnsi="宋体" w:cs="宋体"/>
          <w:b/>
          <w:bCs/>
          <w:sz w:val="21"/>
          <w:szCs w:val="21"/>
        </w:rPr>
        <w:t>第一条 合同标的</w:t>
      </w:r>
    </w:p>
    <w:p>
      <w:pPr>
        <w:snapToGrid w:val="0"/>
        <w:spacing w:line="560" w:lineRule="exact"/>
        <w:ind w:firstLine="420" w:firstLineChars="200"/>
        <w:jc w:val="center"/>
        <w:rPr>
          <w:rFonts w:hint="eastAsia" w:ascii="宋体" w:hAnsi="宋体" w:cs="宋体"/>
          <w:sz w:val="21"/>
          <w:szCs w:val="21"/>
        </w:rPr>
      </w:pPr>
      <w:r>
        <w:rPr>
          <w:rFonts w:hint="eastAsia" w:ascii="宋体" w:hAnsi="宋体" w:cs="宋体"/>
          <w:sz w:val="21"/>
          <w:szCs w:val="21"/>
        </w:rPr>
        <w:t>甲方委托乙方提供的技术服务一览表</w:t>
      </w:r>
    </w:p>
    <w:tbl>
      <w:tblPr>
        <w:tblStyle w:val="17"/>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586"/>
        <w:gridCol w:w="2880"/>
        <w:gridCol w:w="1160"/>
        <w:gridCol w:w="130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29" w:type="dxa"/>
            <w:noWrap w:val="0"/>
            <w:vAlign w:val="center"/>
          </w:tcPr>
          <w:p>
            <w:pPr>
              <w:pStyle w:val="12"/>
              <w:ind w:firstLine="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86" w:type="dxa"/>
            <w:noWrap w:val="0"/>
            <w:vAlign w:val="center"/>
          </w:tcPr>
          <w:p>
            <w:pPr>
              <w:pStyle w:val="12"/>
              <w:ind w:firstLine="0"/>
              <w:jc w:val="center"/>
              <w:rPr>
                <w:rFonts w:hint="eastAsia" w:ascii="宋体" w:hAnsi="宋体" w:eastAsia="宋体" w:cs="宋体"/>
                <w:sz w:val="21"/>
                <w:szCs w:val="21"/>
              </w:rPr>
            </w:pPr>
            <w:r>
              <w:rPr>
                <w:rFonts w:hint="eastAsia" w:ascii="宋体" w:hAnsi="宋体" w:eastAsia="宋体" w:cs="宋体"/>
                <w:sz w:val="21"/>
                <w:szCs w:val="21"/>
                <w:lang w:val="en-US" w:eastAsia="zh-CN"/>
              </w:rPr>
              <w:t>服务</w:t>
            </w:r>
            <w:r>
              <w:rPr>
                <w:rFonts w:hint="eastAsia" w:ascii="宋体" w:hAnsi="宋体" w:eastAsia="宋体" w:cs="宋体"/>
                <w:sz w:val="21"/>
                <w:szCs w:val="21"/>
              </w:rPr>
              <w:t>内容</w:t>
            </w:r>
          </w:p>
        </w:tc>
        <w:tc>
          <w:tcPr>
            <w:tcW w:w="2880" w:type="dxa"/>
            <w:noWrap w:val="0"/>
            <w:vAlign w:val="center"/>
          </w:tcPr>
          <w:p>
            <w:pPr>
              <w:pStyle w:val="12"/>
              <w:jc w:val="center"/>
              <w:rPr>
                <w:rFonts w:hint="eastAsia" w:ascii="宋体" w:hAnsi="宋体" w:eastAsia="宋体" w:cs="宋体"/>
                <w:sz w:val="21"/>
                <w:szCs w:val="21"/>
              </w:rPr>
            </w:pPr>
            <w:r>
              <w:rPr>
                <w:rFonts w:hint="eastAsia" w:ascii="宋体" w:hAnsi="宋体" w:eastAsia="宋体" w:cs="宋体"/>
                <w:sz w:val="21"/>
                <w:szCs w:val="21"/>
              </w:rPr>
              <w:t>服务项目要求</w:t>
            </w:r>
          </w:p>
          <w:p>
            <w:pPr>
              <w:pStyle w:val="12"/>
              <w:jc w:val="center"/>
              <w:rPr>
                <w:rFonts w:hint="eastAsia" w:ascii="宋体" w:hAnsi="宋体" w:eastAsia="宋体" w:cs="宋体"/>
                <w:sz w:val="21"/>
                <w:szCs w:val="21"/>
              </w:rPr>
            </w:pPr>
            <w:r>
              <w:rPr>
                <w:rFonts w:hint="eastAsia" w:ascii="宋体" w:hAnsi="宋体" w:eastAsia="宋体" w:cs="宋体"/>
                <w:sz w:val="21"/>
                <w:szCs w:val="21"/>
              </w:rPr>
              <w:t>(或技术参数需求)</w:t>
            </w:r>
          </w:p>
        </w:tc>
        <w:tc>
          <w:tcPr>
            <w:tcW w:w="1160" w:type="dxa"/>
            <w:noWrap w:val="0"/>
            <w:vAlign w:val="center"/>
          </w:tcPr>
          <w:p>
            <w:pPr>
              <w:pStyle w:val="12"/>
              <w:ind w:firstLine="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302" w:type="dxa"/>
            <w:noWrap w:val="0"/>
            <w:vAlign w:val="center"/>
          </w:tcPr>
          <w:p>
            <w:pPr>
              <w:pStyle w:val="12"/>
              <w:ind w:firstLine="0"/>
              <w:rPr>
                <w:rFonts w:hint="eastAsia" w:ascii="宋体" w:hAnsi="宋体" w:eastAsia="宋体" w:cs="宋体"/>
                <w:sz w:val="21"/>
                <w:szCs w:val="21"/>
              </w:rPr>
            </w:pPr>
            <w:r>
              <w:rPr>
                <w:rFonts w:hint="eastAsia" w:ascii="宋体" w:hAnsi="宋体" w:eastAsia="宋体" w:cs="宋体"/>
                <w:sz w:val="21"/>
                <w:szCs w:val="21"/>
              </w:rPr>
              <w:t>单价（元）</w:t>
            </w:r>
          </w:p>
        </w:tc>
        <w:tc>
          <w:tcPr>
            <w:tcW w:w="1280" w:type="dxa"/>
            <w:noWrap w:val="0"/>
            <w:vAlign w:val="center"/>
          </w:tcPr>
          <w:p>
            <w:pPr>
              <w:pStyle w:val="12"/>
              <w:ind w:firstLine="0"/>
              <w:rPr>
                <w:rFonts w:hint="eastAsia" w:ascii="宋体" w:hAnsi="宋体" w:eastAsia="宋体" w:cs="宋体"/>
                <w:sz w:val="21"/>
                <w:szCs w:val="21"/>
              </w:rPr>
            </w:pPr>
            <w:r>
              <w:rPr>
                <w:rFonts w:hint="eastAsia" w:ascii="宋体" w:hAnsi="宋体" w:eastAsia="宋体" w:cs="宋体"/>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29" w:type="dxa"/>
            <w:noWrap w:val="0"/>
            <w:vAlign w:val="center"/>
          </w:tcPr>
          <w:p>
            <w:pPr>
              <w:snapToGrid w:val="0"/>
              <w:jc w:val="center"/>
              <w:rPr>
                <w:rFonts w:hint="eastAsia" w:ascii="宋体" w:hAnsi="宋体" w:cs="宋体"/>
                <w:sz w:val="21"/>
                <w:szCs w:val="21"/>
              </w:rPr>
            </w:pPr>
            <w:r>
              <w:rPr>
                <w:rFonts w:hint="eastAsia" w:ascii="宋体" w:hAnsi="宋体" w:cs="宋体"/>
                <w:sz w:val="21"/>
                <w:szCs w:val="21"/>
              </w:rPr>
              <w:t>1</w:t>
            </w:r>
          </w:p>
        </w:tc>
        <w:tc>
          <w:tcPr>
            <w:tcW w:w="1586" w:type="dxa"/>
            <w:noWrap w:val="0"/>
            <w:vAlign w:val="center"/>
          </w:tcPr>
          <w:p>
            <w:pPr>
              <w:snapToGrid w:val="0"/>
              <w:rPr>
                <w:rFonts w:hint="eastAsia" w:ascii="宋体" w:hAnsi="宋体" w:cs="宋体"/>
                <w:sz w:val="21"/>
                <w:szCs w:val="21"/>
              </w:rPr>
            </w:pPr>
          </w:p>
        </w:tc>
        <w:tc>
          <w:tcPr>
            <w:tcW w:w="2880" w:type="dxa"/>
            <w:noWrap w:val="0"/>
            <w:vAlign w:val="center"/>
          </w:tcPr>
          <w:p>
            <w:pPr>
              <w:snapToGrid w:val="0"/>
              <w:jc w:val="center"/>
              <w:rPr>
                <w:rFonts w:hint="eastAsia" w:ascii="宋体" w:hAnsi="宋体" w:cs="宋体"/>
                <w:sz w:val="21"/>
                <w:szCs w:val="21"/>
              </w:rPr>
            </w:pPr>
            <w:r>
              <w:rPr>
                <w:rFonts w:hint="eastAsia" w:ascii="宋体" w:hAnsi="宋体" w:cs="宋体"/>
                <w:sz w:val="21"/>
                <w:szCs w:val="21"/>
              </w:rPr>
              <w:t>（详见采购需求）</w:t>
            </w:r>
          </w:p>
        </w:tc>
        <w:tc>
          <w:tcPr>
            <w:tcW w:w="1160" w:type="dxa"/>
            <w:noWrap w:val="0"/>
            <w:vAlign w:val="center"/>
          </w:tcPr>
          <w:p>
            <w:pPr>
              <w:snapToGrid w:val="0"/>
              <w:jc w:val="center"/>
              <w:rPr>
                <w:rFonts w:hint="eastAsia" w:ascii="宋体" w:hAnsi="宋体" w:cs="宋体"/>
                <w:sz w:val="21"/>
                <w:szCs w:val="21"/>
              </w:rPr>
            </w:pPr>
          </w:p>
        </w:tc>
        <w:tc>
          <w:tcPr>
            <w:tcW w:w="1302" w:type="dxa"/>
            <w:noWrap w:val="0"/>
            <w:vAlign w:val="center"/>
          </w:tcPr>
          <w:p>
            <w:pPr>
              <w:snapToGrid w:val="0"/>
              <w:jc w:val="center"/>
              <w:rPr>
                <w:rFonts w:hint="eastAsia" w:ascii="宋体" w:hAnsi="宋体" w:cs="宋体"/>
                <w:sz w:val="21"/>
                <w:szCs w:val="21"/>
              </w:rPr>
            </w:pPr>
          </w:p>
        </w:tc>
        <w:tc>
          <w:tcPr>
            <w:tcW w:w="1280" w:type="dxa"/>
            <w:noWrap w:val="0"/>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7" w:type="dxa"/>
            <w:gridSpan w:val="6"/>
            <w:noWrap w:val="0"/>
            <w:vAlign w:val="top"/>
          </w:tcPr>
          <w:p>
            <w:pPr>
              <w:pStyle w:val="12"/>
              <w:spacing w:line="400" w:lineRule="exact"/>
              <w:rPr>
                <w:rFonts w:hint="eastAsia" w:ascii="宋体" w:hAnsi="宋体" w:eastAsia="宋体" w:cs="宋体"/>
                <w:sz w:val="21"/>
                <w:szCs w:val="21"/>
              </w:rPr>
            </w:pPr>
            <w:r>
              <w:rPr>
                <w:rFonts w:hint="eastAsia" w:ascii="宋体" w:hAnsi="宋体" w:eastAsia="宋体" w:cs="宋体"/>
                <w:sz w:val="21"/>
                <w:szCs w:val="21"/>
              </w:rPr>
              <w:t>合同总价（大写）：人民币  万元整（小写 ¥   00）。</w:t>
            </w:r>
          </w:p>
        </w:tc>
      </w:tr>
    </w:tbl>
    <w:p>
      <w:pPr>
        <w:numPr>
          <w:ilvl w:val="0"/>
          <w:numId w:val="2"/>
        </w:numPr>
        <w:snapToGrid w:val="0"/>
        <w:spacing w:line="560" w:lineRule="exact"/>
        <w:ind w:left="0" w:leftChars="0" w:firstLine="210" w:firstLineChars="100"/>
        <w:rPr>
          <w:rFonts w:hint="eastAsia" w:ascii="宋体" w:hAnsi="宋体" w:cs="宋体"/>
          <w:b w:val="0"/>
          <w:bCs w:val="0"/>
          <w:sz w:val="21"/>
          <w:szCs w:val="21"/>
        </w:rPr>
      </w:pPr>
      <w:r>
        <w:rPr>
          <w:rFonts w:hint="eastAsia" w:ascii="宋体" w:hAnsi="宋体" w:cs="宋体"/>
          <w:b w:val="0"/>
          <w:bCs w:val="0"/>
          <w:sz w:val="21"/>
          <w:szCs w:val="21"/>
        </w:rPr>
        <w:t>合同合计金额包括但不限于满足本次竞标全部采购需求所应提供的服务，以及伴随的货物和工 程(如有)的价格；包含竞标服务、货物、工程的成本、运输(含保险)、安装(如有)、调试、检 验、技术服务、培训、税费等所有费用。如谈判文件对其另有规定的，从其规定。</w:t>
      </w:r>
    </w:p>
    <w:p>
      <w:pPr>
        <w:numPr>
          <w:ilvl w:val="0"/>
          <w:numId w:val="2"/>
        </w:numPr>
        <w:snapToGrid w:val="0"/>
        <w:spacing w:line="560" w:lineRule="exact"/>
        <w:ind w:left="0" w:leftChars="0" w:firstLine="211" w:firstLineChars="100"/>
        <w:rPr>
          <w:rFonts w:hint="eastAsia" w:ascii="宋体" w:hAnsi="宋体" w:cs="宋体"/>
          <w:sz w:val="21"/>
          <w:szCs w:val="21"/>
        </w:rPr>
      </w:pPr>
      <w:r>
        <w:rPr>
          <w:rFonts w:hint="eastAsia" w:ascii="宋体" w:hAnsi="宋体" w:cs="宋体"/>
          <w:b/>
          <w:bCs/>
          <w:sz w:val="21"/>
          <w:szCs w:val="21"/>
        </w:rPr>
        <w:t>第二条</w:t>
      </w:r>
      <w:r>
        <w:rPr>
          <w:rFonts w:hint="eastAsia" w:ascii="宋体" w:hAnsi="宋体" w:cs="宋体"/>
          <w:b/>
          <w:bCs/>
          <w:sz w:val="21"/>
          <w:szCs w:val="21"/>
        </w:rPr>
        <w:tab/>
      </w:r>
      <w:r>
        <w:rPr>
          <w:rFonts w:hint="eastAsia" w:ascii="宋体" w:hAnsi="宋体" w:cs="宋体"/>
          <w:b/>
          <w:bCs/>
          <w:sz w:val="21"/>
          <w:szCs w:val="21"/>
        </w:rPr>
        <w:t>质量保证</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1、乙方所提供的服务内容、技术规格、技术参数等质量必须与承诺相一致，提交项目成果一式三份。</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2、乙方所提供的服务各项指标均应达到质量要求，并组织进行专家验收，验收费用由乙方承担，如验收不通过，需按专家意见重新修改后再次组织专家评审。</w:t>
      </w:r>
    </w:p>
    <w:p>
      <w:pPr>
        <w:snapToGrid w:val="0"/>
        <w:spacing w:line="560" w:lineRule="exact"/>
        <w:ind w:firstLine="422" w:firstLineChars="200"/>
        <w:rPr>
          <w:rFonts w:hint="eastAsia" w:ascii="宋体" w:hAnsi="宋体" w:cs="宋体"/>
          <w:sz w:val="21"/>
          <w:szCs w:val="21"/>
        </w:rPr>
      </w:pPr>
      <w:r>
        <w:rPr>
          <w:rFonts w:hint="eastAsia" w:ascii="宋体" w:hAnsi="宋体" w:cs="宋体"/>
          <w:b/>
          <w:bCs/>
          <w:sz w:val="21"/>
          <w:szCs w:val="21"/>
        </w:rPr>
        <w:t>第三条</w:t>
      </w:r>
      <w:r>
        <w:rPr>
          <w:rFonts w:hint="eastAsia" w:ascii="宋体" w:hAnsi="宋体" w:cs="宋体"/>
          <w:b/>
          <w:bCs/>
          <w:sz w:val="21"/>
          <w:szCs w:val="21"/>
        </w:rPr>
        <w:tab/>
      </w:r>
      <w:r>
        <w:rPr>
          <w:rFonts w:hint="eastAsia" w:ascii="宋体" w:hAnsi="宋体" w:cs="宋体"/>
          <w:b/>
          <w:bCs/>
          <w:sz w:val="21"/>
          <w:szCs w:val="21"/>
        </w:rPr>
        <w:t>权利保证</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1、乙方应保证所提供服务成果（或其任何一部分）在使用时不会侵犯任何第三方的专利权、商标权、著作权、工业设计权或其他权利。</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2、乙方在甲方已按规定时间提供必要数据资料的前提下应按合同约定的时间向甲方提交服务成果。</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未履行保密义务的，按第八条第5款承担违约责任。本合同终止后本保密条款继续有效。</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4、没有甲方同意，乙方不得将涉及服务成果的相关文本、表格、图件等资料提供任何其他人使用。</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5、如乙方所交付的服务成果侵犯第三人合法权益的，视为乙方违约，乙方应向甲方支付合同总价5%的违约金，若上述违约金不足以弥补甲方的损失的，乙方应另行赔偿。</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6.乙方配合甲方完成绩效考核工作。</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7.服务过程中形成的所有知识产权成果归甲方所有。</w:t>
      </w:r>
    </w:p>
    <w:p>
      <w:pPr>
        <w:snapToGrid w:val="0"/>
        <w:spacing w:line="560" w:lineRule="exact"/>
        <w:ind w:firstLine="422" w:firstLineChars="200"/>
        <w:rPr>
          <w:rFonts w:hint="eastAsia" w:ascii="宋体" w:hAnsi="宋体" w:cs="宋体"/>
          <w:sz w:val="21"/>
          <w:szCs w:val="21"/>
        </w:rPr>
      </w:pPr>
      <w:r>
        <w:rPr>
          <w:rFonts w:hint="eastAsia" w:ascii="宋体" w:hAnsi="宋体" w:cs="宋体"/>
          <w:b/>
          <w:bCs/>
          <w:sz w:val="21"/>
          <w:szCs w:val="21"/>
        </w:rPr>
        <w:t>第四条</w:t>
      </w:r>
      <w:r>
        <w:rPr>
          <w:rFonts w:hint="eastAsia" w:ascii="宋体" w:hAnsi="宋体" w:cs="宋体"/>
          <w:b/>
          <w:bCs/>
          <w:sz w:val="21"/>
          <w:szCs w:val="21"/>
        </w:rPr>
        <w:tab/>
      </w:r>
      <w:r>
        <w:rPr>
          <w:rFonts w:hint="eastAsia" w:ascii="宋体" w:hAnsi="宋体" w:cs="宋体"/>
          <w:b/>
          <w:bCs/>
          <w:sz w:val="21"/>
          <w:szCs w:val="21"/>
        </w:rPr>
        <w:t>成果交付</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1、提交服务成果时间：</w:t>
      </w:r>
      <w:r>
        <w:rPr>
          <w:rFonts w:hint="eastAsia" w:ascii="宋体" w:hAnsi="宋体" w:cs="宋体"/>
          <w:sz w:val="21"/>
          <w:szCs w:val="21"/>
          <w:u w:val="single"/>
        </w:rPr>
        <w:t xml:space="preserve">                </w:t>
      </w:r>
      <w:r>
        <w:rPr>
          <w:rFonts w:hint="eastAsia" w:ascii="宋体" w:hAnsi="宋体" w:cs="宋体"/>
          <w:sz w:val="21"/>
          <w:szCs w:val="21"/>
        </w:rPr>
        <w:t>。</w:t>
      </w:r>
    </w:p>
    <w:p>
      <w:pPr>
        <w:snapToGrid w:val="0"/>
        <w:spacing w:line="560" w:lineRule="exact"/>
        <w:ind w:firstLine="630" w:firstLineChars="300"/>
        <w:rPr>
          <w:rFonts w:hint="eastAsia" w:ascii="宋体" w:hAnsi="宋体" w:cs="宋体"/>
          <w:sz w:val="21"/>
          <w:szCs w:val="21"/>
          <w:u w:val="single"/>
        </w:rPr>
      </w:pPr>
      <w:r>
        <w:rPr>
          <w:rFonts w:hint="eastAsia" w:ascii="宋体" w:hAnsi="宋体" w:cs="宋体"/>
          <w:sz w:val="21"/>
          <w:szCs w:val="21"/>
        </w:rPr>
        <w:t>交付地点：</w:t>
      </w:r>
      <w:r>
        <w:rPr>
          <w:rFonts w:hint="eastAsia" w:ascii="宋体" w:hAnsi="宋体" w:cs="宋体"/>
          <w:sz w:val="21"/>
          <w:szCs w:val="21"/>
          <w:u w:val="single"/>
        </w:rPr>
        <w:t>甲方指定地点。</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2、乙方提供不符合本合同规定的服务或服务成果的，甲方有权拒绝接受。</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3、乙方必须按承诺的服务响应条款向甲方提供服务及服务成果。</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4、乙方应对提交的服务成果作出全面检查和整理，并列出清单，经甲方确认后，清单应随提交的服务成果交给甲方。</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5、乙方在指定地点提交服务成果后，甲方应在7个工作日内依据合同约定组织验收。验收合格后由甲乙双方签署服务成果验收单并加盖甲方公章，甲乙双方各执一份。甲方未按约定期限进行验收的，视同乙方交付的服务成果质量合格，符合合同约定。</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6、甲方委托采购代理机构组织验收的项目，其验收时间以该项目验收方案确定的验收时间为准，验收结果以该项目验收报告结论为准。在验收过程中发现乙方有违约问题且未整改完毕的，可暂缓资金结算，待违约问题解决后，方可办理资金结算事宜。</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7、甲方对服务成果的质量有异议的，在列出清单后</w:t>
      </w:r>
      <w:r>
        <w:rPr>
          <w:rFonts w:hint="eastAsia" w:ascii="宋体" w:hAnsi="宋体" w:cs="宋体"/>
          <w:sz w:val="21"/>
          <w:szCs w:val="21"/>
          <w:u w:val="single"/>
        </w:rPr>
        <w:t>5</w:t>
      </w:r>
      <w:r>
        <w:rPr>
          <w:rFonts w:hint="eastAsia" w:ascii="宋体" w:hAnsi="宋体" w:cs="宋体"/>
          <w:sz w:val="21"/>
          <w:szCs w:val="21"/>
        </w:rPr>
        <w:t>个工作日内以书面形式向乙方提出，乙方应自收到甲方书面异议后</w:t>
      </w:r>
      <w:r>
        <w:rPr>
          <w:rFonts w:hint="eastAsia" w:ascii="宋体" w:hAnsi="宋体" w:cs="宋体"/>
          <w:sz w:val="21"/>
          <w:szCs w:val="21"/>
          <w:u w:val="single"/>
        </w:rPr>
        <w:t>5</w:t>
      </w:r>
      <w:r>
        <w:rPr>
          <w:rFonts w:hint="eastAsia" w:ascii="宋体" w:hAnsi="宋体" w:cs="宋体"/>
          <w:sz w:val="21"/>
          <w:szCs w:val="21"/>
        </w:rPr>
        <w:t>个工作日内及时予以解决，乙方必须无条件进行整改、修正，直至甲方验收通过。</w:t>
      </w:r>
    </w:p>
    <w:p>
      <w:pPr>
        <w:snapToGrid w:val="0"/>
        <w:spacing w:line="560" w:lineRule="exact"/>
        <w:ind w:firstLine="422" w:firstLineChars="200"/>
        <w:rPr>
          <w:rFonts w:hint="eastAsia" w:ascii="宋体" w:hAnsi="宋体" w:cs="宋体"/>
          <w:sz w:val="21"/>
          <w:szCs w:val="21"/>
        </w:rPr>
      </w:pPr>
      <w:r>
        <w:rPr>
          <w:rFonts w:hint="eastAsia" w:ascii="宋体" w:hAnsi="宋体" w:cs="宋体"/>
          <w:b/>
          <w:bCs/>
          <w:sz w:val="21"/>
          <w:szCs w:val="21"/>
        </w:rPr>
        <w:t>第五条</w:t>
      </w:r>
      <w:r>
        <w:rPr>
          <w:rFonts w:hint="eastAsia" w:ascii="宋体" w:hAnsi="宋体" w:cs="宋体"/>
          <w:b/>
          <w:bCs/>
          <w:sz w:val="21"/>
          <w:szCs w:val="21"/>
        </w:rPr>
        <w:tab/>
      </w:r>
      <w:r>
        <w:rPr>
          <w:rFonts w:hint="eastAsia" w:ascii="宋体" w:hAnsi="宋体" w:cs="宋体"/>
          <w:b/>
          <w:bCs/>
          <w:sz w:val="21"/>
          <w:szCs w:val="21"/>
        </w:rPr>
        <w:t>付款方式</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1、资金性质：财政资金。</w:t>
      </w:r>
    </w:p>
    <w:p>
      <w:pPr>
        <w:snapToGrid w:val="0"/>
        <w:spacing w:line="560" w:lineRule="exact"/>
        <w:ind w:firstLine="420" w:firstLineChars="200"/>
        <w:rPr>
          <w:rFonts w:hint="eastAsia" w:ascii="宋体" w:hAnsi="宋体" w:cs="宋体"/>
          <w:sz w:val="21"/>
          <w:szCs w:val="21"/>
          <w:u w:val="single"/>
        </w:rPr>
      </w:pPr>
      <w:r>
        <w:rPr>
          <w:rFonts w:hint="eastAsia" w:ascii="宋体" w:hAnsi="宋体" w:cs="宋体"/>
          <w:sz w:val="21"/>
          <w:szCs w:val="21"/>
        </w:rPr>
        <w:t>2、付款方式：</w:t>
      </w:r>
      <w:r>
        <w:rPr>
          <w:rFonts w:hint="eastAsia" w:ascii="宋体" w:hAnsi="宋体" w:cs="宋体"/>
          <w:sz w:val="21"/>
          <w:szCs w:val="21"/>
          <w:u w:val="single"/>
        </w:rPr>
        <w:t xml:space="preserve">                  。</w:t>
      </w:r>
    </w:p>
    <w:p>
      <w:pPr>
        <w:snapToGrid w:val="0"/>
        <w:spacing w:line="560" w:lineRule="exact"/>
        <w:ind w:firstLine="422" w:firstLineChars="200"/>
        <w:rPr>
          <w:rFonts w:hint="eastAsia" w:ascii="宋体" w:hAnsi="宋体" w:cs="宋体"/>
          <w:b/>
          <w:bCs/>
          <w:sz w:val="21"/>
          <w:szCs w:val="21"/>
        </w:rPr>
      </w:pPr>
      <w:r>
        <w:rPr>
          <w:rFonts w:hint="eastAsia" w:ascii="宋体" w:hAnsi="宋体" w:cs="宋体"/>
          <w:b/>
          <w:bCs/>
          <w:sz w:val="21"/>
          <w:szCs w:val="21"/>
        </w:rPr>
        <w:t>第六条</w:t>
      </w:r>
      <w:r>
        <w:rPr>
          <w:rFonts w:hint="eastAsia" w:ascii="宋体" w:hAnsi="宋体" w:cs="宋体"/>
          <w:b/>
          <w:bCs/>
          <w:sz w:val="21"/>
          <w:szCs w:val="21"/>
        </w:rPr>
        <w:tab/>
      </w:r>
      <w:r>
        <w:rPr>
          <w:rFonts w:hint="eastAsia" w:ascii="宋体" w:hAnsi="宋体" w:cs="宋体"/>
          <w:b/>
          <w:bCs/>
          <w:sz w:val="21"/>
          <w:szCs w:val="21"/>
        </w:rPr>
        <w:t>税费</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本合同执行中相关的一切税费均由双方依法负担，乙方每次收款后应在5个工作日内向甲方提交等额有效合法税务发票。</w:t>
      </w:r>
    </w:p>
    <w:p>
      <w:pPr>
        <w:snapToGrid w:val="0"/>
        <w:spacing w:line="560" w:lineRule="exact"/>
        <w:ind w:firstLine="422" w:firstLineChars="200"/>
        <w:rPr>
          <w:rFonts w:hint="eastAsia" w:ascii="宋体" w:hAnsi="宋体" w:cs="宋体"/>
          <w:b/>
          <w:bCs/>
          <w:sz w:val="21"/>
          <w:szCs w:val="21"/>
        </w:rPr>
      </w:pPr>
      <w:r>
        <w:rPr>
          <w:rFonts w:hint="eastAsia" w:ascii="宋体" w:hAnsi="宋体" w:cs="宋体"/>
          <w:b/>
          <w:bCs/>
          <w:sz w:val="21"/>
          <w:szCs w:val="21"/>
        </w:rPr>
        <w:t>第七条</w:t>
      </w:r>
      <w:r>
        <w:rPr>
          <w:rFonts w:hint="eastAsia" w:ascii="宋体" w:hAnsi="宋体" w:cs="宋体"/>
          <w:b/>
          <w:bCs/>
          <w:sz w:val="21"/>
          <w:szCs w:val="21"/>
        </w:rPr>
        <w:tab/>
      </w:r>
      <w:r>
        <w:rPr>
          <w:rFonts w:hint="eastAsia" w:ascii="宋体" w:hAnsi="宋体" w:cs="宋体"/>
          <w:b/>
          <w:bCs/>
          <w:sz w:val="21"/>
          <w:szCs w:val="21"/>
        </w:rPr>
        <w:t>履约保证金</w:t>
      </w:r>
    </w:p>
    <w:p>
      <w:pPr>
        <w:snapToGrid w:val="0"/>
        <w:spacing w:line="56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本项目无需缴纳履约保证金。</w:t>
      </w:r>
    </w:p>
    <w:p>
      <w:pPr>
        <w:snapToGrid w:val="0"/>
        <w:spacing w:line="560" w:lineRule="exact"/>
        <w:ind w:firstLine="422" w:firstLineChars="200"/>
        <w:rPr>
          <w:rFonts w:hint="eastAsia" w:ascii="宋体" w:hAnsi="宋体" w:cs="宋体"/>
          <w:b/>
          <w:bCs/>
          <w:sz w:val="21"/>
          <w:szCs w:val="21"/>
        </w:rPr>
      </w:pPr>
      <w:r>
        <w:rPr>
          <w:rFonts w:hint="eastAsia" w:ascii="宋体" w:hAnsi="宋体" w:cs="宋体"/>
          <w:b/>
          <w:bCs/>
          <w:sz w:val="21"/>
          <w:szCs w:val="21"/>
        </w:rPr>
        <w:t>第八条 违约责任</w:t>
      </w:r>
    </w:p>
    <w:p>
      <w:pPr>
        <w:snapToGrid w:val="0"/>
        <w:spacing w:line="560" w:lineRule="exact"/>
        <w:ind w:firstLine="525" w:firstLineChars="250"/>
        <w:rPr>
          <w:rFonts w:hint="eastAsia" w:ascii="宋体" w:hAnsi="宋体" w:cs="宋体"/>
          <w:sz w:val="21"/>
          <w:szCs w:val="21"/>
        </w:rPr>
      </w:pPr>
      <w:r>
        <w:rPr>
          <w:rFonts w:hint="eastAsia" w:ascii="宋体" w:hAnsi="宋体" w:cs="宋体"/>
          <w:sz w:val="21"/>
          <w:szCs w:val="21"/>
        </w:rPr>
        <w:t xml:space="preserve">1、因乙方原因，乙方所提交的服务成果内容、数量、服务项目要求（技术参数需求）等不符合招投标文件、国家有关质量标准或本合同约定的，应及时调整，调整不及时的按本条第3款的约定按逾期提交成果处理；因特殊情况甲方同意接收不符合招投标文件、国家有关质量标准或本合同约定的服务或报告的，乙方除承担逾期违约责任外，还应向甲方支付合同总价5%违约金。因乙方无法提供质量符合招投标文件、国家有关质量标准或本合同约定的服务或报告的，甲方有权解除合同。 </w:t>
      </w:r>
    </w:p>
    <w:p>
      <w:pPr>
        <w:snapToGrid w:val="0"/>
        <w:spacing w:line="560" w:lineRule="exact"/>
        <w:ind w:firstLine="472" w:firstLineChars="225"/>
        <w:rPr>
          <w:rFonts w:hint="eastAsia" w:ascii="宋体" w:hAnsi="宋体" w:cs="宋体"/>
          <w:sz w:val="21"/>
          <w:szCs w:val="21"/>
        </w:rPr>
      </w:pPr>
      <w:r>
        <w:rPr>
          <w:rFonts w:hint="eastAsia" w:ascii="宋体" w:hAnsi="宋体" w:cs="宋体"/>
          <w:sz w:val="21"/>
          <w:szCs w:val="21"/>
        </w:rPr>
        <w:t>2、乙方提供的服务成果如侵犯第三方合法权益而引发的任何纠纷或诉讼，均由乙方负责交涉并承担全部责任。如甲方为解决纠纷先行支付了费用，乙方应当在收到甲方关于要求偿还已支付款项的通知之日起5个工作日内将甲方已支付的合理费用赔偿给甲方。</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3、因乙方原因，乙方逾期交付服务成果的，每天向甲方支付合同总价0.5‰的违约金，但违约金累计不超过合同总价的5% 。乙方逾期交付超过15日的，甲方有权解除合同。</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4、乙方未按本合同和投标文件中规定的服务承诺提供售后服务的，乙方应按合同总</w:t>
      </w:r>
      <w:r>
        <w:rPr>
          <w:rFonts w:hint="eastAsia" w:ascii="宋体" w:hAnsi="宋体" w:cs="宋体"/>
          <w:sz w:val="21"/>
          <w:szCs w:val="21"/>
          <w:u w:val="single"/>
        </w:rPr>
        <w:t>价的5%</w:t>
      </w:r>
      <w:r>
        <w:rPr>
          <w:rFonts w:hint="eastAsia" w:ascii="宋体" w:hAnsi="宋体" w:cs="宋体"/>
          <w:sz w:val="21"/>
          <w:szCs w:val="21"/>
        </w:rPr>
        <w:t>向甲方支付违约金。</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5、乙方有其它严重影响合同目的实现的违约行为的，每发生一次按合同总价的</w:t>
      </w:r>
      <w:r>
        <w:rPr>
          <w:rFonts w:hint="eastAsia" w:ascii="宋体" w:hAnsi="宋体" w:cs="宋体"/>
          <w:sz w:val="21"/>
          <w:szCs w:val="21"/>
          <w:u w:val="single"/>
        </w:rPr>
        <w:t>5%</w:t>
      </w:r>
      <w:r>
        <w:rPr>
          <w:rFonts w:hint="eastAsia" w:ascii="宋体" w:hAnsi="宋体" w:cs="宋体"/>
          <w:sz w:val="21"/>
          <w:szCs w:val="21"/>
        </w:rPr>
        <w:t>支付违约金。</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6、甲方根据本合同约定解除合同的，有权不予支付任何款项给乙方，已经支付的，乙方应当自甲方要求返还之日起5日内予以返还，此外乙方还应支付合同总价5%的违约金给甲方。但甲方接受或利用乙方已完成的服务的，应按乙方完成的工作量支付费用。</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7、当以上违约金不足以弥补甲方损失时，乙方还应对甲方超过违约金部分的损失依法承担赔偿责任，甲方有权继续向乙方追偿。乙方应当赔偿因此给甲方造成的所有损失，包括但不限于甲方直接损失、向第三人承担的违约金、赔偿金、为索赔支出的费用、律师费、诉讼费、仲裁费、调查费、公证费、鉴定费等。</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8、乙方不得将项目全部或部分进行转包、分包，如有违反，乙方应向甲方一次性支付合同总价20%的违约金，且甲方有权解除合同。</w:t>
      </w:r>
    </w:p>
    <w:p>
      <w:pPr>
        <w:snapToGrid w:val="0"/>
        <w:spacing w:before="120" w:after="120" w:line="560" w:lineRule="exact"/>
        <w:ind w:firstLine="413" w:firstLineChars="196"/>
        <w:rPr>
          <w:rFonts w:hint="eastAsia" w:ascii="宋体" w:hAnsi="宋体" w:cs="宋体"/>
          <w:b/>
          <w:bCs/>
          <w:sz w:val="21"/>
          <w:szCs w:val="21"/>
        </w:rPr>
      </w:pPr>
      <w:r>
        <w:rPr>
          <w:rFonts w:hint="eastAsia" w:ascii="宋体" w:hAnsi="宋体" w:cs="宋体"/>
          <w:b/>
          <w:bCs/>
          <w:sz w:val="21"/>
          <w:szCs w:val="21"/>
        </w:rPr>
        <w:t>第九条</w:t>
      </w:r>
      <w:r>
        <w:rPr>
          <w:rFonts w:hint="eastAsia" w:ascii="宋体" w:hAnsi="宋体" w:cs="宋体"/>
          <w:b/>
          <w:bCs/>
          <w:sz w:val="21"/>
          <w:szCs w:val="21"/>
        </w:rPr>
        <w:tab/>
      </w:r>
      <w:r>
        <w:rPr>
          <w:rFonts w:hint="eastAsia" w:ascii="宋体" w:hAnsi="宋体" w:cs="宋体"/>
          <w:b/>
          <w:bCs/>
          <w:sz w:val="21"/>
          <w:szCs w:val="21"/>
        </w:rPr>
        <w:t>不可抗力事件处理</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1、在合同有效期内，任何一方因不可抗力事件导致不能履行合同的，则合同履行期可延长，其延长期与不可抗力影响期相同。</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2、由于不可抗力事件不能全部或部分履行合同义务时，任一方可中止履行其在本合同项下的义务。</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3、不可抗力事件发生后，受影响方应立即通知对方，并寄送有关不可抗力发生的有效证明。声称受到不可抗力的一方应在任何时候采取合理的行动，以避免或尽量减少不可抗力事件的影响。因主观原因延误，未及时采取必要措施而导致损失扩大的，不能免除相应责任。</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4、不可抗力事件延续一百二十天以上时，双方应通过友好协商，确定是否继续履行合同。若双方协商解除合同，甲方应按乙方完成的工作量支付费用。</w:t>
      </w:r>
    </w:p>
    <w:p>
      <w:pPr>
        <w:snapToGrid w:val="0"/>
        <w:spacing w:line="560" w:lineRule="exact"/>
        <w:ind w:firstLine="422" w:firstLineChars="200"/>
        <w:rPr>
          <w:rFonts w:hint="eastAsia" w:ascii="宋体" w:hAnsi="宋体" w:cs="宋体"/>
          <w:sz w:val="21"/>
          <w:szCs w:val="21"/>
        </w:rPr>
      </w:pPr>
      <w:r>
        <w:rPr>
          <w:rFonts w:hint="eastAsia" w:ascii="宋体" w:hAnsi="宋体" w:cs="宋体"/>
          <w:b/>
          <w:bCs/>
          <w:sz w:val="21"/>
          <w:szCs w:val="21"/>
        </w:rPr>
        <w:t>第十条</w:t>
      </w:r>
      <w:r>
        <w:rPr>
          <w:rFonts w:hint="eastAsia" w:ascii="宋体" w:hAnsi="宋体" w:cs="宋体"/>
          <w:b/>
          <w:bCs/>
          <w:sz w:val="21"/>
          <w:szCs w:val="21"/>
        </w:rPr>
        <w:tab/>
      </w:r>
      <w:r>
        <w:rPr>
          <w:rFonts w:hint="eastAsia" w:ascii="宋体" w:hAnsi="宋体" w:cs="宋体"/>
          <w:b/>
          <w:bCs/>
          <w:sz w:val="21"/>
          <w:szCs w:val="21"/>
        </w:rPr>
        <w:t>合同争议解决</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1、因服务成果质量问题发生争议的，应邀请国家认可的质量检测机构对服务成果质量进行鉴定。服务成果符合标准的，鉴定费由甲方承担；服务成果不符合标准的，鉴定费由乙方承担。</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2、因履行本合同引起的或与本合同有关的争议，甲乙双方应首先通过友好协商解决，如果协商不能解决，任何一方均可向甲方所在地有管辖权的人民法院提起诉讼。</w:t>
      </w:r>
    </w:p>
    <w:p>
      <w:pPr>
        <w:snapToGrid w:val="0"/>
        <w:spacing w:line="560" w:lineRule="exact"/>
        <w:ind w:firstLine="422" w:firstLineChars="200"/>
        <w:rPr>
          <w:rFonts w:hint="eastAsia" w:ascii="宋体" w:hAnsi="宋体" w:cs="宋体"/>
          <w:b/>
          <w:bCs/>
          <w:sz w:val="21"/>
          <w:szCs w:val="21"/>
        </w:rPr>
      </w:pPr>
      <w:r>
        <w:rPr>
          <w:rFonts w:hint="eastAsia" w:ascii="宋体" w:hAnsi="宋体" w:cs="宋体"/>
          <w:b/>
          <w:bCs/>
          <w:sz w:val="21"/>
          <w:szCs w:val="21"/>
        </w:rPr>
        <w:t>第十一条  合同生效及其它</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1、本合同经双方法定代表人或授权代表签字并加盖单位公章后生效。</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2、本合同未尽事宜，双方另行协商。</w:t>
      </w:r>
    </w:p>
    <w:p>
      <w:pPr>
        <w:snapToGrid w:val="0"/>
        <w:spacing w:line="560" w:lineRule="exact"/>
        <w:ind w:firstLine="422" w:firstLineChars="200"/>
        <w:rPr>
          <w:rFonts w:hint="eastAsia" w:ascii="宋体" w:hAnsi="宋体" w:cs="宋体"/>
          <w:b/>
          <w:bCs/>
          <w:sz w:val="21"/>
          <w:szCs w:val="21"/>
        </w:rPr>
      </w:pPr>
      <w:r>
        <w:rPr>
          <w:rFonts w:hint="eastAsia" w:ascii="宋体" w:hAnsi="宋体" w:cs="宋体"/>
          <w:b/>
          <w:bCs/>
          <w:sz w:val="21"/>
          <w:szCs w:val="21"/>
        </w:rPr>
        <w:t>第十二条  合同的变更、终止与转让</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1、除《中华人民共和国政府采购法》第五十条规定的情形外，本合同一经签订，甲乙双方不得擅自变更、中止或终止。</w:t>
      </w:r>
    </w:p>
    <w:p>
      <w:pPr>
        <w:snapToGrid w:val="0"/>
        <w:spacing w:line="560" w:lineRule="exact"/>
        <w:ind w:firstLine="420" w:firstLineChars="200"/>
        <w:rPr>
          <w:rFonts w:hint="eastAsia" w:ascii="宋体" w:hAnsi="宋体" w:cs="宋体"/>
          <w:sz w:val="21"/>
          <w:szCs w:val="21"/>
        </w:rPr>
      </w:pPr>
      <w:r>
        <w:rPr>
          <w:rFonts w:hint="eastAsia" w:ascii="宋体" w:hAnsi="宋体" w:cs="宋体"/>
          <w:sz w:val="21"/>
          <w:szCs w:val="21"/>
        </w:rPr>
        <w:t>2、未经甲方书面同意，乙方不得转让其应履行的任何合同义务。</w:t>
      </w:r>
    </w:p>
    <w:p>
      <w:pPr>
        <w:spacing w:line="360" w:lineRule="auto"/>
        <w:rPr>
          <w:rFonts w:hint="eastAsia" w:ascii="宋体" w:hAnsi="宋体" w:cs="宋体"/>
          <w:sz w:val="21"/>
          <w:szCs w:val="21"/>
        </w:rPr>
      </w:pPr>
      <w:r>
        <w:rPr>
          <w:rFonts w:hint="eastAsia" w:ascii="宋体" w:hAnsi="宋体" w:cs="宋体"/>
          <w:b/>
          <w:bCs/>
          <w:sz w:val="21"/>
          <w:szCs w:val="21"/>
        </w:rPr>
        <w:t xml:space="preserve">第十三条 </w:t>
      </w:r>
      <w:r>
        <w:rPr>
          <w:rFonts w:hint="eastAsia" w:ascii="宋体" w:hAnsi="宋体" w:cs="宋体"/>
          <w:sz w:val="21"/>
          <w:szCs w:val="21"/>
        </w:rPr>
        <w:t>本合同一式柒份，具有同等法律效力，甲乙双方各执叁份，招标代理机构壹份；（可根据需要另增加）。</w:t>
      </w:r>
    </w:p>
    <w:p>
      <w:pPr>
        <w:spacing w:line="360" w:lineRule="auto"/>
        <w:rPr>
          <w:rFonts w:hint="eastAsia" w:ascii="宋体" w:hAnsi="宋体" w:cs="宋体"/>
          <w:sz w:val="21"/>
          <w:szCs w:val="21"/>
        </w:rPr>
      </w:pPr>
      <w:r>
        <w:rPr>
          <w:rFonts w:hint="eastAsia" w:ascii="宋体" w:hAnsi="宋体" w:cs="宋体"/>
          <w:sz w:val="21"/>
          <w:szCs w:val="21"/>
        </w:rPr>
        <w:t>本合同自签订之日起 2 个工作日内，甲方应当将采购合同在广西壮族自治区财政厅指定的媒体上公告。</w:t>
      </w:r>
    </w:p>
    <w:p>
      <w:pPr>
        <w:rPr>
          <w:rFonts w:hint="eastAsia" w:ascii="宋体" w:hAnsi="宋体" w:cs="宋体"/>
          <w:sz w:val="24"/>
        </w:rPr>
      </w:pPr>
    </w:p>
    <w:tbl>
      <w:tblPr>
        <w:tblStyle w:val="17"/>
        <w:tblW w:w="8467" w:type="dxa"/>
        <w:tblInd w:w="0" w:type="dxa"/>
        <w:tblLayout w:type="autofit"/>
        <w:tblCellMar>
          <w:top w:w="0" w:type="dxa"/>
          <w:left w:w="108" w:type="dxa"/>
          <w:bottom w:w="0" w:type="dxa"/>
          <w:right w:w="108" w:type="dxa"/>
        </w:tblCellMar>
      </w:tblPr>
      <w:tblGrid>
        <w:gridCol w:w="4322"/>
        <w:gridCol w:w="4145"/>
      </w:tblGrid>
      <w:tr>
        <w:tblPrEx>
          <w:tblCellMar>
            <w:top w:w="0" w:type="dxa"/>
            <w:left w:w="108" w:type="dxa"/>
            <w:bottom w:w="0" w:type="dxa"/>
            <w:right w:w="108" w:type="dxa"/>
          </w:tblCellMar>
        </w:tblPrEx>
        <w:trPr>
          <w:trHeight w:val="5810" w:hRule="atLeast"/>
        </w:trPr>
        <w:tc>
          <w:tcPr>
            <w:tcW w:w="4322" w:type="dxa"/>
            <w:noWrap w:val="0"/>
            <w:vAlign w:val="top"/>
          </w:tcPr>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auto"/>
                <w:szCs w:val="21"/>
                <w:lang w:eastAsia="zh-CN"/>
              </w:rPr>
            </w:pPr>
            <w:r>
              <w:rPr>
                <w:rFonts w:hint="eastAsia"/>
                <w:color w:val="auto"/>
                <w:szCs w:val="21"/>
              </w:rPr>
              <w:t>发包人</w:t>
            </w:r>
            <w:r>
              <w:rPr>
                <w:rFonts w:hint="eastAsia" w:ascii="宋体" w:hAnsi="宋体" w:eastAsia="宋体" w:cs="宋体"/>
                <w:color w:val="auto"/>
                <w:szCs w:val="21"/>
              </w:rPr>
              <w:t>（公章）：</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法定代表人（签字）：</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办公室电话：</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firstLine="420" w:firstLineChars="200"/>
              <w:jc w:val="both"/>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公共邮箱：</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firstLine="420" w:firstLineChars="200"/>
              <w:jc w:val="both"/>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联系人：</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firstLine="420" w:firstLineChars="200"/>
              <w:jc w:val="both"/>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联系人电话：</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firstLine="420" w:firstLineChars="200"/>
              <w:jc w:val="both"/>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纳税识别号：</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left="1470" w:leftChars="200" w:hanging="1050" w:hangingChars="500"/>
              <w:jc w:val="both"/>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单位地址：</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_GB2312" w:eastAsia="仿宋_GB2312"/>
                <w:color w:val="auto"/>
                <w:lang w:eastAsia="zh-CN"/>
              </w:rPr>
            </w:pPr>
          </w:p>
        </w:tc>
        <w:tc>
          <w:tcPr>
            <w:tcW w:w="4145" w:type="dxa"/>
            <w:noWrap w:val="0"/>
            <w:vAlign w:val="top"/>
          </w:tcPr>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left="0" w:leftChars="0" w:firstLine="0" w:firstLineChars="0"/>
              <w:jc w:val="both"/>
              <w:textAlignment w:val="auto"/>
              <w:rPr>
                <w:rFonts w:hint="eastAsia" w:ascii="宋体" w:hAnsi="宋体" w:eastAsia="宋体" w:cs="宋体"/>
                <w:color w:val="auto"/>
                <w:spacing w:val="-11"/>
                <w:sz w:val="21"/>
                <w:szCs w:val="21"/>
                <w:lang w:eastAsia="zh-CN"/>
              </w:rPr>
            </w:pPr>
            <w:r>
              <w:rPr>
                <w:rFonts w:hint="eastAsia"/>
                <w:color w:val="auto"/>
                <w:szCs w:val="21"/>
              </w:rPr>
              <w:t>承</w:t>
            </w:r>
            <w:r>
              <w:rPr>
                <w:rFonts w:hint="eastAsia"/>
                <w:color w:val="auto"/>
                <w:spacing w:val="-11"/>
                <w:sz w:val="21"/>
                <w:szCs w:val="21"/>
              </w:rPr>
              <w:t>包人</w:t>
            </w:r>
            <w:r>
              <w:rPr>
                <w:rFonts w:hint="eastAsia" w:ascii="宋体" w:hAnsi="宋体" w:eastAsia="宋体" w:cs="宋体"/>
                <w:color w:val="auto"/>
                <w:spacing w:val="-11"/>
                <w:sz w:val="21"/>
                <w:szCs w:val="21"/>
              </w:rPr>
              <w:t>（公章）：</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left="0" w:leftChars="0"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法定代表人（签字）：</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left="0" w:leftChars="0" w:firstLine="0" w:firstLineChars="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法定代表人联系电话：</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left="0" w:leftChars="0" w:firstLine="0" w:firstLineChars="0"/>
              <w:jc w:val="both"/>
              <w:textAlignment w:val="auto"/>
              <w:rPr>
                <w:rFonts w:hint="eastAsia" w:ascii="宋体" w:hAnsi="宋体" w:eastAsia="宋体" w:cs="宋体"/>
                <w:color w:val="auto"/>
                <w:szCs w:val="21"/>
                <w:lang w:val="zh-CN"/>
              </w:rPr>
            </w:pPr>
            <w:r>
              <w:rPr>
                <w:rFonts w:hint="eastAsia" w:ascii="宋体" w:hAnsi="宋体" w:eastAsia="宋体" w:cs="宋体"/>
                <w:color w:val="auto"/>
                <w:spacing w:val="0"/>
                <w:sz w:val="21"/>
                <w:szCs w:val="21"/>
                <w:lang w:val="zh-CN"/>
              </w:rPr>
              <w:t>统一社会信用代码或身份证号码：</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left="0" w:leftChars="0" w:firstLine="0" w:firstLineChars="0"/>
              <w:jc w:val="both"/>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单位地址：</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firstLine="0"/>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公共邮</w:t>
            </w:r>
            <w:r>
              <w:rPr>
                <w:rFonts w:hint="eastAsia" w:ascii="宋体" w:hAnsi="宋体" w:eastAsia="宋体" w:cs="宋体"/>
                <w:color w:val="auto"/>
                <w:szCs w:val="21"/>
                <w:lang w:val="en-US" w:eastAsia="zh-CN"/>
              </w:rPr>
              <w:t>箱：</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firstLine="0"/>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项目负责人：</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firstLine="0"/>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联系人电话：</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firstLine="0"/>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户名：</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firstLine="0"/>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开户银行：</w:t>
            </w:r>
          </w:p>
          <w:p>
            <w:pPr>
              <w:pStyle w:val="28"/>
              <w:keepNext w:val="0"/>
              <w:keepLines w:val="0"/>
              <w:pageBreakBefore w:val="0"/>
              <w:widowControl w:val="0"/>
              <w:tabs>
                <w:tab w:val="left" w:pos="764"/>
                <w:tab w:val="left" w:pos="4291"/>
                <w:tab w:val="left" w:pos="5794"/>
              </w:tabs>
              <w:kinsoku/>
              <w:wordWrap/>
              <w:overflowPunct/>
              <w:topLinePunct w:val="0"/>
              <w:autoSpaceDE/>
              <w:autoSpaceDN/>
              <w:bidi w:val="0"/>
              <w:adjustRightInd/>
              <w:snapToGrid/>
              <w:spacing w:line="420" w:lineRule="exact"/>
              <w:ind w:firstLine="0"/>
              <w:jc w:val="both"/>
              <w:textAlignment w:val="auto"/>
              <w:rPr>
                <w:rFonts w:ascii="仿宋_GB2312" w:eastAsia="仿宋_GB2312"/>
                <w:color w:val="auto"/>
                <w:lang w:eastAsia="zh-CN"/>
              </w:rPr>
            </w:pPr>
            <w:r>
              <w:rPr>
                <w:rFonts w:hint="eastAsia" w:ascii="宋体" w:hAnsi="宋体" w:eastAsia="宋体" w:cs="宋体"/>
                <w:color w:val="auto"/>
                <w:szCs w:val="21"/>
                <w:lang w:val="en-US" w:eastAsia="zh-CN"/>
              </w:rPr>
              <w:t>账号：</w:t>
            </w:r>
          </w:p>
        </w:tc>
      </w:tr>
    </w:tbl>
    <w:p>
      <w:pPr>
        <w:rPr>
          <w:rFonts w:hint="eastAsia" w:ascii="宋体" w:hAnsi="宋体" w:cs="宋体"/>
          <w:sz w:val="24"/>
        </w:rPr>
      </w:pPr>
    </w:p>
    <w:p/>
    <w:p>
      <w:pPr>
        <w:snapToGrid w:val="0"/>
        <w:jc w:val="center"/>
        <w:rPr>
          <w:rFonts w:ascii="宋体" w:hAnsi="宋体"/>
          <w:bCs/>
          <w:color w:val="auto"/>
          <w:sz w:val="32"/>
          <w:szCs w:val="32"/>
          <w:highlight w:val="none"/>
        </w:rPr>
      </w:pPr>
    </w:p>
    <w:p>
      <w:pPr>
        <w:snapToGrid w:val="0"/>
        <w:spacing w:line="480" w:lineRule="auto"/>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pStyle w:val="2"/>
        <w:jc w:val="center"/>
        <w:rPr>
          <w:rFonts w:hint="eastAsia"/>
          <w:color w:val="auto"/>
          <w:highlight w:val="none"/>
        </w:rPr>
      </w:pPr>
      <w:bookmarkStart w:id="147" w:name="_Toc25289"/>
      <w:bookmarkStart w:id="148" w:name="_Toc5378"/>
      <w:r>
        <w:rPr>
          <w:rFonts w:hint="eastAsia"/>
          <w:color w:val="auto"/>
          <w:highlight w:val="none"/>
        </w:rPr>
        <w:t>第六章　投标文件格式</w:t>
      </w:r>
      <w:bookmarkEnd w:id="147"/>
      <w:bookmarkEnd w:id="148"/>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rPr>
          <w:rFonts w:hint="eastAsia"/>
          <w:b/>
          <w:color w:val="auto"/>
          <w:sz w:val="28"/>
          <w:szCs w:val="28"/>
          <w:highlight w:val="none"/>
        </w:rPr>
      </w:pPr>
      <w:r>
        <w:rPr>
          <w:color w:val="auto"/>
          <w:sz w:val="32"/>
          <w:szCs w:val="20"/>
          <w:highlight w:val="none"/>
        </w:rPr>
        <w:br w:type="page"/>
      </w:r>
      <w:bookmarkStart w:id="149" w:name="_Toc19686836"/>
      <w:bookmarkStart w:id="150" w:name="_Toc254970557"/>
      <w:bookmarkStart w:id="151" w:name="_Toc254970698"/>
      <w:r>
        <w:rPr>
          <w:rFonts w:hint="eastAsia"/>
          <w:b/>
          <w:color w:val="auto"/>
          <w:sz w:val="28"/>
          <w:szCs w:val="28"/>
          <w:highlight w:val="none"/>
        </w:rPr>
        <w:t>一、报价文件格式</w:t>
      </w:r>
      <w:bookmarkEnd w:id="149"/>
    </w:p>
    <w:p>
      <w:pPr>
        <w:snapToGrid w:val="0"/>
        <w:spacing w:before="120" w:beforeLines="50" w:after="50" w:line="360" w:lineRule="auto"/>
        <w:ind w:left="142"/>
        <w:jc w:val="left"/>
        <w:rPr>
          <w:rFonts w:hint="eastAsia"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20" w:beforeLines="50" w:after="50" w:line="360" w:lineRule="auto"/>
        <w:ind w:left="142"/>
        <w:jc w:val="center"/>
        <w:rPr>
          <w:rFonts w:hint="eastAsia" w:ascii="宋体" w:hAnsi="宋体" w:eastAsia="微软雅黑"/>
          <w:bCs/>
          <w:color w:val="auto"/>
          <w:sz w:val="48"/>
          <w:szCs w:val="48"/>
          <w:highlight w:val="none"/>
        </w:rPr>
      </w:pPr>
      <w:r>
        <w:rPr>
          <w:rFonts w:hint="eastAsia" w:ascii="宋体" w:hAnsi="宋体" w:eastAsia="微软雅黑"/>
          <w:bCs/>
          <w:color w:val="auto"/>
          <w:sz w:val="48"/>
          <w:szCs w:val="48"/>
          <w:highlight w:val="none"/>
        </w:rPr>
        <w:t>电子投标文件</w:t>
      </w:r>
    </w:p>
    <w:p>
      <w:pPr>
        <w:snapToGrid w:val="0"/>
        <w:spacing w:before="120"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line="400" w:lineRule="exact"/>
        <w:jc w:val="center"/>
        <w:rPr>
          <w:rFonts w:hint="eastAsia" w:ascii="宋体" w:hAnsi="宋体"/>
          <w:bCs/>
          <w:color w:val="auto"/>
          <w:sz w:val="24"/>
          <w:szCs w:val="20"/>
          <w:highlight w:val="none"/>
        </w:rPr>
      </w:pPr>
    </w:p>
    <w:p>
      <w:pPr>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w:t>
      </w: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pStyle w:val="6"/>
        <w:snapToGrid w:val="0"/>
        <w:spacing w:before="50" w:after="50" w:line="400" w:lineRule="exact"/>
        <w:ind w:firstLine="960" w:firstLineChars="400"/>
        <w:rPr>
          <w:rFonts w:hint="eastAsia" w:ascii="宋体" w:hAnsi="宋体"/>
          <w:bCs/>
          <w:color w:val="auto"/>
          <w:sz w:val="24"/>
          <w:szCs w:val="24"/>
          <w:highlight w:val="none"/>
        </w:rPr>
      </w:pPr>
    </w:p>
    <w:p>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 标 函</w:t>
      </w:r>
    </w:p>
    <w:p>
      <w:pPr>
        <w:snapToGrid w:val="0"/>
        <w:spacing w:before="120" w:beforeLines="50" w:after="50" w:line="320" w:lineRule="exact"/>
        <w:jc w:val="center"/>
        <w:rPr>
          <w:rFonts w:ascii="宋体" w:hAnsi="宋体"/>
          <w:b/>
          <w:color w:val="auto"/>
          <w:sz w:val="24"/>
          <w:szCs w:val="20"/>
          <w:highlight w:val="none"/>
        </w:rPr>
      </w:pPr>
    </w:p>
    <w:p>
      <w:pPr>
        <w:snapToGrid w:val="0"/>
        <w:spacing w:before="120" w:beforeLines="50" w:after="50" w:line="320" w:lineRule="exact"/>
        <w:jc w:val="center"/>
        <w:rPr>
          <w:rFonts w:ascii="宋体" w:hAnsi="宋体"/>
          <w:b/>
          <w:color w:val="auto"/>
          <w:sz w:val="24"/>
          <w:szCs w:val="20"/>
          <w:highlight w:val="none"/>
        </w:rPr>
      </w:pPr>
    </w:p>
    <w:p>
      <w:pPr>
        <w:snapToGrid w:val="0"/>
        <w:spacing w:before="120" w:beforeLines="50" w:after="50" w:line="320" w:lineRule="exact"/>
        <w:jc w:val="center"/>
        <w:rPr>
          <w:rFonts w:hint="eastAsia" w:ascii="宋体" w:hAnsi="宋体"/>
          <w:b/>
          <w:color w:val="auto"/>
          <w:sz w:val="24"/>
          <w:szCs w:val="20"/>
          <w:highlight w:val="none"/>
        </w:rPr>
      </w:pP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）的招标文件，签字代表______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据此函，我方宣布同意如下：</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9.与本项目有关的一切正式往来信函请寄：</w:t>
      </w:r>
    </w:p>
    <w:p>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line="360" w:lineRule="auto"/>
        <w:ind w:firstLine="480" w:firstLineChars="200"/>
        <w:jc w:val="left"/>
        <w:rPr>
          <w:rFonts w:hint="eastAsia" w:ascii="宋体" w:hAnsi="宋体"/>
          <w:color w:val="auto"/>
          <w:sz w:val="24"/>
          <w:highlight w:val="none"/>
        </w:rPr>
      </w:pP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pPr>
        <w:pStyle w:val="11"/>
        <w:snapToGrid w:val="0"/>
        <w:spacing w:before="295" w:after="295" w:line="360" w:lineRule="auto"/>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pPr>
        <w:pStyle w:val="11"/>
        <w:snapToGrid w:val="0"/>
        <w:spacing w:before="295" w:after="295" w:line="360" w:lineRule="auto"/>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before="120" w:beforeLines="50" w:after="50"/>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开标一览表（服务类格式）</w:t>
      </w:r>
    </w:p>
    <w:p>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hint="eastAsia" w:ascii="宋体" w:hAnsi="宋体"/>
          <w:b/>
          <w:color w:val="auto"/>
          <w:sz w:val="30"/>
          <w:szCs w:val="20"/>
          <w:highlight w:val="none"/>
        </w:rPr>
      </w:pPr>
    </w:p>
    <w:p>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分标：</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line="360" w:lineRule="auto"/>
        <w:ind w:firstLine="6867" w:firstLineChars="2850"/>
        <w:rPr>
          <w:rFonts w:hint="eastAsia" w:ascii="宋体" w:hAnsi="宋体"/>
          <w:b/>
          <w:color w:val="auto"/>
          <w:sz w:val="24"/>
          <w:highlight w:val="none"/>
        </w:rPr>
      </w:pPr>
      <w:r>
        <w:rPr>
          <w:rFonts w:hint="eastAsia" w:ascii="宋体" w:hAnsi="宋体"/>
          <w:b/>
          <w:color w:val="auto"/>
          <w:sz w:val="24"/>
          <w:highlight w:val="none"/>
        </w:rPr>
        <w:t>单位：</w:t>
      </w:r>
      <w:r>
        <w:rPr>
          <w:rFonts w:hint="eastAsia" w:ascii="宋体" w:hAnsi="宋体"/>
          <w:b/>
          <w:color w:val="auto"/>
          <w:sz w:val="24"/>
          <w:highlight w:val="none"/>
          <w:lang w:val="en-US" w:eastAsia="zh-CN"/>
        </w:rPr>
        <w:t>万</w:t>
      </w:r>
      <w:r>
        <w:rPr>
          <w:rFonts w:hint="eastAsia" w:ascii="宋体" w:hAnsi="宋体"/>
          <w:b/>
          <w:color w:val="auto"/>
          <w:sz w:val="24"/>
          <w:highlight w:val="none"/>
        </w:rPr>
        <w:t>元</w:t>
      </w:r>
    </w:p>
    <w:tbl>
      <w:tblPr>
        <w:tblStyle w:val="17"/>
        <w:tblpPr w:leftFromText="180" w:rightFromText="180" w:vertAnchor="text" w:horzAnchor="margin" w:tblpY="10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317"/>
        <w:gridCol w:w="1668"/>
        <w:gridCol w:w="1406"/>
        <w:gridCol w:w="1406"/>
        <w:gridCol w:w="1396"/>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84" w:type="pct"/>
            <w:vAlign w:val="center"/>
          </w:tcPr>
          <w:p>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755" w:type="pct"/>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标的名称</w:t>
            </w:r>
          </w:p>
        </w:tc>
        <w:tc>
          <w:tcPr>
            <w:tcW w:w="956" w:type="pct"/>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报价内容</w:t>
            </w:r>
          </w:p>
        </w:tc>
        <w:tc>
          <w:tcPr>
            <w:tcW w:w="806" w:type="pct"/>
            <w:vAlign w:val="center"/>
          </w:tcPr>
          <w:p>
            <w:pPr>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数量</w:t>
            </w:r>
          </w:p>
        </w:tc>
        <w:tc>
          <w:tcPr>
            <w:tcW w:w="806" w:type="pct"/>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单价（元）</w:t>
            </w:r>
          </w:p>
        </w:tc>
        <w:tc>
          <w:tcPr>
            <w:tcW w:w="800" w:type="pct"/>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总价（元）</w:t>
            </w:r>
          </w:p>
        </w:tc>
        <w:tc>
          <w:tcPr>
            <w:tcW w:w="590" w:type="pct"/>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84" w:type="pct"/>
            <w:vAlign w:val="center"/>
          </w:tcPr>
          <w:p>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755" w:type="pct"/>
            <w:vAlign w:val="center"/>
          </w:tcPr>
          <w:p>
            <w:pPr>
              <w:spacing w:line="400" w:lineRule="exact"/>
              <w:jc w:val="center"/>
              <w:rPr>
                <w:rFonts w:hint="eastAsia" w:ascii="宋体" w:hAnsi="宋体" w:cs="宋体"/>
                <w:color w:val="auto"/>
                <w:szCs w:val="21"/>
                <w:highlight w:val="none"/>
              </w:rPr>
            </w:pPr>
          </w:p>
        </w:tc>
        <w:tc>
          <w:tcPr>
            <w:tcW w:w="956" w:type="pct"/>
            <w:vAlign w:val="center"/>
          </w:tcPr>
          <w:p>
            <w:pPr>
              <w:spacing w:line="400" w:lineRule="exact"/>
              <w:jc w:val="center"/>
              <w:rPr>
                <w:rFonts w:hint="eastAsia" w:ascii="宋体" w:hAnsi="宋体" w:cs="宋体"/>
                <w:color w:val="auto"/>
                <w:kern w:val="0"/>
                <w:szCs w:val="21"/>
                <w:highlight w:val="none"/>
              </w:rPr>
            </w:pPr>
          </w:p>
        </w:tc>
        <w:tc>
          <w:tcPr>
            <w:tcW w:w="806" w:type="pct"/>
            <w:vAlign w:val="center"/>
          </w:tcPr>
          <w:p>
            <w:pPr>
              <w:spacing w:line="400" w:lineRule="exact"/>
              <w:jc w:val="center"/>
              <w:rPr>
                <w:rFonts w:hint="eastAsia" w:ascii="宋体" w:hAnsi="宋体" w:cs="宋体"/>
                <w:color w:val="auto"/>
                <w:kern w:val="0"/>
                <w:szCs w:val="21"/>
                <w:highlight w:val="none"/>
              </w:rPr>
            </w:pPr>
          </w:p>
        </w:tc>
        <w:tc>
          <w:tcPr>
            <w:tcW w:w="806" w:type="pct"/>
            <w:vAlign w:val="center"/>
          </w:tcPr>
          <w:p>
            <w:pPr>
              <w:spacing w:line="400" w:lineRule="exact"/>
              <w:jc w:val="center"/>
              <w:rPr>
                <w:rFonts w:hint="eastAsia" w:ascii="宋体" w:hAnsi="宋体" w:cs="宋体"/>
                <w:color w:val="auto"/>
                <w:kern w:val="0"/>
                <w:szCs w:val="21"/>
                <w:highlight w:val="none"/>
              </w:rPr>
            </w:pPr>
          </w:p>
        </w:tc>
        <w:tc>
          <w:tcPr>
            <w:tcW w:w="800" w:type="pct"/>
            <w:vAlign w:val="center"/>
          </w:tcPr>
          <w:p>
            <w:pPr>
              <w:spacing w:line="400" w:lineRule="exact"/>
              <w:jc w:val="center"/>
              <w:rPr>
                <w:rFonts w:hint="eastAsia" w:ascii="宋体" w:hAnsi="宋体" w:cs="宋体"/>
                <w:color w:val="auto"/>
                <w:kern w:val="0"/>
                <w:szCs w:val="21"/>
                <w:highlight w:val="none"/>
              </w:rPr>
            </w:pPr>
          </w:p>
        </w:tc>
        <w:tc>
          <w:tcPr>
            <w:tcW w:w="590" w:type="pct"/>
            <w:vAlign w:val="center"/>
          </w:tcPr>
          <w:p>
            <w:pPr>
              <w:spacing w:line="400" w:lineRule="exact"/>
              <w:jc w:val="center"/>
              <w:rPr>
                <w:rFonts w:hint="eastAsia" w:ascii="宋体" w:hAnsi="宋体" w:cs="宋体"/>
                <w:color w:val="auto"/>
                <w:kern w:val="0"/>
                <w:szCs w:val="21"/>
                <w:highlight w:val="none"/>
              </w:rPr>
            </w:pPr>
          </w:p>
        </w:tc>
      </w:tr>
    </w:tbl>
    <w:p>
      <w:pPr>
        <w:snapToGrid w:val="0"/>
        <w:spacing w:before="50" w:after="50" w:line="360" w:lineRule="auto"/>
        <w:ind w:firstLine="6867" w:firstLineChars="2850"/>
        <w:rPr>
          <w:rFonts w:hint="eastAsia" w:ascii="宋体" w:hAnsi="宋体"/>
          <w:b/>
          <w:color w:val="auto"/>
          <w:sz w:val="24"/>
          <w:highlight w:val="none"/>
        </w:rPr>
      </w:pP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pPr>
        <w:snapToGrid w:val="0"/>
        <w:spacing w:line="360" w:lineRule="auto"/>
        <w:ind w:firstLine="480" w:firstLineChars="200"/>
        <w:jc w:val="left"/>
        <w:rPr>
          <w:rFonts w:hint="eastAsia" w:ascii="宋体" w:hAnsi="宋体"/>
          <w:b/>
          <w:color w:val="auto"/>
          <w:sz w:val="24"/>
          <w:highlight w:val="none"/>
        </w:rPr>
      </w:pPr>
      <w:r>
        <w:rPr>
          <w:rFonts w:hint="eastAsia" w:ascii="宋体" w:hAnsi="宋体"/>
          <w:color w:val="auto"/>
          <w:sz w:val="24"/>
          <w:highlight w:val="none"/>
        </w:rPr>
        <w:t>1.报价一经涂改，应在涂改处加盖投标人公章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2.招标文件中列明采购专用耗材的，应按招标文件规定的耗材量或者按耗材的常规试用量提供报价。</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3.如为联合体投标，“投标人名称”处必须列明联合体各方名称，并标注联合体牵头人名称，</w:t>
      </w:r>
      <w:r>
        <w:rPr>
          <w:rFonts w:hint="eastAsia" w:ascii="宋体" w:hAnsi="宋体"/>
          <w:b/>
          <w:color w:val="auto"/>
          <w:sz w:val="24"/>
          <w:highlight w:val="none"/>
        </w:rPr>
        <w:t>否则其投标作无效标处理。</w:t>
      </w:r>
    </w:p>
    <w:p>
      <w:pPr>
        <w:snapToGrid w:val="0"/>
        <w:spacing w:line="360" w:lineRule="auto"/>
        <w:ind w:firstLine="456" w:firstLineChars="200"/>
        <w:jc w:val="left"/>
        <w:rPr>
          <w:rFonts w:hint="eastAsia" w:ascii="宋体" w:hAnsi="宋体"/>
          <w:color w:val="auto"/>
          <w:spacing w:val="-6"/>
          <w:sz w:val="24"/>
          <w:highlight w:val="none"/>
        </w:rPr>
      </w:pPr>
      <w:r>
        <w:rPr>
          <w:rFonts w:hint="eastAsia" w:ascii="宋体" w:hAnsi="宋体"/>
          <w:color w:val="auto"/>
          <w:spacing w:val="-6"/>
          <w:sz w:val="24"/>
          <w:highlight w:val="none"/>
        </w:rPr>
        <w:t>4.如为联合体投标，盖章处须加盖联合体牵头人电子签章，</w:t>
      </w:r>
      <w:r>
        <w:rPr>
          <w:rFonts w:hint="eastAsia" w:ascii="宋体" w:hAnsi="宋体"/>
          <w:b/>
          <w:color w:val="auto"/>
          <w:spacing w:val="-6"/>
          <w:sz w:val="24"/>
          <w:highlight w:val="none"/>
        </w:rPr>
        <w:t>否则其投标作无效标处理。</w:t>
      </w:r>
    </w:p>
    <w:p>
      <w:pPr>
        <w:snapToGrid w:val="0"/>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5.如有多分标，按分标分别提供开标一览表，</w:t>
      </w:r>
      <w:r>
        <w:rPr>
          <w:rFonts w:hint="eastAsia" w:ascii="宋体" w:hAnsi="宋体"/>
          <w:b/>
          <w:color w:val="auto"/>
          <w:sz w:val="24"/>
          <w:highlight w:val="none"/>
        </w:rPr>
        <w:t>否则投标无效。</w:t>
      </w:r>
    </w:p>
    <w:p>
      <w:pPr>
        <w:snapToGrid w:val="0"/>
        <w:spacing w:line="360" w:lineRule="auto"/>
        <w:ind w:firstLine="482" w:firstLineChars="200"/>
        <w:rPr>
          <w:rFonts w:hint="eastAsia" w:ascii="宋体" w:hAnsi="宋体"/>
          <w:b/>
          <w:color w:val="auto"/>
          <w:sz w:val="24"/>
          <w:highlight w:val="none"/>
        </w:rPr>
      </w:pPr>
    </w:p>
    <w:p>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ind w:left="-3" w:leftChars="-15" w:right="-817" w:rightChars="-389" w:hanging="28" w:hangingChars="12"/>
        <w:rPr>
          <w:rFonts w:hint="eastAsia" w:ascii="宋体" w:hAnsi="宋体"/>
          <w:color w:val="auto"/>
          <w:szCs w:val="21"/>
          <w:highlight w:val="none"/>
        </w:rPr>
      </w:pPr>
      <w:r>
        <w:rPr>
          <w:rFonts w:hint="eastAsia" w:ascii="宋体" w:hAnsi="宋体"/>
          <w:color w:val="auto"/>
          <w:sz w:val="24"/>
          <w:highlight w:val="none"/>
        </w:rPr>
        <w:t xml:space="preserve">                                  日期：    年   月   日</w:t>
      </w:r>
    </w:p>
    <w:p>
      <w:pPr>
        <w:snapToGrid w:val="0"/>
        <w:spacing w:before="50" w:after="50" w:line="360" w:lineRule="auto"/>
        <w:ind w:left="-6" w:leftChars="-15" w:right="-817" w:rightChars="-389" w:hanging="25" w:hangingChars="12"/>
        <w:rPr>
          <w:rFonts w:hint="eastAsia" w:ascii="宋体" w:hAnsi="宋体"/>
          <w:color w:val="auto"/>
          <w:szCs w:val="21"/>
          <w:highlight w:val="none"/>
        </w:rPr>
      </w:pPr>
    </w:p>
    <w:p>
      <w:pPr>
        <w:rPr>
          <w:rFonts w:hint="eastAsia"/>
          <w:b/>
          <w:color w:val="auto"/>
          <w:sz w:val="28"/>
          <w:szCs w:val="28"/>
          <w:highlight w:val="none"/>
        </w:rPr>
      </w:pPr>
      <w:r>
        <w:rPr>
          <w:rFonts w:ascii="宋体" w:hAnsi="宋体"/>
          <w:b/>
          <w:bCs/>
          <w:color w:val="auto"/>
          <w:sz w:val="24"/>
          <w:highlight w:val="none"/>
        </w:rPr>
        <w:br w:type="page"/>
      </w:r>
      <w:bookmarkStart w:id="152" w:name="_Toc19686837"/>
      <w:r>
        <w:rPr>
          <w:rFonts w:hint="eastAsia"/>
          <w:b/>
          <w:color w:val="auto"/>
          <w:sz w:val="28"/>
          <w:szCs w:val="28"/>
          <w:highlight w:val="none"/>
        </w:rPr>
        <w:t>二、资格证明文件格式</w:t>
      </w:r>
      <w:bookmarkEnd w:id="150"/>
      <w:bookmarkEnd w:id="151"/>
      <w:bookmarkEnd w:id="152"/>
    </w:p>
    <w:p>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1.资格证明文件封面格式： </w:t>
      </w:r>
    </w:p>
    <w:p>
      <w:pPr>
        <w:snapToGrid w:val="0"/>
        <w:spacing w:before="120" w:beforeLines="50" w:after="50"/>
        <w:jc w:val="center"/>
        <w:rPr>
          <w:rFonts w:hint="eastAsia" w:ascii="宋体" w:hAnsi="宋体" w:eastAsia="微软雅黑"/>
          <w:bCs/>
          <w:color w:val="auto"/>
          <w:sz w:val="48"/>
          <w:szCs w:val="48"/>
          <w:highlight w:val="none"/>
        </w:rPr>
      </w:pPr>
      <w:r>
        <w:rPr>
          <w:rFonts w:hint="eastAsia" w:ascii="宋体" w:hAnsi="宋体" w:eastAsia="微软雅黑"/>
          <w:bCs/>
          <w:color w:val="auto"/>
          <w:sz w:val="48"/>
          <w:szCs w:val="48"/>
          <w:highlight w:val="none"/>
        </w:rPr>
        <w:t>电子投标文件</w:t>
      </w:r>
    </w:p>
    <w:p>
      <w:pPr>
        <w:snapToGrid w:val="0"/>
        <w:spacing w:before="120" w:beforeLines="50" w:after="50"/>
        <w:rPr>
          <w:rFonts w:hint="eastAsia" w:ascii="宋体" w:hAnsi="宋体"/>
          <w:color w:val="auto"/>
          <w:sz w:val="24"/>
          <w:szCs w:val="20"/>
          <w:highlight w:val="none"/>
        </w:rPr>
      </w:pPr>
      <w:r>
        <w:rPr>
          <w:rFonts w:hint="eastAsia" w:ascii="宋体" w:hAnsi="宋体"/>
          <w:color w:val="auto"/>
          <w:sz w:val="24"/>
          <w:highlight w:val="none"/>
        </w:rPr>
        <w:t xml:space="preserve">                 </w:t>
      </w:r>
    </w:p>
    <w:p>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pPr>
        <w:pStyle w:val="6"/>
        <w:snapToGrid w:val="0"/>
        <w:spacing w:before="50" w:after="50"/>
        <w:ind w:firstLine="540" w:firstLineChars="225"/>
        <w:rPr>
          <w:rFonts w:hint="eastAsia" w:ascii="宋体" w:hAnsi="宋体"/>
          <w:bCs/>
          <w:color w:val="auto"/>
          <w:sz w:val="24"/>
          <w:szCs w:val="24"/>
          <w:highlight w:val="none"/>
        </w:rPr>
      </w:pPr>
    </w:p>
    <w:p>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6"/>
        <w:snapToGrid w:val="0"/>
        <w:spacing w:before="50" w:after="50"/>
        <w:ind w:firstLine="540" w:firstLineChars="225"/>
        <w:rPr>
          <w:rFonts w:hint="eastAsia" w:ascii="宋体" w:hAnsi="宋体"/>
          <w:bCs/>
          <w:color w:val="auto"/>
          <w:sz w:val="24"/>
          <w:szCs w:val="24"/>
          <w:highlight w:val="none"/>
        </w:rPr>
      </w:pPr>
    </w:p>
    <w:p>
      <w:pPr>
        <w:pStyle w:val="6"/>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line="360" w:lineRule="auto"/>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2.资格证明文件目录</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hint="eastAsia" w:ascii="宋体" w:hAnsi="宋体"/>
          <w:color w:val="auto"/>
          <w:sz w:val="24"/>
          <w:highlight w:val="none"/>
        </w:rPr>
      </w:pPr>
    </w:p>
    <w:p>
      <w:pPr>
        <w:snapToGrid w:val="0"/>
        <w:spacing w:before="50" w:after="120" w:afterLines="50"/>
        <w:jc w:val="left"/>
        <w:rPr>
          <w:rFonts w:hint="eastAsia" w:ascii="宋体" w:hAnsi="宋体"/>
          <w:color w:val="auto"/>
          <w:sz w:val="24"/>
          <w:highlight w:val="none"/>
        </w:rPr>
      </w:pPr>
    </w:p>
    <w:p>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w:t>
      </w:r>
      <w:r>
        <w:rPr>
          <w:rFonts w:hint="eastAsia" w:ascii="宋体" w:hAnsi="宋体"/>
          <w:b/>
          <w:color w:val="auto"/>
          <w:sz w:val="28"/>
          <w:szCs w:val="28"/>
          <w:highlight w:val="none"/>
        </w:rPr>
        <w:t>投标人直接控股股东信息表</w:t>
      </w:r>
    </w:p>
    <w:p>
      <w:pPr>
        <w:snapToGrid w:val="0"/>
        <w:spacing w:before="50" w:after="120" w:afterLines="50"/>
        <w:jc w:val="center"/>
        <w:rPr>
          <w:rFonts w:hint="eastAsia" w:ascii="宋体" w:hAnsi="宋体"/>
          <w:b/>
          <w:color w:val="auto"/>
          <w:sz w:val="28"/>
          <w:szCs w:val="28"/>
          <w:highlight w:val="none"/>
        </w:rPr>
      </w:pPr>
    </w:p>
    <w:p>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1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pPr>
        <w:snapToGrid w:val="0"/>
        <w:jc w:val="center"/>
        <w:rPr>
          <w:rFonts w:hint="eastAsia" w:ascii="宋体" w:hAnsi="宋体"/>
          <w:b/>
          <w:color w:val="auto"/>
          <w:sz w:val="28"/>
          <w:szCs w:val="28"/>
          <w:highlight w:val="none"/>
        </w:rPr>
      </w:pPr>
    </w:p>
    <w:p>
      <w:pPr>
        <w:snapToGrid w:val="0"/>
        <w:spacing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4.</w:t>
      </w:r>
      <w:r>
        <w:rPr>
          <w:color w:val="auto"/>
          <w:highlight w:val="none"/>
        </w:rPr>
        <w:t xml:space="preserve"> </w:t>
      </w:r>
      <w:r>
        <w:rPr>
          <w:rFonts w:hint="eastAsia" w:ascii="宋体" w:hAnsi="宋体"/>
          <w:b/>
          <w:color w:val="auto"/>
          <w:sz w:val="28"/>
          <w:szCs w:val="28"/>
          <w:highlight w:val="none"/>
        </w:rPr>
        <w:t>投标人直接管理关系信息表</w:t>
      </w:r>
    </w:p>
    <w:p>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1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color w:val="auto"/>
          <w:sz w:val="24"/>
          <w:highlight w:val="none"/>
        </w:rPr>
      </w:pPr>
    </w:p>
    <w:p>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pPr>
        <w:snapToGrid w:val="0"/>
        <w:spacing w:before="120" w:beforeLines="50" w:after="50"/>
        <w:jc w:val="left"/>
        <w:rPr>
          <w:rFonts w:hint="eastAsia" w:ascii="宋体" w:hAnsi="宋体"/>
          <w:color w:val="auto"/>
          <w:sz w:val="24"/>
          <w:highlight w:val="none"/>
        </w:rPr>
      </w:pPr>
    </w:p>
    <w:p>
      <w:pPr>
        <w:snapToGrid w:val="0"/>
        <w:spacing w:before="50" w:after="120" w:afterLines="50"/>
        <w:jc w:val="left"/>
        <w:rPr>
          <w:rFonts w:hint="eastAsia" w:ascii="宋体" w:hAnsi="宋体"/>
          <w:color w:val="auto"/>
          <w:szCs w:val="21"/>
          <w:highlight w:val="none"/>
        </w:rPr>
      </w:pPr>
    </w:p>
    <w:p>
      <w:pPr>
        <w:snapToGrid w:val="0"/>
        <w:spacing w:before="120" w:beforeLines="50" w:after="50"/>
        <w:jc w:val="left"/>
        <w:rPr>
          <w:rFonts w:hint="eastAsia" w:ascii="宋体" w:hAnsi="宋体"/>
          <w:b/>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szCs w:val="20"/>
          <w:highlight w:val="none"/>
        </w:rPr>
      </w:pPr>
      <w:r>
        <w:rPr>
          <w:rFonts w:hint="eastAsia" w:ascii="宋体" w:hAnsi="宋体"/>
          <w:b/>
          <w:color w:val="auto"/>
          <w:sz w:val="24"/>
          <w:highlight w:val="none"/>
        </w:rPr>
        <w:t>5.投标声明</w:t>
      </w:r>
    </w:p>
    <w:p>
      <w:pPr>
        <w:snapToGrid w:val="0"/>
        <w:spacing w:before="50" w:after="120" w:afterLines="50"/>
        <w:jc w:val="left"/>
        <w:rPr>
          <w:rFonts w:hint="eastAsia" w:ascii="宋体" w:hAnsi="宋体"/>
          <w:color w:val="auto"/>
          <w:highlight w:val="none"/>
        </w:rPr>
      </w:pPr>
    </w:p>
    <w:p>
      <w:pPr>
        <w:snapToGrid w:val="0"/>
        <w:spacing w:before="50" w:after="120"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投标声明</w:t>
      </w:r>
    </w:p>
    <w:p>
      <w:pPr>
        <w:spacing w:line="400" w:lineRule="exact"/>
        <w:contextualSpacing/>
        <w:jc w:val="left"/>
        <w:rPr>
          <w:rFonts w:hint="eastAsia"/>
          <w:color w:val="auto"/>
          <w:sz w:val="24"/>
          <w:highlight w:val="none"/>
        </w:rPr>
      </w:pPr>
      <w:r>
        <w:rPr>
          <w:rFonts w:hint="eastAsia"/>
          <w:color w:val="auto"/>
          <w:sz w:val="24"/>
          <w:highlight w:val="none"/>
        </w:rPr>
        <w:t>（采购人名称）：</w:t>
      </w:r>
    </w:p>
    <w:p>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napToGrid w:val="0"/>
        <w:spacing w:before="50" w:after="50"/>
        <w:ind w:firstLine="1063" w:firstLineChars="441"/>
        <w:rPr>
          <w:rFonts w:ascii="宋体" w:hAnsi="宋体"/>
          <w:color w:val="auto"/>
          <w:spacing w:val="20"/>
          <w:sz w:val="24"/>
          <w:highlight w:val="none"/>
          <w:u w:val="single"/>
        </w:rPr>
      </w:pPr>
      <w:r>
        <w:rPr>
          <w:rFonts w:hint="eastAsia" w:ascii="宋体" w:hAnsi="宋体"/>
          <w:b/>
          <w:color w:val="auto"/>
          <w:sz w:val="24"/>
          <w:highlight w:val="none"/>
        </w:rPr>
        <w:t xml:space="preserve"> </w:t>
      </w: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pPr>
        <w:spacing w:line="400" w:lineRule="exact"/>
        <w:contextualSpacing/>
        <w:jc w:val="left"/>
        <w:rPr>
          <w:rFonts w:hint="eastAsia" w:ascii="宋体" w:hAnsi="宋体"/>
          <w:color w:val="auto"/>
          <w:sz w:val="24"/>
          <w:highlight w:val="none"/>
        </w:rPr>
      </w:pP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pPr>
        <w:spacing w:line="440" w:lineRule="exact"/>
        <w:contextualSpacing/>
        <w:rPr>
          <w:rFonts w:hint="eastAsia" w:ascii="宋体" w:hAnsi="宋体"/>
          <w:b/>
          <w:color w:val="auto"/>
          <w:sz w:val="24"/>
          <w:highlight w:val="none"/>
        </w:rPr>
      </w:pPr>
      <w:r>
        <w:rPr>
          <w:rFonts w:hint="eastAsia" w:ascii="宋体" w:hAnsi="宋体"/>
          <w:b/>
          <w:color w:val="auto"/>
          <w:sz w:val="24"/>
          <w:highlight w:val="none"/>
        </w:rPr>
        <w:t>注：如为联合体投标，盖章处须加盖联合体牵头人电子签章并由联合体牵头人法定代表人分别签字或者盖章或者电子签名，否则投标无效。</w:t>
      </w:r>
    </w:p>
    <w:p>
      <w:pPr>
        <w:spacing w:line="400" w:lineRule="exact"/>
        <w:contextualSpacing/>
        <w:jc w:val="left"/>
        <w:rPr>
          <w:rFonts w:hint="eastAsia" w:ascii="宋体" w:hAnsi="宋体"/>
          <w:color w:val="auto"/>
          <w:sz w:val="24"/>
          <w:highlight w:val="none"/>
        </w:rPr>
      </w:pPr>
    </w:p>
    <w:p>
      <w:pPr>
        <w:spacing w:line="400" w:lineRule="exact"/>
        <w:contextualSpacing/>
        <w:jc w:val="left"/>
        <w:rPr>
          <w:rFonts w:hint="eastAsia" w:ascii="宋体" w:hAnsi="宋体"/>
          <w:color w:val="auto"/>
          <w:sz w:val="24"/>
          <w:highlight w:val="none"/>
        </w:rPr>
      </w:pPr>
    </w:p>
    <w:p>
      <w:pPr>
        <w:spacing w:line="400" w:lineRule="exact"/>
        <w:contextualSpacing/>
        <w:jc w:val="left"/>
        <w:rPr>
          <w:rFonts w:hint="eastAsia" w:ascii="宋体" w:hAnsi="宋体"/>
          <w:color w:val="auto"/>
          <w:sz w:val="24"/>
          <w:highlight w:val="none"/>
        </w:rPr>
      </w:pPr>
    </w:p>
    <w:p>
      <w:pPr>
        <w:rPr>
          <w:rFonts w:hint="eastAsia"/>
          <w:b/>
          <w:color w:val="auto"/>
          <w:sz w:val="28"/>
          <w:szCs w:val="28"/>
          <w:highlight w:val="none"/>
        </w:rPr>
      </w:pPr>
      <w:bookmarkStart w:id="153" w:name="_Toc19686838"/>
      <w:r>
        <w:rPr>
          <w:rFonts w:hint="eastAsia"/>
          <w:b/>
          <w:color w:val="auto"/>
          <w:sz w:val="28"/>
          <w:szCs w:val="28"/>
          <w:highlight w:val="none"/>
        </w:rPr>
        <w:t>三、商务及技术文件格式</w:t>
      </w:r>
      <w:bookmarkEnd w:id="153"/>
    </w:p>
    <w:p>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1.商务及技术文件封面格式： </w:t>
      </w:r>
    </w:p>
    <w:p>
      <w:pPr>
        <w:snapToGrid w:val="0"/>
        <w:spacing w:before="120" w:beforeLines="50" w:after="50"/>
        <w:jc w:val="center"/>
        <w:rPr>
          <w:rFonts w:hint="eastAsia" w:ascii="宋体" w:hAnsi="宋体"/>
          <w:color w:val="auto"/>
          <w:sz w:val="24"/>
          <w:highlight w:val="none"/>
        </w:rPr>
      </w:pPr>
      <w:r>
        <w:rPr>
          <w:rFonts w:hint="eastAsia" w:ascii="宋体" w:hAnsi="宋体" w:eastAsia="微软雅黑"/>
          <w:bCs/>
          <w:color w:val="auto"/>
          <w:sz w:val="48"/>
          <w:szCs w:val="48"/>
          <w:highlight w:val="none"/>
        </w:rPr>
        <w:t>电子投标文件</w:t>
      </w:r>
    </w:p>
    <w:p>
      <w:pPr>
        <w:snapToGrid w:val="0"/>
        <w:spacing w:before="120" w:beforeLines="50" w:after="50"/>
        <w:rPr>
          <w:rFonts w:hint="eastAsia" w:ascii="宋体" w:hAnsi="宋体"/>
          <w:color w:val="auto"/>
          <w:sz w:val="24"/>
          <w:szCs w:val="20"/>
          <w:highlight w:val="none"/>
        </w:rPr>
      </w:pPr>
      <w:r>
        <w:rPr>
          <w:rFonts w:hint="eastAsia" w:ascii="宋体" w:hAnsi="宋体"/>
          <w:color w:val="auto"/>
          <w:sz w:val="24"/>
          <w:highlight w:val="none"/>
        </w:rPr>
        <w:t xml:space="preserve">                </w:t>
      </w:r>
    </w:p>
    <w:p>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商务及技术文件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ind w:firstLine="540" w:firstLineChars="225"/>
        <w:rPr>
          <w:rFonts w:hint="eastAsia" w:ascii="宋体" w:hAnsi="宋体"/>
          <w:bCs/>
          <w:color w:val="auto"/>
          <w:sz w:val="24"/>
          <w:szCs w:val="20"/>
          <w:highlight w:val="none"/>
        </w:rPr>
      </w:pPr>
    </w:p>
    <w:p>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6"/>
        <w:snapToGrid w:val="0"/>
        <w:spacing w:before="50" w:after="50"/>
        <w:ind w:firstLine="540" w:firstLineChars="225"/>
        <w:rPr>
          <w:rFonts w:hint="eastAsia" w:ascii="宋体" w:hAnsi="宋体"/>
          <w:bCs/>
          <w:color w:val="auto"/>
          <w:sz w:val="24"/>
          <w:szCs w:val="24"/>
          <w:highlight w:val="none"/>
        </w:rPr>
      </w:pPr>
    </w:p>
    <w:p>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pPr>
        <w:pStyle w:val="6"/>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hint="eastAsia"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8"/>
          <w:szCs w:val="28"/>
          <w:highlight w:val="none"/>
        </w:rPr>
        <w:t>2.商务及技术文件目录</w:t>
      </w:r>
    </w:p>
    <w:p>
      <w:pPr>
        <w:snapToGrid w:val="0"/>
        <w:spacing w:before="50" w:after="120" w:afterLines="50" w:line="360" w:lineRule="auto"/>
        <w:jc w:val="left"/>
        <w:rPr>
          <w:rFonts w:ascii="微软雅黑" w:hAnsi="微软雅黑" w:eastAsia="微软雅黑"/>
          <w:b/>
          <w:bCs/>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hint="eastAsia" w:ascii="宋体" w:hAnsi="宋体"/>
          <w:color w:val="auto"/>
          <w:highlight w:val="none"/>
        </w:rPr>
      </w:pPr>
    </w:p>
    <w:p>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hint="eastAsia" w:ascii="宋体" w:hAnsi="宋体"/>
          <w:b/>
          <w:color w:val="auto"/>
          <w:sz w:val="24"/>
          <w:highlight w:val="none"/>
        </w:rPr>
      </w:pPr>
    </w:p>
    <w:p>
      <w:pPr>
        <w:snapToGrid w:val="0"/>
        <w:spacing w:before="120" w:beforeLines="50" w:after="50"/>
        <w:ind w:left="420"/>
        <w:jc w:val="center"/>
        <w:rPr>
          <w:rFonts w:hint="eastAsia" w:ascii="宋体" w:hAnsi="宋体"/>
          <w:b/>
          <w:color w:val="auto"/>
          <w:spacing w:val="-17"/>
          <w:sz w:val="32"/>
          <w:szCs w:val="32"/>
          <w:highlight w:val="none"/>
        </w:rPr>
      </w:pPr>
      <w:r>
        <w:rPr>
          <w:rFonts w:hint="eastAsia" w:ascii="微软雅黑" w:hAnsi="微软雅黑" w:eastAsia="微软雅黑" w:cs="微软雅黑"/>
          <w:bCs/>
          <w:color w:val="auto"/>
          <w:spacing w:val="-17"/>
          <w:sz w:val="44"/>
          <w:szCs w:val="44"/>
          <w:highlight w:val="none"/>
        </w:rPr>
        <w:t>投标人参加本项目无围标串标行为的承诺函</w:t>
      </w:r>
    </w:p>
    <w:p>
      <w:pPr>
        <w:snapToGrid w:val="0"/>
        <w:spacing w:before="120" w:beforeLines="50" w:after="50"/>
        <w:rPr>
          <w:rFonts w:ascii="宋体" w:hAnsi="宋体"/>
          <w:b/>
          <w:color w:val="auto"/>
          <w:sz w:val="24"/>
          <w:highlight w:val="none"/>
        </w:rPr>
      </w:pPr>
    </w:p>
    <w:p>
      <w:pPr>
        <w:spacing w:line="40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 xml:space="preserve">1.不同投标人的投标文件由同一单位或者个人编制； </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40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40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spacing w:line="400" w:lineRule="exact"/>
        <w:ind w:firstLine="472" w:firstLineChars="196"/>
        <w:contextualSpacing/>
        <w:jc w:val="left"/>
        <w:rPr>
          <w:rFonts w:hint="eastAsia" w:ascii="宋体" w:hAnsi="宋体"/>
          <w:b/>
          <w:color w:val="auto"/>
          <w:sz w:val="24"/>
          <w:highlight w:val="none"/>
        </w:rPr>
      </w:pPr>
    </w:p>
    <w:p>
      <w:pPr>
        <w:pStyle w:val="11"/>
        <w:spacing w:line="440" w:lineRule="exact"/>
        <w:ind w:firstLine="960" w:firstLineChars="400"/>
        <w:rPr>
          <w:rFonts w:hint="eastAsia" w:hAnsi="宋体"/>
          <w:color w:val="auto"/>
          <w:sz w:val="24"/>
          <w:szCs w:val="24"/>
          <w:highlight w:val="none"/>
          <w:lang w:eastAsia="zh-CN"/>
        </w:rPr>
      </w:pPr>
      <w:r>
        <w:rPr>
          <w:rFonts w:hint="eastAsia" w:hAnsi="宋体"/>
          <w:color w:val="auto"/>
          <w:sz w:val="24"/>
          <w:highlight w:val="none"/>
        </w:rPr>
        <w:t>法定代表人或者委托代理人</w:t>
      </w:r>
      <w:r>
        <w:rPr>
          <w:rFonts w:hint="eastAsia" w:hAnsi="宋体"/>
          <w:color w:val="auto"/>
          <w:spacing w:val="20"/>
          <w:sz w:val="24"/>
          <w:highlight w:val="none"/>
        </w:rPr>
        <w:t>（签字或者电子签名）：</w:t>
      </w:r>
      <w:r>
        <w:rPr>
          <w:rFonts w:hint="eastAsia" w:hAnsi="宋体"/>
          <w:color w:val="auto"/>
          <w:spacing w:val="20"/>
          <w:sz w:val="24"/>
          <w:highlight w:val="none"/>
          <w:u w:val="single"/>
        </w:rPr>
        <w:t xml:space="preserve">        </w:t>
      </w:r>
    </w:p>
    <w:p>
      <w:pPr>
        <w:pStyle w:val="11"/>
        <w:spacing w:line="40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pPr>
        <w:pStyle w:val="11"/>
        <w:spacing w:line="40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ind w:firstLine="472" w:firstLineChars="196"/>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4.法定代表人身份证明</w:t>
      </w:r>
    </w:p>
    <w:p>
      <w:pPr>
        <w:spacing w:before="240" w:beforeLines="100" w:after="120" w:afterLines="50"/>
        <w:ind w:left="540"/>
        <w:jc w:val="center"/>
        <w:rPr>
          <w:rFonts w:hint="eastAsia" w:ascii="宋体" w:hAnsi="Courier New"/>
          <w:b/>
          <w:color w:val="auto"/>
          <w:sz w:val="32"/>
          <w:szCs w:val="32"/>
          <w:highlight w:val="none"/>
        </w:rPr>
      </w:pPr>
    </w:p>
    <w:p>
      <w:pPr>
        <w:spacing w:before="240" w:beforeLines="100" w:after="120" w:afterLines="50"/>
        <w:ind w:left="540"/>
        <w:jc w:val="center"/>
        <w:rPr>
          <w:rFonts w:hint="eastAsia" w:ascii="微软雅黑" w:hAnsi="微软雅黑" w:eastAsia="微软雅黑" w:cs="微软雅黑"/>
          <w:bCs/>
          <w:color w:val="auto"/>
          <w:sz w:val="44"/>
          <w:szCs w:val="44"/>
          <w:highlight w:val="none"/>
        </w:rPr>
      </w:pPr>
      <w:r>
        <w:rPr>
          <w:rFonts w:hint="eastAsia" w:ascii="微软雅黑" w:hAnsi="微软雅黑" w:eastAsia="微软雅黑" w:cs="微软雅黑"/>
          <w:bCs/>
          <w:color w:val="auto"/>
          <w:sz w:val="44"/>
          <w:szCs w:val="44"/>
          <w:highlight w:val="none"/>
        </w:rPr>
        <w:t>法定代表人身份证明</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hint="eastAsia" w:ascii="宋体" w:hAnsi="宋体"/>
          <w:color w:val="auto"/>
          <w:sz w:val="24"/>
          <w:highlight w:val="none"/>
        </w:rPr>
      </w:pPr>
    </w:p>
    <w:p>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hint="eastAsia" w:ascii="宋体" w:hAnsi="宋体"/>
          <w:b/>
          <w:color w:val="auto"/>
          <w:sz w:val="44"/>
          <w:szCs w:val="44"/>
          <w:highlight w:val="none"/>
        </w:rPr>
      </w:pPr>
    </w:p>
    <w:p>
      <w:pPr>
        <w:snapToGrid w:val="0"/>
        <w:spacing w:before="120" w:beforeLines="50" w:after="50"/>
        <w:jc w:val="center"/>
        <w:rPr>
          <w:rFonts w:hint="eastAsia" w:ascii="微软雅黑" w:hAnsi="微软雅黑" w:eastAsia="微软雅黑" w:cs="微软雅黑"/>
          <w:bCs/>
          <w:color w:val="auto"/>
          <w:sz w:val="44"/>
          <w:szCs w:val="44"/>
          <w:highlight w:val="none"/>
        </w:rPr>
      </w:pPr>
      <w:r>
        <w:rPr>
          <w:rFonts w:hint="eastAsia" w:ascii="微软雅黑" w:hAnsi="微软雅黑" w:eastAsia="微软雅黑" w:cs="微软雅黑"/>
          <w:bCs/>
          <w:color w:val="auto"/>
          <w:sz w:val="44"/>
          <w:szCs w:val="44"/>
          <w:highlight w:val="none"/>
        </w:rPr>
        <w:t>授权委托书</w:t>
      </w:r>
    </w:p>
    <w:p>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（非联合体投标格式）</w:t>
      </w:r>
    </w:p>
    <w:p>
      <w:pPr>
        <w:snapToGrid w:val="0"/>
        <w:spacing w:before="120" w:beforeLines="50" w:after="50"/>
        <w:jc w:val="center"/>
        <w:rPr>
          <w:rFonts w:hint="eastAsia" w:ascii="宋体" w:hAnsi="宋体"/>
          <w:b/>
          <w:color w:val="auto"/>
          <w:sz w:val="24"/>
          <w:highlight w:val="none"/>
        </w:rPr>
      </w:pPr>
      <w:r>
        <w:rPr>
          <w:rFonts w:hint="eastAsia" w:ascii="宋体" w:hAnsi="宋体"/>
          <w:b/>
          <w:color w:val="auto"/>
          <w:sz w:val="32"/>
          <w:szCs w:val="32"/>
          <w:highlight w:val="none"/>
        </w:rPr>
        <w:t>（如有委托时）</w:t>
      </w:r>
    </w:p>
    <w:p>
      <w:pPr>
        <w:snapToGrid w:val="0"/>
        <w:spacing w:before="120" w:beforeLines="50" w:after="50"/>
        <w:jc w:val="center"/>
        <w:rPr>
          <w:rFonts w:hint="eastAsia" w:ascii="宋体" w:hAnsi="宋体"/>
          <w:b/>
          <w:color w:val="auto"/>
          <w:sz w:val="24"/>
          <w:highlight w:val="none"/>
        </w:rPr>
      </w:pPr>
    </w:p>
    <w:p>
      <w:pPr>
        <w:spacing w:line="360" w:lineRule="auto"/>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360" w:lineRule="auto"/>
        <w:contextualSpacing/>
        <w:rPr>
          <w:rFonts w:hint="eastAsia" w:ascii="宋体" w:hAnsi="宋体"/>
          <w:color w:val="auto"/>
          <w:sz w:val="24"/>
          <w:highlight w:val="none"/>
        </w:rPr>
      </w:pPr>
    </w:p>
    <w:p>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投标人名称（电子签章）：</w:t>
      </w:r>
    </w:p>
    <w:p>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54" w:name="_Hlk65851555"/>
      <w:bookmarkStart w:id="155"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54"/>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55"/>
    </w:p>
    <w:p>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napToGrid w:val="0"/>
        <w:spacing w:before="120" w:beforeLines="50" w:after="50"/>
        <w:ind w:firstLine="566" w:firstLineChars="236"/>
        <w:jc w:val="center"/>
        <w:rPr>
          <w:rFonts w:hint="eastAsia" w:ascii="微软雅黑" w:hAnsi="微软雅黑" w:eastAsia="微软雅黑" w:cs="微软雅黑"/>
          <w:color w:val="auto"/>
          <w:sz w:val="44"/>
          <w:szCs w:val="44"/>
          <w:highlight w:val="none"/>
        </w:rPr>
      </w:pPr>
      <w:r>
        <w:rPr>
          <w:rFonts w:ascii="宋体" w:hAnsi="宋体"/>
          <w:color w:val="auto"/>
          <w:sz w:val="24"/>
          <w:highlight w:val="none"/>
        </w:rPr>
        <w:br w:type="page"/>
      </w:r>
      <w:r>
        <w:rPr>
          <w:rFonts w:hint="eastAsia" w:ascii="微软雅黑" w:hAnsi="微软雅黑" w:eastAsia="微软雅黑" w:cs="微软雅黑"/>
          <w:color w:val="auto"/>
          <w:sz w:val="44"/>
          <w:szCs w:val="44"/>
          <w:highlight w:val="none"/>
        </w:rPr>
        <w:t>授权委托书</w:t>
      </w:r>
    </w:p>
    <w:p>
      <w:pPr>
        <w:snapToGrid w:val="0"/>
        <w:spacing w:before="120" w:beforeLines="50" w:after="50"/>
        <w:ind w:firstLine="758" w:firstLineChars="236"/>
        <w:jc w:val="center"/>
        <w:rPr>
          <w:rFonts w:hint="eastAsia" w:ascii="宋体" w:hAnsi="宋体"/>
          <w:b/>
          <w:bCs/>
          <w:color w:val="auto"/>
          <w:sz w:val="32"/>
          <w:szCs w:val="32"/>
          <w:highlight w:val="none"/>
        </w:rPr>
      </w:pPr>
      <w:r>
        <w:rPr>
          <w:rFonts w:hint="eastAsia" w:ascii="宋体" w:hAnsi="宋体"/>
          <w:b/>
          <w:bCs/>
          <w:color w:val="auto"/>
          <w:sz w:val="32"/>
          <w:szCs w:val="32"/>
          <w:highlight w:val="none"/>
        </w:rPr>
        <w:t>（联合体投标格式）</w:t>
      </w:r>
    </w:p>
    <w:p>
      <w:pPr>
        <w:snapToGrid w:val="0"/>
        <w:spacing w:before="120" w:beforeLines="50" w:after="50"/>
        <w:ind w:firstLine="758" w:firstLineChars="236"/>
        <w:jc w:val="center"/>
        <w:rPr>
          <w:rFonts w:ascii="宋体" w:hAnsi="宋体"/>
          <w:color w:val="auto"/>
          <w:sz w:val="24"/>
          <w:highlight w:val="none"/>
        </w:rPr>
      </w:pPr>
      <w:r>
        <w:rPr>
          <w:rFonts w:hint="eastAsia" w:ascii="宋体" w:hAnsi="宋体"/>
          <w:b/>
          <w:bCs/>
          <w:color w:val="auto"/>
          <w:sz w:val="32"/>
          <w:szCs w:val="32"/>
          <w:highlight w:val="none"/>
        </w:rPr>
        <w:t>（如有委托时）</w:t>
      </w:r>
    </w:p>
    <w:p>
      <w:pPr>
        <w:spacing w:line="360" w:lineRule="auto"/>
        <w:contextualSpacing/>
        <w:jc w:val="left"/>
        <w:rPr>
          <w:rFonts w:hint="eastAsia"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ind w:firstLine="566" w:firstLineChars="236"/>
        <w:contextualSpacing/>
        <w:rPr>
          <w:rFonts w:hint="eastAsia" w:ascii="宋体" w:hAnsi="宋体"/>
          <w:color w:val="auto"/>
          <w:sz w:val="24"/>
          <w:highlight w:val="none"/>
        </w:rPr>
      </w:pPr>
      <w:bookmarkStart w:id="156" w:name="_Hlk65852658"/>
      <w:r>
        <w:rPr>
          <w:rFonts w:hint="eastAsia" w:ascii="宋体" w:hAnsi="宋体"/>
          <w:color w:val="auto"/>
          <w:sz w:val="24"/>
          <w:highlight w:val="none"/>
        </w:rPr>
        <w:t>我方对委托代理人的签字或者电子签名事项负全部责任。</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pPr>
        <w:spacing w:line="440" w:lineRule="exact"/>
        <w:ind w:firstLine="566" w:firstLineChars="236"/>
        <w:contextualSpacing/>
        <w:rPr>
          <w:rFonts w:hint="eastAsia" w:ascii="宋体" w:hAnsi="宋体"/>
          <w:color w:val="auto"/>
          <w:sz w:val="24"/>
          <w:highlight w:val="none"/>
        </w:rPr>
      </w:pP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牵头人法定代表人（签字或者盖章或者电子签名）：</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牵头人（电子签章）：</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日期：    年   月   日</w:t>
      </w:r>
    </w:p>
    <w:p>
      <w:pPr>
        <w:spacing w:line="440" w:lineRule="exact"/>
        <w:ind w:firstLine="566" w:firstLineChars="236"/>
        <w:contextualSpacing/>
        <w:rPr>
          <w:rFonts w:hint="eastAsia" w:ascii="宋体" w:hAnsi="宋体"/>
          <w:color w:val="auto"/>
          <w:sz w:val="24"/>
          <w:highlight w:val="none"/>
        </w:rPr>
      </w:pP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被授权人（签字或者电子签名）：</w:t>
      </w:r>
    </w:p>
    <w:p>
      <w:pPr>
        <w:spacing w:line="440" w:lineRule="exact"/>
        <w:ind w:firstLine="566" w:firstLineChars="236"/>
        <w:contextualSpacing/>
        <w:rPr>
          <w:rFonts w:hint="eastAsia" w:ascii="宋体" w:hAnsi="宋体" w:cs="仿宋_GB2312"/>
          <w:color w:val="auto"/>
          <w:sz w:val="32"/>
          <w:szCs w:val="32"/>
          <w:highlight w:val="none"/>
        </w:rPr>
      </w:pPr>
      <w:r>
        <w:rPr>
          <w:rFonts w:hint="eastAsia" w:ascii="宋体" w:hAnsi="宋体"/>
          <w:color w:val="auto"/>
          <w:sz w:val="24"/>
          <w:highlight w:val="none"/>
        </w:rPr>
        <w:t>日期：    年   月   日</w:t>
      </w:r>
    </w:p>
    <w:p>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pacing w:line="440" w:lineRule="exact"/>
        <w:contextualSpacing/>
        <w:rPr>
          <w:rFonts w:hint="eastAsia" w:ascii="宋体" w:hAnsi="宋体"/>
          <w:color w:val="auto"/>
          <w:sz w:val="24"/>
          <w:highlight w:val="none"/>
        </w:rPr>
      </w:pPr>
    </w:p>
    <w:bookmarkEnd w:id="156"/>
    <w:p>
      <w:pPr>
        <w:snapToGrid w:val="0"/>
        <w:spacing w:before="50" w:after="120" w:afterLines="50"/>
        <w:ind w:firstLine="480" w:firstLineChars="200"/>
        <w:jc w:val="left"/>
        <w:rPr>
          <w:rFonts w:hint="eastAsia" w:ascii="宋体" w:hAnsi="宋体"/>
          <w:color w:val="auto"/>
          <w:sz w:val="24"/>
          <w:highlight w:val="none"/>
        </w:rPr>
        <w:sectPr>
          <w:footerReference r:id="rId12" w:type="first"/>
          <w:headerReference r:id="rId9" w:type="default"/>
          <w:footerReference r:id="rId10" w:type="default"/>
          <w:footerReference r:id="rId11" w:type="even"/>
          <w:pgSz w:w="11906" w:h="16838"/>
          <w:pgMar w:top="1701" w:right="1701" w:bottom="1701" w:left="1701" w:header="851" w:footer="992" w:gutter="0"/>
          <w:pgNumType w:fmt="decimal"/>
          <w:cols w:space="720" w:num="1"/>
          <w:titlePg/>
          <w:docGrid w:linePitch="312" w:charSpace="0"/>
        </w:sectPr>
      </w:pPr>
    </w:p>
    <w:p>
      <w:pPr>
        <w:rPr>
          <w:rFonts w:hint="eastAsia" w:ascii="宋体" w:hAnsi="宋体"/>
          <w:color w:val="auto"/>
          <w:sz w:val="24"/>
          <w:highlight w:val="none"/>
        </w:rPr>
      </w:pPr>
    </w:p>
    <w:p>
      <w:pPr>
        <w:rPr>
          <w:rFonts w:hint="eastAsia"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pPr>
        <w:snapToGrid w:val="0"/>
        <w:spacing w:before="50"/>
        <w:jc w:val="left"/>
        <w:rPr>
          <w:rFonts w:hint="eastAsia" w:ascii="宋体" w:hAnsi="宋体"/>
          <w:color w:val="auto"/>
          <w:sz w:val="24"/>
          <w:highlight w:val="none"/>
        </w:rPr>
      </w:pPr>
    </w:p>
    <w:p>
      <w:pPr>
        <w:pStyle w:val="11"/>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pPr>
        <w:snapToGrid w:val="0"/>
        <w:spacing w:before="50"/>
        <w:jc w:val="left"/>
        <w:rPr>
          <w:rFonts w:hint="eastAsia" w:ascii="宋体" w:hAnsi="宋体"/>
          <w:color w:val="auto"/>
          <w:sz w:val="24"/>
          <w:highlight w:val="none"/>
          <w:u w:val="single"/>
        </w:rPr>
      </w:pPr>
    </w:p>
    <w:tbl>
      <w:tblPr>
        <w:tblStyle w:val="1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9"/>
        <w:gridCol w:w="3127"/>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1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127"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4"/>
                <w:highlight w:val="none"/>
              </w:rPr>
            </w:pPr>
            <w:r>
              <w:rPr>
                <w:rFonts w:hint="eastAsia" w:ascii="宋体" w:hAnsi="宋体"/>
                <w:color w:val="auto"/>
                <w:sz w:val="24"/>
                <w:highlight w:val="none"/>
              </w:rPr>
              <w:t>提交成果时间(服务时间)</w:t>
            </w:r>
          </w:p>
        </w:tc>
        <w:tc>
          <w:tcPr>
            <w:tcW w:w="312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19"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127"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17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2035"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r>
    </w:tbl>
    <w:p>
      <w:pPr>
        <w:pStyle w:val="8"/>
        <w:rPr>
          <w:rFonts w:hint="eastAsia" w:ascii="宋体" w:hAnsi="宋体"/>
          <w:color w:val="auto"/>
          <w:highlight w:val="none"/>
        </w:rPr>
      </w:pPr>
    </w:p>
    <w:p>
      <w:pPr>
        <w:pStyle w:val="8"/>
        <w:rPr>
          <w:rFonts w:hint="eastAsia" w:ascii="宋体" w:hAnsi="宋体"/>
          <w:color w:val="auto"/>
          <w:highlight w:val="none"/>
        </w:rPr>
      </w:pPr>
      <w:r>
        <w:rPr>
          <w:rFonts w:hint="eastAsia" w:ascii="宋体" w:hAnsi="宋体"/>
          <w:color w:val="auto"/>
          <w:highlight w:val="none"/>
        </w:rPr>
        <w:t>注：</w:t>
      </w:r>
    </w:p>
    <w:p>
      <w:pPr>
        <w:pStyle w:val="10"/>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采购需求”中的商务要求逐条作明确的投标响应，并作出偏离说明。</w:t>
      </w:r>
    </w:p>
    <w:p>
      <w:pPr>
        <w:pStyle w:val="8"/>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snapToGrid w:val="0"/>
        <w:spacing w:before="50" w:after="50"/>
        <w:rPr>
          <w:rFonts w:ascii="宋体" w:hAnsi="宋体"/>
          <w:color w:val="auto"/>
          <w:sz w:val="24"/>
          <w:highlight w:val="none"/>
        </w:rPr>
      </w:pPr>
    </w:p>
    <w:p>
      <w:pPr>
        <w:snapToGrid w:val="0"/>
        <w:spacing w:before="50" w:after="50"/>
        <w:rPr>
          <w:rFonts w:ascii="宋体" w:hAnsi="宋体"/>
          <w:color w:val="auto"/>
          <w:sz w:val="24"/>
          <w:highlight w:val="none"/>
        </w:rPr>
      </w:pPr>
    </w:p>
    <w:p>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hint="eastAsia" w:ascii="宋体" w:hAnsi="宋体"/>
          <w:color w:val="auto"/>
          <w:spacing w:val="20"/>
          <w:sz w:val="24"/>
          <w:highlight w:val="none"/>
          <w:u w:val="single"/>
        </w:rPr>
        <w:sectPr>
          <w:footerReference r:id="rId16" w:type="first"/>
          <w:headerReference r:id="rId13" w:type="default"/>
          <w:footerReference r:id="rId14" w:type="default"/>
          <w:footerReference r:id="rId15" w:type="even"/>
          <w:pgSz w:w="11906" w:h="16838"/>
          <w:pgMar w:top="1440" w:right="1797" w:bottom="1440" w:left="1797" w:header="851" w:footer="992" w:gutter="0"/>
          <w:pgNumType w:fmt="decimal"/>
          <w:cols w:space="720" w:num="1"/>
          <w:docGrid w:linePitch="312" w:charSpace="0"/>
        </w:sect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after="50"/>
        <w:jc w:val="left"/>
        <w:rPr>
          <w:rFonts w:hint="eastAsia" w:ascii="宋体" w:hAnsi="宋体"/>
          <w:b/>
          <w:color w:val="auto"/>
          <w:sz w:val="24"/>
          <w:highlight w:val="none"/>
        </w:rPr>
      </w:pPr>
      <w:r>
        <w:rPr>
          <w:rFonts w:hint="eastAsia" w:ascii="宋体" w:hAnsi="宋体" w:eastAsia="宋体" w:cs="Times New Roman"/>
          <w:b/>
          <w:color w:val="auto"/>
          <w:sz w:val="24"/>
          <w:highlight w:val="none"/>
          <w:lang w:val="en-US" w:eastAsia="zh-CN"/>
        </w:rPr>
        <w:t>7</w:t>
      </w:r>
      <w:r>
        <w:rPr>
          <w:rFonts w:hint="eastAsia" w:ascii="宋体" w:hAnsi="宋体" w:eastAsia="宋体" w:cs="Times New Roman"/>
          <w:b/>
          <w:color w:val="auto"/>
          <w:sz w:val="24"/>
          <w:highlight w:val="none"/>
        </w:rPr>
        <w:t>.服务需求偏离表</w:t>
      </w:r>
      <w:r>
        <w:rPr>
          <w:rFonts w:hint="eastAsia" w:ascii="宋体" w:hAnsi="宋体"/>
          <w:b/>
          <w:color w:val="auto"/>
          <w:sz w:val="24"/>
          <w:highlight w:val="none"/>
        </w:rPr>
        <w:t>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服务需求偏离表</w:t>
      </w:r>
    </w:p>
    <w:p>
      <w:pPr>
        <w:pStyle w:val="11"/>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11"/>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vAlign w:val="center"/>
          </w:tcPr>
          <w:p>
            <w:pPr>
              <w:pStyle w:val="11"/>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vAlign w:val="center"/>
          </w:tcPr>
          <w:p>
            <w:pPr>
              <w:pStyle w:val="11"/>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vAlign w:val="center"/>
          </w:tcPr>
          <w:p>
            <w:pPr>
              <w:pStyle w:val="11"/>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vAlign w:val="center"/>
          </w:tcPr>
          <w:p>
            <w:pPr>
              <w:pStyle w:val="11"/>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1"/>
              <w:spacing w:line="600" w:lineRule="exact"/>
              <w:jc w:val="center"/>
              <w:rPr>
                <w:rFonts w:hint="eastAsia" w:hAnsi="宋体" w:cs="Courier New"/>
                <w:color w:val="auto"/>
                <w:kern w:val="2"/>
                <w:sz w:val="24"/>
                <w:szCs w:val="24"/>
                <w:highlight w:val="none"/>
              </w:rPr>
            </w:pPr>
          </w:p>
        </w:tc>
        <w:tc>
          <w:tcPr>
            <w:tcW w:w="2143" w:type="dxa"/>
            <w:vAlign w:val="center"/>
          </w:tcPr>
          <w:p>
            <w:pPr>
              <w:pStyle w:val="11"/>
              <w:spacing w:line="600" w:lineRule="exact"/>
              <w:jc w:val="center"/>
              <w:rPr>
                <w:rFonts w:hint="eastAsia" w:hAnsi="宋体" w:cs="Courier New"/>
                <w:color w:val="auto"/>
                <w:kern w:val="2"/>
                <w:sz w:val="24"/>
                <w:szCs w:val="24"/>
                <w:highlight w:val="none"/>
              </w:rPr>
            </w:pPr>
          </w:p>
        </w:tc>
        <w:tc>
          <w:tcPr>
            <w:tcW w:w="1834" w:type="dxa"/>
            <w:vAlign w:val="center"/>
          </w:tcPr>
          <w:p>
            <w:pPr>
              <w:pStyle w:val="11"/>
              <w:spacing w:line="600" w:lineRule="exact"/>
              <w:jc w:val="center"/>
              <w:rPr>
                <w:rFonts w:hint="eastAsia" w:hAnsi="宋体" w:cs="Courier New"/>
                <w:color w:val="auto"/>
                <w:kern w:val="2"/>
                <w:sz w:val="24"/>
                <w:szCs w:val="24"/>
                <w:highlight w:val="none"/>
              </w:rPr>
            </w:pPr>
          </w:p>
        </w:tc>
        <w:tc>
          <w:tcPr>
            <w:tcW w:w="2181" w:type="dxa"/>
            <w:vAlign w:val="center"/>
          </w:tcPr>
          <w:p>
            <w:pPr>
              <w:pStyle w:val="11"/>
              <w:spacing w:line="600" w:lineRule="exact"/>
              <w:jc w:val="center"/>
              <w:rPr>
                <w:rFonts w:hint="eastAsia" w:hAnsi="宋体" w:cs="Courier New"/>
                <w:color w:val="auto"/>
                <w:kern w:val="2"/>
                <w:sz w:val="24"/>
                <w:szCs w:val="24"/>
                <w:highlight w:val="none"/>
              </w:rPr>
            </w:pPr>
          </w:p>
        </w:tc>
        <w:tc>
          <w:tcPr>
            <w:tcW w:w="1934" w:type="dxa"/>
            <w:vAlign w:val="center"/>
          </w:tcPr>
          <w:p>
            <w:pPr>
              <w:pStyle w:val="11"/>
              <w:spacing w:line="600" w:lineRule="exact"/>
              <w:jc w:val="center"/>
              <w:rPr>
                <w:rFonts w:hint="eastAsia"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1"/>
              <w:spacing w:line="600" w:lineRule="exact"/>
              <w:rPr>
                <w:rFonts w:hint="eastAsia" w:hAnsi="宋体" w:cs="Courier New"/>
                <w:color w:val="auto"/>
                <w:kern w:val="2"/>
                <w:sz w:val="24"/>
                <w:szCs w:val="24"/>
                <w:highlight w:val="none"/>
              </w:rPr>
            </w:pPr>
          </w:p>
        </w:tc>
        <w:tc>
          <w:tcPr>
            <w:tcW w:w="2143" w:type="dxa"/>
          </w:tcPr>
          <w:p>
            <w:pPr>
              <w:pStyle w:val="11"/>
              <w:spacing w:line="600" w:lineRule="exact"/>
              <w:rPr>
                <w:rFonts w:hint="eastAsia" w:hAnsi="宋体" w:cs="Courier New"/>
                <w:color w:val="auto"/>
                <w:kern w:val="2"/>
                <w:sz w:val="24"/>
                <w:szCs w:val="24"/>
                <w:highlight w:val="none"/>
              </w:rPr>
            </w:pPr>
          </w:p>
        </w:tc>
        <w:tc>
          <w:tcPr>
            <w:tcW w:w="1834" w:type="dxa"/>
          </w:tcPr>
          <w:p>
            <w:pPr>
              <w:pStyle w:val="11"/>
              <w:spacing w:line="600" w:lineRule="exact"/>
              <w:rPr>
                <w:rFonts w:hint="eastAsia" w:hAnsi="宋体" w:cs="Courier New"/>
                <w:color w:val="auto"/>
                <w:kern w:val="2"/>
                <w:sz w:val="24"/>
                <w:szCs w:val="24"/>
                <w:highlight w:val="none"/>
              </w:rPr>
            </w:pPr>
          </w:p>
        </w:tc>
        <w:tc>
          <w:tcPr>
            <w:tcW w:w="2181" w:type="dxa"/>
          </w:tcPr>
          <w:p>
            <w:pPr>
              <w:pStyle w:val="11"/>
              <w:spacing w:line="600" w:lineRule="exact"/>
              <w:rPr>
                <w:rFonts w:hint="eastAsia" w:hAnsi="宋体" w:cs="Courier New"/>
                <w:color w:val="auto"/>
                <w:kern w:val="2"/>
                <w:sz w:val="24"/>
                <w:szCs w:val="24"/>
                <w:highlight w:val="none"/>
              </w:rPr>
            </w:pPr>
          </w:p>
        </w:tc>
        <w:tc>
          <w:tcPr>
            <w:tcW w:w="1934" w:type="dxa"/>
          </w:tcPr>
          <w:p>
            <w:pPr>
              <w:pStyle w:val="11"/>
              <w:spacing w:line="600" w:lineRule="exact"/>
              <w:rPr>
                <w:rFonts w:hint="eastAsia"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1"/>
              <w:spacing w:line="600" w:lineRule="exact"/>
              <w:rPr>
                <w:rFonts w:hint="eastAsia" w:hAnsi="宋体" w:cs="Courier New"/>
                <w:color w:val="auto"/>
                <w:kern w:val="2"/>
                <w:sz w:val="24"/>
                <w:szCs w:val="24"/>
                <w:highlight w:val="none"/>
              </w:rPr>
            </w:pPr>
          </w:p>
        </w:tc>
        <w:tc>
          <w:tcPr>
            <w:tcW w:w="2143" w:type="dxa"/>
          </w:tcPr>
          <w:p>
            <w:pPr>
              <w:pStyle w:val="11"/>
              <w:spacing w:line="600" w:lineRule="exact"/>
              <w:rPr>
                <w:rFonts w:hint="eastAsia" w:hAnsi="宋体" w:cs="Courier New"/>
                <w:color w:val="auto"/>
                <w:kern w:val="2"/>
                <w:sz w:val="24"/>
                <w:szCs w:val="24"/>
                <w:highlight w:val="none"/>
              </w:rPr>
            </w:pPr>
          </w:p>
        </w:tc>
        <w:tc>
          <w:tcPr>
            <w:tcW w:w="1834" w:type="dxa"/>
          </w:tcPr>
          <w:p>
            <w:pPr>
              <w:pStyle w:val="11"/>
              <w:spacing w:line="600" w:lineRule="exact"/>
              <w:rPr>
                <w:rFonts w:hint="eastAsia" w:hAnsi="宋体" w:cs="Courier New"/>
                <w:color w:val="auto"/>
                <w:kern w:val="2"/>
                <w:sz w:val="24"/>
                <w:szCs w:val="24"/>
                <w:highlight w:val="none"/>
              </w:rPr>
            </w:pPr>
          </w:p>
        </w:tc>
        <w:tc>
          <w:tcPr>
            <w:tcW w:w="2181" w:type="dxa"/>
          </w:tcPr>
          <w:p>
            <w:pPr>
              <w:pStyle w:val="11"/>
              <w:spacing w:line="600" w:lineRule="exact"/>
              <w:rPr>
                <w:rFonts w:hint="eastAsia" w:hAnsi="宋体" w:cs="Courier New"/>
                <w:color w:val="auto"/>
                <w:kern w:val="2"/>
                <w:sz w:val="24"/>
                <w:szCs w:val="24"/>
                <w:highlight w:val="none"/>
              </w:rPr>
            </w:pPr>
          </w:p>
        </w:tc>
        <w:tc>
          <w:tcPr>
            <w:tcW w:w="1934" w:type="dxa"/>
          </w:tcPr>
          <w:p>
            <w:pPr>
              <w:pStyle w:val="11"/>
              <w:spacing w:line="600" w:lineRule="exact"/>
              <w:rPr>
                <w:rFonts w:hint="eastAsia"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1"/>
              <w:spacing w:line="600" w:lineRule="exact"/>
              <w:rPr>
                <w:rFonts w:hint="eastAsia" w:hAnsi="宋体" w:cs="Courier New"/>
                <w:color w:val="auto"/>
                <w:kern w:val="2"/>
                <w:sz w:val="24"/>
                <w:szCs w:val="24"/>
                <w:highlight w:val="none"/>
              </w:rPr>
            </w:pPr>
          </w:p>
        </w:tc>
        <w:tc>
          <w:tcPr>
            <w:tcW w:w="2143" w:type="dxa"/>
          </w:tcPr>
          <w:p>
            <w:pPr>
              <w:pStyle w:val="11"/>
              <w:spacing w:line="600" w:lineRule="exact"/>
              <w:rPr>
                <w:rFonts w:hint="eastAsia" w:hAnsi="宋体" w:cs="Courier New"/>
                <w:color w:val="auto"/>
                <w:kern w:val="2"/>
                <w:sz w:val="24"/>
                <w:szCs w:val="24"/>
                <w:highlight w:val="none"/>
              </w:rPr>
            </w:pPr>
          </w:p>
        </w:tc>
        <w:tc>
          <w:tcPr>
            <w:tcW w:w="1834" w:type="dxa"/>
          </w:tcPr>
          <w:p>
            <w:pPr>
              <w:pStyle w:val="11"/>
              <w:spacing w:line="600" w:lineRule="exact"/>
              <w:rPr>
                <w:rFonts w:hint="eastAsia" w:hAnsi="宋体" w:cs="Courier New"/>
                <w:color w:val="auto"/>
                <w:kern w:val="2"/>
                <w:sz w:val="24"/>
                <w:szCs w:val="24"/>
                <w:highlight w:val="none"/>
              </w:rPr>
            </w:pPr>
          </w:p>
        </w:tc>
        <w:tc>
          <w:tcPr>
            <w:tcW w:w="2181" w:type="dxa"/>
          </w:tcPr>
          <w:p>
            <w:pPr>
              <w:pStyle w:val="11"/>
              <w:spacing w:line="600" w:lineRule="exact"/>
              <w:rPr>
                <w:rFonts w:hint="eastAsia" w:hAnsi="宋体" w:cs="Courier New"/>
                <w:color w:val="auto"/>
                <w:kern w:val="2"/>
                <w:sz w:val="24"/>
                <w:szCs w:val="24"/>
                <w:highlight w:val="none"/>
              </w:rPr>
            </w:pPr>
          </w:p>
        </w:tc>
        <w:tc>
          <w:tcPr>
            <w:tcW w:w="1934" w:type="dxa"/>
          </w:tcPr>
          <w:p>
            <w:pPr>
              <w:pStyle w:val="11"/>
              <w:spacing w:line="600" w:lineRule="exact"/>
              <w:rPr>
                <w:rFonts w:hint="eastAsia"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1"/>
              <w:spacing w:line="600" w:lineRule="exact"/>
              <w:rPr>
                <w:rFonts w:hint="eastAsia" w:hAnsi="宋体" w:cs="Courier New"/>
                <w:color w:val="auto"/>
                <w:kern w:val="2"/>
                <w:sz w:val="24"/>
                <w:szCs w:val="24"/>
                <w:highlight w:val="none"/>
              </w:rPr>
            </w:pPr>
          </w:p>
        </w:tc>
        <w:tc>
          <w:tcPr>
            <w:tcW w:w="2143" w:type="dxa"/>
          </w:tcPr>
          <w:p>
            <w:pPr>
              <w:pStyle w:val="11"/>
              <w:spacing w:line="600" w:lineRule="exact"/>
              <w:rPr>
                <w:rFonts w:hint="eastAsia" w:hAnsi="宋体" w:cs="Courier New"/>
                <w:color w:val="auto"/>
                <w:kern w:val="2"/>
                <w:sz w:val="24"/>
                <w:szCs w:val="24"/>
                <w:highlight w:val="none"/>
              </w:rPr>
            </w:pPr>
          </w:p>
        </w:tc>
        <w:tc>
          <w:tcPr>
            <w:tcW w:w="1834" w:type="dxa"/>
          </w:tcPr>
          <w:p>
            <w:pPr>
              <w:pStyle w:val="11"/>
              <w:spacing w:line="600" w:lineRule="exact"/>
              <w:rPr>
                <w:rFonts w:hint="eastAsia" w:hAnsi="宋体" w:cs="Courier New"/>
                <w:color w:val="auto"/>
                <w:kern w:val="2"/>
                <w:sz w:val="24"/>
                <w:szCs w:val="24"/>
                <w:highlight w:val="none"/>
              </w:rPr>
            </w:pPr>
          </w:p>
        </w:tc>
        <w:tc>
          <w:tcPr>
            <w:tcW w:w="2181" w:type="dxa"/>
          </w:tcPr>
          <w:p>
            <w:pPr>
              <w:pStyle w:val="11"/>
              <w:spacing w:line="600" w:lineRule="exact"/>
              <w:rPr>
                <w:rFonts w:hint="eastAsia" w:hAnsi="宋体" w:cs="Courier New"/>
                <w:color w:val="auto"/>
                <w:kern w:val="2"/>
                <w:sz w:val="24"/>
                <w:szCs w:val="24"/>
                <w:highlight w:val="none"/>
              </w:rPr>
            </w:pPr>
          </w:p>
        </w:tc>
        <w:tc>
          <w:tcPr>
            <w:tcW w:w="1934" w:type="dxa"/>
          </w:tcPr>
          <w:p>
            <w:pPr>
              <w:pStyle w:val="11"/>
              <w:spacing w:line="600" w:lineRule="exact"/>
              <w:rPr>
                <w:rFonts w:hint="eastAsia"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1"/>
              <w:spacing w:line="600" w:lineRule="exact"/>
              <w:rPr>
                <w:rFonts w:hint="eastAsia" w:hAnsi="宋体" w:cs="Courier New"/>
                <w:color w:val="auto"/>
                <w:kern w:val="2"/>
                <w:sz w:val="24"/>
                <w:szCs w:val="24"/>
                <w:highlight w:val="none"/>
              </w:rPr>
            </w:pPr>
          </w:p>
        </w:tc>
        <w:tc>
          <w:tcPr>
            <w:tcW w:w="2143" w:type="dxa"/>
          </w:tcPr>
          <w:p>
            <w:pPr>
              <w:pStyle w:val="11"/>
              <w:spacing w:line="600" w:lineRule="exact"/>
              <w:rPr>
                <w:rFonts w:hint="eastAsia" w:hAnsi="宋体" w:cs="Courier New"/>
                <w:color w:val="auto"/>
                <w:kern w:val="2"/>
                <w:sz w:val="24"/>
                <w:szCs w:val="24"/>
                <w:highlight w:val="none"/>
              </w:rPr>
            </w:pPr>
          </w:p>
        </w:tc>
        <w:tc>
          <w:tcPr>
            <w:tcW w:w="1834" w:type="dxa"/>
          </w:tcPr>
          <w:p>
            <w:pPr>
              <w:pStyle w:val="11"/>
              <w:spacing w:line="600" w:lineRule="exact"/>
              <w:rPr>
                <w:rFonts w:hint="eastAsia" w:hAnsi="宋体" w:cs="Courier New"/>
                <w:color w:val="auto"/>
                <w:kern w:val="2"/>
                <w:sz w:val="24"/>
                <w:szCs w:val="24"/>
                <w:highlight w:val="none"/>
              </w:rPr>
            </w:pPr>
          </w:p>
        </w:tc>
        <w:tc>
          <w:tcPr>
            <w:tcW w:w="2181" w:type="dxa"/>
          </w:tcPr>
          <w:p>
            <w:pPr>
              <w:pStyle w:val="11"/>
              <w:spacing w:line="600" w:lineRule="exact"/>
              <w:rPr>
                <w:rFonts w:hint="eastAsia" w:hAnsi="宋体" w:cs="Courier New"/>
                <w:color w:val="auto"/>
                <w:kern w:val="2"/>
                <w:sz w:val="24"/>
                <w:szCs w:val="24"/>
                <w:highlight w:val="none"/>
              </w:rPr>
            </w:pPr>
          </w:p>
        </w:tc>
        <w:tc>
          <w:tcPr>
            <w:tcW w:w="1934" w:type="dxa"/>
          </w:tcPr>
          <w:p>
            <w:pPr>
              <w:pStyle w:val="11"/>
              <w:spacing w:line="600" w:lineRule="exact"/>
              <w:rPr>
                <w:rFonts w:hint="eastAsia"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1"/>
              <w:spacing w:line="600" w:lineRule="exact"/>
              <w:rPr>
                <w:rFonts w:hint="eastAsia" w:hAnsi="宋体" w:cs="Courier New"/>
                <w:color w:val="auto"/>
                <w:kern w:val="2"/>
                <w:sz w:val="24"/>
                <w:szCs w:val="24"/>
                <w:highlight w:val="none"/>
              </w:rPr>
            </w:pPr>
          </w:p>
        </w:tc>
        <w:tc>
          <w:tcPr>
            <w:tcW w:w="2143" w:type="dxa"/>
          </w:tcPr>
          <w:p>
            <w:pPr>
              <w:pStyle w:val="11"/>
              <w:spacing w:line="600" w:lineRule="exact"/>
              <w:rPr>
                <w:rFonts w:hint="eastAsia" w:hAnsi="宋体" w:cs="Courier New"/>
                <w:color w:val="auto"/>
                <w:kern w:val="2"/>
                <w:sz w:val="24"/>
                <w:szCs w:val="24"/>
                <w:highlight w:val="none"/>
              </w:rPr>
            </w:pPr>
          </w:p>
        </w:tc>
        <w:tc>
          <w:tcPr>
            <w:tcW w:w="1834" w:type="dxa"/>
          </w:tcPr>
          <w:p>
            <w:pPr>
              <w:pStyle w:val="11"/>
              <w:spacing w:line="600" w:lineRule="exact"/>
              <w:rPr>
                <w:rFonts w:hint="eastAsia" w:hAnsi="宋体" w:cs="Courier New"/>
                <w:color w:val="auto"/>
                <w:kern w:val="2"/>
                <w:sz w:val="24"/>
                <w:szCs w:val="24"/>
                <w:highlight w:val="none"/>
              </w:rPr>
            </w:pPr>
          </w:p>
        </w:tc>
        <w:tc>
          <w:tcPr>
            <w:tcW w:w="2181" w:type="dxa"/>
          </w:tcPr>
          <w:p>
            <w:pPr>
              <w:pStyle w:val="11"/>
              <w:spacing w:line="600" w:lineRule="exact"/>
              <w:rPr>
                <w:rFonts w:hint="eastAsia" w:hAnsi="宋体" w:cs="Courier New"/>
                <w:color w:val="auto"/>
                <w:kern w:val="2"/>
                <w:sz w:val="24"/>
                <w:szCs w:val="24"/>
                <w:highlight w:val="none"/>
              </w:rPr>
            </w:pPr>
          </w:p>
        </w:tc>
        <w:tc>
          <w:tcPr>
            <w:tcW w:w="1934" w:type="dxa"/>
          </w:tcPr>
          <w:p>
            <w:pPr>
              <w:pStyle w:val="11"/>
              <w:spacing w:line="600" w:lineRule="exact"/>
              <w:rPr>
                <w:rFonts w:hint="eastAsia" w:hAnsi="宋体" w:cs="Courier New"/>
                <w:color w:val="auto"/>
                <w:kern w:val="2"/>
                <w:sz w:val="24"/>
                <w:szCs w:val="24"/>
                <w:highlight w:val="none"/>
              </w:rPr>
            </w:pPr>
          </w:p>
        </w:tc>
      </w:tr>
    </w:tbl>
    <w:p>
      <w:pPr>
        <w:pStyle w:val="11"/>
        <w:rPr>
          <w:rFonts w:hint="eastAsia" w:hAnsi="宋体"/>
          <w:color w:val="auto"/>
          <w:sz w:val="24"/>
          <w:szCs w:val="24"/>
          <w:highlight w:val="none"/>
        </w:rPr>
      </w:pPr>
    </w:p>
    <w:p>
      <w:pPr>
        <w:pStyle w:val="8"/>
        <w:spacing w:line="360" w:lineRule="auto"/>
        <w:rPr>
          <w:rFonts w:ascii="宋体" w:hAnsi="宋体"/>
          <w:color w:val="auto"/>
          <w:highlight w:val="none"/>
        </w:rPr>
      </w:pPr>
      <w:r>
        <w:rPr>
          <w:rFonts w:hint="eastAsia" w:ascii="宋体" w:hAnsi="宋体"/>
          <w:color w:val="auto"/>
          <w:highlight w:val="none"/>
        </w:rPr>
        <w:t>注：</w:t>
      </w:r>
    </w:p>
    <w:p>
      <w:pPr>
        <w:pStyle w:val="10"/>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w:t>
      </w:r>
      <w:r>
        <w:rPr>
          <w:rFonts w:hint="eastAsia" w:ascii="宋体" w:hAnsi="宋体" w:eastAsia="宋体"/>
          <w:color w:val="auto"/>
          <w:sz w:val="24"/>
          <w:szCs w:val="24"/>
          <w:highlight w:val="none"/>
          <w:lang w:val="en-US" w:eastAsia="zh-CN"/>
        </w:rPr>
        <w:t>的内容</w:t>
      </w:r>
      <w:r>
        <w:rPr>
          <w:rFonts w:hint="eastAsia" w:ascii="宋体" w:hAnsi="宋体" w:eastAsia="宋体"/>
          <w:color w:val="auto"/>
          <w:sz w:val="24"/>
          <w:szCs w:val="24"/>
          <w:highlight w:val="none"/>
        </w:rPr>
        <w:t>逐条作明确的投标响应，并作出偏离说明。</w:t>
      </w:r>
    </w:p>
    <w:p>
      <w:pPr>
        <w:pStyle w:val="8"/>
        <w:spacing w:line="360" w:lineRule="auto"/>
        <w:rPr>
          <w:rFonts w:hint="eastAsia" w:ascii="宋体" w:hAnsi="宋体"/>
          <w:color w:val="auto"/>
          <w:highlight w:val="none"/>
        </w:rPr>
      </w:pPr>
      <w:r>
        <w:rPr>
          <w:rFonts w:hint="eastAsia" w:ascii="宋体" w:hAnsi="宋体"/>
          <w:b w:val="0"/>
          <w:bCs w:val="0"/>
          <w:color w:val="auto"/>
          <w:highlight w:val="none"/>
        </w:rPr>
        <w:t>2.投标人应根据自身的承诺，对照招标文件要求，在“偏离说明”中注明“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spacing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pacing w:line="360" w:lineRule="auto"/>
        <w:rPr>
          <w:rFonts w:ascii="宋体" w:hAnsi="宋体"/>
          <w:color w:val="auto"/>
          <w:highlight w:val="none"/>
        </w:rPr>
        <w:sectPr>
          <w:pgSz w:w="11907" w:h="16840"/>
          <w:pgMar w:top="1134" w:right="680" w:bottom="851" w:left="851" w:header="851" w:footer="1559" w:gutter="0"/>
          <w:pgNumType w:fmt="decimal"/>
          <w:cols w:space="720" w:num="1"/>
        </w:sect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line="360" w:lineRule="auto"/>
        <w:ind w:right="480" w:firstLine="281" w:firstLineChars="100"/>
        <w:jc w:val="left"/>
        <w:rPr>
          <w:rFonts w:hint="eastAsia"/>
          <w:b/>
          <w:color w:val="auto"/>
          <w:sz w:val="28"/>
          <w:szCs w:val="28"/>
          <w:highlight w:val="none"/>
        </w:rPr>
      </w:pPr>
      <w:bookmarkStart w:id="157" w:name="_Toc19686840"/>
      <w:r>
        <w:rPr>
          <w:rFonts w:hint="eastAsia"/>
          <w:b/>
          <w:color w:val="auto"/>
          <w:sz w:val="28"/>
          <w:szCs w:val="28"/>
          <w:highlight w:val="none"/>
        </w:rPr>
        <w:t>四、其他文书、文件格式</w:t>
      </w:r>
      <w:bookmarkEnd w:id="157"/>
    </w:p>
    <w:p>
      <w:pPr>
        <w:spacing w:before="120" w:beforeLines="50" w:after="120" w:afterLines="50" w:line="400" w:lineRule="exact"/>
        <w:rPr>
          <w:rFonts w:hint="eastAsia" w:ascii="宋体" w:hAnsi="宋体"/>
          <w:color w:val="auto"/>
          <w:sz w:val="24"/>
          <w:highlight w:val="none"/>
        </w:rPr>
      </w:pPr>
    </w:p>
    <w:p>
      <w:pPr>
        <w:snapToGrid w:val="0"/>
        <w:spacing w:before="120" w:beforeLines="50" w:after="50"/>
        <w:ind w:left="142"/>
        <w:jc w:val="left"/>
        <w:rPr>
          <w:rFonts w:hint="eastAsia" w:ascii="宋体" w:hAnsi="宋体"/>
          <w:b/>
          <w:color w:val="auto"/>
          <w:spacing w:val="20"/>
          <w:sz w:val="24"/>
          <w:highlight w:val="none"/>
        </w:rPr>
      </w:pPr>
      <w:r>
        <w:rPr>
          <w:rFonts w:hint="eastAsia" w:ascii="宋体" w:hAnsi="宋体"/>
          <w:b/>
          <w:color w:val="auto"/>
          <w:spacing w:val="20"/>
          <w:sz w:val="24"/>
          <w:highlight w:val="none"/>
        </w:rPr>
        <w:t>1.联合投标协议书格式</w:t>
      </w:r>
    </w:p>
    <w:p>
      <w:pPr>
        <w:pStyle w:val="6"/>
        <w:overflowPunct w:val="0"/>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联合体协议书</w:t>
      </w:r>
    </w:p>
    <w:p>
      <w:pPr>
        <w:pStyle w:val="6"/>
        <w:overflowPunct w:val="0"/>
        <w:spacing w:line="360" w:lineRule="auto"/>
        <w:ind w:firstLine="0"/>
        <w:contextualSpacing/>
        <w:rPr>
          <w:rFonts w:ascii="宋体" w:hAnsi="宋体"/>
          <w:color w:val="auto"/>
          <w:sz w:val="24"/>
          <w:highlight w:val="none"/>
        </w:rPr>
      </w:pPr>
    </w:p>
    <w:p>
      <w:pPr>
        <w:pStyle w:val="6"/>
        <w:overflowPunct w:val="0"/>
        <w:spacing w:line="360" w:lineRule="auto"/>
        <w:contextualSpacing/>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（项</w:t>
      </w:r>
      <w:r>
        <w:rPr>
          <w:rFonts w:hint="eastAsia" w:ascii="宋体" w:hAnsi="宋体"/>
          <w:color w:val="auto"/>
          <w:sz w:val="24"/>
          <w:highlight w:val="none"/>
        </w:rPr>
        <w:t>目名称）采购招标项目投标。现就联合体投标事宜订立如下协议。</w:t>
      </w:r>
    </w:p>
    <w:p>
      <w:pPr>
        <w:pStyle w:val="6"/>
        <w:overflowPunct w:val="0"/>
        <w:spacing w:line="360" w:lineRule="auto"/>
        <w:contextualSpacing/>
        <w:rPr>
          <w:rFonts w:ascii="宋体" w:hAnsi="宋体"/>
          <w:color w:val="auto"/>
          <w:sz w:val="24"/>
          <w:highlight w:val="none"/>
        </w:rPr>
      </w:pPr>
    </w:p>
    <w:p>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（联合体名称）牵头人。</w:t>
      </w:r>
    </w:p>
    <w:p>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w:t>
      </w:r>
      <w:r>
        <w:rPr>
          <w:rFonts w:ascii="宋体" w:hAnsi="宋体"/>
          <w:color w:val="auto"/>
          <w:sz w:val="24"/>
          <w:highlight w:val="none"/>
        </w:rPr>
        <w:t xml:space="preserve"> </w:t>
      </w:r>
      <w:r>
        <w:rPr>
          <w:rFonts w:hint="eastAsia" w:ascii="宋体" w:hAnsi="宋体"/>
          <w:color w:val="auto"/>
          <w:sz w:val="24"/>
          <w:highlight w:val="none"/>
        </w:rPr>
        <w:t>信息及指示，进行合同谈判活动，负责合同实施阶段的组织和协调工作，以及处理与本招标项</w:t>
      </w:r>
      <w:r>
        <w:rPr>
          <w:rFonts w:ascii="宋体" w:hAnsi="宋体"/>
          <w:color w:val="auto"/>
          <w:sz w:val="24"/>
          <w:highlight w:val="none"/>
        </w:rPr>
        <w:t xml:space="preserve"> </w:t>
      </w:r>
      <w:r>
        <w:rPr>
          <w:rFonts w:hint="eastAsia" w:ascii="宋体" w:hAnsi="宋体"/>
          <w:color w:val="auto"/>
          <w:sz w:val="24"/>
          <w:highlight w:val="none"/>
        </w:rPr>
        <w:t>目有关的一切事宜。</w:t>
      </w:r>
    </w:p>
    <w:p>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w:t>
      </w:r>
      <w:r>
        <w:rPr>
          <w:rFonts w:ascii="宋体" w:hAnsi="宋体"/>
          <w:color w:val="auto"/>
          <w:sz w:val="24"/>
          <w:highlight w:val="none"/>
        </w:rPr>
        <w:t xml:space="preserve"> </w:t>
      </w:r>
      <w:r>
        <w:rPr>
          <w:rFonts w:hint="eastAsia" w:ascii="宋体" w:hAnsi="宋体"/>
          <w:color w:val="auto"/>
          <w:sz w:val="24"/>
          <w:highlight w:val="none"/>
        </w:rPr>
        <w:t>联合体各成员将严格按照招标文件、投标文件和合同的要求全面履行义务，并向招标人承担连带责任。</w:t>
      </w:r>
    </w:p>
    <w:p>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p>
    <w:p>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本协议书自所有成员单位法定代表人或者其委托代理人签字（或者电子签名）或者盖公章之日起生效，合同履行完毕后自动失效。</w:t>
      </w:r>
    </w:p>
    <w:p>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pPr>
        <w:pStyle w:val="6"/>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注：本协议书应附法定代表人身份证明；有委托代理的，应附授权委托书</w:t>
      </w:r>
      <w:r>
        <w:rPr>
          <w:rFonts w:hint="eastAsia" w:ascii="宋体" w:hAnsi="宋体" w:cs="仿宋_GB2312"/>
          <w:color w:val="auto"/>
          <w:sz w:val="24"/>
          <w:highlight w:val="none"/>
        </w:rPr>
        <w:t>（格式自拟）</w:t>
      </w:r>
      <w:r>
        <w:rPr>
          <w:rFonts w:hint="eastAsia" w:ascii="宋体" w:hAnsi="宋体"/>
          <w:color w:val="auto"/>
          <w:sz w:val="24"/>
          <w:highlight w:val="none"/>
        </w:rPr>
        <w:t>。</w:t>
      </w:r>
    </w:p>
    <w:p>
      <w:pPr>
        <w:pStyle w:val="6"/>
        <w:overflowPunct w:val="0"/>
        <w:spacing w:line="360" w:lineRule="auto"/>
        <w:ind w:firstLineChars="175"/>
        <w:contextualSpacing/>
        <w:rPr>
          <w:rFonts w:ascii="宋体" w:hAnsi="宋体"/>
          <w:color w:val="auto"/>
          <w:sz w:val="24"/>
          <w:highlight w:val="none"/>
        </w:rPr>
      </w:pPr>
    </w:p>
    <w:p>
      <w:pPr>
        <w:pStyle w:val="6"/>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联合体牵头人名称（电子签章）：</w:t>
      </w:r>
    </w:p>
    <w:p>
      <w:pPr>
        <w:pStyle w:val="6"/>
        <w:overflowPunct w:val="0"/>
        <w:spacing w:line="360" w:lineRule="auto"/>
        <w:ind w:firstLineChars="175"/>
        <w:contextualSpacing/>
        <w:rPr>
          <w:rFonts w:ascii="宋体" w:hAnsi="宋体"/>
          <w:color w:val="auto"/>
          <w:sz w:val="24"/>
          <w:highlight w:val="none"/>
          <w:u w:val="single"/>
        </w:rPr>
      </w:pPr>
      <w:r>
        <w:rPr>
          <w:rFonts w:hint="eastAsia" w:ascii="宋体" w:hAnsi="宋体"/>
          <w:color w:val="auto"/>
          <w:sz w:val="24"/>
          <w:highlight w:val="none"/>
        </w:rPr>
        <w:t>法定代表人或者其委托代理人：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（签字或者电子签名）</w:t>
      </w:r>
    </w:p>
    <w:p>
      <w:pPr>
        <w:pStyle w:val="6"/>
        <w:overflowPunct w:val="0"/>
        <w:spacing w:line="360" w:lineRule="auto"/>
        <w:ind w:firstLineChars="175"/>
        <w:contextualSpacing/>
        <w:rPr>
          <w:rFonts w:ascii="宋体" w:hAnsi="宋体"/>
          <w:color w:val="auto"/>
          <w:sz w:val="24"/>
          <w:highlight w:val="none"/>
        </w:rPr>
      </w:pPr>
    </w:p>
    <w:p>
      <w:pPr>
        <w:pStyle w:val="6"/>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w:t>
      </w:r>
      <w:r>
        <w:rPr>
          <w:rFonts w:hint="eastAsia" w:ascii="宋体" w:hAnsi="宋体" w:cs="仿宋_GB2312"/>
          <w:color w:val="auto"/>
          <w:sz w:val="24"/>
          <w:highlight w:val="none"/>
        </w:rPr>
        <w:t>盖公章或者电子签章</w:t>
      </w:r>
      <w:r>
        <w:rPr>
          <w:rFonts w:hint="eastAsia" w:ascii="宋体" w:hAnsi="宋体"/>
          <w:color w:val="auto"/>
          <w:sz w:val="24"/>
          <w:highlight w:val="none"/>
        </w:rPr>
        <w:t>）：</w:t>
      </w:r>
    </w:p>
    <w:p>
      <w:pPr>
        <w:pStyle w:val="6"/>
        <w:overflowPunct w:val="0"/>
        <w:spacing w:line="360" w:lineRule="auto"/>
        <w:ind w:firstLineChars="175"/>
        <w:contextualSpacing/>
        <w:rPr>
          <w:rFonts w:ascii="宋体" w:hAnsi="宋体"/>
          <w:color w:val="auto"/>
          <w:sz w:val="24"/>
          <w:highlight w:val="none"/>
          <w:u w:val="single"/>
        </w:rPr>
      </w:pPr>
      <w:r>
        <w:rPr>
          <w:rFonts w:hint="eastAsia" w:ascii="宋体" w:hAnsi="宋体"/>
          <w:color w:val="auto"/>
          <w:sz w:val="24"/>
          <w:highlight w:val="none"/>
        </w:rPr>
        <w:t>法定代表人或者其委托代理人：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（签字或者电子签名）</w:t>
      </w:r>
    </w:p>
    <w:p>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pPr>
        <w:pStyle w:val="6"/>
        <w:overflowPunct w:val="0"/>
        <w:spacing w:line="360" w:lineRule="auto"/>
        <w:ind w:firstLineChars="175"/>
        <w:contextualSpacing/>
        <w:jc w:val="center"/>
        <w:rPr>
          <w:rFonts w:hint="eastAsia" w:ascii="宋体" w:hAnsi="宋体"/>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日</w:t>
      </w:r>
    </w:p>
    <w:p>
      <w:pPr>
        <w:pStyle w:val="6"/>
        <w:overflowPunct w:val="0"/>
        <w:spacing w:line="360" w:lineRule="auto"/>
        <w:ind w:left="0" w:leftChars="0" w:firstLine="0" w:firstLineChars="0"/>
        <w:contextualSpacing/>
        <w:jc w:val="both"/>
        <w:rPr>
          <w:rFonts w:hint="eastAsia"/>
          <w:color w:val="auto"/>
          <w:highlight w:val="none"/>
        </w:rPr>
      </w:pPr>
      <w:r>
        <w:rPr>
          <w:rFonts w:hint="eastAsia" w:ascii="宋体" w:hAnsi="宋体"/>
          <w:color w:val="auto"/>
          <w:sz w:val="24"/>
          <w:highlight w:val="none"/>
        </w:rPr>
        <w:br w:type="page"/>
      </w:r>
      <w:r>
        <w:rPr>
          <w:rFonts w:hint="eastAsia" w:ascii="宋体" w:hAnsi="宋体"/>
          <w:b/>
          <w:color w:val="auto"/>
          <w:sz w:val="24"/>
          <w:highlight w:val="none"/>
        </w:rPr>
        <w:t>2.中小企业声明函格式</w:t>
      </w:r>
    </w:p>
    <w:p>
      <w:pPr>
        <w:rPr>
          <w:rFonts w:hint="eastAsia"/>
          <w:color w:val="auto"/>
          <w:highlight w:val="none"/>
        </w:rPr>
      </w:pPr>
    </w:p>
    <w:p>
      <w:pPr>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中小企业声明函（服务）</w:t>
      </w:r>
    </w:p>
    <w:p>
      <w:pPr>
        <w:spacing w:before="2" w:line="500" w:lineRule="exact"/>
        <w:rPr>
          <w:rFonts w:ascii="宋体" w:hAnsi="宋体" w:cs="宋体"/>
          <w:b/>
          <w:bCs/>
          <w:color w:val="auto"/>
          <w:sz w:val="24"/>
          <w:highlight w:val="none"/>
        </w:rPr>
      </w:pPr>
    </w:p>
    <w:p>
      <w:pPr>
        <w:pStyle w:val="9"/>
        <w:spacing w:line="500" w:lineRule="exact"/>
        <w:ind w:right="142" w:firstLine="480" w:firstLineChars="200"/>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hint="eastAsia" w:ascii="宋体" w:hAnsi="宋体"/>
          <w:color w:val="auto"/>
          <w:highlight w:val="none"/>
          <w:u w:val="single"/>
          <w:lang w:val="en-US" w:eastAsia="zh-CN"/>
        </w:rPr>
        <w:t>忻城县农业农村局</w:t>
      </w:r>
      <w:r>
        <w:rPr>
          <w:rFonts w:ascii="宋体" w:hAnsi="宋体"/>
          <w:color w:val="auto"/>
          <w:highlight w:val="none"/>
        </w:rPr>
        <w:t>的</w:t>
      </w:r>
      <w:r>
        <w:rPr>
          <w:rFonts w:ascii="宋体" w:hAnsi="宋体"/>
          <w:color w:val="auto"/>
          <w:highlight w:val="none"/>
          <w:u w:val="single"/>
        </w:rPr>
        <w:t>（</w:t>
      </w:r>
      <w:r>
        <w:rPr>
          <w:rFonts w:hint="eastAsia" w:ascii="宋体" w:hAnsi="宋体"/>
          <w:color w:val="auto"/>
          <w:highlight w:val="none"/>
          <w:u w:val="single"/>
          <w:lang w:eastAsia="zh-CN"/>
        </w:rPr>
        <w:t>广西来宾市忻城县2026年和美乡村建设项目设计服务</w:t>
      </w:r>
      <w:r>
        <w:rPr>
          <w:rFonts w:ascii="宋体" w:hAnsi="宋体"/>
          <w:color w:val="auto"/>
          <w:highlight w:val="none"/>
          <w:u w:val="single"/>
        </w:rPr>
        <w:t>）</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86" w:firstLineChars="286"/>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标的名称</w:t>
      </w:r>
      <w:r>
        <w:rPr>
          <w:rFonts w:hint="eastAsia" w:ascii="宋体" w:hAnsi="宋体"/>
          <w:color w:val="auto"/>
          <w:sz w:val="24"/>
          <w:highlight w:val="none"/>
          <w:u w:val="single"/>
          <w:lang w:val="en-US" w:eastAsia="zh-CN"/>
        </w:rPr>
        <w:t>】</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其他未列明行业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tabs>
          <w:tab w:val="left" w:pos="1065"/>
          <w:tab w:val="left" w:pos="4262"/>
          <w:tab w:val="left" w:pos="6477"/>
        </w:tabs>
        <w:spacing w:before="20" w:line="500" w:lineRule="exact"/>
        <w:ind w:right="84" w:firstLine="686" w:firstLineChars="286"/>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标的名称</w:t>
      </w:r>
      <w:r>
        <w:rPr>
          <w:rFonts w:hint="eastAsia" w:ascii="宋体" w:hAnsi="宋体"/>
          <w:color w:val="auto"/>
          <w:sz w:val="24"/>
          <w:highlight w:val="none"/>
          <w:u w:val="single"/>
          <w:lang w:val="en-US" w:eastAsia="zh-CN"/>
        </w:rPr>
        <w:t>】</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其他未列明行业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pStyle w:val="9"/>
        <w:spacing w:before="34" w:line="500" w:lineRule="exact"/>
        <w:ind w:left="765" w:right="142" w:hanging="5"/>
        <w:rPr>
          <w:rFonts w:ascii="宋体" w:hAnsi="宋体"/>
          <w:color w:val="auto"/>
          <w:highlight w:val="none"/>
        </w:rPr>
      </w:pPr>
      <w:r>
        <w:rPr>
          <w:rFonts w:ascii="宋体" w:hAnsi="宋体"/>
          <w:color w:val="auto"/>
          <w:highlight w:val="none"/>
        </w:rPr>
        <w:t xml:space="preserve">…… </w:t>
      </w:r>
    </w:p>
    <w:p>
      <w:pPr>
        <w:pStyle w:val="9"/>
        <w:spacing w:before="34" w:line="500" w:lineRule="exact"/>
        <w:ind w:right="142" w:firstLine="480" w:firstLineChars="200"/>
        <w:rPr>
          <w:rFonts w:hint="eastAsia"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pPr>
        <w:pStyle w:val="9"/>
        <w:spacing w:before="34" w:line="500" w:lineRule="exact"/>
        <w:ind w:right="142" w:firstLine="480" w:firstLineChars="200"/>
        <w:rPr>
          <w:rFonts w:ascii="宋体" w:hAnsi="宋体"/>
          <w:color w:val="auto"/>
          <w:highlight w:val="none"/>
        </w:rPr>
      </w:pPr>
      <w:r>
        <w:rPr>
          <w:rFonts w:ascii="宋体" w:hAnsi="宋体"/>
          <w:color w:val="auto"/>
          <w:highlight w:val="none"/>
        </w:rPr>
        <w:t>本企业对上述声明内容的真实性负责。如有虚假，将依法承担相应责任。</w:t>
      </w:r>
    </w:p>
    <w:p>
      <w:pPr>
        <w:pStyle w:val="9"/>
        <w:spacing w:before="56" w:line="500" w:lineRule="exact"/>
        <w:ind w:left="3960" w:right="1808"/>
        <w:rPr>
          <w:rFonts w:ascii="宋体" w:hAnsi="宋体"/>
          <w:color w:val="auto"/>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w:t>
      </w:r>
      <w:r>
        <w:rPr>
          <w:rFonts w:ascii="宋体" w:hAnsi="宋体"/>
          <w:color w:val="auto"/>
          <w:highlight w:val="none"/>
        </w:rPr>
        <w:t xml:space="preserve"> </w:t>
      </w:r>
    </w:p>
    <w:p>
      <w:pPr>
        <w:pStyle w:val="9"/>
        <w:spacing w:before="56" w:line="500" w:lineRule="exact"/>
        <w:ind w:left="3960" w:right="1808"/>
        <w:rPr>
          <w:rFonts w:hint="eastAsia" w:ascii="宋体" w:hAnsi="宋体"/>
          <w:color w:val="auto"/>
          <w:highlight w:val="none"/>
        </w:rPr>
      </w:pPr>
      <w:r>
        <w:rPr>
          <w:rFonts w:ascii="宋体" w:hAnsi="宋体"/>
          <w:color w:val="auto"/>
          <w:highlight w:val="none"/>
        </w:rPr>
        <w:t>日 期：</w:t>
      </w:r>
    </w:p>
    <w:p>
      <w:pPr>
        <w:rPr>
          <w:rFonts w:hint="eastAsia" w:ascii="宋体" w:hAnsi="宋体"/>
          <w:color w:val="auto"/>
          <w:sz w:val="24"/>
          <w:highlight w:val="none"/>
        </w:rPr>
      </w:pPr>
      <w:r>
        <w:rPr>
          <w:rFonts w:hint="eastAsia" w:ascii="宋体" w:hAnsi="宋体"/>
          <w:color w:val="auto"/>
          <w:spacing w:val="6"/>
          <w:sz w:val="24"/>
          <w:highlight w:val="none"/>
        </w:rPr>
        <w:t xml:space="preserve"> </w:t>
      </w:r>
    </w:p>
    <w:p>
      <w:pPr>
        <w:ind w:firstLine="480" w:firstLineChars="200"/>
        <w:rPr>
          <w:rFonts w:hint="eastAsia" w:ascii="宋体" w:hAnsi="宋体"/>
          <w:b/>
          <w:color w:val="auto"/>
          <w:sz w:val="24"/>
          <w:highlight w:val="none"/>
        </w:rPr>
      </w:pPr>
      <w:r>
        <w:rPr>
          <w:rFonts w:hint="eastAsia" w:ascii="宋体" w:hAnsi="宋体"/>
          <w:color w:val="auto"/>
          <w:kern w:val="0"/>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color w:val="auto"/>
          <w:highlight w:val="none"/>
        </w:rPr>
        <w:br w:type="page"/>
      </w:r>
      <w:r>
        <w:rPr>
          <w:rFonts w:hint="eastAsia" w:ascii="宋体" w:hAnsi="宋体"/>
          <w:b/>
          <w:color w:val="auto"/>
          <w:sz w:val="24"/>
          <w:highlight w:val="none"/>
        </w:rPr>
        <w:t>3.残疾人福利性单位声明函格式</w:t>
      </w:r>
    </w:p>
    <w:p>
      <w:pPr>
        <w:spacing w:line="588" w:lineRule="exact"/>
        <w:jc w:val="center"/>
        <w:rPr>
          <w:rFonts w:hint="eastAsia" w:ascii="仿宋_GB2312" w:eastAsia="仿宋_GB2312"/>
          <w:b/>
          <w:color w:val="auto"/>
          <w:spacing w:val="6"/>
          <w:sz w:val="32"/>
          <w:szCs w:val="32"/>
          <w:highlight w:val="none"/>
        </w:rPr>
      </w:pPr>
      <w:bookmarkStart w:id="158" w:name="OLE_LINK13"/>
      <w:bookmarkStart w:id="159" w:name="OLE_LINK14"/>
    </w:p>
    <w:p>
      <w:pPr>
        <w:spacing w:line="588" w:lineRule="exact"/>
        <w:jc w:val="center"/>
        <w:rPr>
          <w:rFonts w:hint="eastAsia" w:ascii="微软雅黑" w:hAnsi="微软雅黑" w:eastAsia="微软雅黑" w:cs="微软雅黑"/>
          <w:bCs/>
          <w:color w:val="auto"/>
          <w:spacing w:val="6"/>
          <w:sz w:val="44"/>
          <w:szCs w:val="44"/>
          <w:highlight w:val="none"/>
        </w:rPr>
      </w:pPr>
      <w:r>
        <w:rPr>
          <w:rFonts w:hint="eastAsia" w:ascii="微软雅黑" w:hAnsi="微软雅黑" w:eastAsia="微软雅黑" w:cs="微软雅黑"/>
          <w:bCs/>
          <w:color w:val="auto"/>
          <w:spacing w:val="6"/>
          <w:sz w:val="44"/>
          <w:szCs w:val="44"/>
          <w:highlight w:val="none"/>
        </w:rPr>
        <w:t>残疾人福利性单位声明函</w:t>
      </w:r>
    </w:p>
    <w:bookmarkEnd w:id="158"/>
    <w:bookmarkEnd w:id="159"/>
    <w:p>
      <w:pPr>
        <w:spacing w:line="588" w:lineRule="exact"/>
        <w:rPr>
          <w:rFonts w:ascii="仿宋_GB2312" w:eastAsia="仿宋_GB2312"/>
          <w:b/>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hint="eastAsia"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sectPr>
      <w:footerReference r:id="rId20" w:type="first"/>
      <w:headerReference r:id="rId17" w:type="default"/>
      <w:footerReference r:id="rId18" w:type="default"/>
      <w:footerReference r:id="rId19" w:type="even"/>
      <w:pgSz w:w="11906" w:h="16838"/>
      <w:pgMar w:top="1134" w:right="1503" w:bottom="1559" w:left="167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9A9302A-0881-42C9-A51A-5B2A3A5C6065}"/>
  </w:font>
  <w:font w:name="黑体">
    <w:panose1 w:val="02010609060101010101"/>
    <w:charset w:val="86"/>
    <w:family w:val="auto"/>
    <w:pitch w:val="default"/>
    <w:sig w:usb0="800002BF" w:usb1="38CF7CFA" w:usb2="00000016" w:usb3="00000000" w:csb0="00040001" w:csb1="00000000"/>
    <w:embedRegular r:id="rId2" w:fontKey="{6A8A74F2-D225-460E-89E9-38A896B22B4A}"/>
  </w:font>
  <w:font w:name="Courier New">
    <w:panose1 w:val="02070309020205020404"/>
    <w:charset w:val="01"/>
    <w:family w:val="modern"/>
    <w:pitch w:val="default"/>
    <w:sig w:usb0="E0002EFF" w:usb1="C0007843" w:usb2="00000009" w:usb3="00000000" w:csb0="400001FF" w:csb1="FFFF0000"/>
    <w:embedRegular r:id="rId3" w:fontKey="{62D6CAED-6B6B-4A0F-8D13-95FFFF52DD3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C6BFFF99-EC37-47B2-A076-D3256820467C}"/>
  </w:font>
  <w:font w:name="Ђˎ̥">
    <w:altName w:val="宋体"/>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embedRegular r:id="rId5" w:fontKey="{2E721D24-323E-4894-82CB-31096CD37A53}"/>
  </w:font>
  <w:font w:name="华文新魏">
    <w:panose1 w:val="02010800040101010101"/>
    <w:charset w:val="86"/>
    <w:family w:val="auto"/>
    <w:pitch w:val="default"/>
    <w:sig w:usb0="00000001" w:usb1="080F0000" w:usb2="00000000" w:usb3="00000000" w:csb0="00040000" w:csb1="00000000"/>
    <w:embedRegular r:id="rId6" w:fontKey="{B74BCA1B-0401-4450-89BF-14020855B3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end"/>
    </w:r>
  </w:p>
  <w:p>
    <w:pPr>
      <w:pStyle w:val="1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9"/>
      </w:rPr>
    </w:pPr>
    <w:r>
      <w:fldChar w:fldCharType="begin"/>
    </w:r>
    <w:r>
      <w:rPr>
        <w:rStyle w:val="19"/>
      </w:rPr>
      <w:instrText xml:space="preserve">PAGE  </w:instrText>
    </w:r>
    <w:r>
      <w:fldChar w:fldCharType="separate"/>
    </w:r>
    <w:r>
      <w:rPr>
        <w:rStyle w:val="19"/>
      </w:rPr>
      <w:t>122</w:t>
    </w:r>
    <w:r>
      <w:fldChar w:fldCharType="end"/>
    </w:r>
  </w:p>
  <w:p>
    <w:pPr>
      <w:pStyle w:val="13"/>
      <w:ind w:right="360"/>
      <w:jc w:val="both"/>
      <w:rPr>
        <w:rFonts w:hint="eastAsia"/>
      </w:rPr>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86</w:t>
                    </w:r>
                    <w:r>
                      <w:fldChar w:fldCharType="end"/>
                    </w:r>
                  </w:p>
                </w:txbxContent>
              </v:textbox>
            </v:shape>
          </w:pict>
        </mc:Fallback>
      </mc:AlternateContent>
    </w:r>
  </w:p>
  <w:p>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end"/>
    </w:r>
  </w:p>
  <w:p>
    <w:pPr>
      <w:pStyle w:val="1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t>45</w:t>
                    </w:r>
                    <w: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0</w:t>
                    </w:r>
                    <w:r>
                      <w:fldChar w:fldCharType="end"/>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73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73</w:t>
                    </w:r>
                    <w:r>
                      <w:fldChar w:fldCharType="end"/>
                    </w:r>
                  </w:p>
                </w:txbxContent>
              </v:textbox>
            </v:shape>
          </w:pict>
        </mc:Fallback>
      </mc:AlternateContent>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end"/>
    </w:r>
  </w:p>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77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77</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621D"/>
    <w:multiLevelType w:val="singleLevel"/>
    <w:tmpl w:val="8F77621D"/>
    <w:lvl w:ilvl="0" w:tentative="0">
      <w:start w:val="1"/>
      <w:numFmt w:val="decimal"/>
      <w:suff w:val="nothing"/>
      <w:lvlText w:val="%1、"/>
      <w:lvlJc w:val="left"/>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3E8EC40"/>
    <w:multiLevelType w:val="singleLevel"/>
    <w:tmpl w:val="73E8EC40"/>
    <w:lvl w:ilvl="0" w:tentative="0">
      <w:start w:val="4"/>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ThmOTExNWMyZjFkNWE5NDUwMTJiNDgwYTM0ZWUifQ=="/>
  </w:docVars>
  <w:rsids>
    <w:rsidRoot w:val="10BF299C"/>
    <w:rsid w:val="030F6BED"/>
    <w:rsid w:val="077C6001"/>
    <w:rsid w:val="106327F0"/>
    <w:rsid w:val="10BF299C"/>
    <w:rsid w:val="17854713"/>
    <w:rsid w:val="1AED4AA9"/>
    <w:rsid w:val="1C8B457A"/>
    <w:rsid w:val="23A203FB"/>
    <w:rsid w:val="26304DAD"/>
    <w:rsid w:val="3095556F"/>
    <w:rsid w:val="312A5EDF"/>
    <w:rsid w:val="3565269F"/>
    <w:rsid w:val="3A63335F"/>
    <w:rsid w:val="487A6AF5"/>
    <w:rsid w:val="49BF21C2"/>
    <w:rsid w:val="581A3120"/>
    <w:rsid w:val="5B8128BE"/>
    <w:rsid w:val="61137C66"/>
    <w:rsid w:val="622F45A8"/>
    <w:rsid w:val="72033F3C"/>
    <w:rsid w:val="746A3BEA"/>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4">
    <w:name w:val="heading 4"/>
    <w:basedOn w:val="1"/>
    <w:next w:val="1"/>
    <w:autoRedefine/>
    <w:qFormat/>
    <w:uiPriority w:val="9"/>
    <w:pPr>
      <w:keepNext/>
      <w:keepLines/>
      <w:spacing w:before="280" w:after="290" w:line="372" w:lineRule="auto"/>
      <w:outlineLvl w:val="3"/>
    </w:pPr>
    <w:rPr>
      <w:rFonts w:ascii="Arial" w:hAnsi="Arial" w:eastAsia="黑体" w:cs="Times New Roman"/>
      <w:b/>
      <w:sz w:val="28"/>
    </w:rPr>
  </w:style>
  <w:style w:type="paragraph" w:styleId="5">
    <w:name w:val="heading 5"/>
    <w:basedOn w:val="1"/>
    <w:next w:val="6"/>
    <w:autoRedefine/>
    <w:qFormat/>
    <w:uiPriority w:val="0"/>
    <w:pPr>
      <w:keepNext/>
      <w:keepLines/>
      <w:numPr>
        <w:ilvl w:val="4"/>
        <w:numId w:val="1"/>
      </w:numPr>
      <w:spacing w:before="280" w:after="290" w:line="376" w:lineRule="auto"/>
      <w:outlineLvl w:val="4"/>
    </w:pPr>
    <w:rPr>
      <w:b/>
      <w:sz w:val="28"/>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unhideWhenUsed/>
    <w:qFormat/>
    <w:uiPriority w:val="0"/>
    <w:pPr>
      <w:jc w:val="left"/>
    </w:pPr>
  </w:style>
  <w:style w:type="paragraph" w:styleId="8">
    <w:name w:val="Body Text 3"/>
    <w:basedOn w:val="1"/>
    <w:autoRedefine/>
    <w:qFormat/>
    <w:uiPriority w:val="0"/>
    <w:pPr>
      <w:spacing w:line="500" w:lineRule="exact"/>
    </w:pPr>
    <w:rPr>
      <w:b/>
      <w:bCs/>
      <w:kern w:val="0"/>
      <w:sz w:val="24"/>
    </w:rPr>
  </w:style>
  <w:style w:type="paragraph" w:styleId="9">
    <w:name w:val="Body Text"/>
    <w:basedOn w:val="1"/>
    <w:next w:val="1"/>
    <w:autoRedefine/>
    <w:qFormat/>
    <w:uiPriority w:val="99"/>
    <w:pPr>
      <w:spacing w:line="380" w:lineRule="exact"/>
    </w:pPr>
    <w:rPr>
      <w:kern w:val="0"/>
      <w:sz w:val="24"/>
    </w:rPr>
  </w:style>
  <w:style w:type="paragraph" w:styleId="10">
    <w:name w:val="Body Text Indent"/>
    <w:basedOn w:val="1"/>
    <w:autoRedefine/>
    <w:qFormat/>
    <w:uiPriority w:val="0"/>
    <w:pPr>
      <w:ind w:firstLine="830" w:firstLineChars="352"/>
    </w:pPr>
    <w:rPr>
      <w:rFonts w:ascii="仿宋_GB2312" w:eastAsia="仿宋_GB2312"/>
      <w:kern w:val="0"/>
      <w:sz w:val="32"/>
      <w:szCs w:val="20"/>
    </w:rPr>
  </w:style>
  <w:style w:type="paragraph" w:styleId="11">
    <w:name w:val="Plain Text"/>
    <w:basedOn w:val="1"/>
    <w:autoRedefine/>
    <w:qFormat/>
    <w:uiPriority w:val="0"/>
    <w:rPr>
      <w:rFonts w:ascii="宋体" w:hAnsi="Courier New"/>
      <w:kern w:val="0"/>
      <w:sz w:val="20"/>
      <w:szCs w:val="21"/>
    </w:rPr>
  </w:style>
  <w:style w:type="paragraph" w:styleId="12">
    <w:name w:val="Body Text Indent 2"/>
    <w:basedOn w:val="1"/>
    <w:autoRedefine/>
    <w:qFormat/>
    <w:uiPriority w:val="99"/>
    <w:pPr>
      <w:ind w:firstLine="630"/>
    </w:pPr>
    <w:rPr>
      <w:rFonts w:eastAsia="Ђˎ̥"/>
      <w:kern w:val="0"/>
      <w:sz w:val="32"/>
      <w:szCs w:val="20"/>
    </w:rPr>
  </w:style>
  <w:style w:type="paragraph" w:styleId="13">
    <w:name w:val="footer"/>
    <w:basedOn w:val="1"/>
    <w:next w:val="1"/>
    <w:autoRedefine/>
    <w:unhideWhenUsed/>
    <w:qFormat/>
    <w:uiPriority w:val="99"/>
    <w:pPr>
      <w:tabs>
        <w:tab w:val="center" w:pos="4153"/>
        <w:tab w:val="right" w:pos="8306"/>
      </w:tabs>
      <w:snapToGrid w:val="0"/>
      <w:jc w:val="left"/>
    </w:pPr>
    <w:rPr>
      <w:kern w:val="0"/>
      <w:sz w:val="18"/>
      <w:szCs w:val="18"/>
    </w:rPr>
  </w:style>
  <w:style w:type="paragraph" w:styleId="14">
    <w:name w:val="header"/>
    <w:basedOn w:val="1"/>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15">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16">
    <w:name w:val="footnote text"/>
    <w:basedOn w:val="1"/>
    <w:autoRedefine/>
    <w:qFormat/>
    <w:uiPriority w:val="99"/>
    <w:pPr>
      <w:snapToGrid w:val="0"/>
      <w:jc w:val="left"/>
    </w:pPr>
    <w:rPr>
      <w:rFonts w:eastAsia="宋体"/>
      <w:sz w:val="18"/>
      <w:szCs w:val="18"/>
    </w:rPr>
  </w:style>
  <w:style w:type="character" w:styleId="19">
    <w:name w:val="page number"/>
    <w:autoRedefine/>
    <w:qFormat/>
    <w:uiPriority w:val="0"/>
  </w:style>
  <w:style w:type="character" w:styleId="20">
    <w:name w:val="annotation reference"/>
    <w:autoRedefine/>
    <w:unhideWhenUsed/>
    <w:qFormat/>
    <w:uiPriority w:val="99"/>
    <w:rPr>
      <w:sz w:val="21"/>
      <w:szCs w:val="21"/>
    </w:rPr>
  </w:style>
  <w:style w:type="character" w:customStyle="1" w:styleId="21">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2">
    <w:name w:val="正文2"/>
    <w:basedOn w:val="1"/>
    <w:autoRedefine/>
    <w:qFormat/>
    <w:uiPriority w:val="0"/>
    <w:pPr>
      <w:adjustRightInd w:val="0"/>
      <w:spacing w:before="156" w:line="360" w:lineRule="auto"/>
      <w:ind w:firstLine="510" w:firstLineChars="200"/>
    </w:pPr>
    <w:rPr>
      <w:sz w:val="24"/>
      <w:szCs w:val="20"/>
    </w:rPr>
  </w:style>
  <w:style w:type="character" w:customStyle="1" w:styleId="23">
    <w:name w:val="无"/>
    <w:autoRedefine/>
    <w:qFormat/>
    <w:uiPriority w:val="0"/>
  </w:style>
  <w:style w:type="paragraph" w:customStyle="1" w:styleId="24">
    <w:name w:val="列出段落1"/>
    <w:autoRedefine/>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25">
    <w:name w:val="正文 A"/>
    <w:autoRedefine/>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宋体" w:hAnsi="宋体" w:eastAsia="宋体" w:cs="宋体"/>
      <w:sz w:val="20"/>
      <w:szCs w:val="20"/>
      <w:lang w:val="en-US" w:eastAsia="en-US" w:bidi="ar-SA"/>
    </w:rPr>
  </w:style>
  <w:style w:type="paragraph" w:customStyle="1" w:styleId="28">
    <w:name w:val="Body text|1"/>
    <w:basedOn w:val="1"/>
    <w:autoRedefine/>
    <w:qFormat/>
    <w:uiPriority w:val="0"/>
    <w:pPr>
      <w:spacing w:line="360" w:lineRule="auto"/>
      <w:ind w:firstLine="400"/>
    </w:pPr>
    <w:rPr>
      <w:rFonts w:ascii="宋体" w:hAnsi="宋体" w:eastAsia="宋体" w:cs="宋体"/>
      <w:color w:val="auto"/>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3072</Words>
  <Characters>3514</Characters>
  <Lines>0</Lines>
  <Paragraphs>0</Paragraphs>
  <TotalTime>7</TotalTime>
  <ScaleCrop>false</ScaleCrop>
  <LinksUpToDate>false</LinksUpToDate>
  <CharactersWithSpaces>3581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2025-07-02T08:41:00Z</dcterms:created>
  <dc:creator>小陆</dc:creator>
  <cp:lastModifiedBy>WPS_1573468458</cp:lastModifiedBy>
  <dcterms:modified xsi:type="dcterms:W3CDTF">2025-07-09T02:05:12Z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05A44FBC6BE24F68BBAED2DD28D61880_13</vt:lpwstr>
  </property>
  <property fmtid="{D5CDD505-2E9C-101B-9397-08002B2CF9AE}" pid="4" name="KSOTemplateDocerSaveRecord">
    <vt:lpwstr>eyJoZGlkIjoiMDQxNzI3MmRmZTYzOGU0YjlmMTRiZjUwNzQ3MDgwODMiLCJ1c2VySWQiOiIyNTY3ODQ3NjUifQ==</vt:lpwstr>
  </property>
</Properties>
</file>