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337FA">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bookmarkStart w:id="0" w:name="_Toc27979"/>
      <w:r>
        <w:rPr>
          <w:rFonts w:hint="eastAsia"/>
          <w:color w:val="auto"/>
          <w:highlight w:val="none"/>
        </w:rPr>
        <w:t xml:space="preserve">第二章  </w:t>
      </w:r>
      <w:bookmarkStart w:id="1" w:name="_GoBack"/>
      <w:r>
        <w:rPr>
          <w:rFonts w:hint="eastAsia"/>
          <w:color w:val="auto"/>
          <w:highlight w:val="none"/>
        </w:rPr>
        <w:t>采购需求</w:t>
      </w:r>
      <w:bookmarkEnd w:id="1"/>
      <w:bookmarkEnd w:id="0"/>
    </w:p>
    <w:p w14:paraId="3D073888">
      <w:pPr>
        <w:spacing w:line="360" w:lineRule="auto"/>
        <w:jc w:val="left"/>
        <w:rPr>
          <w:rFonts w:hint="eastAsia" w:ascii="宋体" w:hAnsi="宋体" w:cs="宋体"/>
          <w:color w:val="auto"/>
          <w:szCs w:val="21"/>
          <w:highlight w:val="none"/>
        </w:rPr>
      </w:pPr>
    </w:p>
    <w:p w14:paraId="202E8D74">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20488FC3">
      <w:pPr>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1.为落实政府采购政策需满足的要求</w:t>
      </w:r>
    </w:p>
    <w:p w14:paraId="396D2831">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493766C9">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宋体" w:hAnsi="宋体" w:cs="宋体"/>
          <w:b/>
          <w:bCs/>
          <w:color w:val="auto"/>
          <w:sz w:val="36"/>
          <w:szCs w:val="36"/>
          <w:highlight w:val="none"/>
          <w:lang w:val="en-US" w:eastAsia="zh-CN"/>
        </w:rPr>
        <w:t>*</w:t>
      </w:r>
      <w:r>
        <w:rPr>
          <w:rFonts w:hint="eastAsia" w:ascii="宋体" w:hAnsi="宋体" w:cs="宋体"/>
          <w:color w:val="auto"/>
          <w:szCs w:val="21"/>
          <w:highlight w:val="none"/>
        </w:rPr>
        <w:t>”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。如本项目包含的货物属于品目清单内非标注“</w:t>
      </w:r>
      <w:r>
        <w:rPr>
          <w:rFonts w:hint="eastAsia" w:ascii="宋体" w:hAnsi="宋体" w:cs="宋体"/>
          <w:b/>
          <w:bCs/>
          <w:color w:val="auto"/>
          <w:sz w:val="36"/>
          <w:szCs w:val="36"/>
          <w:highlight w:val="none"/>
          <w:lang w:val="en-US" w:eastAsia="zh-CN"/>
        </w:rPr>
        <w:t>*</w:t>
      </w:r>
      <w:r>
        <w:rPr>
          <w:rFonts w:hint="eastAsia" w:ascii="宋体" w:hAnsi="宋体" w:cs="宋体"/>
          <w:color w:val="auto"/>
          <w:szCs w:val="21"/>
          <w:highlight w:val="none"/>
        </w:rPr>
        <w:t>”的产品时，应优先采购，具体详见“第四章 评标方法及评标标准”。</w:t>
      </w:r>
    </w:p>
    <w:p w14:paraId="057D0BC9">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rFonts w:hint="eastAsia" w:ascii="宋体" w:hAnsi="宋体" w:cs="宋体"/>
          <w:b/>
          <w:color w:val="auto"/>
          <w:szCs w:val="21"/>
          <w:highlight w:val="none"/>
        </w:rPr>
        <w:t>不在《网络关键设备和网络安全专用产品安全认证和安全检测结果》中或不在有效期内的，按无效投标处理</w:t>
      </w:r>
      <w:r>
        <w:rPr>
          <w:rFonts w:hint="eastAsia" w:ascii="宋体" w:hAnsi="宋体" w:cs="宋体"/>
          <w:color w:val="auto"/>
          <w:szCs w:val="21"/>
          <w:highlight w:val="none"/>
        </w:rPr>
        <w:t>。如属于《网络关键设备和网络安全专用产品目录》中“二、网络安全专用产品”内“产品类别”中的所描述的产品，但不属于所列“产品描述”情形的，应提供相应的说明及证明材料。</w:t>
      </w:r>
    </w:p>
    <w:p w14:paraId="76965389">
      <w:pPr>
        <w:spacing w:line="400" w:lineRule="exact"/>
        <w:ind w:firstLine="424" w:firstLineChars="202"/>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.“实质性要求”是指招标文件中已经指明不满足则投标无效的条款，或者不能负偏离的条款，或者采购需求中带“★”的条款。</w:t>
      </w:r>
    </w:p>
    <w:p w14:paraId="56B6FF64">
      <w:pPr>
        <w:spacing w:line="400" w:lineRule="exact"/>
        <w:ind w:firstLine="402" w:firstLineChars="202"/>
        <w:jc w:val="left"/>
        <w:rPr>
          <w:rFonts w:ascii="宋体" w:hAnsi="宋体" w:cs="宋体"/>
          <w:b/>
          <w:color w:val="auto"/>
          <w:szCs w:val="21"/>
          <w:highlight w:val="none"/>
        </w:rPr>
      </w:pPr>
      <w:r>
        <w:rPr>
          <w:rFonts w:hint="eastAsia" w:ascii="宋体" w:hAnsi="宋体" w:cs="宋体"/>
          <w:b/>
          <w:color w:val="auto"/>
          <w:spacing w:val="-6"/>
          <w:szCs w:val="21"/>
          <w:highlight w:val="none"/>
        </w:rPr>
        <w:t>（1）本采购需求表中凡标注“★”的条款或要求不响应或不满足的，投标文件即作无效处理</w:t>
      </w:r>
      <w:r>
        <w:rPr>
          <w:rFonts w:hint="eastAsia" w:ascii="宋体" w:hAnsi="宋体" w:cs="宋体"/>
          <w:b/>
          <w:color w:val="auto"/>
          <w:szCs w:val="21"/>
          <w:highlight w:val="none"/>
        </w:rPr>
        <w:t>。3．未标注“★”的条款和要求，不满足或负偏离达3项（含）以上的，将导致投标无效。</w:t>
      </w:r>
    </w:p>
    <w:p w14:paraId="54C9BE01">
      <w:pPr>
        <w:spacing w:line="400" w:lineRule="exact"/>
        <w:ind w:firstLine="426" w:firstLineChars="202"/>
        <w:jc w:val="left"/>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b/>
          <w:color w:val="auto"/>
          <w:szCs w:val="21"/>
          <w:highlight w:val="none"/>
          <w:u w:val="single"/>
        </w:rPr>
        <w:t>“技术需求及要求”中标注“▲”号的项目条款或技术要求作为评审依据进行考核，具体见本招标文件第四章。</w:t>
      </w:r>
    </w:p>
    <w:p w14:paraId="608069E0">
      <w:pPr>
        <w:spacing w:line="400" w:lineRule="exact"/>
        <w:ind w:firstLine="424" w:firstLineChars="202"/>
        <w:jc w:val="lef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采购需求中如出现的品牌、型号或者生产厂家仅起参考作用，不属于指定品牌、型号或者生产厂家的情形。投标人可参照或者选用其他相当的品牌、型号或者生产厂家替代，但选用的投标产品参数性能必须满足实质性要求。</w:t>
      </w:r>
    </w:p>
    <w:p w14:paraId="0C62E49C">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投标人应根据自身实际情况如实响应招标文件，对招标文件提出的要求和条件作出明确响应，</w:t>
      </w:r>
      <w:r>
        <w:rPr>
          <w:rFonts w:hint="eastAsia" w:ascii="宋体" w:hAnsi="宋体" w:cs="宋体"/>
          <w:b/>
          <w:color w:val="auto"/>
          <w:szCs w:val="21"/>
          <w:highlight w:val="none"/>
        </w:rPr>
        <w:t>否则将作无效响应处理</w:t>
      </w:r>
      <w:r>
        <w:rPr>
          <w:rFonts w:hint="eastAsia" w:ascii="宋体" w:hAnsi="宋体" w:cs="宋体"/>
          <w:color w:val="auto"/>
          <w:szCs w:val="21"/>
          <w:highlight w:val="none"/>
        </w:rPr>
        <w:t>。</w:t>
      </w:r>
    </w:p>
    <w:p w14:paraId="054C1F9B">
      <w:pPr>
        <w:spacing w:line="400" w:lineRule="exact"/>
        <w:ind w:firstLine="424" w:firstLineChars="202"/>
        <w:jc w:val="left"/>
        <w:rPr>
          <w:rFonts w:ascii="宋体" w:hAnsi="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w:t>
      </w:r>
      <w:r>
        <w:rPr>
          <w:rFonts w:hint="eastAsia" w:ascii="宋体" w:hAnsi="宋体"/>
          <w:color w:val="auto"/>
          <w:szCs w:val="21"/>
          <w:highlight w:val="none"/>
        </w:rPr>
        <w:t>投标人必须自行为其投标产品侵犯他人的知识产权或者专利成果的行为承担相应法律责任。</w:t>
      </w:r>
    </w:p>
    <w:p w14:paraId="3E1F0C82">
      <w:pPr>
        <w:pStyle w:val="3"/>
        <w:spacing w:line="4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.所属行业依照《中小企业划型标准规定》（工信部联企业〔2011〕300号）及《国民经济行业分类》（GB/T4754-2017）的有关规定执行。</w:t>
      </w:r>
    </w:p>
    <w:p w14:paraId="690797C5">
      <w:pPr>
        <w:spacing w:line="400" w:lineRule="exact"/>
        <w:ind w:firstLine="424" w:firstLineChars="202"/>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w:t>
      </w:r>
      <w:r>
        <w:rPr>
          <w:rFonts w:hint="eastAsia" w:ascii="宋体" w:hAnsi="宋体"/>
          <w:b/>
          <w:color w:val="auto"/>
          <w:szCs w:val="21"/>
          <w:highlight w:val="none"/>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Cs w:val="21"/>
          <w:highlight w:val="none"/>
        </w:rPr>
        <w:t>。</w:t>
      </w:r>
    </w:p>
    <w:p w14:paraId="6B3F2708">
      <w:pPr>
        <w:pStyle w:val="3"/>
        <w:spacing w:line="400" w:lineRule="exact"/>
        <w:ind w:firstLine="420" w:firstLineChars="200"/>
        <w:rPr>
          <w:rFonts w:ascii="宋体" w:hAnsi="宋体"/>
          <w:b/>
          <w:color w:val="auto"/>
          <w:kern w:val="2"/>
          <w:sz w:val="21"/>
          <w:szCs w:val="21"/>
          <w:highlight w:val="none"/>
          <w:u w:val="single"/>
        </w:rPr>
      </w:pPr>
      <w:r>
        <w:rPr>
          <w:rFonts w:ascii="宋体" w:hAnsi="宋体"/>
          <w:color w:val="auto"/>
          <w:kern w:val="2"/>
          <w:sz w:val="21"/>
          <w:szCs w:val="21"/>
          <w:highlight w:val="none"/>
        </w:rPr>
        <w:t>9</w:t>
      </w:r>
      <w:r>
        <w:rPr>
          <w:rFonts w:hint="eastAsia" w:ascii="宋体" w:hAnsi="宋体"/>
          <w:color w:val="auto"/>
          <w:kern w:val="2"/>
          <w:sz w:val="21"/>
          <w:szCs w:val="21"/>
          <w:highlight w:val="none"/>
        </w:rPr>
        <w:t>.</w:t>
      </w:r>
      <w:r>
        <w:rPr>
          <w:rFonts w:hint="eastAsia" w:ascii="宋体" w:hAnsi="宋体"/>
          <w:b/>
          <w:color w:val="auto"/>
          <w:kern w:val="2"/>
          <w:sz w:val="21"/>
          <w:szCs w:val="21"/>
          <w:highlight w:val="none"/>
          <w:u w:val="single"/>
        </w:rPr>
        <w:t>本项目采购需求表中要求提供的证明文件材料或承诺书，请在《技术要求偏离表》或《商务要求偏离表》中应答时，注明相关文件材料或承诺书放置的页码。</w:t>
      </w:r>
    </w:p>
    <w:p w14:paraId="5D4A7B23">
      <w:pPr>
        <w:spacing w:line="360" w:lineRule="exact"/>
        <w:ind w:firstLine="310" w:firstLineChars="147"/>
        <w:jc w:val="left"/>
        <w:rPr>
          <w:rFonts w:ascii="宋体" w:hAnsi="宋体"/>
          <w:b/>
          <w:color w:val="auto"/>
          <w:szCs w:val="21"/>
          <w:highlight w:val="none"/>
        </w:rPr>
      </w:pPr>
      <w:r>
        <w:rPr>
          <w:rFonts w:hint="eastAsia" w:ascii="宋体" w:hAnsi="宋体"/>
          <w:b/>
          <w:color w:val="auto"/>
          <w:szCs w:val="21"/>
          <w:highlight w:val="none"/>
          <w:u w:val="single"/>
        </w:rPr>
        <w:t>单分标</w:t>
      </w:r>
      <w:r>
        <w:rPr>
          <w:rFonts w:hint="eastAsia" w:ascii="宋体" w:hAnsi="宋体"/>
          <w:b/>
          <w:color w:val="auto"/>
          <w:szCs w:val="21"/>
          <w:highlight w:val="none"/>
        </w:rPr>
        <w:t xml:space="preserve">  采购预算：</w:t>
      </w:r>
      <w:r>
        <w:rPr>
          <w:rFonts w:hint="eastAsia" w:ascii="宋体" w:hAnsi="宋体"/>
          <w:b/>
          <w:color w:val="auto"/>
          <w:szCs w:val="21"/>
          <w:highlight w:val="none"/>
          <w:u w:val="single"/>
        </w:rPr>
        <w:t>636.850</w:t>
      </w:r>
      <w:r>
        <w:rPr>
          <w:rFonts w:hint="eastAsia" w:ascii="宋体" w:hAnsi="宋体"/>
          <w:b/>
          <w:color w:val="auto"/>
          <w:szCs w:val="21"/>
          <w:highlight w:val="none"/>
        </w:rPr>
        <w:t>万元</w:t>
      </w:r>
    </w:p>
    <w:tbl>
      <w:tblPr>
        <w:tblStyle w:val="5"/>
        <w:tblpPr w:leftFromText="180" w:rightFromText="180" w:vertAnchor="text" w:horzAnchor="page" w:tblpX="1549" w:tblpY="728"/>
        <w:tblOverlap w:val="never"/>
        <w:tblW w:w="513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8"/>
        <w:gridCol w:w="845"/>
        <w:gridCol w:w="649"/>
        <w:gridCol w:w="834"/>
        <w:gridCol w:w="812"/>
        <w:gridCol w:w="4996"/>
      </w:tblGrid>
      <w:tr w14:paraId="75298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2097CB26">
            <w:pPr>
              <w:tabs>
                <w:tab w:val="left" w:pos="180"/>
                <w:tab w:val="left" w:pos="1620"/>
              </w:tabs>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54" w:type="pct"/>
            <w:gridSpan w:val="2"/>
            <w:noWrap w:val="0"/>
            <w:vAlign w:val="center"/>
          </w:tcPr>
          <w:p w14:paraId="7F3B02CE">
            <w:pPr>
              <w:tabs>
                <w:tab w:val="left" w:pos="180"/>
                <w:tab w:val="left" w:pos="1620"/>
              </w:tabs>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标的名称</w:t>
            </w:r>
          </w:p>
        </w:tc>
        <w:tc>
          <w:tcPr>
            <w:tcW w:w="477" w:type="pct"/>
            <w:noWrap w:val="0"/>
            <w:vAlign w:val="center"/>
          </w:tcPr>
          <w:p w14:paraId="35177B06">
            <w:pPr>
              <w:tabs>
                <w:tab w:val="left" w:pos="180"/>
                <w:tab w:val="left" w:pos="1620"/>
              </w:tabs>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数量及单位</w:t>
            </w:r>
          </w:p>
        </w:tc>
        <w:tc>
          <w:tcPr>
            <w:tcW w:w="464" w:type="pct"/>
            <w:noWrap w:val="0"/>
            <w:vAlign w:val="center"/>
          </w:tcPr>
          <w:p w14:paraId="0A46EB0B">
            <w:pPr>
              <w:tabs>
                <w:tab w:val="left" w:pos="180"/>
                <w:tab w:val="left" w:pos="1620"/>
              </w:tabs>
              <w:spacing w:line="360" w:lineRule="exact"/>
              <w:jc w:val="center"/>
              <w:rPr>
                <w:rFonts w:ascii="宋体" w:hAnsi="宋体" w:cs="Arial"/>
                <w:b/>
                <w:color w:val="auto"/>
                <w:szCs w:val="21"/>
                <w:highlight w:val="none"/>
              </w:rPr>
            </w:pPr>
            <w:r>
              <w:rPr>
                <w:rFonts w:hint="eastAsia" w:ascii="宋体" w:hAnsi="宋体" w:cs="Arial"/>
                <w:b/>
                <w:color w:val="auto"/>
                <w:szCs w:val="21"/>
                <w:highlight w:val="none"/>
              </w:rPr>
              <w:t>所属</w:t>
            </w:r>
          </w:p>
          <w:p w14:paraId="0D620947">
            <w:pPr>
              <w:tabs>
                <w:tab w:val="left" w:pos="180"/>
                <w:tab w:val="left" w:pos="1620"/>
              </w:tabs>
              <w:spacing w:line="360" w:lineRule="exact"/>
              <w:jc w:val="center"/>
              <w:rPr>
                <w:rFonts w:hint="eastAsia" w:ascii="宋体" w:hAnsi="宋体" w:cs="宋体"/>
                <w:b/>
                <w:color w:val="auto"/>
                <w:szCs w:val="21"/>
                <w:highlight w:val="none"/>
              </w:rPr>
            </w:pPr>
            <w:r>
              <w:rPr>
                <w:rFonts w:hint="eastAsia" w:ascii="宋体" w:hAnsi="宋体" w:cs="Arial"/>
                <w:b/>
                <w:color w:val="auto"/>
                <w:szCs w:val="21"/>
                <w:highlight w:val="none"/>
              </w:rPr>
              <w:t>行业</w:t>
            </w:r>
          </w:p>
        </w:tc>
        <w:tc>
          <w:tcPr>
            <w:tcW w:w="2855" w:type="pct"/>
            <w:noWrap w:val="0"/>
            <w:vAlign w:val="center"/>
          </w:tcPr>
          <w:p w14:paraId="16FD3A31">
            <w:pPr>
              <w:tabs>
                <w:tab w:val="left" w:pos="180"/>
                <w:tab w:val="left" w:pos="1620"/>
              </w:tabs>
              <w:spacing w:line="360" w:lineRule="exact"/>
              <w:jc w:val="center"/>
              <w:rPr>
                <w:rFonts w:ascii="宋体" w:hAnsi="宋体" w:cs="宋体"/>
                <w:b/>
                <w:color w:val="auto"/>
                <w:szCs w:val="21"/>
                <w:highlight w:val="none"/>
              </w:rPr>
            </w:pPr>
            <w:r>
              <w:rPr>
                <w:rFonts w:hint="eastAsia" w:ascii="宋体" w:hAnsi="宋体"/>
                <w:b/>
                <w:color w:val="auto"/>
                <w:szCs w:val="21"/>
                <w:highlight w:val="none"/>
              </w:rPr>
              <w:t>技术需求及要求</w:t>
            </w:r>
          </w:p>
        </w:tc>
      </w:tr>
      <w:tr w14:paraId="78379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6"/>
            <w:noWrap w:val="0"/>
            <w:vAlign w:val="center"/>
          </w:tcPr>
          <w:p w14:paraId="7C555079">
            <w:pPr>
              <w:spacing w:line="36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一、机房货物</w:t>
            </w:r>
            <w:r>
              <w:rPr>
                <w:rFonts w:hint="eastAsia" w:ascii="宋体" w:hAnsi="宋体" w:cs="宋体"/>
                <w:b/>
                <w:bCs/>
                <w:color w:val="auto"/>
                <w:kern w:val="0"/>
                <w:szCs w:val="21"/>
                <w:highlight w:val="none"/>
                <w:lang w:bidi="ar"/>
              </w:rPr>
              <w:br w:type="textWrapping"/>
            </w:r>
            <w:r>
              <w:rPr>
                <w:rFonts w:hint="eastAsia" w:ascii="宋体" w:hAnsi="宋体" w:cs="宋体"/>
                <w:b/>
                <w:bCs/>
                <w:color w:val="auto"/>
                <w:kern w:val="0"/>
                <w:szCs w:val="21"/>
                <w:highlight w:val="none"/>
                <w:lang w:bidi="ar"/>
              </w:rPr>
              <w:t>（一）核心设备</w:t>
            </w:r>
          </w:p>
        </w:tc>
      </w:tr>
      <w:tr w14:paraId="0B3C9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54C2AF05">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6F64FC92">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负载均衡</w:t>
            </w:r>
          </w:p>
        </w:tc>
        <w:tc>
          <w:tcPr>
            <w:tcW w:w="477" w:type="pct"/>
            <w:tcBorders>
              <w:bottom w:val="single" w:color="auto" w:sz="4" w:space="0"/>
            </w:tcBorders>
            <w:noWrap w:val="0"/>
            <w:vAlign w:val="center"/>
          </w:tcPr>
          <w:p w14:paraId="246775BD">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1台</w:t>
            </w:r>
          </w:p>
        </w:tc>
        <w:tc>
          <w:tcPr>
            <w:tcW w:w="464" w:type="pct"/>
            <w:tcBorders>
              <w:bottom w:val="single" w:color="auto" w:sz="4" w:space="0"/>
            </w:tcBorders>
            <w:noWrap w:val="0"/>
            <w:vAlign w:val="center"/>
          </w:tcPr>
          <w:p w14:paraId="7CA21BB2">
            <w:pPr>
              <w:widowControl/>
              <w:spacing w:line="360" w:lineRule="exact"/>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软件和信息技术服务业</w:t>
            </w:r>
          </w:p>
        </w:tc>
        <w:tc>
          <w:tcPr>
            <w:tcW w:w="2855" w:type="pct"/>
            <w:noWrap w:val="0"/>
            <w:vAlign w:val="center"/>
          </w:tcPr>
          <w:p w14:paraId="7B3DFF2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★1、要求为国产化品牌，要求配置千兆电口≥4、千兆光口SFP≥4、万兆光口≥8；四层吞吐量≥60Gbps；并发连接数≥8000w；</w:t>
            </w:r>
          </w:p>
          <w:p w14:paraId="39E3473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2、部署方式支持串接部署、旁路部署；支持三角传输模式。</w:t>
            </w:r>
          </w:p>
          <w:p w14:paraId="5CFA80E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3、设备形态必须独立专业负载设备，非插卡式扩展的负载均衡设备。</w:t>
            </w:r>
          </w:p>
          <w:p w14:paraId="35FCF8A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4、单一设备可同时支持包括链路负载均衡、全局负载均衡和服务器负载均衡的功能。三种功能同时处于激活可使用状态，无需额外购买相应授权</w:t>
            </w:r>
          </w:p>
          <w:p w14:paraId="5B60714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5、提供针对多站点业务发布的全局负载均衡功能，通过智能DNS等机制实现公网用户对多个数据中心或单个数据中心多条线路的最佳访问。</w:t>
            </w:r>
          </w:p>
          <w:p w14:paraId="22D4171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6、支持轮询、加权轮询、按主机加权轮询、加权最小连接、按主机加权最小连接、动态反馈、最快响应、最小流量、加权最小流量、按主机加权最小流量、带宽比例、哈希、主备、首个可用、优先级等算法。</w:t>
            </w:r>
          </w:p>
          <w:p w14:paraId="3E1FCAC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7、通过某种编程语言（如lua）实现自定义的流量编排，对IP、TCP、UDP、SSL、HTTP和HTTPS等类型的流量进行分发、修改和统计等操作。</w:t>
            </w:r>
          </w:p>
          <w:p w14:paraId="405D162C">
            <w:pPr>
              <w:widowControl/>
              <w:jc w:val="left"/>
              <w:textAlignment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8、支持图片优化技术，通过对图片格式的转换，减少传输流量，提升web页面加载速度。无需改动服务器端的图片源文件，可根据浏览器种类自动识别转换类型，将图片转换为对应支持的WebP或JPEG格式，优化加速效果。</w:t>
            </w:r>
          </w:p>
          <w:p w14:paraId="0D2A6D3F">
            <w:pPr>
              <w:widowControl/>
              <w:jc w:val="left"/>
              <w:textAlignment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9、支持静态IP和PPPOE两种线路接入方式。</w:t>
            </w:r>
          </w:p>
          <w:p w14:paraId="5D3F4CD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10、支持跨设备健康状态监视（透明监视），同时支持IPv4和IPv6。</w:t>
            </w:r>
          </w:p>
          <w:p w14:paraId="55F0EF6F">
            <w:pPr>
              <w:widowControl/>
              <w:jc w:val="left"/>
              <w:textAlignment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11、支持基于管理员自定义的时间计划来进行出站访问的流量调度分发。</w:t>
            </w:r>
          </w:p>
          <w:p w14:paraId="3F74967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12、支持跨数据中心集群和跨数据中心会话保持</w:t>
            </w:r>
          </w:p>
          <w:p w14:paraId="416AB7E7">
            <w:pPr>
              <w:widowControl/>
              <w:jc w:val="left"/>
              <w:textAlignment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13、支持cookie加密，提升cookie安全性。</w:t>
            </w:r>
          </w:p>
          <w:p w14:paraId="5697EC63">
            <w:pPr>
              <w:widowControl/>
              <w:jc w:val="left"/>
              <w:textAlignment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14、支持被动式健康检查，可根据对业务流量的观测采样，辅助判断应用服务器健康状况；对常规HTTP应用可配置基于反映URL失效的HTTP响应状态码的观测判断机制，对于复杂应用可配置基于RST关闭连接和零窗口等异常TCP传输行为的观测判断机制。</w:t>
            </w:r>
          </w:p>
          <w:p w14:paraId="709F0B3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15、支持网站页面IP形式和域名形式外部链接的正常访问；支持静态和动态网站页面静态和动态引用站外内容的正常显示；支持静态和动态网站页面静态和动态外部链接的无限级正常跳转。</w:t>
            </w:r>
          </w:p>
        </w:tc>
      </w:tr>
      <w:tr w14:paraId="6BB6C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1F222E4D">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276AE6A5">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防火墙</w:t>
            </w:r>
          </w:p>
        </w:tc>
        <w:tc>
          <w:tcPr>
            <w:tcW w:w="477" w:type="pct"/>
            <w:tcBorders>
              <w:bottom w:val="single" w:color="auto" w:sz="4" w:space="0"/>
            </w:tcBorders>
            <w:noWrap w:val="0"/>
            <w:vAlign w:val="center"/>
          </w:tcPr>
          <w:p w14:paraId="6E9AB3D2">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1台</w:t>
            </w:r>
          </w:p>
        </w:tc>
        <w:tc>
          <w:tcPr>
            <w:tcW w:w="464" w:type="pct"/>
            <w:tcBorders>
              <w:bottom w:val="single" w:color="auto" w:sz="4" w:space="0"/>
            </w:tcBorders>
            <w:noWrap w:val="0"/>
            <w:vAlign w:val="center"/>
          </w:tcPr>
          <w:p w14:paraId="2FE723F6">
            <w:pPr>
              <w:spacing w:line="360" w:lineRule="exact"/>
              <w:jc w:val="center"/>
              <w:rPr>
                <w:rFonts w:ascii="宋体" w:hAnsi="宋体"/>
                <w:color w:val="auto"/>
                <w:szCs w:val="21"/>
                <w:highlight w:val="none"/>
              </w:rPr>
            </w:pPr>
            <w:r>
              <w:rPr>
                <w:rFonts w:hint="eastAsia" w:ascii="宋体" w:hAnsi="宋体" w:cs="宋体"/>
                <w:color w:val="auto"/>
                <w:szCs w:val="21"/>
                <w:highlight w:val="none"/>
              </w:rPr>
              <w:t>软件和信息技术服务业</w:t>
            </w:r>
          </w:p>
        </w:tc>
        <w:tc>
          <w:tcPr>
            <w:tcW w:w="2855" w:type="pct"/>
            <w:noWrap w:val="0"/>
            <w:vAlign w:val="center"/>
          </w:tcPr>
          <w:p w14:paraId="1FC7055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★1.机架式≥2U，配置千兆电口≥8个，千兆SFP光口（含模块）≥16个，万兆SFP+光口≥16个（含8个万兆多模光模块），40G光口≥2个（含2个40G多模光模块），接口扩展槽≥2个，硬盘存储≥2T，</w:t>
            </w:r>
            <w:r>
              <w:rPr>
                <w:rFonts w:hint="eastAsia" w:ascii="宋体" w:hAnsi="宋体" w:cs="宋体"/>
                <w:color w:val="auto"/>
                <w:szCs w:val="21"/>
                <w:highlight w:val="none"/>
              </w:rPr>
              <w:t>≥1+1冗余电源配置</w:t>
            </w:r>
            <w:r>
              <w:rPr>
                <w:rFonts w:hint="eastAsia" w:ascii="宋体" w:hAnsi="宋体" w:cs="宋体"/>
                <w:color w:val="auto"/>
                <w:kern w:val="0"/>
                <w:szCs w:val="21"/>
                <w:highlight w:val="none"/>
                <w:lang w:bidi="ar"/>
              </w:rPr>
              <w:t>；提供三年硬件维保服务、三年全功能模块升级服务。</w:t>
            </w:r>
          </w:p>
          <w:p w14:paraId="5E12FA1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★2.网络层吞吐量≥160Gbps，七层吞吐量≥60Gbps，安全功能全开启吞吐量≥20Gbps，最大并发连接数≥2500万，最大新建连接数≥150万/s；含防火墙、防病毒、入侵防御、应用识别、URL过滤、Web防护等功能模块。</w:t>
            </w:r>
          </w:p>
          <w:p w14:paraId="6F892DC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3.具体路由模式、透明（网桥）模式、混合模式、旁路模式；旁路部署支持加入≥2个以上物理接口。</w:t>
            </w:r>
          </w:p>
          <w:p w14:paraId="09B2D54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4.实现安全区域划分，访问控制列表，配置对象及策略，动态包过滤，黑名单，MAC和IP绑定功能，基于MAC的访问控制列表，802.1q VLAN透传等功能。</w:t>
            </w:r>
          </w:p>
          <w:p w14:paraId="03451F7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支持一体化安全策略，能够基于源/目的安全域、源IP/MAC地址、目的IP地址、端口、服务、时间、用户/用户组、应用层协议、内容安全（WAF、IPS、数据过滤、文件过滤、AV、URL过滤和APT防御等）统一界面进行安全策略配置。</w:t>
            </w:r>
          </w:p>
          <w:p w14:paraId="68F48C0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6.支持多出口智能选路，可基于链路权重、带宽、配置优先级、链路质量、用户业务、运营商、域名、时间、DSCP、PPPoE、DNS等智能选路方式。</w:t>
            </w:r>
          </w:p>
          <w:p w14:paraId="14FDFCC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7.支持包括轮询、加权轮询、最小连接、加权最小连接、随机、加权随机、源地址、源地址端口、目的地址、优先级等负载均衡调度算法。</w:t>
            </w:r>
          </w:p>
          <w:p w14:paraId="4EE86B4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8.支持基于每个SSL VPN用户的会话连接数、空闲超时时间、流量阀值和会话限速等进行细颗粒度的管控；支持IPsec VPN智能选路，根据隧道质量调度流量。</w:t>
            </w:r>
          </w:p>
          <w:p w14:paraId="508840B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9.提供入侵防御功能，支持超过≥20000种特征的攻击检测和防御。</w:t>
            </w:r>
          </w:p>
          <w:p w14:paraId="75B2AFF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10.提供防病毒功能，可基于病毒特征进行检测，实现病毒库手动和自动升级，实现病毒日志和报表；防病毒本地库数量≥600万。</w:t>
            </w:r>
          </w:p>
          <w:p w14:paraId="3E57632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▲11.具备HTTPS加密流量的安全检测，支持TCP代理和SSL代理，且代理策略中可同时配置多类过滤条件，具体包括：源安全域、目的安全域、源地址、目的地址、用户和服务。</w:t>
            </w:r>
          </w:p>
          <w:p w14:paraId="6D05D14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12.内置预分类的URL地址库，支持根据URL类别实现URL过滤，管理者可自定义新的URL地址和URL分类。</w:t>
            </w:r>
          </w:p>
          <w:p w14:paraId="066CAE7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13.支能够防范DoS/DDoS攻击：Land、Smurf、Fraggle、Ping of Death、Tear Drop、IP Spoofing、IP分片报文、ARP欺骗、ARP主动反向查询、TCP报文标志位不合法、超大ICMP报文、地址扫描、端口扫描等攻击防范，还包括针对SYN Flood、UPD Flood、ICMP Flood、DNS Flood、HTTP Flood、HTTPS Flood、SIP Flood等常见DDoS攻击的检测防御。</w:t>
            </w:r>
          </w:p>
          <w:p w14:paraId="7B18397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▲14.具备流量自学习功能，生成DDoS泛洪防范策略。</w:t>
            </w:r>
          </w:p>
          <w:p w14:paraId="341FAE0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15.支持报文示踪功能，支持真实流量、导入报文、构造报文等方式，用于分析和追踪设备中各个安全业务模块对报文的处理过程，通过查看报文示踪记录的详细信息，有利于管理员对网络故障的快速排查和定位。</w:t>
            </w:r>
          </w:p>
          <w:p w14:paraId="1D267EC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16.支持防网络共享行为，针对私接路由器和非法无线热点行为进行识别和阻断。</w:t>
            </w:r>
          </w:p>
          <w:p w14:paraId="7066048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17.支持虚拟防火墙功能：支持虚拟防火墙的创建、启动、关闭、删除功能，可独立分配CPU/内存等计算资源；虚拟防火墙可独立管理，独立保存配置，具备独立会话管理、NAT、路由等功能。</w:t>
            </w:r>
          </w:p>
          <w:p w14:paraId="136C4B8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18.支持设备堆叠成一台设备使用，实现统一管理，统一配置，支持高可靠性（包含主备/主主模式）部署。</w:t>
            </w:r>
          </w:p>
          <w:p w14:paraId="7A0AF63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19.支持虚拟化技术，支持CPU、内存、存储等硬件资源划分的完全虚拟化，支持vSys虚拟防火墙技术，可以将一台物理设备虚拟成N台相互独立的虚拟设备。</w:t>
            </w:r>
          </w:p>
          <w:p w14:paraId="1AEACDB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20.支持为Web应用提供基于HTTP和HTTPS的流量防护，对来自Web应用程序客户端的各类请求进行内容检测和验证，确保其安全性与合法性，对非法的请求予以实时阻断，从而对各类网站进行有效防护。</w:t>
            </w:r>
          </w:p>
          <w:p w14:paraId="680F312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21.支持SQL注入、跨站脚本、远程代码执行、字符编码等攻击的防护，支持对网络设备、网页服务器、数据库等设备的专属特征分类。</w:t>
            </w:r>
          </w:p>
          <w:p w14:paraId="04E92E4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▲22.支持CC攻击防护，可基于检测请求报文头的X-Forwarded-For字段，以获取真正的源IP地址。</w:t>
            </w:r>
          </w:p>
          <w:p w14:paraId="51BF5FB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23.支持网页诊断功能，用于当内网用户访问网页出现故障时，对网络进行基本的诊断，并给出故障原因。</w:t>
            </w:r>
          </w:p>
          <w:p w14:paraId="5FD83B8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24.支持SNMPv1、SNMPv2、SNMPv3、RMON等网络管理协议，并且支持通过网管软件远程进行设备软件升级、配置等。</w:t>
            </w:r>
          </w:p>
        </w:tc>
      </w:tr>
      <w:tr w14:paraId="64DA5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18CB5EC7">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2C270432">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校园网核心交换机</w:t>
            </w:r>
          </w:p>
        </w:tc>
        <w:tc>
          <w:tcPr>
            <w:tcW w:w="477" w:type="pct"/>
            <w:tcBorders>
              <w:bottom w:val="single" w:color="auto" w:sz="4" w:space="0"/>
            </w:tcBorders>
            <w:noWrap w:val="0"/>
            <w:vAlign w:val="center"/>
          </w:tcPr>
          <w:p w14:paraId="3D35EA31">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3台</w:t>
            </w:r>
          </w:p>
        </w:tc>
        <w:tc>
          <w:tcPr>
            <w:tcW w:w="464" w:type="pct"/>
            <w:tcBorders>
              <w:bottom w:val="single" w:color="auto" w:sz="4" w:space="0"/>
            </w:tcBorders>
            <w:noWrap w:val="0"/>
            <w:vAlign w:val="center"/>
          </w:tcPr>
          <w:p w14:paraId="1B2161E0">
            <w:pPr>
              <w:spacing w:line="360" w:lineRule="exact"/>
              <w:jc w:val="center"/>
              <w:rPr>
                <w:rFonts w:ascii="宋体" w:hAnsi="宋体"/>
                <w:color w:val="auto"/>
                <w:szCs w:val="21"/>
                <w:highlight w:val="none"/>
              </w:rPr>
            </w:pPr>
            <w:r>
              <w:rPr>
                <w:rFonts w:hint="eastAsia" w:ascii="宋体" w:hAnsi="宋体" w:cs="宋体"/>
                <w:color w:val="auto"/>
                <w:szCs w:val="21"/>
                <w:highlight w:val="none"/>
              </w:rPr>
              <w:t>软件和信息技术服务业</w:t>
            </w:r>
          </w:p>
        </w:tc>
        <w:tc>
          <w:tcPr>
            <w:tcW w:w="2855" w:type="pct"/>
            <w:noWrap w:val="0"/>
            <w:vAlign w:val="center"/>
          </w:tcPr>
          <w:p w14:paraId="4A9FB96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★1、整机性能：交换容量≥500Tbps，转发性能≥96000Mpps。</w:t>
            </w:r>
          </w:p>
          <w:p w14:paraId="0027105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★2、设备配置：提供千兆电口≥24个，千兆光口≥24个（12个单模光纤模块，12个多模光纤模块），万兆光口≥48个（48个多模光纤模块），40GE光口≥4个（4个多模光纤模块），主控板卡≥2块，电源模块≥3个。</w:t>
            </w:r>
          </w:p>
          <w:p w14:paraId="78381AF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3、硬件规格：支持信元交换，业务板槽位≥8个，主控板槽位≥2个，电源槽位≥4个。</w:t>
            </w:r>
          </w:p>
          <w:p w14:paraId="0682850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▲4、设备的关键元器件CPU芯片和网络处理器采用国产芯片。</w:t>
            </w:r>
          </w:p>
          <w:p w14:paraId="66BA29C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5、可以配置RIP、OSPF、ISIS、BGP，支持IPv4/IPv6双协议栈。</w:t>
            </w:r>
          </w:p>
          <w:p w14:paraId="4CB2116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6、支持VxLAN功能，支持VxLAN二层网关、三层网关，支持BGP EVPN，支持分布式Anycast网关，支持VxLAN Fabric的自动化部署。</w:t>
            </w:r>
          </w:p>
          <w:p w14:paraId="711668D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7、支持单槽位单向转发能力≥2.4Tbps。</w:t>
            </w:r>
          </w:p>
          <w:p w14:paraId="09F67C6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8、为保证设备的稳定性，提供独立可插拔风扇模块，当单个风扇模块被拔出维护时，还可以有其他风扇模块在位运行。</w:t>
            </w:r>
          </w:p>
        </w:tc>
      </w:tr>
      <w:tr w14:paraId="0C5D9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30B70ADD">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310F691C">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服务器区汇聚交换机</w:t>
            </w:r>
          </w:p>
        </w:tc>
        <w:tc>
          <w:tcPr>
            <w:tcW w:w="477" w:type="pct"/>
            <w:tcBorders>
              <w:bottom w:val="single" w:color="auto" w:sz="4" w:space="0"/>
            </w:tcBorders>
            <w:noWrap w:val="0"/>
            <w:vAlign w:val="center"/>
          </w:tcPr>
          <w:p w14:paraId="411A64D3">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2台</w:t>
            </w:r>
          </w:p>
        </w:tc>
        <w:tc>
          <w:tcPr>
            <w:tcW w:w="464" w:type="pct"/>
            <w:tcBorders>
              <w:bottom w:val="single" w:color="auto" w:sz="4" w:space="0"/>
            </w:tcBorders>
            <w:noWrap w:val="0"/>
            <w:vAlign w:val="center"/>
          </w:tcPr>
          <w:p w14:paraId="3311ABEB">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软件和信息技术服务业</w:t>
            </w:r>
          </w:p>
        </w:tc>
        <w:tc>
          <w:tcPr>
            <w:tcW w:w="2855" w:type="pct"/>
            <w:noWrap w:val="0"/>
            <w:vAlign w:val="center"/>
          </w:tcPr>
          <w:p w14:paraId="55D43C6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★1、整机性能：交换容量≥2.5Tbps，转发性能≥1200Mpps。</w:t>
            </w:r>
          </w:p>
          <w:p w14:paraId="6804E7F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★2、设备配置：提供10GE光口（含多模模块）≥24个，40GE光口（含多模模块）≥6个，电源模块≥2个。</w:t>
            </w:r>
          </w:p>
          <w:p w14:paraId="3AFD59B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▲3、设备的关键元器件CPU芯片和网络处理器NP芯片采用国产芯片。</w:t>
            </w:r>
          </w:p>
          <w:p w14:paraId="2911841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4、支持VXLAN功能，支持VXLAN二层网关、三层网关，支持BGP EVPN，支持通过Netconf/YANG进行配置。</w:t>
            </w:r>
          </w:p>
          <w:p w14:paraId="7C52E44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5、提供Telemetry功能，可以实时采集设备数据并上送至网络分析组件，由网络分析组件对网络数据进行分析，对故障进行定界以及定位故障发生原因。</w:t>
            </w:r>
          </w:p>
          <w:p w14:paraId="5C5F880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▲6、提供虚拟化功能，支持将下联交换机虚拟为一台设备管理，支持与第三方厂商混合组网管理。</w:t>
            </w:r>
          </w:p>
          <w:p w14:paraId="233CD5F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7、可以配置静态路由、RIP、OSPF、ISIS、BGP、路由策略。</w:t>
            </w:r>
          </w:p>
          <w:p w14:paraId="1A7B051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8、可以配置IP、MAC、端口、VLAN的组合绑定。</w:t>
            </w:r>
          </w:p>
        </w:tc>
      </w:tr>
      <w:tr w14:paraId="5A868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2E92EF22">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20ED93CD">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智能DNS</w:t>
            </w:r>
          </w:p>
        </w:tc>
        <w:tc>
          <w:tcPr>
            <w:tcW w:w="477" w:type="pct"/>
            <w:tcBorders>
              <w:bottom w:val="single" w:color="auto" w:sz="4" w:space="0"/>
            </w:tcBorders>
            <w:noWrap w:val="0"/>
            <w:vAlign w:val="center"/>
          </w:tcPr>
          <w:p w14:paraId="354EACCD">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3台</w:t>
            </w:r>
          </w:p>
        </w:tc>
        <w:tc>
          <w:tcPr>
            <w:tcW w:w="464" w:type="pct"/>
            <w:tcBorders>
              <w:bottom w:val="single" w:color="auto" w:sz="4" w:space="0"/>
            </w:tcBorders>
            <w:noWrap w:val="0"/>
            <w:vAlign w:val="center"/>
          </w:tcPr>
          <w:p w14:paraId="70B80E5D">
            <w:pPr>
              <w:spacing w:line="360" w:lineRule="exact"/>
              <w:jc w:val="center"/>
              <w:rPr>
                <w:rFonts w:ascii="宋体" w:hAnsi="宋体"/>
                <w:color w:val="auto"/>
                <w:szCs w:val="21"/>
                <w:highlight w:val="none"/>
              </w:rPr>
            </w:pPr>
            <w:r>
              <w:rPr>
                <w:rFonts w:hint="eastAsia" w:ascii="宋体" w:hAnsi="宋体" w:cs="宋体"/>
                <w:color w:val="auto"/>
                <w:szCs w:val="21"/>
                <w:highlight w:val="none"/>
              </w:rPr>
              <w:t>软件和信息技术服务业</w:t>
            </w:r>
          </w:p>
        </w:tc>
        <w:tc>
          <w:tcPr>
            <w:tcW w:w="2855" w:type="pct"/>
            <w:noWrap w:val="0"/>
            <w:vAlign w:val="center"/>
          </w:tcPr>
          <w:p w14:paraId="146F332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1、单台设备QPS不低于16万QPS，可管理地址范围不受限，可管理权威记录数不受限。</w:t>
            </w:r>
          </w:p>
          <w:p w14:paraId="194F9DC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2、硬件配置：机架式安装，双电源，内存≥16G，存储SSD盘≥1T，接口≥8电、4万兆光，维保3年。</w:t>
            </w:r>
          </w:p>
          <w:p w14:paraId="12E6EE2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▲3、支持同一条记录根据A和AAAA分别CNAME到不同的值。</w:t>
            </w:r>
          </w:p>
          <w:p w14:paraId="381EA8C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▲4、支持对域名进行批量劫持，阻止用户对特定域名的访问行为，并提供常见的不良域名列表（如恶意广告站点、色情站点）以方便管理员设置批量劫持。</w:t>
            </w:r>
          </w:p>
          <w:p w14:paraId="76CAF3E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▲5、当域名解析结果同时包含A和AAAA记录时，能够选择性过滤掉A或AAAA的结果。</w:t>
            </w:r>
          </w:p>
          <w:p w14:paraId="7835491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6、支持DNSSEC安全扩展，对所访问的站点地址有效性进行验证，提升DNS业务安全性。</w:t>
            </w:r>
          </w:p>
          <w:p w14:paraId="55571D3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7、支持对解析结果的缓存进行管理，例如对解析结果发生变更的域名清除其缓存，对解析结果不稳定的域名延长其缓存时间。</w:t>
            </w:r>
          </w:p>
          <w:p w14:paraId="7E381EE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8、支持通过短信、微信向管理员发送告警通知消息，自带微信告警服务平台，只需关注即可使用。</w:t>
            </w:r>
          </w:p>
          <w:p w14:paraId="6F60662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▲9、完整记录DNS日志，包括成功查询日志和失败查询日志，能够根据用户IP、查询时间、查询域名、查询线路等关键信息进行搜索。</w:t>
            </w:r>
          </w:p>
          <w:p w14:paraId="2218E07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10、提供网络检测小工具，例如PING检测、Traceroute追踪、DNS域名解析检测等。</w:t>
            </w:r>
          </w:p>
          <w:p w14:paraId="5C7545F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11、支持设置系统的白名单，仅白名单中的IP可登录系统，确保系统安全。</w:t>
            </w:r>
          </w:p>
          <w:p w14:paraId="097A3D0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12、支持操作日志的完整记录与查询，包括登录日志、DNS配置变更日志等，支持自动定期备份系统配置到本地或远程服务器，并可以使用配置文件进行恢复。</w:t>
            </w:r>
          </w:p>
          <w:p w14:paraId="45DA329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13、支持多个DNS服务器组成负载均衡集群，对外以同一个IP提供服务。</w:t>
            </w:r>
          </w:p>
        </w:tc>
      </w:tr>
      <w:tr w14:paraId="53713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4D689AA2">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6F452561">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智能DHCP</w:t>
            </w:r>
          </w:p>
        </w:tc>
        <w:tc>
          <w:tcPr>
            <w:tcW w:w="477" w:type="pct"/>
            <w:tcBorders>
              <w:bottom w:val="single" w:color="auto" w:sz="4" w:space="0"/>
            </w:tcBorders>
            <w:noWrap w:val="0"/>
            <w:vAlign w:val="center"/>
          </w:tcPr>
          <w:p w14:paraId="5F0CA4EC">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3台</w:t>
            </w:r>
          </w:p>
        </w:tc>
        <w:tc>
          <w:tcPr>
            <w:tcW w:w="464" w:type="pct"/>
            <w:tcBorders>
              <w:bottom w:val="single" w:color="auto" w:sz="4" w:space="0"/>
            </w:tcBorders>
            <w:noWrap w:val="0"/>
            <w:vAlign w:val="center"/>
          </w:tcPr>
          <w:p w14:paraId="03D5D1AA">
            <w:pPr>
              <w:spacing w:line="360" w:lineRule="exact"/>
              <w:jc w:val="center"/>
              <w:rPr>
                <w:rFonts w:ascii="宋体" w:hAnsi="宋体"/>
                <w:color w:val="auto"/>
                <w:szCs w:val="21"/>
                <w:highlight w:val="none"/>
              </w:rPr>
            </w:pPr>
            <w:r>
              <w:rPr>
                <w:rFonts w:hint="eastAsia" w:ascii="宋体" w:hAnsi="宋体" w:cs="宋体"/>
                <w:color w:val="auto"/>
                <w:szCs w:val="21"/>
                <w:highlight w:val="none"/>
              </w:rPr>
              <w:t>软件和信息技术服务业</w:t>
            </w:r>
          </w:p>
        </w:tc>
        <w:tc>
          <w:tcPr>
            <w:tcW w:w="2855" w:type="pct"/>
            <w:noWrap w:val="0"/>
            <w:vAlign w:val="center"/>
          </w:tcPr>
          <w:p w14:paraId="41493F2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1、单台设备LPS不低于2000LPS，可管理终端数量不受限，支持IPv4和IPv6的有状态分配。</w:t>
            </w:r>
          </w:p>
          <w:p w14:paraId="2D84196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2、硬件配置：机架式安装，双电源，内存≥16G，存储SSD盘≥1T，接口≥8电、4万兆光，维保3年。</w:t>
            </w:r>
          </w:p>
          <w:p w14:paraId="1B30B43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▲3、支持同一终端在同一子网内保持IP不变，当子网中的历史终端数超过设定阈值时通知管理员，并按照最后活动时间依次回收IP，分配给最新加入的终端。</w:t>
            </w:r>
          </w:p>
          <w:p w14:paraId="2893610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4、支持子网规模的动态扩展，实现将多个不连续的子网合并为一个子网，在不对现有子网进行连续扩展的情况下解决子网利用率过高的问题。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▲5、支持从设置的DNS列表中随机选择为客户端选择首选DNS服务器，均衡DNS服务器负载压力。</w:t>
            </w:r>
          </w:p>
          <w:p w14:paraId="234553B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6、支持全局、子网和地址池中策略的逐级继承，并支持在某些子网、地址池中设置不同的策略，策略生效优先级为地址池高于子网，子网高于全局。例如在特定子网中下发不同的DNS服务器地址。</w:t>
            </w:r>
          </w:p>
          <w:p w14:paraId="75A7BFB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▲7、支持自动剔除地址池中末位为0和255的地址，避免终端无法正常上网。</w:t>
            </w:r>
          </w:p>
          <w:p w14:paraId="4FC538B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8、支持批量导入IPv4、IPv6固定地址，导入信息包括IP、MAC、所属子网、过期时间等，支持批量生效、禁用和删除固定地址。</w:t>
            </w:r>
          </w:p>
          <w:p w14:paraId="3414A99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9、支持采集和记录全部IP地址的当前与历史使用状态，并以图形和表格方式展现。</w:t>
            </w:r>
          </w:p>
          <w:p w14:paraId="72DD67B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10、要求提供用户终端信息和IP地址的推送接口，支持推送用户上线、离线信息至外部系统，提供和主流认证计费系统对接，实现用户上网无感知登录。</w:t>
            </w:r>
          </w:p>
          <w:p w14:paraId="440E9D6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11、支持通过短信、微信向管理员发送告警通知消息，自带微信告警服务平台，只需关注即可使用。</w:t>
            </w:r>
          </w:p>
          <w:p w14:paraId="75F9AF1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12、完整记录DHCP日志，包括DHCPDISCOVER/ DHCPREQUEST/ DHCPOFFER/ DHCPACK等报文，能够根据用户IP地址、终端MAC、报文类型、时间等关键信息进行搜索。</w:t>
            </w:r>
          </w:p>
          <w:p w14:paraId="4A49F67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13、支持操作日志的完整记录与查询，包括登录日志、DHCP配置变更日志等，支持自动定期备份系统配置到本地或远程服务器，并可以使用配置文件进行恢复。</w:t>
            </w:r>
          </w:p>
          <w:p w14:paraId="01B2D62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lang w:bidi="ar"/>
              </w:rPr>
              <w:t>14、支持在IPv6环境下以双机模式部署，对外以同一个IP提供高可用的服务。</w:t>
            </w:r>
          </w:p>
        </w:tc>
      </w:tr>
      <w:tr w14:paraId="0A600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45B877BA">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1390704D">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存储</w:t>
            </w:r>
          </w:p>
        </w:tc>
        <w:tc>
          <w:tcPr>
            <w:tcW w:w="477" w:type="pct"/>
            <w:tcBorders>
              <w:bottom w:val="single" w:color="auto" w:sz="4" w:space="0"/>
            </w:tcBorders>
            <w:noWrap w:val="0"/>
            <w:vAlign w:val="center"/>
          </w:tcPr>
          <w:p w14:paraId="40C5A153">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1台</w:t>
            </w:r>
          </w:p>
        </w:tc>
        <w:tc>
          <w:tcPr>
            <w:tcW w:w="464" w:type="pct"/>
            <w:tcBorders>
              <w:bottom w:val="single" w:color="auto" w:sz="4" w:space="0"/>
            </w:tcBorders>
            <w:noWrap w:val="0"/>
            <w:vAlign w:val="center"/>
          </w:tcPr>
          <w:p w14:paraId="099B3E1C">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软件和信息技术服务业</w:t>
            </w:r>
          </w:p>
        </w:tc>
        <w:tc>
          <w:tcPr>
            <w:tcW w:w="2855" w:type="pct"/>
            <w:noWrap w:val="0"/>
            <w:vAlign w:val="center"/>
          </w:tcPr>
          <w:p w14:paraId="226FB3F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▲1、为保证核心数据安全，存储的关键芯片（系统 BMC 管理芯片、接口卡处理芯片、SSD 控制芯片）均为国产品牌，实现关键芯片自主可控，保障数据安全可靠。</w:t>
            </w:r>
          </w:p>
          <w:p w14:paraId="419EAB3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▲2、控制器采用Active-Active架构，LUN不归属于某一个控制器，业务负载均衡到≥2个控制器，业务运行过程中，每个控制器的IOPS和CPU利用率差异不超过10%。</w:t>
            </w:r>
          </w:p>
          <w:p w14:paraId="7F5F6F0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所投存储底层操作系统采用欧拉、统信、麒麟或基于开放原子开源基金会孵化及运营的开源系统衍生的国产操作系统，不得采用国外开源社区操作系统（包括但不限于RedHat、CentOS及衍生版本）和国外操作系统（如Suse Linux）。</w:t>
            </w:r>
          </w:p>
          <w:p w14:paraId="15EA0A8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4、存储控制器为盘控一体架构，双控制器配置≥128GB缓存（缓存不包含SSD磁盘、PCI-E SSD、闪存、压缩或重删缓存等）；单控制框最大支持≥25个硬盘槽位;为节省机房空间，减少设备对机柜占用，单台存储控制框高度≤2U。</w:t>
            </w:r>
          </w:p>
          <w:p w14:paraId="7526264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★5、控制器采用多核ARM处理器，配置控制器处理器总物理核心数≥48核，主频≥2.5GHz。</w:t>
            </w:r>
          </w:p>
          <w:p w14:paraId="4AFE013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★6、配置≥25块3.84TB SSD硬盘。</w:t>
            </w:r>
          </w:p>
          <w:p w14:paraId="6294B87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★7、存储支持16/32 Gbps FC，1/10/25 GbE接口，配置≥8*1Gb ETH端口，配置≥4*10Gb ETH端口(满配对应多模光模块)，配置≥8*16Gb FC接口。</w:t>
            </w:r>
          </w:p>
          <w:p w14:paraId="0ED13A1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8、存储软件使用许可（含设备管理功能，智能精简配置功能，远程复制功能，快照功能，克隆功能，QoD、CDP、双活功能等）。</w:t>
            </w:r>
          </w:p>
          <w:p w14:paraId="683A0E3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▲9、存储设备在同一个RAID组内容忍任意3盘同时失效，数据不丢失，不中断业务。</w:t>
            </w:r>
          </w:p>
          <w:p w14:paraId="446AD38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10、全闪存存储系统支持 DIF 校验特性，对静默数据的修复可以检测和修复。</w:t>
            </w:r>
          </w:p>
          <w:p w14:paraId="69FED17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11、存储厂商提供专有多路径（非操作系统自带多路径）软件，支持Windows、Linux和中标麒麟、银河麒麟、凝思磐石等主流国产操作系统。</w:t>
            </w:r>
          </w:p>
          <w:p w14:paraId="004B9F8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12、提供5年维保服务。</w:t>
            </w:r>
          </w:p>
        </w:tc>
      </w:tr>
      <w:tr w14:paraId="09341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528A60A7">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5C5E52D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光纤交换机</w:t>
            </w:r>
          </w:p>
        </w:tc>
        <w:tc>
          <w:tcPr>
            <w:tcW w:w="477" w:type="pct"/>
            <w:tcBorders>
              <w:bottom w:val="single" w:color="auto" w:sz="4" w:space="0"/>
            </w:tcBorders>
            <w:noWrap w:val="0"/>
            <w:vAlign w:val="center"/>
          </w:tcPr>
          <w:p w14:paraId="52AD7A3A">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2台</w:t>
            </w:r>
          </w:p>
        </w:tc>
        <w:tc>
          <w:tcPr>
            <w:tcW w:w="464" w:type="pct"/>
            <w:tcBorders>
              <w:bottom w:val="single" w:color="auto" w:sz="4" w:space="0"/>
            </w:tcBorders>
            <w:noWrap w:val="0"/>
            <w:vAlign w:val="center"/>
          </w:tcPr>
          <w:p w14:paraId="0CEEEF9B">
            <w:pPr>
              <w:spacing w:line="360" w:lineRule="exact"/>
              <w:jc w:val="center"/>
              <w:rPr>
                <w:rFonts w:ascii="宋体" w:hAnsi="宋体"/>
                <w:color w:val="auto"/>
                <w:szCs w:val="21"/>
                <w:highlight w:val="none"/>
              </w:rPr>
            </w:pPr>
            <w:r>
              <w:rPr>
                <w:rFonts w:hint="eastAsia" w:ascii="宋体" w:hAnsi="宋体" w:cs="宋体"/>
                <w:color w:val="auto"/>
                <w:szCs w:val="21"/>
                <w:highlight w:val="none"/>
              </w:rPr>
              <w:t>软件和信息技术服务业</w:t>
            </w:r>
          </w:p>
        </w:tc>
        <w:tc>
          <w:tcPr>
            <w:tcW w:w="2855" w:type="pct"/>
            <w:noWrap w:val="0"/>
            <w:vAlign w:val="center"/>
          </w:tcPr>
          <w:p w14:paraId="00398FC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1、≥24端口交换机，全部端口激活，满配≥16Gb多模光模块。</w:t>
            </w:r>
          </w:p>
          <w:p w14:paraId="5D70E77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2、配置≥24条5M光纤跳线，配置级联，交流电源，机架套件。</w:t>
            </w:r>
          </w:p>
          <w:p w14:paraId="3D55635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3、≥3年原厂硬件保修现场服务和备件服务。</w:t>
            </w:r>
          </w:p>
        </w:tc>
      </w:tr>
      <w:tr w14:paraId="45B45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58086128">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0637F9C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光纤通道卡</w:t>
            </w:r>
          </w:p>
        </w:tc>
        <w:tc>
          <w:tcPr>
            <w:tcW w:w="477" w:type="pct"/>
            <w:tcBorders>
              <w:bottom w:val="single" w:color="auto" w:sz="4" w:space="0"/>
            </w:tcBorders>
            <w:noWrap w:val="0"/>
            <w:vAlign w:val="center"/>
          </w:tcPr>
          <w:p w14:paraId="1B3623EC">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10块</w:t>
            </w:r>
          </w:p>
        </w:tc>
        <w:tc>
          <w:tcPr>
            <w:tcW w:w="464" w:type="pct"/>
            <w:tcBorders>
              <w:bottom w:val="single" w:color="auto" w:sz="4" w:space="0"/>
            </w:tcBorders>
            <w:noWrap w:val="0"/>
            <w:vAlign w:val="center"/>
          </w:tcPr>
          <w:p w14:paraId="25193D17">
            <w:pPr>
              <w:spacing w:line="360" w:lineRule="exact"/>
              <w:jc w:val="center"/>
              <w:rPr>
                <w:rFonts w:ascii="宋体" w:hAnsi="宋体"/>
                <w:color w:val="auto"/>
                <w:szCs w:val="21"/>
                <w:highlight w:val="none"/>
              </w:rPr>
            </w:pPr>
            <w:r>
              <w:rPr>
                <w:rFonts w:hint="eastAsia" w:ascii="宋体" w:hAnsi="宋体" w:cs="宋体"/>
                <w:color w:val="auto"/>
                <w:szCs w:val="21"/>
                <w:highlight w:val="none"/>
              </w:rPr>
              <w:t>软件和信息技术服务业</w:t>
            </w:r>
          </w:p>
        </w:tc>
        <w:tc>
          <w:tcPr>
            <w:tcW w:w="2855" w:type="pct"/>
            <w:noWrap w:val="0"/>
            <w:vAlign w:val="center"/>
          </w:tcPr>
          <w:p w14:paraId="366CB2A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服务器HBA卡，双口≥16GB，满配模块。</w:t>
            </w:r>
          </w:p>
        </w:tc>
      </w:tr>
      <w:tr w14:paraId="2425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09BEB86B">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4431A62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光纤跳线</w:t>
            </w:r>
          </w:p>
        </w:tc>
        <w:tc>
          <w:tcPr>
            <w:tcW w:w="477" w:type="pct"/>
            <w:tcBorders>
              <w:bottom w:val="single" w:color="auto" w:sz="4" w:space="0"/>
            </w:tcBorders>
            <w:noWrap w:val="0"/>
            <w:vAlign w:val="center"/>
          </w:tcPr>
          <w:p w14:paraId="4CAFF412">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432条</w:t>
            </w:r>
          </w:p>
        </w:tc>
        <w:tc>
          <w:tcPr>
            <w:tcW w:w="464" w:type="pct"/>
            <w:tcBorders>
              <w:bottom w:val="single" w:color="auto" w:sz="4" w:space="0"/>
            </w:tcBorders>
            <w:noWrap w:val="0"/>
            <w:vAlign w:val="center"/>
          </w:tcPr>
          <w:p w14:paraId="2BFB70B5">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软件和信息技术服务业</w:t>
            </w:r>
          </w:p>
        </w:tc>
        <w:tc>
          <w:tcPr>
            <w:tcW w:w="2855" w:type="pct"/>
            <w:noWrap w:val="0"/>
            <w:vAlign w:val="center"/>
          </w:tcPr>
          <w:p w14:paraId="6882648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SC-LC或者LC-LC单模或者多模光纤跳线。</w:t>
            </w:r>
          </w:p>
        </w:tc>
      </w:tr>
      <w:tr w14:paraId="20B0D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5357A27D">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7712D2FA">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网络全流量分析一体机</w:t>
            </w:r>
          </w:p>
        </w:tc>
        <w:tc>
          <w:tcPr>
            <w:tcW w:w="477" w:type="pct"/>
            <w:tcBorders>
              <w:bottom w:val="single" w:color="auto" w:sz="4" w:space="0"/>
            </w:tcBorders>
            <w:noWrap w:val="0"/>
            <w:vAlign w:val="center"/>
          </w:tcPr>
          <w:p w14:paraId="2625DDEE">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1台</w:t>
            </w:r>
          </w:p>
        </w:tc>
        <w:tc>
          <w:tcPr>
            <w:tcW w:w="464" w:type="pct"/>
            <w:tcBorders>
              <w:bottom w:val="single" w:color="auto" w:sz="4" w:space="0"/>
            </w:tcBorders>
            <w:noWrap w:val="0"/>
            <w:vAlign w:val="center"/>
          </w:tcPr>
          <w:p w14:paraId="27BC41B7">
            <w:pPr>
              <w:spacing w:line="360" w:lineRule="exact"/>
              <w:jc w:val="center"/>
              <w:rPr>
                <w:rFonts w:ascii="宋体" w:hAnsi="宋体"/>
                <w:color w:val="auto"/>
                <w:szCs w:val="21"/>
                <w:highlight w:val="none"/>
              </w:rPr>
            </w:pPr>
            <w:r>
              <w:rPr>
                <w:rFonts w:hint="eastAsia" w:ascii="宋体" w:hAnsi="宋体" w:cs="宋体"/>
                <w:color w:val="auto"/>
                <w:szCs w:val="21"/>
                <w:highlight w:val="none"/>
              </w:rPr>
              <w:t>软件和信息技术服务业</w:t>
            </w:r>
          </w:p>
        </w:tc>
        <w:tc>
          <w:tcPr>
            <w:tcW w:w="2855" w:type="pct"/>
            <w:noWrap w:val="0"/>
            <w:vAlign w:val="center"/>
          </w:tcPr>
          <w:p w14:paraId="5E103FB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1、整机性能：会话并发数≥50万/s，会话新建数≥0.5万/s，流量处理能力≥1Gbps。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★2、设备实配：提供48核/2.6GHz CPU≥2颗，内存≥256GB，千兆电口≥4个，万兆光口≥4个，12*4TB-SATA 硬盘+2*960GB-SSD 硬盘，冗余交流电源。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3、提供APT攻击链组合威胁检测、诱捕主动防御、资产安全全面感知、多维环境感知、安全态势实时感知等功能。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4、采用国产化操作系统、国产数据库、国产商用大数据平台部署；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▲5、支持IPS引擎，IPS签名数量≥12000；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6、集成流探针组件，能够正常解析VXLAN流量；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▲7、当态势感知系统检测到威胁事件后，支持与网络控制器联动下发策略到交换机阻断流量，在交换机上可以查到下发的阻断策略；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8、支持自动化编排，检测到攻击流量后可以自动进行取证，下发策略到防火墙，在防火墙上可以查到下发的阻断策略；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9、支持威胁事件聚合管理，可以将短时间内发生的相关事件聚合为一条信息展示，对聚合事件进行钻取，可以查看到全面的威胁取证信息、恶意payload、恶意请求响应码、恶意流量包等；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10、支持漏洞扫描检测、攻击成功WebShell检测、攻击成功SQL注入检测、ECA加密流量异常检测、DGA恶意域名检测、Ping隐蔽通道检测、DNS隐蔽通道检测等威胁检测；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11、支持日志无码化采集，可以采集第三方日志，在态势感知系统上能够查看日志接受和处理情况，能够查看到第三方日志的详细信息。</w:t>
            </w:r>
          </w:p>
        </w:tc>
      </w:tr>
      <w:tr w14:paraId="754A5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6"/>
            <w:noWrap w:val="0"/>
            <w:vAlign w:val="center"/>
          </w:tcPr>
          <w:p w14:paraId="7ABD3874">
            <w:pPr>
              <w:spacing w:line="36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（二）机柜通道</w:t>
            </w:r>
          </w:p>
        </w:tc>
      </w:tr>
      <w:tr w14:paraId="7F158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640E2CC9">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1AA79292">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服务器机柜</w:t>
            </w:r>
          </w:p>
        </w:tc>
        <w:tc>
          <w:tcPr>
            <w:tcW w:w="477" w:type="pct"/>
            <w:tcBorders>
              <w:bottom w:val="single" w:color="auto" w:sz="4" w:space="0"/>
            </w:tcBorders>
            <w:noWrap w:val="0"/>
            <w:vAlign w:val="center"/>
          </w:tcPr>
          <w:p w14:paraId="3DADB77A">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28套</w:t>
            </w:r>
          </w:p>
        </w:tc>
        <w:tc>
          <w:tcPr>
            <w:tcW w:w="464" w:type="pct"/>
            <w:tcBorders>
              <w:bottom w:val="single" w:color="auto" w:sz="4" w:space="0"/>
            </w:tcBorders>
            <w:noWrap w:val="0"/>
            <w:vAlign w:val="center"/>
          </w:tcPr>
          <w:p w14:paraId="2C54745F">
            <w:pPr>
              <w:spacing w:line="360" w:lineRule="exact"/>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2855" w:type="pct"/>
            <w:noWrap w:val="0"/>
            <w:vAlign w:val="center"/>
          </w:tcPr>
          <w:p w14:paraId="04D45E4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1、尺寸：800mm×1200mm×2000mm，42U标准机柜。并配有若干束线圈，理线架，40个1U假面板，固定层板≥1个。</w:t>
            </w:r>
          </w:p>
          <w:p w14:paraId="41096AA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2、机柜为前进风、后出风机柜，机柜门和侧板为可拆卸式结构，门的开合转动灵活、锁定可靠、施工安装和维护方便；门的开启角应不小于120°。后门应采用外开门方式，前门单开，后门双开。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3、符合IEC 60297-2、ANSI/EIA RS-310-D标准，兼容19”国际标准，机柜颜色为黑色。                                                                                                                                     4、采用高强度A级优质碳素冷轧钢板和镀锌板。满足防腐、防锈、光洁、色泽均匀、无流挂、不露底、无起泡、无裂纹、金属件无毛刺锈蚀要求。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5、机柜非承重部件板厚在不小于1.0mm，承重部件立柱板厚在不小于2.0mm。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▲6、前进风机柜,其前后门均为通风网孔门，开孔率不小于70%。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7、静态承载能力不小于2000kg。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8、按照标准YD5083-2005《电信设备抗地震性能检测规范》要求。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9、机柜可以并列安装，随机应配有并柜连接件。并柜连接件可在无需拆卸机柜门的情况下，实现机柜快速并柜功能，简化安装流程。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10、机柜具备至少2个接地点，提供全方位接地保护。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11、整体防护等级应不小于IP20。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12、采用单独为PDU或者配电单元设置接地点，提高接地的安全及可靠性。    </w:t>
            </w:r>
          </w:p>
        </w:tc>
      </w:tr>
      <w:tr w14:paraId="61838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1A5337D3">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6CBF0F2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进线机柜</w:t>
            </w:r>
          </w:p>
        </w:tc>
        <w:tc>
          <w:tcPr>
            <w:tcW w:w="477" w:type="pct"/>
            <w:tcBorders>
              <w:bottom w:val="single" w:color="auto" w:sz="4" w:space="0"/>
            </w:tcBorders>
            <w:noWrap w:val="0"/>
            <w:vAlign w:val="center"/>
          </w:tcPr>
          <w:p w14:paraId="03BC1D38">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6套</w:t>
            </w:r>
          </w:p>
        </w:tc>
        <w:tc>
          <w:tcPr>
            <w:tcW w:w="464" w:type="pct"/>
            <w:tcBorders>
              <w:bottom w:val="single" w:color="auto" w:sz="4" w:space="0"/>
            </w:tcBorders>
            <w:noWrap w:val="0"/>
            <w:vAlign w:val="center"/>
          </w:tcPr>
          <w:p w14:paraId="1AFF3314">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10BF0776">
            <w:pPr>
              <w:widowControl/>
              <w:numPr>
                <w:ilvl w:val="0"/>
                <w:numId w:val="0"/>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外形尺寸：高度2200mm（±10%） × 宽度800mm（±10%） × 深度300～400mm</w:t>
            </w:r>
          </w:p>
          <w:p w14:paraId="666E156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接口类型：LC型光纤适配器接口</w:t>
            </w:r>
          </w:p>
          <w:p w14:paraId="713CB5F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满配容量：≥576芯光纤适配器（满配576个</w:t>
            </w:r>
            <w:r>
              <w:rPr>
                <w:rFonts w:ascii="宋体" w:hAnsi="宋体" w:cs="宋体"/>
                <w:color w:val="auto"/>
                <w:kern w:val="0"/>
                <w:szCs w:val="21"/>
                <w:highlight w:val="none"/>
                <w:lang w:bidi="ar"/>
              </w:rPr>
              <w:t>L</w:t>
            </w:r>
            <w:r>
              <w:rPr>
                <w:rFonts w:hint="eastAsia" w:ascii="宋体" w:hAnsi="宋体" w:cs="宋体"/>
                <w:color w:val="auto"/>
                <w:kern w:val="0"/>
                <w:szCs w:val="21"/>
                <w:highlight w:val="none"/>
                <w:lang w:bidi="ar"/>
              </w:rPr>
              <w:t>C适配器端口）</w:t>
            </w:r>
          </w:p>
          <w:p w14:paraId="52A16DE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熔接模块：模块化结构，配置满足1152芯光纤熔接与配线需求</w:t>
            </w:r>
          </w:p>
          <w:p w14:paraId="13E777E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熔接盘容：配备LC型双芯适配器安装板（可抽拉、可更换），每盘≥24芯，配置足够数量满足满配要求</w:t>
            </w:r>
          </w:p>
          <w:p w14:paraId="41D616C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跳纤管理：配置走纤环、光缆管理托盘，支持跳纤有序管理</w:t>
            </w:r>
          </w:p>
          <w:p w14:paraId="1A8B19F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材质：≥1.2mm优质冷轧钢</w:t>
            </w:r>
          </w:p>
          <w:p w14:paraId="3D725BF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表面处理：静电喷塑，防锈、防腐蚀，颜色灰白或黑色</w:t>
            </w:r>
          </w:p>
          <w:p w14:paraId="7BD6689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bidi="ar"/>
              </w:rPr>
              <w:t xml:space="preserve"> 门体结构：前后双门，门上配通风孔，带锁具</w:t>
            </w:r>
          </w:p>
          <w:p w14:paraId="289DD70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地线配置：配备可靠的接地排和接地端子，机柜整体接地</w:t>
            </w:r>
          </w:p>
          <w:p w14:paraId="253A3EE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11、</w:t>
            </w:r>
            <w:r>
              <w:rPr>
                <w:rFonts w:hint="eastAsia" w:ascii="宋体" w:hAnsi="宋体" w:cs="宋体"/>
                <w:color w:val="auto"/>
                <w:kern w:val="0"/>
                <w:szCs w:val="21"/>
                <w:highlight w:val="none"/>
                <w:lang w:bidi="ar"/>
              </w:rPr>
              <w:t xml:space="preserve"> 进缆方式：上下进缆方式均支持，带进缆固定装置</w:t>
            </w:r>
          </w:p>
        </w:tc>
      </w:tr>
      <w:tr w14:paraId="1304B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4ADADA27">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2543590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机柜PDU</w:t>
            </w:r>
          </w:p>
        </w:tc>
        <w:tc>
          <w:tcPr>
            <w:tcW w:w="477" w:type="pct"/>
            <w:tcBorders>
              <w:bottom w:val="single" w:color="auto" w:sz="4" w:space="0"/>
            </w:tcBorders>
            <w:noWrap w:val="0"/>
            <w:vAlign w:val="center"/>
          </w:tcPr>
          <w:p w14:paraId="69FF2632">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72条</w:t>
            </w:r>
          </w:p>
        </w:tc>
        <w:tc>
          <w:tcPr>
            <w:tcW w:w="464" w:type="pct"/>
            <w:tcBorders>
              <w:bottom w:val="single" w:color="auto" w:sz="4" w:space="0"/>
            </w:tcBorders>
            <w:noWrap w:val="0"/>
            <w:vAlign w:val="center"/>
          </w:tcPr>
          <w:p w14:paraId="33D8D94F">
            <w:pPr>
              <w:spacing w:line="360" w:lineRule="exact"/>
              <w:jc w:val="center"/>
              <w:rPr>
                <w:rFonts w:ascii="宋体" w:hAnsi="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2CA149FD">
            <w:pPr>
              <w:spacing w:line="36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配电排-基本型-输出接口20*GB 10A+4*GB 16A-国标插座-7.3KVA-竖装全高-右安装。</w:t>
            </w:r>
          </w:p>
        </w:tc>
      </w:tr>
      <w:tr w14:paraId="2BDE9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7988F4DA">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7E0D7EA8">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冷通道封闭组件</w:t>
            </w:r>
          </w:p>
        </w:tc>
        <w:tc>
          <w:tcPr>
            <w:tcW w:w="477" w:type="pct"/>
            <w:tcBorders>
              <w:bottom w:val="single" w:color="auto" w:sz="4" w:space="0"/>
            </w:tcBorders>
            <w:noWrap w:val="0"/>
            <w:vAlign w:val="center"/>
          </w:tcPr>
          <w:p w14:paraId="2B7E7582">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2套</w:t>
            </w:r>
          </w:p>
        </w:tc>
        <w:tc>
          <w:tcPr>
            <w:tcW w:w="464" w:type="pct"/>
            <w:tcBorders>
              <w:bottom w:val="single" w:color="auto" w:sz="4" w:space="0"/>
            </w:tcBorders>
            <w:noWrap w:val="0"/>
            <w:vAlign w:val="center"/>
          </w:tcPr>
          <w:p w14:paraId="71463922">
            <w:pPr>
              <w:spacing w:line="360" w:lineRule="exact"/>
              <w:jc w:val="center"/>
              <w:rPr>
                <w:rFonts w:ascii="宋体" w:hAnsi="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0B90BB60">
            <w:pPr>
              <w:widowControl/>
              <w:numPr>
                <w:ilvl w:val="0"/>
                <w:numId w:val="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通道顶部采用平顶结构，顶部天窗分为功能天窗、翻转天窗和玻璃天窗。天窗开启后要求确保冷通道的净高大于2米，不影响日常维护工作和维护人员安全。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冷通道天窗应配置5mm厚的钢化玻璃进行采光，应采用电磁方式进行控制管理开启或者闭合信号，应支持消防系统联动。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冷通道活动天窗开启角度应≥90°，应设有缓冲限位件，可进行消音和定位；冷通道应采用独立框架结构，能独立搭建，与机柜及其他功能柜接缝处应采用密封处理；冷通道顶部应预留监控摄像头、烟雾报警器、温度传感器等监测器件的安装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冷通道门应具备自动闭门功能；冷通道应标配三色氛围灯。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翻转天窗具备消防联动功能，冷通道内消防报警时可自动开启。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冷通道两侧门采用自动平移门，通道门需配置门禁系统，门禁系统可接入动环监控管理系统。应支持人脸识别+指纹+刷卡+密码三种开启方式。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检验项目至少须包含“外观尺寸、等电位联结、通道组件、天窗、门、灯具及辐照度、监控架构、显示、告警、门禁、供电架构、防雷、制冷系统、布线系统”。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微模块数据中心的封闭通道内宽度应能够满足两侧机柜门同时开启，机柜门的开启角度须不小于110°，开启后应不妨碍柜内设备安装和维护。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bidi="ar"/>
              </w:rPr>
              <w:t>微模块数据中心的机柜门通孔率须不小于80％，以保证机柜正面可进入足够的冷风量。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微模块数据中心应具备三级防雷保护。</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11、</w:t>
            </w:r>
            <w:r>
              <w:rPr>
                <w:rFonts w:hint="eastAsia" w:ascii="宋体" w:hAnsi="宋体" w:cs="宋体"/>
                <w:color w:val="auto"/>
                <w:kern w:val="0"/>
                <w:szCs w:val="21"/>
                <w:highlight w:val="none"/>
                <w:lang w:bidi="ar"/>
              </w:rPr>
              <w:t>模块化数据中心封闭通道，经8、9烈度结构抗地震考核后，该设备符合结构抗地震性能规定的要求，其结构抗地震性能评为合格。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12、</w:t>
            </w:r>
            <w:r>
              <w:rPr>
                <w:rFonts w:hint="eastAsia" w:ascii="宋体" w:hAnsi="宋体" w:cs="宋体"/>
                <w:color w:val="auto"/>
                <w:kern w:val="0"/>
                <w:szCs w:val="21"/>
                <w:highlight w:val="none"/>
                <w:lang w:bidi="ar"/>
              </w:rPr>
              <w:t>微模块数据中心应采用先进的节能设计，并应经过科学的“能效值（PUE）”检验及实测：在当微模块数据中心的空调室外机所处“环境温度为35℃，负载率为100%条件下”，要求PUE实测值应≤1．28，在当微模块数据中心的空调室外机所处“环境温度为15℃，负载率为100%条件下”，要求PUE实测值应≤1．25。</w:t>
            </w:r>
          </w:p>
        </w:tc>
      </w:tr>
      <w:tr w14:paraId="5DAB4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6"/>
            <w:noWrap w:val="0"/>
            <w:vAlign w:val="center"/>
          </w:tcPr>
          <w:p w14:paraId="1D6D75AB">
            <w:pPr>
              <w:spacing w:line="36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（三）UPS配电系统</w:t>
            </w:r>
          </w:p>
        </w:tc>
      </w:tr>
      <w:tr w14:paraId="0F569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07EA8B79">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58D11FF3">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市电输入切换配电柜</w:t>
            </w:r>
          </w:p>
        </w:tc>
        <w:tc>
          <w:tcPr>
            <w:tcW w:w="477" w:type="pct"/>
            <w:tcBorders>
              <w:bottom w:val="single" w:color="auto" w:sz="4" w:space="0"/>
            </w:tcBorders>
            <w:noWrap w:val="0"/>
            <w:vAlign w:val="center"/>
          </w:tcPr>
          <w:p w14:paraId="5E7FEF85">
            <w:pPr>
              <w:widowControl/>
              <w:spacing w:line="36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1台</w:t>
            </w:r>
          </w:p>
        </w:tc>
        <w:tc>
          <w:tcPr>
            <w:tcW w:w="464" w:type="pct"/>
            <w:tcBorders>
              <w:bottom w:val="single" w:color="auto" w:sz="4" w:space="0"/>
            </w:tcBorders>
            <w:noWrap w:val="0"/>
            <w:vAlign w:val="center"/>
          </w:tcPr>
          <w:p w14:paraId="4D5F94F4">
            <w:pPr>
              <w:widowControl/>
              <w:spacing w:line="360" w:lineRule="exact"/>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工业</w:t>
            </w:r>
          </w:p>
        </w:tc>
        <w:tc>
          <w:tcPr>
            <w:tcW w:w="2855" w:type="pct"/>
            <w:noWrap w:val="0"/>
            <w:vAlign w:val="center"/>
          </w:tcPr>
          <w:p w14:paraId="0D77BEBB">
            <w:pPr>
              <w:widowControl/>
              <w:numPr>
                <w:ilvl w:val="0"/>
                <w:numId w:val="0"/>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配电柜为模块化结构。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配置：输入800A/4P ATS+输出2*400A/3P+1*400A/4P+2*250A/3P+3*63A/3P+2*32/1P。</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机柜满足防腐、防锈、防火、光洁、色泽均匀、无流挂、不露底、无起泡、无裂纹、金属件无毛刺锈蚀要求。</w:t>
            </w:r>
          </w:p>
          <w:p w14:paraId="221305D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母排含铜量不低于99.90%。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进线主断路器和支路断路器应采用ABB、施耐德、西门子或同等品牌的塑壳断路器。</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配电柜应设置数字显示型多功能智能仪表，能够进行电压、电流、电度、功率、功率因数、三相不平衡度、频率等测量、综合显示（就地数显）、谐波分析、并具有与动力环境监控系统相连的RS485或RS232通信接口及通信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多功能智能仪表应具备数据和故障记录功能，自带RS485通信接口，提供通信协议，采用液晶背光显示，可直接读取并上传实际电度数。</w:t>
            </w:r>
          </w:p>
        </w:tc>
      </w:tr>
      <w:tr w14:paraId="5109C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7C639C02">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5EC729FA">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市电配电柜</w:t>
            </w:r>
          </w:p>
        </w:tc>
        <w:tc>
          <w:tcPr>
            <w:tcW w:w="477" w:type="pct"/>
            <w:tcBorders>
              <w:bottom w:val="single" w:color="auto" w:sz="4" w:space="0"/>
            </w:tcBorders>
            <w:noWrap w:val="0"/>
            <w:vAlign w:val="center"/>
          </w:tcPr>
          <w:p w14:paraId="329562DE">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1台</w:t>
            </w:r>
          </w:p>
        </w:tc>
        <w:tc>
          <w:tcPr>
            <w:tcW w:w="464" w:type="pct"/>
            <w:tcBorders>
              <w:bottom w:val="single" w:color="auto" w:sz="4" w:space="0"/>
            </w:tcBorders>
            <w:noWrap w:val="0"/>
            <w:vAlign w:val="center"/>
          </w:tcPr>
          <w:p w14:paraId="0EFD0F8D">
            <w:pPr>
              <w:spacing w:line="360" w:lineRule="exact"/>
              <w:jc w:val="center"/>
              <w:rPr>
                <w:rFonts w:ascii="宋体" w:hAnsi="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6ED16F7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1、输入:400A/3P*1，输出：63A/3P*10+32A/3P*10+32A/1P*8+16A/1P*12；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2、采用主流品牌断路器产品，63A以上电流等级采用塑壳断路器，额定分断能力不低于36KA，63A及以下采用微型断路器，额定分断能力不低于6KA；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3、配置≥7英寸智能电表（用标准的通讯接口及开放的通讯协议），满足主路的配电参数实时监控功能；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4、配置浪涌防雷器，8/20us，标称放电电流In=30KA；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5、63A/3P以上空开采用纯铜排连接，63A/3P及以下空开采用电缆连接</w:t>
            </w:r>
          </w:p>
        </w:tc>
      </w:tr>
      <w:tr w14:paraId="60CD8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679205B7">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4FE27E57">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精密配电列头柜</w:t>
            </w:r>
          </w:p>
        </w:tc>
        <w:tc>
          <w:tcPr>
            <w:tcW w:w="477" w:type="pct"/>
            <w:tcBorders>
              <w:bottom w:val="single" w:color="auto" w:sz="4" w:space="0"/>
            </w:tcBorders>
            <w:noWrap w:val="0"/>
            <w:vAlign w:val="center"/>
          </w:tcPr>
          <w:p w14:paraId="3ED06769">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2台</w:t>
            </w:r>
          </w:p>
        </w:tc>
        <w:tc>
          <w:tcPr>
            <w:tcW w:w="464" w:type="pct"/>
            <w:tcBorders>
              <w:bottom w:val="single" w:color="auto" w:sz="4" w:space="0"/>
            </w:tcBorders>
            <w:noWrap w:val="0"/>
            <w:vAlign w:val="center"/>
          </w:tcPr>
          <w:p w14:paraId="7719303B">
            <w:pPr>
              <w:spacing w:line="360" w:lineRule="exact"/>
              <w:jc w:val="center"/>
              <w:rPr>
                <w:rFonts w:ascii="宋体" w:hAnsi="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543773D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1、精密配电柜柜尺寸（W*D*H）600mm</w:t>
            </w:r>
            <w:r>
              <w:rPr>
                <w:rFonts w:hint="eastAsia" w:ascii="宋体" w:hAnsi="宋体" w:cs="宋体"/>
                <w:color w:val="auto"/>
                <w:kern w:val="0"/>
                <w:szCs w:val="21"/>
                <w:highlight w:val="none"/>
                <w:lang w:bidi="ar"/>
              </w:rPr>
              <w:t>（±10%）</w:t>
            </w:r>
            <w:r>
              <w:rPr>
                <w:rFonts w:hint="eastAsia" w:ascii="宋体" w:hAnsi="宋体" w:cs="宋体"/>
                <w:color w:val="auto"/>
                <w:szCs w:val="21"/>
                <w:highlight w:val="none"/>
              </w:rPr>
              <w:t>*1200mm</w:t>
            </w:r>
            <w:r>
              <w:rPr>
                <w:rFonts w:hint="eastAsia" w:ascii="宋体" w:hAnsi="宋体" w:cs="宋体"/>
                <w:color w:val="auto"/>
                <w:kern w:val="0"/>
                <w:szCs w:val="21"/>
                <w:highlight w:val="none"/>
                <w:lang w:bidi="ar"/>
              </w:rPr>
              <w:t>（±10%)</w:t>
            </w:r>
            <w:r>
              <w:rPr>
                <w:rFonts w:hint="eastAsia" w:ascii="宋体" w:hAnsi="宋体" w:cs="宋体"/>
                <w:color w:val="auto"/>
                <w:szCs w:val="21"/>
                <w:highlight w:val="none"/>
              </w:rPr>
              <w:t>*2000mm 。</w:t>
            </w:r>
          </w:p>
          <w:p w14:paraId="1BFE030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2、配置不少于IT配电输入2*160A/3P+输出2*24*40A/3P。</w:t>
            </w:r>
          </w:p>
          <w:p w14:paraId="5E850A7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3、支持双路电源输入 ，需配置指示灯指示电源输入状态。</w:t>
            </w:r>
          </w:p>
          <w:p w14:paraId="61D3A56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4、母排应采用高电导率纯铜导体。 </w:t>
            </w:r>
          </w:p>
          <w:p w14:paraId="4D9E460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5、前门为双层门结构，使带电母排与操作空间有效隔离，保障人身安全。</w:t>
            </w:r>
          </w:p>
          <w:p w14:paraId="6609803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6、进线主断路器和支路断路器应采用ABB、施耐德、西门子或同等品牌的塑壳断路器，主断路器分断能力不低于36kA;支路断路器分断能力不低于6kA。</w:t>
            </w:r>
          </w:p>
          <w:p w14:paraId="3AFF12A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7、浪涌保护器采用C级浪涌保护器，耐冲击过电压额定值≤1.8kV，标称放电电流≥20KA。</w:t>
            </w:r>
          </w:p>
          <w:p w14:paraId="489F0B3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8、采用≥7寸液晶彩色触摸屏展示系统模拟图，系统模拟图可显示各开关和防雷器的实时状态，可显示所有主回路及支回路的电量信息。智能监控板应支持MODBUS或SNMP协议，支持被第三方网管集成。</w:t>
            </w:r>
          </w:p>
          <w:p w14:paraId="5CF5D27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9、主回路电压、电流测量精度不低于0.5%，有功/无功功率测量精度不低于1%，电能测量精度不低于1%。</w:t>
            </w:r>
          </w:p>
          <w:p w14:paraId="03B3D4D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10、支路额定电流、实际电流，支路负载百分比，支路开关状态，支路温度测量。  </w:t>
            </w:r>
          </w:p>
          <w:p w14:paraId="5B6AB3A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11、支路电流测量精度不低于0.5%，有功功率测量精度不低于2%，电能测量精度不低于2%</w:t>
            </w:r>
          </w:p>
        </w:tc>
      </w:tr>
      <w:tr w14:paraId="3FC90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13B7C397">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2883586D">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应急照明配电箱</w:t>
            </w:r>
          </w:p>
        </w:tc>
        <w:tc>
          <w:tcPr>
            <w:tcW w:w="477" w:type="pct"/>
            <w:tcBorders>
              <w:bottom w:val="single" w:color="auto" w:sz="4" w:space="0"/>
            </w:tcBorders>
            <w:noWrap w:val="0"/>
            <w:vAlign w:val="center"/>
          </w:tcPr>
          <w:p w14:paraId="0107D75E">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1台</w:t>
            </w:r>
          </w:p>
        </w:tc>
        <w:tc>
          <w:tcPr>
            <w:tcW w:w="464" w:type="pct"/>
            <w:tcBorders>
              <w:bottom w:val="single" w:color="auto" w:sz="4" w:space="0"/>
            </w:tcBorders>
            <w:noWrap w:val="0"/>
            <w:vAlign w:val="center"/>
          </w:tcPr>
          <w:p w14:paraId="7932F8E0">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384AC4B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1、两路UPS电由32A/4P ATS切换后输入，输出：32A/1P*3+16A/1P*3。</w:t>
            </w:r>
          </w:p>
          <w:p w14:paraId="0D834FB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2、采用主流品牌断路器产品，63A以上电流等级采用塑壳断路器，额定分断能力不低于36KA，63A及以下采用微型断路器，额定分断能力不低于6KA。</w:t>
            </w:r>
          </w:p>
          <w:p w14:paraId="3B2E356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3、配置浪涌防雷器，8/20us，标称放电电流In=20KA。</w:t>
            </w:r>
          </w:p>
          <w:p w14:paraId="2EFA67B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4、尺寸≥500H×600W×200D，结构：挂墙安装，电缆下进线下出线。</w:t>
            </w:r>
          </w:p>
        </w:tc>
      </w:tr>
      <w:tr w14:paraId="1468E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6"/>
            <w:noWrap w:val="0"/>
            <w:vAlign w:val="center"/>
          </w:tcPr>
          <w:p w14:paraId="3F23F489">
            <w:pPr>
              <w:spacing w:line="36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（四）空调系统</w:t>
            </w:r>
          </w:p>
        </w:tc>
      </w:tr>
      <w:tr w14:paraId="75308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1D8F5618">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01CAAC71">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列间精密空调</w:t>
            </w:r>
          </w:p>
        </w:tc>
        <w:tc>
          <w:tcPr>
            <w:tcW w:w="477" w:type="pct"/>
            <w:tcBorders>
              <w:bottom w:val="single" w:color="auto" w:sz="4" w:space="0"/>
            </w:tcBorders>
            <w:noWrap w:val="0"/>
            <w:vAlign w:val="center"/>
          </w:tcPr>
          <w:p w14:paraId="0A37719B">
            <w:pPr>
              <w:widowControl/>
              <w:spacing w:line="36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6台</w:t>
            </w:r>
          </w:p>
        </w:tc>
        <w:tc>
          <w:tcPr>
            <w:tcW w:w="464" w:type="pct"/>
            <w:tcBorders>
              <w:bottom w:val="single" w:color="auto" w:sz="4" w:space="0"/>
            </w:tcBorders>
            <w:noWrap w:val="0"/>
            <w:vAlign w:val="center"/>
          </w:tcPr>
          <w:p w14:paraId="3C0673F6">
            <w:pPr>
              <w:spacing w:line="36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工业</w:t>
            </w:r>
          </w:p>
        </w:tc>
        <w:tc>
          <w:tcPr>
            <w:tcW w:w="2855" w:type="pct"/>
            <w:noWrap w:val="0"/>
            <w:vAlign w:val="center"/>
          </w:tcPr>
          <w:p w14:paraId="396EEAA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1.本项目要求采用风冷型恒温恒湿机型列间精密空调，水平送风。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2.本项目采用微模块冷通道方案，精密空调室内机尺寸应为600（±10%）*1200（±10%）*2000mm，应与IT机柜现场无缝对接、拼柜。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▲3.精密空调制冷量≥40KW，标准风量≥9000m³/h。</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4.加热量应不小6KW，加湿量应不小于3kg/h。</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5.室外环境温度-5℃~45℃可靠运行，标配低温组件方案后，采用空开和接触器，可满足380V士15% 3N~50Hz土2Hz宽制式电源。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6.应采高效EC离心风机，可根据整机负荷自动无级调控风机转速，有效降低风机能耗。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7.压缩机能够实现20~100%变容量制冷量输出，匹配负载需求;空调整机结构采用“数冲+专业开模”工艺，板材一体化成型，结构强度好，耐热性能强。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8.应标配G4空气过滤网，可清洗，便于维护，使用寿命长；应标配过滤网风压差开关，可在过滤网发生堵塞时发出报警，提示过滤网清洗或更换。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9.机组室内与室外的风侧换热器，均采用高效内螺纹铜管与蓝色亲水铝膜低压损翅片组合。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▲10.应标配电子膨胀阀，无级调节开度10%~100%,根据运行工况及蒸发器冷媒需求量，实时迅速调节膨胀阀开度，不接受热力膨胀阀等其他形式。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11.考虑所投精密空调环保性能，要求使用R410A环保制冷剂。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▲12.应具有智能群控功能，群控网络可组网运行。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13.精密空调微处理控制器应配置不小于7英寸触摸显示器，用户界面操作简洁。应具备多级密码保护，能有效防止非法操作。控制器具有掉电记忆、故障告警提醒等功能，应标配RS485接口。</w:t>
            </w:r>
          </w:p>
          <w:p w14:paraId="513A529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14.根据现场需求，提供产品设备安装所需要所有配件（含内机支架、铜管、保温棉、延长组件、冷媒、管路支架、进排水管等辅材）以及动力环境监控系统（动环系统）的集成等配套工程（包含材料与人工）。</w:t>
            </w:r>
          </w:p>
        </w:tc>
      </w:tr>
      <w:tr w14:paraId="57F13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0938B511">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05461C95">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精密空调</w:t>
            </w:r>
          </w:p>
        </w:tc>
        <w:tc>
          <w:tcPr>
            <w:tcW w:w="477" w:type="pct"/>
            <w:tcBorders>
              <w:bottom w:val="single" w:color="auto" w:sz="4" w:space="0"/>
            </w:tcBorders>
            <w:noWrap w:val="0"/>
            <w:vAlign w:val="center"/>
          </w:tcPr>
          <w:p w14:paraId="13DC9382">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2台</w:t>
            </w:r>
          </w:p>
        </w:tc>
        <w:tc>
          <w:tcPr>
            <w:tcW w:w="464" w:type="pct"/>
            <w:tcBorders>
              <w:bottom w:val="single" w:color="auto" w:sz="4" w:space="0"/>
            </w:tcBorders>
            <w:noWrap w:val="0"/>
            <w:vAlign w:val="center"/>
          </w:tcPr>
          <w:p w14:paraId="146983C4">
            <w:pPr>
              <w:spacing w:line="360" w:lineRule="exact"/>
              <w:jc w:val="center"/>
              <w:rPr>
                <w:rFonts w:ascii="宋体" w:hAnsi="宋体"/>
                <w:color w:val="auto"/>
                <w:szCs w:val="21"/>
                <w:highlight w:val="none"/>
              </w:rPr>
            </w:pPr>
            <w:r>
              <w:rPr>
                <w:rFonts w:hint="eastAsia"/>
                <w:color w:val="auto"/>
                <w:highlight w:val="none"/>
              </w:rPr>
              <w:t>工业</w:t>
            </w:r>
          </w:p>
        </w:tc>
        <w:tc>
          <w:tcPr>
            <w:tcW w:w="2855" w:type="pct"/>
            <w:noWrap w:val="0"/>
            <w:vAlign w:val="center"/>
          </w:tcPr>
          <w:p w14:paraId="1CDF623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1.本项目要求采用单系统单压缩机，风冷型恒温恒湿机型精密空调，上前送风。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▲2.精密空调制冷量≥13KW，显冷量≥12KW，标准风量≥3500m³/h。</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3.加热量应不小3KW，加湿量应不小于3kg/h。</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4.应具备高稳定性，超宽输入电压设计，三相电源机组运行电压波动范围380Vac±20%，并具有缺相保护功能。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5.应采用电子膨胀阀，有利于精准控制，更加高效节能,不接受热力膨胀阀等其他形式。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6.考虑所投精密空调环保性能，要求使用R410A环保制冷剂。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7.应具备来电自动重启功能。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▲8.应具有智能群控功能，群控网络可组网运行。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9.须标配RS485通讯接口，通过后台通信系统可实现对空调机组远程控制、实时数据收集、远程参数设定等功能。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10.应具备告警等级功能。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11.精密空调机组人机界面应配置全中文≥4.3寸触摸屏，应具备多级密码保护，故障诊断等功能。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▲12.精密空调当前告警记录可储存不低于100条；历史告警记录应可保存不低于500条，在告警历史记录中存储告警类型、发生时间、持续时间等。</w:t>
            </w:r>
          </w:p>
          <w:p w14:paraId="35018A4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14.根据现场需求，提供产品设备安装所需要所有配件（含内机支架、铜管、保温棉、延长组件、冷媒、管路支架、进排水管等辅材）以及动力环境监控系统（动环系统）的集成等配套工程（包含材料与人工）。</w:t>
            </w:r>
          </w:p>
        </w:tc>
      </w:tr>
      <w:tr w14:paraId="078A4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6"/>
            <w:noWrap w:val="0"/>
            <w:vAlign w:val="center"/>
          </w:tcPr>
          <w:p w14:paraId="60E114C0">
            <w:pPr>
              <w:spacing w:line="360" w:lineRule="exact"/>
              <w:jc w:val="left"/>
              <w:rPr>
                <w:rFonts w:ascii="宋体" w:hAnsi="宋体" w:cs="宋体"/>
                <w:color w:val="auto"/>
                <w:szCs w:val="21"/>
                <w:highlight w:val="none"/>
              </w:rPr>
            </w:pPr>
            <w:r>
              <w:rPr>
                <w:rFonts w:hint="eastAsia" w:ascii="宋体" w:hAnsi="宋体" w:cs="宋体"/>
                <w:b/>
                <w:bCs/>
                <w:color w:val="auto"/>
                <w:kern w:val="0"/>
                <w:szCs w:val="21"/>
                <w:highlight w:val="none"/>
                <w:lang w:bidi="ar"/>
              </w:rPr>
              <w:t>（五）测试间设备</w:t>
            </w:r>
          </w:p>
        </w:tc>
      </w:tr>
      <w:tr w14:paraId="4B41C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41CE8599">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1EB8B6FC">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测试间计算机终端</w:t>
            </w:r>
          </w:p>
        </w:tc>
        <w:tc>
          <w:tcPr>
            <w:tcW w:w="477" w:type="pct"/>
            <w:tcBorders>
              <w:bottom w:val="single" w:color="auto" w:sz="4" w:space="0"/>
            </w:tcBorders>
            <w:noWrap w:val="0"/>
            <w:vAlign w:val="center"/>
          </w:tcPr>
          <w:p w14:paraId="316737F0">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2套</w:t>
            </w:r>
          </w:p>
        </w:tc>
        <w:tc>
          <w:tcPr>
            <w:tcW w:w="464" w:type="pct"/>
            <w:tcBorders>
              <w:bottom w:val="single" w:color="auto" w:sz="4" w:space="0"/>
            </w:tcBorders>
            <w:noWrap w:val="0"/>
            <w:vAlign w:val="center"/>
          </w:tcPr>
          <w:p w14:paraId="08AAF0C6">
            <w:pPr>
              <w:widowControl/>
              <w:spacing w:line="360" w:lineRule="exact"/>
              <w:jc w:val="center"/>
              <w:textAlignment w:val="center"/>
              <w:rPr>
                <w:rFonts w:hint="eastAsia" w:ascii="宋体" w:hAnsi="宋体" w:cs="宋体"/>
                <w:color w:val="auto"/>
                <w:szCs w:val="21"/>
                <w:highlight w:val="none"/>
              </w:rPr>
            </w:pPr>
            <w:r>
              <w:rPr>
                <w:rFonts w:hint="eastAsia"/>
                <w:color w:val="auto"/>
                <w:szCs w:val="21"/>
                <w:highlight w:val="none"/>
              </w:rPr>
              <w:t>软件和信息技术服务业</w:t>
            </w:r>
          </w:p>
        </w:tc>
        <w:tc>
          <w:tcPr>
            <w:tcW w:w="2855" w:type="pct"/>
            <w:noWrap w:val="0"/>
            <w:vAlign w:val="center"/>
          </w:tcPr>
          <w:p w14:paraId="1F007D0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1、基本要求：含正版专业版操作系统；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2、处理器：配置国产处理器，核心数≥8核，主频≥2、3GHz；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3、内存：配置国产内存≥8GB，内存速率≥2666MT/s，插槽≥2个，可拓展支持最大容量64G；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4、存储：配置国产SSD≥1024GB，SSD类型为M.2 NVME；最大可拓展支持1个SSD和1个3.5英寸HDD；</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5、接口：USB接口不少于8个，其中USB2.0数量≥4个；音频口≥2组；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6、显卡：配置国产独立显卡，显存≥2G,支持VGA，HDMI视频输出接口；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7、显示器：显示器≥23.8英寸，显示器具备VGA、HDMI等接口。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8、含鼠标键盘在内。</w:t>
            </w:r>
          </w:p>
        </w:tc>
      </w:tr>
      <w:tr w14:paraId="64D90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65D3B049">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17FA0E6B">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2联操作台</w:t>
            </w:r>
          </w:p>
        </w:tc>
        <w:tc>
          <w:tcPr>
            <w:tcW w:w="477" w:type="pct"/>
            <w:tcBorders>
              <w:bottom w:val="single" w:color="auto" w:sz="4" w:space="0"/>
            </w:tcBorders>
            <w:noWrap w:val="0"/>
            <w:vAlign w:val="center"/>
          </w:tcPr>
          <w:p w14:paraId="12C76251">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1套</w:t>
            </w:r>
          </w:p>
        </w:tc>
        <w:tc>
          <w:tcPr>
            <w:tcW w:w="464" w:type="pct"/>
            <w:tcBorders>
              <w:bottom w:val="single" w:color="auto" w:sz="4" w:space="0"/>
            </w:tcBorders>
            <w:noWrap w:val="0"/>
            <w:vAlign w:val="center"/>
          </w:tcPr>
          <w:p w14:paraId="054FEB12">
            <w:pPr>
              <w:spacing w:line="360" w:lineRule="exact"/>
              <w:jc w:val="center"/>
              <w:rPr>
                <w:rFonts w:ascii="宋体" w:hAnsi="宋体"/>
                <w:color w:val="auto"/>
                <w:szCs w:val="21"/>
                <w:highlight w:val="none"/>
              </w:rPr>
            </w:pPr>
            <w:r>
              <w:rPr>
                <w:rFonts w:hint="eastAsia"/>
                <w:color w:val="auto"/>
                <w:szCs w:val="21"/>
                <w:highlight w:val="none"/>
              </w:rPr>
              <w:t>软件和信息技术服务业</w:t>
            </w:r>
          </w:p>
        </w:tc>
        <w:tc>
          <w:tcPr>
            <w:tcW w:w="2855" w:type="pct"/>
            <w:noWrap w:val="0"/>
            <w:vAlign w:val="center"/>
          </w:tcPr>
          <w:p w14:paraId="7244C7E6">
            <w:pPr>
              <w:spacing w:line="36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2200mm*750mm*750mm（±10%），2个工位使用优质板材，含配套椅子在内。</w:t>
            </w:r>
          </w:p>
        </w:tc>
      </w:tr>
      <w:tr w14:paraId="5B554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50ECBD92">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7ECF50E4">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4G互联网专线</w:t>
            </w:r>
          </w:p>
        </w:tc>
        <w:tc>
          <w:tcPr>
            <w:tcW w:w="477" w:type="pct"/>
            <w:tcBorders>
              <w:bottom w:val="single" w:color="auto" w:sz="4" w:space="0"/>
            </w:tcBorders>
            <w:noWrap w:val="0"/>
            <w:vAlign w:val="center"/>
          </w:tcPr>
          <w:p w14:paraId="653246F9">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1项</w:t>
            </w:r>
          </w:p>
        </w:tc>
        <w:tc>
          <w:tcPr>
            <w:tcW w:w="464" w:type="pct"/>
            <w:tcBorders>
              <w:bottom w:val="single" w:color="auto" w:sz="4" w:space="0"/>
            </w:tcBorders>
            <w:noWrap w:val="0"/>
            <w:vAlign w:val="center"/>
          </w:tcPr>
          <w:p w14:paraId="36506290">
            <w:pPr>
              <w:spacing w:line="360" w:lineRule="exact"/>
              <w:jc w:val="center"/>
              <w:rPr>
                <w:rFonts w:ascii="宋体" w:hAnsi="宋体"/>
                <w:color w:val="auto"/>
                <w:szCs w:val="21"/>
                <w:highlight w:val="none"/>
              </w:rPr>
            </w:pPr>
            <w:r>
              <w:rPr>
                <w:rFonts w:hint="eastAsia"/>
                <w:color w:val="auto"/>
                <w:szCs w:val="21"/>
                <w:highlight w:val="none"/>
              </w:rPr>
              <w:t>软件和信息技术服务业</w:t>
            </w:r>
          </w:p>
        </w:tc>
        <w:tc>
          <w:tcPr>
            <w:tcW w:w="2855" w:type="pct"/>
            <w:noWrap w:val="0"/>
            <w:vAlign w:val="center"/>
          </w:tcPr>
          <w:p w14:paraId="7DDFE4F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互联网专线（1条2芯裸纤专线+500M虚拟专线）及维护服务内容：</w:t>
            </w:r>
          </w:p>
          <w:p w14:paraId="7143257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学生宿舍1-13、14、16、17、18、19，共6栋楼约1012个房间、教学楼300台电脑、从机房至教学楼和宿舍楼弱电间的网络相关设备的维护维修服务，不限次数的维护服务，包括但不限于:设备清洁、巡检、排查故障，保证设备正常运行。</w:t>
            </w:r>
          </w:p>
          <w:p w14:paraId="197C05E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2、核心设备维护：定期检查核心交换机、路由器、防火墙等关键设备的运行状态，备份配置数据，确保冗余设计（如双核心架构）以降低单点故障风险。</w:t>
            </w:r>
          </w:p>
          <w:p w14:paraId="43E2B09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3、老旧设备替换：针对高故障率的设备（如老旧交换机）进行淘汰，采用高性能设备提升带宽和稳定性，根据校方提供的设备及网络传输线缆进行免费更换服务（不包含设备及相关配件采购）。</w:t>
            </w:r>
          </w:p>
          <w:p w14:paraId="2584EF4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4、供电与布线优化：每个月对弱电间设备及线路进行整理，优化供电方案，减少信号衰减和运维复杂度。</w:t>
            </w:r>
          </w:p>
          <w:p w14:paraId="6DA7590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5、每个月对学生宿舍1-13、14、16、17、18、19，共6栋楼约1012个房间重点网络传输设备和300台电脑进行巡查一遍，巡查内容:</w:t>
            </w:r>
          </w:p>
          <w:p w14:paraId="7D095F3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①.设备状况检查，及时发现解决存在的问题，保证网络传输和设备正常工作。</w:t>
            </w:r>
          </w:p>
          <w:p w14:paraId="4CAEA2E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②.设备整体拍照存档等。</w:t>
            </w:r>
          </w:p>
          <w:p w14:paraId="41F63AC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安排专人每天网络设备及300台电脑的检查，发现问题及时解决并上报采购人，如是线路传输问题24小时内解决，对于前端设备故障要求供应商1个小时内响应，一般性故障3个小时内解决，重大故障24小时内解决，如设备损坏引起的故障无法修复的，及时返厂维修（不包含设备及相关配件采购），通报采购人并提供解决方案。</w:t>
            </w:r>
          </w:p>
          <w:p w14:paraId="1E7175E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7、承诺安排1个驻点维护工程师驻校维护，并保证寒暑假及国家法定节假日正常运维。</w:t>
            </w:r>
          </w:p>
          <w:p w14:paraId="58D81C9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8、季度全面检查：包括设备清洁、固件升级、线路标签更新。</w:t>
            </w:r>
          </w:p>
          <w:p w14:paraId="4BC6A3D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9、定期通过流量监控工具实时管理高峰期的带宽分配，避免拥堵。</w:t>
            </w:r>
          </w:p>
          <w:p w14:paraId="4C50513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10、定期针对用户端中毒、ARP攻击等问题，制定标准化处理流程（如IP绑定、系统修复指导）。</w:t>
            </w:r>
          </w:p>
          <w:p w14:paraId="773E5CF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、含规划用地红线外至数据中心机房（约30米）的出口带宽配线光缆和相应配线设施。</w:t>
            </w:r>
          </w:p>
        </w:tc>
      </w:tr>
      <w:tr w14:paraId="010C5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6"/>
            <w:noWrap w:val="0"/>
            <w:vAlign w:val="center"/>
          </w:tcPr>
          <w:p w14:paraId="7DC88FC5">
            <w:pPr>
              <w:spacing w:line="36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（六）机房动环与监控</w:t>
            </w:r>
          </w:p>
        </w:tc>
      </w:tr>
      <w:tr w14:paraId="20471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5C0EF2D4">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141CC03C">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机房动环平台</w:t>
            </w:r>
          </w:p>
        </w:tc>
        <w:tc>
          <w:tcPr>
            <w:tcW w:w="477" w:type="pct"/>
            <w:tcBorders>
              <w:bottom w:val="single" w:color="auto" w:sz="4" w:space="0"/>
            </w:tcBorders>
            <w:noWrap w:val="0"/>
            <w:vAlign w:val="center"/>
          </w:tcPr>
          <w:p w14:paraId="3DF7E671">
            <w:pPr>
              <w:widowControl/>
              <w:spacing w:line="36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1套</w:t>
            </w:r>
          </w:p>
        </w:tc>
        <w:tc>
          <w:tcPr>
            <w:tcW w:w="464" w:type="pct"/>
            <w:tcBorders>
              <w:bottom w:val="single" w:color="auto" w:sz="4" w:space="0"/>
            </w:tcBorders>
            <w:noWrap w:val="0"/>
            <w:vAlign w:val="center"/>
          </w:tcPr>
          <w:p w14:paraId="1660C4FF">
            <w:pPr>
              <w:widowControl/>
              <w:spacing w:line="360" w:lineRule="exact"/>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工业</w:t>
            </w:r>
          </w:p>
        </w:tc>
        <w:tc>
          <w:tcPr>
            <w:tcW w:w="2855" w:type="pct"/>
            <w:noWrap w:val="0"/>
            <w:vAlign w:val="center"/>
          </w:tcPr>
          <w:p w14:paraId="3ED25E7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1、千兆以太网口数≥4个；RJ45口≥1个；USB接口≥2；最大支持256个终端接入。</w:t>
            </w:r>
          </w:p>
          <w:p w14:paraId="3BE4814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2、具备接入LoRa物联网网关、Zigbee网关、数据采集器、智能插座、温湿度传感器、智能红外遥控装置、智能开关等传感器设备。</w:t>
            </w:r>
          </w:p>
          <w:p w14:paraId="16B0360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▲3、支持3D智能引擎，内置精密空调、漏水检测、UPS、电量仪等素材，实现所画即所得。</w:t>
            </w:r>
          </w:p>
          <w:p w14:paraId="654FD15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4、支持多分支机房统一管理，支持本地局域网部署和跨互联网远程部署，通过平台可以对所有分支的接入传感器和物联网关进行统一集中管理，包括统一策略配置、统一运行状态查看、统一数据分析。</w:t>
            </w:r>
          </w:p>
          <w:p w14:paraId="430330E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5、平台和传感器设备之间需要安全保障机制，包括校验设备密码，防止被钓鱼。</w:t>
            </w:r>
          </w:p>
          <w:p w14:paraId="15BD163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▲6、具备多种告警模式，包括电话告警、短信告警、声光告警、APP告警、WEB告警、微信告警、邮件等。</w:t>
            </w:r>
          </w:p>
          <w:p w14:paraId="7D1928E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7、支持内置传感器库，传感器型号数量不少于2200。</w:t>
            </w:r>
          </w:p>
          <w:p w14:paraId="7AB14B4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▲8、平台具备个性化设置，包括对顶部LOGO、浏览器标题、背景图片、底部信息进行个性化设置修改，同时开放第三方API接口，便于二次开发。</w:t>
            </w:r>
          </w:p>
          <w:p w14:paraId="75C9BB4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▲9、具备移动APP或微信小程序运维，通过手机APP或移动小程序即可进行状态查看、设备远程管理等。</w:t>
            </w:r>
          </w:p>
          <w:p w14:paraId="6FDC9BB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▲10、支持巡检策略设定，记录并存储巡检报告，比如平台定时对全部设备进行巡检，及时发现异常设备，消除隐患。</w:t>
            </w:r>
          </w:p>
        </w:tc>
      </w:tr>
      <w:tr w14:paraId="520C3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7AEADB50">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7E39AECD">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交换机</w:t>
            </w:r>
          </w:p>
        </w:tc>
        <w:tc>
          <w:tcPr>
            <w:tcW w:w="477" w:type="pct"/>
            <w:tcBorders>
              <w:bottom w:val="single" w:color="auto" w:sz="4" w:space="0"/>
            </w:tcBorders>
            <w:noWrap w:val="0"/>
            <w:vAlign w:val="center"/>
          </w:tcPr>
          <w:p w14:paraId="125A683D">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1台</w:t>
            </w:r>
          </w:p>
        </w:tc>
        <w:tc>
          <w:tcPr>
            <w:tcW w:w="464" w:type="pct"/>
            <w:tcBorders>
              <w:bottom w:val="single" w:color="auto" w:sz="4" w:space="0"/>
            </w:tcBorders>
            <w:noWrap w:val="0"/>
            <w:vAlign w:val="center"/>
          </w:tcPr>
          <w:p w14:paraId="4AA223E8">
            <w:pPr>
              <w:spacing w:line="360" w:lineRule="exact"/>
              <w:jc w:val="center"/>
              <w:rPr>
                <w:rFonts w:ascii="宋体" w:hAnsi="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512DD20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三层千兆管理型交换机，24个千兆电口，4个万兆SFP+光口，交换容量1.08Tbps/10.8Tbps，包转发率560Mpps/740Mpps；支持IPv4、IPv6 静态路由、三层聚合、ACL、端口镜像、全端口线速转发等功能。</w:t>
            </w:r>
          </w:p>
        </w:tc>
      </w:tr>
      <w:tr w14:paraId="1F76E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767D5AB2">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06529ADC">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采集主机</w:t>
            </w:r>
          </w:p>
        </w:tc>
        <w:tc>
          <w:tcPr>
            <w:tcW w:w="477" w:type="pct"/>
            <w:tcBorders>
              <w:bottom w:val="single" w:color="auto" w:sz="4" w:space="0"/>
            </w:tcBorders>
            <w:noWrap w:val="0"/>
            <w:vAlign w:val="center"/>
          </w:tcPr>
          <w:p w14:paraId="5FFA4F56">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2台</w:t>
            </w:r>
          </w:p>
        </w:tc>
        <w:tc>
          <w:tcPr>
            <w:tcW w:w="464" w:type="pct"/>
            <w:tcBorders>
              <w:bottom w:val="single" w:color="auto" w:sz="4" w:space="0"/>
            </w:tcBorders>
            <w:noWrap w:val="0"/>
            <w:vAlign w:val="center"/>
          </w:tcPr>
          <w:p w14:paraId="4061FC36">
            <w:pPr>
              <w:spacing w:line="360" w:lineRule="exact"/>
              <w:jc w:val="center"/>
              <w:rPr>
                <w:rFonts w:hint="eastAsia" w:ascii="宋体" w:hAnsi="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2A65553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1、以太网口数≥3个；Console管理口≥1个；USB接口≥1; PDI接口≥4个，PRS485接口≥5个，DO接口≥1个。</w:t>
            </w:r>
          </w:p>
          <w:p w14:paraId="392A665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2、具备门禁主机功能，具备专门的门禁接口，电源接口≥1；干接点开关接口≥1个；韦根接口≥1个。</w:t>
            </w:r>
          </w:p>
          <w:p w14:paraId="3B06D46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3、内存≥8GB。</w:t>
            </w:r>
          </w:p>
          <w:p w14:paraId="37FFDD6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4、所有接口均支持RJ45形态，支持对外提供24V直流供电。</w:t>
            </w:r>
          </w:p>
          <w:p w14:paraId="33FD990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5、具备传感器类型智能识别，智能上线。</w:t>
            </w:r>
          </w:p>
          <w:p w14:paraId="233D763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6、具备直接接入声光告警模块和4G电话告警模块，在多分支机房场景下，与总部网络中断时，如果分支机房出现风险时，采集主机可以直接实现声光告警和电话短信告警。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7、具备断电、死机自动开启磁力锁，防止消防状态下人被关在里面。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8、具备对对传感器接入是否正常进行监测，LED灯亮则接入正常。</w:t>
            </w:r>
          </w:p>
        </w:tc>
      </w:tr>
      <w:tr w14:paraId="071E7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123D9BD3">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48668779">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网络摄像机（半球型）</w:t>
            </w:r>
          </w:p>
        </w:tc>
        <w:tc>
          <w:tcPr>
            <w:tcW w:w="477" w:type="pct"/>
            <w:tcBorders>
              <w:bottom w:val="single" w:color="auto" w:sz="4" w:space="0"/>
            </w:tcBorders>
            <w:noWrap w:val="0"/>
            <w:vAlign w:val="center"/>
          </w:tcPr>
          <w:p w14:paraId="78E776CD">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12台</w:t>
            </w:r>
          </w:p>
        </w:tc>
        <w:tc>
          <w:tcPr>
            <w:tcW w:w="464" w:type="pct"/>
            <w:tcBorders>
              <w:bottom w:val="single" w:color="auto" w:sz="4" w:space="0"/>
            </w:tcBorders>
            <w:noWrap w:val="0"/>
            <w:vAlign w:val="center"/>
          </w:tcPr>
          <w:p w14:paraId="77331B16">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4C22C89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1、图像传感器:1/2.7" 400万像素逐行扫描CMOS。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2、最大图像尺寸:1920（H）× 1080(V)。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3、红外灯补光30m。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4、支持国标协议 GB/T 28181，支持H.265编码格式，支持1080p双路独立高清编码。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5、内置2.8~12mm高清变焦镜头，监控部署更灵活。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6、防暴等级 IK10。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7、视场角：水平：36°(T端)~94°(W端)；垂直：20°(T端)~50°(W端)。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8、音频编码格式：G.711a/G.711u/G.726/OPUS。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9、安全模式：用户名和密码认证、支持802.1x、HTTPS安全访问。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10、告警联动：告警源：移动侦测告警/遮挡告警/开关量输入/智能分析告警；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联动目标：开关量输出/联动SD卡录像/SD卡抓拍/邮件发送。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11、电源：DC12V，PoE。</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12、防护等级：IP67。</w:t>
            </w:r>
          </w:p>
        </w:tc>
      </w:tr>
      <w:tr w14:paraId="23A52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793EB31B">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0918DE0A">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硬盘录像机</w:t>
            </w:r>
          </w:p>
        </w:tc>
        <w:tc>
          <w:tcPr>
            <w:tcW w:w="477" w:type="pct"/>
            <w:tcBorders>
              <w:bottom w:val="single" w:color="auto" w:sz="4" w:space="0"/>
            </w:tcBorders>
            <w:noWrap w:val="0"/>
            <w:vAlign w:val="center"/>
          </w:tcPr>
          <w:p w14:paraId="741A1A4E">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1台</w:t>
            </w:r>
          </w:p>
        </w:tc>
        <w:tc>
          <w:tcPr>
            <w:tcW w:w="464" w:type="pct"/>
            <w:tcBorders>
              <w:bottom w:val="single" w:color="auto" w:sz="4" w:space="0"/>
            </w:tcBorders>
            <w:noWrap w:val="0"/>
            <w:vAlign w:val="center"/>
          </w:tcPr>
          <w:p w14:paraId="17F8AB76">
            <w:pPr>
              <w:spacing w:line="360" w:lineRule="exact"/>
              <w:jc w:val="center"/>
              <w:rPr>
                <w:rFonts w:ascii="宋体" w:hAnsi="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40AB434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1.单设备支持64个摄像机接入。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2.16路网络视频接入，160Mbps视频输入带宽。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3.支持视频与图片混合存储、支持多种算法并行工作。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4.支持单机、多机组网模式。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5.支持阵列加强保护技术，RAID5失效剩余盘可读可写。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6.最大支持磁盘数量8个,含8个10T硬盘在内。</w:t>
            </w:r>
          </w:p>
        </w:tc>
      </w:tr>
      <w:tr w14:paraId="1AD84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2B250638">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4AA3935E">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水浸传感器</w:t>
            </w:r>
          </w:p>
        </w:tc>
        <w:tc>
          <w:tcPr>
            <w:tcW w:w="477" w:type="pct"/>
            <w:tcBorders>
              <w:bottom w:val="single" w:color="auto" w:sz="4" w:space="0"/>
            </w:tcBorders>
            <w:noWrap w:val="0"/>
            <w:vAlign w:val="center"/>
          </w:tcPr>
          <w:p w14:paraId="063D1F80">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8个</w:t>
            </w:r>
          </w:p>
        </w:tc>
        <w:tc>
          <w:tcPr>
            <w:tcW w:w="464" w:type="pct"/>
            <w:tcBorders>
              <w:bottom w:val="single" w:color="auto" w:sz="4" w:space="0"/>
            </w:tcBorders>
            <w:noWrap w:val="0"/>
            <w:vAlign w:val="center"/>
          </w:tcPr>
          <w:p w14:paraId="1D37500D">
            <w:pPr>
              <w:spacing w:line="360" w:lineRule="exact"/>
              <w:jc w:val="center"/>
              <w:rPr>
                <w:rFonts w:ascii="宋体" w:hAnsi="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193F9C4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1、可监控不小于200米的漏液感应线，一旦检测到液体，漏液定位控制器即产生报警。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2、支持兼容两芯或四芯测漏传感电缆。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3、支持本地12~24VDC供电，支持通过采集主机直接供电。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4、存储温度-5°C 至60°C，工作温度-5°C 至50°C，湿度5%到95%（无冷凝）。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5、支持良好的防静电、防雷、防浪涌。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6、传感线长度的0.5%±0.5米。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7、采用Modbus RTU协议，通过RS485接口与监控系统进行通信。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8、支持被机房动力环境监测系统管理、配置、展示。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9、含定位漏水监测配件，两条检测线可以可以直接串接。</w:t>
            </w:r>
          </w:p>
        </w:tc>
      </w:tr>
      <w:tr w14:paraId="0FF16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4D3FD029">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735271BF">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温湿度传感器</w:t>
            </w:r>
          </w:p>
        </w:tc>
        <w:tc>
          <w:tcPr>
            <w:tcW w:w="477" w:type="pct"/>
            <w:tcBorders>
              <w:bottom w:val="single" w:color="auto" w:sz="4" w:space="0"/>
            </w:tcBorders>
            <w:noWrap w:val="0"/>
            <w:vAlign w:val="center"/>
          </w:tcPr>
          <w:p w14:paraId="69BBC69C">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12个</w:t>
            </w:r>
          </w:p>
        </w:tc>
        <w:tc>
          <w:tcPr>
            <w:tcW w:w="464" w:type="pct"/>
            <w:tcBorders>
              <w:bottom w:val="single" w:color="auto" w:sz="4" w:space="0"/>
            </w:tcBorders>
            <w:noWrap w:val="0"/>
            <w:vAlign w:val="center"/>
          </w:tcPr>
          <w:p w14:paraId="3B3D1C93">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490DE1F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1、支持温度、湿度数据采集与上报的机架式温湿度传感器。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2、支持采集温度范围：-5℃～70℃；误差&lt;±0.3℃，在25℃时测试。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3、支持采集湿度范围：5％～95％RH（无凝露）；误差&lt;±3%RH，在25℃时测试。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4、支持液晶显示：显示当前温度，湿度，网络连接状态。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5、支持RS485接口：通信协议：MODBUS-RTU 协议；波特率：默认9600；可选2400、4800、9600、19200bit/s；数据格式：N,8,1。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6、设备管理：支持平台统一集中管理，支持设备自定义命名。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7、支持分组管理，要求不低于6级分组，包括地区、楼栋、楼层、部门、具体位置等。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8、支持联动空调、加湿器、除湿器实现自动化控制。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9、支持Web端、APP端远程查看温湿度传感器数据，以及远程调节温湿度阈值。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10、采集当前环境温度数据，通过RS485方式进行数据回传，于平台上转化为可视化展示。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11、支持查询当天、本月、本年的温度、湿度变化趋势，通过数据分析可得出一定的规律，为人性化物联策略提供数据支撑。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12、支持不同传感器间联动策略，如温度值与空调联动，湿度值与加湿器、除湿器联动，光照强度值与灯光联动，触发条件时则执行空调温度调节，加湿器、除湿器状态开关，灯光状态开关等动作。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13、支持设置一个范围，可以是温度/湿度任意一种，每个周期时间内检测当前上传的数据是在设定区间，当超过设定区间时通知管理员，并联动视频监控系统抓拍图像，查看异常状态。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14、支持物联平台设置一个范围，可以是温度/湿度任意一种，每个周期时间内检测当前上传的数据是在设定区间，当超过设定区间时联动声光、短信进行报警，通知管理员。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15、在物联网控制器可统一管理全部温湿度传感器设备。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16、物联网控制器可自动识别接入的设备并进行归类，无需人工手动区分接入设备类型。</w:t>
            </w:r>
          </w:p>
        </w:tc>
      </w:tr>
      <w:tr w14:paraId="22690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318CAF86">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05D86BE6">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红外探测器</w:t>
            </w:r>
          </w:p>
        </w:tc>
        <w:tc>
          <w:tcPr>
            <w:tcW w:w="477" w:type="pct"/>
            <w:tcBorders>
              <w:bottom w:val="single" w:color="auto" w:sz="4" w:space="0"/>
            </w:tcBorders>
            <w:noWrap w:val="0"/>
            <w:vAlign w:val="center"/>
          </w:tcPr>
          <w:p w14:paraId="7C4CC937">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5个</w:t>
            </w:r>
          </w:p>
        </w:tc>
        <w:tc>
          <w:tcPr>
            <w:tcW w:w="464" w:type="pct"/>
            <w:tcBorders>
              <w:bottom w:val="single" w:color="auto" w:sz="4" w:space="0"/>
            </w:tcBorders>
            <w:noWrap w:val="0"/>
            <w:vAlign w:val="center"/>
          </w:tcPr>
          <w:p w14:paraId="63E32CD3">
            <w:pPr>
              <w:spacing w:line="360" w:lineRule="exact"/>
              <w:jc w:val="center"/>
              <w:rPr>
                <w:rFonts w:ascii="宋体" w:hAnsi="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07CBA91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1、支持DC 9-24V供电。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2、＜30mA。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3、25℃环境下不低于6m。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4、支持指示灯提示，工作状态红灯常亮，检测有人员入侵时红灯闪烁。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5、支持蜂鸣器提示，一旦遭遇违规拆卸，触发防拆开关，蜂鸣器进行报警并告知平台。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6、支持在温度-10℃~+50℃下正常工作。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7、支持在湿度95%（无凝结）环境正常工作。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8、支持最大6m*6m的覆盖面积。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9、支持通过输出开关量信号回传数据至平台配合完成数据采集和指令执行等操作。</w:t>
            </w:r>
          </w:p>
        </w:tc>
      </w:tr>
      <w:tr w14:paraId="3D47A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401BB467">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5EAFA176">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红外防盗监控驱动模块</w:t>
            </w:r>
          </w:p>
        </w:tc>
        <w:tc>
          <w:tcPr>
            <w:tcW w:w="477" w:type="pct"/>
            <w:tcBorders>
              <w:bottom w:val="single" w:color="auto" w:sz="4" w:space="0"/>
            </w:tcBorders>
            <w:noWrap w:val="0"/>
            <w:vAlign w:val="center"/>
          </w:tcPr>
          <w:p w14:paraId="77C86D0C">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c>
          <w:tcPr>
            <w:tcW w:w="464" w:type="pct"/>
            <w:tcBorders>
              <w:bottom w:val="single" w:color="auto" w:sz="4" w:space="0"/>
            </w:tcBorders>
            <w:noWrap w:val="0"/>
            <w:vAlign w:val="center"/>
          </w:tcPr>
          <w:p w14:paraId="2E76F388">
            <w:pPr>
              <w:spacing w:line="360" w:lineRule="exact"/>
              <w:jc w:val="center"/>
              <w:rPr>
                <w:rFonts w:ascii="宋体" w:hAnsi="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18E6C07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1、对人员非法入侵实时监测，并通过电子地图显示非法入侵位置，对监测参数可设定越限自动报警，可设定上班时间不启用报警。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2、非法入侵越限报警，系统可自动识别用户选购的报警模块微信、短信、邮件、电话、语音、声光报警通知管理人员。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3、非法入侵越限报警，系统可自动跳转至入侵位置界面，并通过颜色变化展现报警内容，历史告警支持事件图谱与事件列表切换查询。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4、管理员可通过发送短信查询消防非法入侵状态，并可对非法入侵报警日志生成列表导出。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5、通过手机、平板、桌面等终端上的各种浏览器访问非法入侵监测功能全集，包括但不限于图形界面、仪表盘、历史数据、报警事件、组态编辑、通讯调试、报警配置等。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6、远程终端与服务器之间非法入侵数据通讯采用HTTPS协议，保证其数据安全传输。</w:t>
            </w:r>
          </w:p>
        </w:tc>
      </w:tr>
      <w:tr w14:paraId="5FD5F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6793503B">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30378067">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视频监控驱动模块</w:t>
            </w:r>
          </w:p>
        </w:tc>
        <w:tc>
          <w:tcPr>
            <w:tcW w:w="477" w:type="pct"/>
            <w:tcBorders>
              <w:bottom w:val="single" w:color="auto" w:sz="4" w:space="0"/>
            </w:tcBorders>
            <w:noWrap w:val="0"/>
            <w:vAlign w:val="center"/>
          </w:tcPr>
          <w:p w14:paraId="348CA67B">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c>
          <w:tcPr>
            <w:tcW w:w="464" w:type="pct"/>
            <w:tcBorders>
              <w:bottom w:val="single" w:color="auto" w:sz="4" w:space="0"/>
            </w:tcBorders>
            <w:noWrap w:val="0"/>
            <w:vAlign w:val="center"/>
          </w:tcPr>
          <w:p w14:paraId="78EE27D0">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798216B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1、实时视频预览在系统统一目录菜单下，通过电子地图显示摄像头安装位置，点击摄像头图标可加载视频画面。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2、可联动门禁及设备报警自动弹出对应的实时视频窗口。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3、可以按照设定，对视频通道进行任意分组显示；可动态改变画面分割方式，并可将任意一路视频显示到目标区域。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4、在UPS、空调等监控界面组态视频直播，打开UPS界面显示UPS数据视图，同时显示UPS安装位置的实时视频窗口。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5、通过手机、平板、桌面等终端上的各种浏览器访问视频监控功能全集，包括但不限于图形界面、电子地图、实时视频、报警事件、通讯调试、报警配置等。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6、远程终端与服务器之间视频监控数据通讯采用HTTPS协议，保证其数据安全传输。</w:t>
            </w:r>
          </w:p>
        </w:tc>
      </w:tr>
      <w:tr w14:paraId="4EBC7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1B068292">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05F24AD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声光报警系统（带控制器）</w:t>
            </w:r>
          </w:p>
        </w:tc>
        <w:tc>
          <w:tcPr>
            <w:tcW w:w="477" w:type="pct"/>
            <w:tcBorders>
              <w:bottom w:val="single" w:color="auto" w:sz="4" w:space="0"/>
            </w:tcBorders>
            <w:noWrap w:val="0"/>
            <w:vAlign w:val="center"/>
          </w:tcPr>
          <w:p w14:paraId="180E4093">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c>
          <w:tcPr>
            <w:tcW w:w="464" w:type="pct"/>
            <w:tcBorders>
              <w:bottom w:val="single" w:color="auto" w:sz="4" w:space="0"/>
            </w:tcBorders>
            <w:noWrap w:val="0"/>
            <w:vAlign w:val="center"/>
          </w:tcPr>
          <w:p w14:paraId="4AC226A1">
            <w:pPr>
              <w:spacing w:line="360" w:lineRule="exact"/>
              <w:jc w:val="center"/>
              <w:rPr>
                <w:rFonts w:ascii="宋体" w:hAnsi="宋体"/>
                <w:color w:val="auto"/>
                <w:szCs w:val="21"/>
                <w:highlight w:val="none"/>
              </w:rPr>
            </w:pPr>
            <w:r>
              <w:rPr>
                <w:rFonts w:hint="eastAsia" w:ascii="宋体" w:hAnsi="宋体"/>
                <w:color w:val="auto"/>
                <w:szCs w:val="21"/>
                <w:highlight w:val="none"/>
              </w:rPr>
              <w:t>软件和信息技术服务业</w:t>
            </w:r>
          </w:p>
        </w:tc>
        <w:tc>
          <w:tcPr>
            <w:tcW w:w="2855" w:type="pct"/>
            <w:noWrap w:val="0"/>
            <w:vAlign w:val="center"/>
          </w:tcPr>
          <w:p w14:paraId="1014570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1、MAX 110dB。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2、交流9V～18V或直流12V～24V。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3、-5℃～55℃。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4、采用Modbus协议，通过RS485接口与物联平台进行通信。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5、支持联动物联网平台实现多样化报警，如设备异常、非法入侵、机房漏水、温度过高等告警，支持同时发出声、光二种警报信号。</w:t>
            </w:r>
          </w:p>
        </w:tc>
      </w:tr>
      <w:tr w14:paraId="053B3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47EF5560">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12AD1F7E">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人脸门禁一体机</w:t>
            </w:r>
          </w:p>
        </w:tc>
        <w:tc>
          <w:tcPr>
            <w:tcW w:w="477" w:type="pct"/>
            <w:tcBorders>
              <w:bottom w:val="single" w:color="auto" w:sz="4" w:space="0"/>
            </w:tcBorders>
            <w:noWrap w:val="0"/>
            <w:vAlign w:val="center"/>
          </w:tcPr>
          <w:p w14:paraId="41E625BE">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6个</w:t>
            </w:r>
          </w:p>
        </w:tc>
        <w:tc>
          <w:tcPr>
            <w:tcW w:w="464" w:type="pct"/>
            <w:tcBorders>
              <w:bottom w:val="single" w:color="auto" w:sz="4" w:space="0"/>
            </w:tcBorders>
            <w:noWrap w:val="0"/>
            <w:vAlign w:val="center"/>
          </w:tcPr>
          <w:p w14:paraId="14C30022">
            <w:pPr>
              <w:spacing w:line="360" w:lineRule="exact"/>
              <w:jc w:val="center"/>
              <w:rPr>
                <w:rFonts w:ascii="宋体" w:hAnsi="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5720DA2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1、采用≥7英寸触摸显示屏，屏幕比例9:16，屏幕流明度≥600cd/㎡，分辨率不小于600×1280。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2、支持嵌入式Linux操作系统，采用宽动态≥200万双目摄像头，帧率≥25 帧/s，防护等级≥IP65，通信方式支持有线网络。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3、支持人脸、刷卡、密码认证方式，支持外接身份证、指纹、蓝牙、二维码功能模块，本地支持≥10000人脸库、≥50000张卡，≥150000条事件记录。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4、支持识读模块的扩展功能，形成一体化识别终端，支持Mifare卡识读，支持CPU卡识读，WEB端应支持配置防卡片复制安全机制，功能开启后第三方卡片或复制卡片可屏蔽识读。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5、支持通过文字转换为提示语音的 TTS 功能，支持本地广告信息播放，支持广告节目编排播放，播放时间可自定义。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6、支持图片、文字、视频广告节目播放，支持在设备端查看人员信息、设备状态、显示模式。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7、支持根据比对结果，输出开关量信号联动门禁等设备，支持本地非明文存储比对结果、身份信息及抓拍人脸照片。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在管理中心远程视频预览功能，支持与管理平台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9、支持断网续传离线记录非明文数据功能，支持抓拍图片本地存储功能开启/关闭。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10、支持设备本地比对结果用户信息脱敏显示功能开启/关闭，即隐藏姓名和工号信息，用户数据及比对记录采用非明文方式导出。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11、支持人脸比对平均时间≤120ms （1:1对比方式），最大人脸识别距离≥4m，最小人脸识别距离≤0.2m，支持设备本地人脸注册，远程下发人脸、APP 采集人脸并注册下发。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13、支持在没有用户使用时自动切换到屏保或息屏待机状态，人员靠近自动唤醒待机设备，唤醒距离应能调节，采用软硬件低功耗管理模式，设备待机运行功耗应不超过 6W。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14、支持中心下发黑名单信息，具有本地黑名单事件报警功能，报警信息应能上传至平台，支持本地 U 盘升级、在线远程升级功能。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15、支持按时间分时段管控门禁权限，支持常开、常闭时段、首卡开门管理，支持反潜回功能。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16、支持≥1个，LAN≥1个，RS485≥1个，typeC类型USB接口≥1个，电锁≥1个，门磁≥2个，报警输入≥1个，报警输出≥1个，开门按钮≥1个。</w:t>
            </w:r>
          </w:p>
        </w:tc>
      </w:tr>
      <w:tr w14:paraId="69FD6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1A634AA2">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58638B2A">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机房门禁卡</w:t>
            </w:r>
          </w:p>
        </w:tc>
        <w:tc>
          <w:tcPr>
            <w:tcW w:w="477" w:type="pct"/>
            <w:tcBorders>
              <w:bottom w:val="single" w:color="auto" w:sz="4" w:space="0"/>
            </w:tcBorders>
            <w:noWrap w:val="0"/>
            <w:vAlign w:val="center"/>
          </w:tcPr>
          <w:p w14:paraId="73A4181F">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50张</w:t>
            </w:r>
          </w:p>
        </w:tc>
        <w:tc>
          <w:tcPr>
            <w:tcW w:w="464" w:type="pct"/>
            <w:tcBorders>
              <w:bottom w:val="single" w:color="auto" w:sz="4" w:space="0"/>
            </w:tcBorders>
            <w:noWrap w:val="0"/>
            <w:vAlign w:val="center"/>
          </w:tcPr>
          <w:p w14:paraId="2EACE8AA">
            <w:pPr>
              <w:widowControl/>
              <w:spacing w:line="360" w:lineRule="exact"/>
              <w:jc w:val="center"/>
              <w:textAlignment w:val="center"/>
              <w:rPr>
                <w:rFonts w:hint="eastAsia" w:ascii="宋体" w:hAnsi="宋体" w:cs="宋体"/>
                <w:color w:val="auto"/>
                <w:szCs w:val="21"/>
                <w:highlight w:val="none"/>
              </w:rPr>
            </w:pPr>
            <w:r>
              <w:rPr>
                <w:rFonts w:hint="eastAsia" w:ascii="宋体" w:hAnsi="宋体"/>
                <w:color w:val="auto"/>
                <w:szCs w:val="21"/>
                <w:highlight w:val="none"/>
              </w:rPr>
              <w:t>软件和信息技术服务业</w:t>
            </w:r>
          </w:p>
        </w:tc>
        <w:tc>
          <w:tcPr>
            <w:tcW w:w="2855" w:type="pct"/>
            <w:noWrap w:val="0"/>
            <w:vAlign w:val="center"/>
          </w:tcPr>
          <w:p w14:paraId="3D0C8F34">
            <w:pPr>
              <w:spacing w:line="36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IC门禁卡。</w:t>
            </w:r>
          </w:p>
        </w:tc>
      </w:tr>
      <w:tr w14:paraId="3965D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6FC1110B">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776E0D12">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出门按钮</w:t>
            </w:r>
          </w:p>
        </w:tc>
        <w:tc>
          <w:tcPr>
            <w:tcW w:w="477" w:type="pct"/>
            <w:tcBorders>
              <w:bottom w:val="single" w:color="auto" w:sz="4" w:space="0"/>
            </w:tcBorders>
            <w:noWrap w:val="0"/>
            <w:vAlign w:val="center"/>
          </w:tcPr>
          <w:p w14:paraId="2050BF35">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6个</w:t>
            </w:r>
          </w:p>
        </w:tc>
        <w:tc>
          <w:tcPr>
            <w:tcW w:w="464" w:type="pct"/>
            <w:tcBorders>
              <w:bottom w:val="single" w:color="auto" w:sz="4" w:space="0"/>
            </w:tcBorders>
            <w:noWrap w:val="0"/>
            <w:vAlign w:val="center"/>
          </w:tcPr>
          <w:p w14:paraId="42FFB963">
            <w:pPr>
              <w:spacing w:line="360" w:lineRule="exact"/>
              <w:jc w:val="center"/>
              <w:rPr>
                <w:rFonts w:ascii="宋体" w:hAnsi="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6618D2F2">
            <w:pPr>
              <w:widowControl/>
              <w:numPr>
                <w:ilvl w:val="0"/>
                <w:numId w:val="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开门按钮。</w:t>
            </w:r>
          </w:p>
          <w:p w14:paraId="07135309">
            <w:pPr>
              <w:widowControl/>
              <w:numPr>
                <w:ilvl w:val="0"/>
                <w:numId w:val="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结构：塑料面板。.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3、性能：最大耐电流1.25A，电压250V。</w:t>
            </w:r>
          </w:p>
          <w:p w14:paraId="3865DF5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4、输出：常开。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5、类型：适合埋入式电器盒使用。</w:t>
            </w:r>
          </w:p>
        </w:tc>
      </w:tr>
      <w:tr w14:paraId="249A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1D25A90B">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71E25347">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磁力锁</w:t>
            </w:r>
          </w:p>
        </w:tc>
        <w:tc>
          <w:tcPr>
            <w:tcW w:w="477" w:type="pct"/>
            <w:tcBorders>
              <w:bottom w:val="single" w:color="auto" w:sz="4" w:space="0"/>
            </w:tcBorders>
            <w:noWrap w:val="0"/>
            <w:vAlign w:val="center"/>
          </w:tcPr>
          <w:p w14:paraId="028949CB">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9个</w:t>
            </w:r>
          </w:p>
        </w:tc>
        <w:tc>
          <w:tcPr>
            <w:tcW w:w="464" w:type="pct"/>
            <w:tcBorders>
              <w:bottom w:val="single" w:color="auto" w:sz="4" w:space="0"/>
            </w:tcBorders>
            <w:noWrap w:val="0"/>
            <w:vAlign w:val="center"/>
          </w:tcPr>
          <w:p w14:paraId="6655D388">
            <w:pPr>
              <w:spacing w:line="360" w:lineRule="exact"/>
              <w:jc w:val="center"/>
              <w:rPr>
                <w:rFonts w:ascii="宋体" w:hAnsi="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4C70067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铝外壳采用高强度合金材料，阳极硬化处理。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最大静态直线拉力：230kg±10%*2。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断电开锁，满足消防要求。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指示灯：磁力锁有电就点亮红色，无电就熄灭(不体现锁状态)。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工作电压：12V/940mA 或 24V/470mA，可自行设定工作电压，出厂默认为DC12V。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防残磁设计，选用防磨损材料。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磁力锁无机械故障，完全采用电磁吸力工作。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加大电磁吸力，专业设计、双重锁体绝缘处理；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使用环境：室内（不防水）。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适用门型：木门、玻璃门、金属门、防火门。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注意：左右两个进线孔都要使用。</w:t>
            </w:r>
          </w:p>
        </w:tc>
      </w:tr>
      <w:tr w14:paraId="62D5E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48" w:type="pct"/>
            <w:noWrap w:val="0"/>
            <w:vAlign w:val="center"/>
          </w:tcPr>
          <w:p w14:paraId="22EA0AE9">
            <w:pPr>
              <w:numPr>
                <w:ilvl w:val="0"/>
                <w:numId w:val="1"/>
              </w:numPr>
              <w:snapToGrid w:val="0"/>
              <w:spacing w:line="360" w:lineRule="exact"/>
              <w:rPr>
                <w:rFonts w:hint="eastAsia" w:ascii="宋体" w:hAnsi="宋体"/>
                <w:color w:val="auto"/>
                <w:szCs w:val="21"/>
                <w:highlight w:val="none"/>
              </w:rPr>
            </w:pPr>
          </w:p>
        </w:tc>
        <w:tc>
          <w:tcPr>
            <w:tcW w:w="854" w:type="pct"/>
            <w:gridSpan w:val="2"/>
            <w:tcBorders>
              <w:bottom w:val="single" w:color="auto" w:sz="4" w:space="0"/>
            </w:tcBorders>
            <w:noWrap w:val="0"/>
            <w:vAlign w:val="center"/>
          </w:tcPr>
          <w:p w14:paraId="6FE4B523">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管理平台一体机</w:t>
            </w:r>
          </w:p>
        </w:tc>
        <w:tc>
          <w:tcPr>
            <w:tcW w:w="477" w:type="pct"/>
            <w:tcBorders>
              <w:bottom w:val="single" w:color="auto" w:sz="4" w:space="0"/>
            </w:tcBorders>
            <w:noWrap w:val="0"/>
            <w:vAlign w:val="center"/>
          </w:tcPr>
          <w:p w14:paraId="318D4763">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1台</w:t>
            </w:r>
          </w:p>
        </w:tc>
        <w:tc>
          <w:tcPr>
            <w:tcW w:w="464" w:type="pct"/>
            <w:tcBorders>
              <w:bottom w:val="single" w:color="auto" w:sz="4" w:space="0"/>
            </w:tcBorders>
            <w:noWrap w:val="0"/>
            <w:vAlign w:val="center"/>
          </w:tcPr>
          <w:p w14:paraId="0EA966AA">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工业</w:t>
            </w:r>
          </w:p>
        </w:tc>
        <w:tc>
          <w:tcPr>
            <w:tcW w:w="2855" w:type="pct"/>
            <w:noWrap w:val="0"/>
            <w:vAlign w:val="center"/>
          </w:tcPr>
          <w:p w14:paraId="0B356D7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1、具有DP接口≥1个， HDMI接口≥2个、VGA接口≥1个、RJ45口≥4个等接口，满足项目管理需求。</w:t>
            </w:r>
          </w:p>
          <w:p w14:paraId="5D7B6A5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2、支持视频预览、录像回放、即时回放、录像剪辑、手动录像和录像下载时叠加水印。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门禁权限自动下发更新数据到设备；可配置固定时间、固定次数自动下发异动的门禁权限，包含卡、人脸、指纹；支持人员的卡权限在平台进行权限认证，当卡权限还未下发到设备时，平台可以根据刷卡事件进行人员权限判断并进行反控开门；支持人员通行记录区分：内部人员、外部人员、陌生人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4、组织人员数据同步：支持同步组织、人员、人脸、卡片数据；组织数据包括：组织名称等；人员数据包括：姓名、工号、性别、证件号、所属组织等；卡片数据包括：卡号、对应人员。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5、支持多色彩展示运行告警状态，支持告警统计、概览、处理，支持告警记录查看、查询，支持告警单条、批量处理；支持系统最近7天每日告警数统计，支持评分量化系统监控指数，显示系统运行状态。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6、支持对监控点、编码设备的在线状态进行设备巡检，并以统计图方式展示巡检结果。</w:t>
            </w:r>
          </w:p>
          <w:p w14:paraId="2D1544F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7、支持人员信息采集，可对人脸照片质量进行评价（合格/不合格）。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8、支持业务应用组件化，各组件独立运行、维护，支持独立安装或卸载。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9、支持根据用户使用习惯自定义配置快捷功能入口，支持首页投放大屏展示，支持最近7天每日的用户活跃数统计。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10、含一台人脸卡片录入仪方便管理人员入库人脸及机房运维人员管理权限。</w:t>
            </w:r>
          </w:p>
        </w:tc>
      </w:tr>
      <w:tr w14:paraId="12F95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4F6FE662">
            <w:pPr>
              <w:spacing w:line="360" w:lineRule="exact"/>
              <w:rPr>
                <w:rFonts w:hint="eastAsia" w:ascii="宋体" w:hAnsi="宋体"/>
                <w:b/>
                <w:bCs/>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一、商务要求</w:t>
            </w:r>
          </w:p>
        </w:tc>
      </w:tr>
      <w:tr w14:paraId="6E5A2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1" w:type="pct"/>
            <w:gridSpan w:val="2"/>
            <w:tcBorders>
              <w:top w:val="single" w:color="auto" w:sz="4" w:space="0"/>
              <w:left w:val="single" w:color="auto" w:sz="4" w:space="0"/>
              <w:bottom w:val="single" w:color="auto" w:sz="4" w:space="0"/>
              <w:right w:val="single" w:color="auto" w:sz="4" w:space="0"/>
            </w:tcBorders>
            <w:noWrap w:val="0"/>
            <w:vAlign w:val="center"/>
          </w:tcPr>
          <w:p w14:paraId="67E1DFB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1、合同签订时间</w:t>
            </w:r>
          </w:p>
        </w:tc>
        <w:tc>
          <w:tcPr>
            <w:tcW w:w="4168" w:type="pct"/>
            <w:gridSpan w:val="4"/>
            <w:tcBorders>
              <w:top w:val="single" w:color="auto" w:sz="4" w:space="0"/>
              <w:left w:val="single" w:color="auto" w:sz="4" w:space="0"/>
              <w:bottom w:val="single" w:color="auto" w:sz="4" w:space="0"/>
              <w:right w:val="single" w:color="auto" w:sz="4" w:space="0"/>
            </w:tcBorders>
            <w:noWrap w:val="0"/>
            <w:vAlign w:val="center"/>
          </w:tcPr>
          <w:p w14:paraId="3C24A6F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自中标通知书发出之日起10日内签订采购合同。</w:t>
            </w:r>
          </w:p>
        </w:tc>
      </w:tr>
      <w:tr w14:paraId="6A57D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1" w:type="pct"/>
            <w:gridSpan w:val="2"/>
            <w:tcBorders>
              <w:top w:val="single" w:color="auto" w:sz="4" w:space="0"/>
              <w:left w:val="single" w:color="auto" w:sz="4" w:space="0"/>
              <w:bottom w:val="single" w:color="auto" w:sz="4" w:space="0"/>
              <w:right w:val="single" w:color="auto" w:sz="4" w:space="0"/>
            </w:tcBorders>
            <w:noWrap w:val="0"/>
            <w:vAlign w:val="center"/>
          </w:tcPr>
          <w:p w14:paraId="389EC5A1">
            <w:pPr>
              <w:spacing w:line="360" w:lineRule="auto"/>
              <w:jc w:val="center"/>
              <w:rPr>
                <w:rFonts w:ascii="宋体" w:hAnsi="宋体"/>
                <w:color w:val="auto"/>
                <w:szCs w:val="21"/>
                <w:highlight w:val="none"/>
              </w:rPr>
            </w:pPr>
            <w:r>
              <w:rPr>
                <w:rFonts w:hint="eastAsia" w:ascii="宋体" w:hAnsi="宋体" w:cs="宋体"/>
                <w:color w:val="auto"/>
                <w:szCs w:val="21"/>
                <w:highlight w:val="none"/>
              </w:rPr>
              <w:t>2、供货时间及地点</w:t>
            </w:r>
          </w:p>
        </w:tc>
        <w:tc>
          <w:tcPr>
            <w:tcW w:w="4168" w:type="pct"/>
            <w:gridSpan w:val="4"/>
            <w:tcBorders>
              <w:top w:val="single" w:color="auto" w:sz="4" w:space="0"/>
              <w:left w:val="single" w:color="auto" w:sz="4" w:space="0"/>
              <w:bottom w:val="single" w:color="auto" w:sz="4" w:space="0"/>
              <w:right w:val="single" w:color="auto" w:sz="4" w:space="0"/>
            </w:tcBorders>
            <w:noWrap w:val="0"/>
            <w:vAlign w:val="top"/>
          </w:tcPr>
          <w:p w14:paraId="0889D2E0">
            <w:pPr>
              <w:spacing w:line="360" w:lineRule="auto"/>
              <w:rPr>
                <w:rFonts w:ascii="宋体" w:hAnsi="宋体" w:cs="宋体"/>
                <w:color w:val="auto"/>
                <w:szCs w:val="21"/>
                <w:highlight w:val="none"/>
              </w:rPr>
            </w:pPr>
            <w:r>
              <w:rPr>
                <w:rFonts w:hint="eastAsia" w:ascii="宋体" w:hAnsi="宋体" w:cs="宋体"/>
                <w:color w:val="auto"/>
                <w:szCs w:val="21"/>
                <w:highlight w:val="none"/>
              </w:rPr>
              <w:t>1.供货时间：自签订合同之后，接到采购人通知之日起</w:t>
            </w:r>
            <w:r>
              <w:rPr>
                <w:rFonts w:hint="eastAsia" w:ascii="宋体" w:hAnsi="宋体" w:cs="宋体"/>
                <w:color w:val="auto"/>
                <w:szCs w:val="21"/>
                <w:highlight w:val="none"/>
                <w:u w:val="single"/>
              </w:rPr>
              <w:t>30</w:t>
            </w:r>
            <w:r>
              <w:rPr>
                <w:rFonts w:hint="eastAsia" w:ascii="宋体" w:hAnsi="宋体" w:cs="宋体"/>
                <w:color w:val="auto"/>
                <w:szCs w:val="21"/>
                <w:highlight w:val="none"/>
              </w:rPr>
              <w:t>日内完成供货、网络安装、联网、调试验收等，交付采购人使用。</w:t>
            </w:r>
          </w:p>
          <w:p w14:paraId="67E44A63">
            <w:pPr>
              <w:spacing w:line="360" w:lineRule="auto"/>
              <w:rPr>
                <w:rFonts w:hint="eastAsia" w:ascii="宋体" w:hAnsi="宋体"/>
                <w:color w:val="auto"/>
                <w:szCs w:val="21"/>
                <w:highlight w:val="none"/>
              </w:rPr>
            </w:pPr>
            <w:r>
              <w:rPr>
                <w:rFonts w:hint="eastAsia" w:ascii="宋体" w:hAnsi="宋体" w:cs="宋体"/>
                <w:color w:val="auto"/>
                <w:szCs w:val="21"/>
                <w:highlight w:val="none"/>
              </w:rPr>
              <w:t>2.供货地点：广西财经学院武鸣校区（武鸣区红岭大道636号）内采购人指定地点。</w:t>
            </w:r>
          </w:p>
        </w:tc>
      </w:tr>
      <w:tr w14:paraId="43433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1" w:type="pct"/>
            <w:gridSpan w:val="2"/>
            <w:tcBorders>
              <w:top w:val="single" w:color="auto" w:sz="4" w:space="0"/>
              <w:left w:val="single" w:color="auto" w:sz="4" w:space="0"/>
              <w:bottom w:val="single" w:color="auto" w:sz="4" w:space="0"/>
              <w:right w:val="single" w:color="auto" w:sz="4" w:space="0"/>
            </w:tcBorders>
            <w:noWrap w:val="0"/>
            <w:vAlign w:val="center"/>
          </w:tcPr>
          <w:p w14:paraId="417A8507">
            <w:pPr>
              <w:spacing w:line="360" w:lineRule="auto"/>
              <w:jc w:val="center"/>
              <w:rPr>
                <w:rFonts w:ascii="宋体" w:hAnsi="宋体"/>
                <w:color w:val="auto"/>
                <w:szCs w:val="21"/>
                <w:highlight w:val="none"/>
              </w:rPr>
            </w:pPr>
            <w:r>
              <w:rPr>
                <w:rFonts w:hint="eastAsia" w:ascii="宋体" w:hAnsi="宋体" w:cs="宋体"/>
                <w:color w:val="auto"/>
                <w:szCs w:val="21"/>
                <w:highlight w:val="none"/>
              </w:rPr>
              <w:t>3、付款方式</w:t>
            </w:r>
          </w:p>
        </w:tc>
        <w:tc>
          <w:tcPr>
            <w:tcW w:w="4168" w:type="pct"/>
            <w:gridSpan w:val="4"/>
            <w:tcBorders>
              <w:top w:val="single" w:color="auto" w:sz="4" w:space="0"/>
              <w:left w:val="single" w:color="auto" w:sz="4" w:space="0"/>
              <w:bottom w:val="single" w:color="auto" w:sz="4" w:space="0"/>
              <w:right w:val="single" w:color="auto" w:sz="4" w:space="0"/>
            </w:tcBorders>
            <w:noWrap w:val="0"/>
            <w:vAlign w:val="top"/>
          </w:tcPr>
          <w:p w14:paraId="31284772">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双方签订合同后，成交供应商须向采购人提供合同总金额30%的预付款保函（保函有效期不少于三个月。保函到期前，若项目未完成，成交供应商须在保函到期前提前1个月提交新一期保函）及等额发票，采购人收到预付款保函及发票后10个工作日内向成交供应商一次性支付合同款总金额30%的预付款；项目验收合格后，采购人收到等额发票后10个工作日内采购人向成交供应商一次性支付剩余70%的合同款。</w:t>
            </w:r>
          </w:p>
          <w:p w14:paraId="2AB0B8A4">
            <w:pPr>
              <w:spacing w:line="360" w:lineRule="auto"/>
              <w:rPr>
                <w:rFonts w:ascii="宋体" w:hAnsi="宋体"/>
                <w:color w:val="auto"/>
                <w:szCs w:val="21"/>
                <w:highlight w:val="none"/>
              </w:rPr>
            </w:pPr>
            <w:r>
              <w:rPr>
                <w:rFonts w:hint="eastAsia" w:ascii="宋体" w:hAnsi="宋体" w:cs="宋体"/>
                <w:bCs/>
                <w:color w:val="auto"/>
                <w:szCs w:val="21"/>
                <w:highlight w:val="none"/>
              </w:rPr>
              <w:t>2、若采购数量与实际使用数量不一致时，成交供应商应根据实际使用量供货，合同的最终结算金额按实际使用量乘以成交单价进行据实计算。</w:t>
            </w:r>
          </w:p>
        </w:tc>
      </w:tr>
      <w:tr w14:paraId="24B30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1" w:type="pct"/>
            <w:gridSpan w:val="2"/>
            <w:tcBorders>
              <w:top w:val="single" w:color="auto" w:sz="4" w:space="0"/>
              <w:left w:val="single" w:color="auto" w:sz="4" w:space="0"/>
              <w:bottom w:val="single" w:color="auto" w:sz="4" w:space="0"/>
              <w:right w:val="single" w:color="auto" w:sz="4" w:space="0"/>
            </w:tcBorders>
            <w:noWrap w:val="0"/>
            <w:vAlign w:val="center"/>
          </w:tcPr>
          <w:p w14:paraId="47105C36">
            <w:pPr>
              <w:spacing w:line="360" w:lineRule="auto"/>
              <w:jc w:val="center"/>
              <w:rPr>
                <w:rFonts w:ascii="宋体" w:hAnsi="宋体"/>
                <w:color w:val="auto"/>
                <w:szCs w:val="21"/>
                <w:highlight w:val="none"/>
              </w:rPr>
            </w:pPr>
            <w:r>
              <w:rPr>
                <w:rFonts w:hint="eastAsia" w:ascii="宋体" w:hAnsi="宋体"/>
                <w:color w:val="auto"/>
                <w:szCs w:val="21"/>
                <w:highlight w:val="none"/>
              </w:rPr>
              <w:t>4、投标报价</w:t>
            </w:r>
          </w:p>
        </w:tc>
        <w:tc>
          <w:tcPr>
            <w:tcW w:w="4168" w:type="pct"/>
            <w:gridSpan w:val="4"/>
            <w:tcBorders>
              <w:top w:val="single" w:color="auto" w:sz="4" w:space="0"/>
              <w:left w:val="single" w:color="auto" w:sz="4" w:space="0"/>
              <w:bottom w:val="single" w:color="auto" w:sz="4" w:space="0"/>
              <w:right w:val="single" w:color="auto" w:sz="4" w:space="0"/>
            </w:tcBorders>
            <w:noWrap w:val="0"/>
            <w:vAlign w:val="top"/>
          </w:tcPr>
          <w:p w14:paraId="68C86CDC">
            <w:pPr>
              <w:pStyle w:val="4"/>
              <w:snapToGrid w:val="0"/>
              <w:spacing w:line="360" w:lineRule="exact"/>
              <w:outlineLvl w:val="0"/>
              <w:rPr>
                <w:rFonts w:hAnsi="宋体"/>
                <w:color w:val="auto"/>
                <w:sz w:val="21"/>
                <w:highlight w:val="none"/>
              </w:rPr>
            </w:pPr>
            <w:r>
              <w:rPr>
                <w:rFonts w:hint="eastAsia" w:hAnsi="宋体"/>
                <w:color w:val="auto"/>
                <w:sz w:val="21"/>
                <w:highlight w:val="none"/>
              </w:rPr>
              <w:t>投标报价为采购人指定地点的现场交货价，包括：</w:t>
            </w:r>
          </w:p>
          <w:p w14:paraId="171378F4">
            <w:pPr>
              <w:pStyle w:val="4"/>
              <w:snapToGrid w:val="0"/>
              <w:spacing w:line="360" w:lineRule="exact"/>
              <w:outlineLvl w:val="0"/>
              <w:rPr>
                <w:rFonts w:hAnsi="宋体"/>
                <w:color w:val="auto"/>
                <w:sz w:val="21"/>
                <w:highlight w:val="none"/>
              </w:rPr>
            </w:pPr>
            <w:r>
              <w:rPr>
                <w:rFonts w:hint="eastAsia" w:hAnsi="宋体"/>
                <w:color w:val="auto"/>
                <w:sz w:val="21"/>
                <w:highlight w:val="none"/>
              </w:rPr>
              <w:t>（1）货物的价格：包括货款、杂配件、安装调试费、验收费、货物的标准附件、备品备件、专用工具的价格、使用费、租用费；</w:t>
            </w:r>
          </w:p>
          <w:p w14:paraId="6D9E5286">
            <w:pPr>
              <w:pStyle w:val="4"/>
              <w:snapToGrid w:val="0"/>
              <w:spacing w:line="360" w:lineRule="exact"/>
              <w:outlineLvl w:val="0"/>
              <w:rPr>
                <w:rFonts w:hAnsi="宋体"/>
                <w:color w:val="auto"/>
                <w:sz w:val="21"/>
                <w:highlight w:val="none"/>
              </w:rPr>
            </w:pPr>
            <w:r>
              <w:rPr>
                <w:rFonts w:hint="eastAsia" w:hAnsi="宋体"/>
                <w:color w:val="auto"/>
                <w:sz w:val="21"/>
                <w:highlight w:val="none"/>
              </w:rPr>
              <w:t>（2）运输、装卸、调试、培训、技术支持、售后服务费。</w:t>
            </w:r>
          </w:p>
          <w:p w14:paraId="361DA07A">
            <w:pPr>
              <w:pStyle w:val="4"/>
              <w:snapToGrid w:val="0"/>
              <w:spacing w:line="360" w:lineRule="exact"/>
              <w:outlineLvl w:val="0"/>
              <w:rPr>
                <w:rFonts w:hAnsi="宋体"/>
                <w:color w:val="auto"/>
                <w:sz w:val="21"/>
                <w:highlight w:val="none"/>
              </w:rPr>
            </w:pPr>
            <w:r>
              <w:rPr>
                <w:rFonts w:hint="eastAsia" w:hAnsi="宋体"/>
                <w:color w:val="auto"/>
                <w:sz w:val="21"/>
                <w:highlight w:val="none"/>
              </w:rPr>
              <w:t>（3）必要的保险费用和各项税金。</w:t>
            </w:r>
          </w:p>
          <w:p w14:paraId="696FF8B6">
            <w:pPr>
              <w:spacing w:line="360" w:lineRule="exact"/>
              <w:rPr>
                <w:rFonts w:ascii="宋体" w:hAnsi="宋体"/>
                <w:color w:val="auto"/>
                <w:szCs w:val="21"/>
                <w:highlight w:val="none"/>
              </w:rPr>
            </w:pPr>
            <w:r>
              <w:rPr>
                <w:rFonts w:hint="eastAsia" w:ascii="宋体" w:hAnsi="宋体"/>
                <w:color w:val="auto"/>
                <w:szCs w:val="21"/>
                <w:highlight w:val="none"/>
              </w:rPr>
              <w:t>（4）</w:t>
            </w:r>
            <w:r>
              <w:rPr>
                <w:rFonts w:hint="eastAsia" w:ascii="宋体" w:hAnsi="宋体" w:cs="宋体"/>
                <w:bCs/>
                <w:color w:val="auto"/>
                <w:szCs w:val="21"/>
                <w:highlight w:val="none"/>
              </w:rPr>
              <w:t>项目验收产生的费用。</w:t>
            </w:r>
          </w:p>
          <w:p w14:paraId="2EF1608F">
            <w:pPr>
              <w:spacing w:line="360" w:lineRule="auto"/>
              <w:rPr>
                <w:rFonts w:ascii="宋体" w:hAnsi="宋体"/>
                <w:color w:val="auto"/>
                <w:szCs w:val="21"/>
                <w:highlight w:val="none"/>
              </w:rPr>
            </w:pPr>
            <w:r>
              <w:rPr>
                <w:rFonts w:hint="eastAsia" w:hAnsi="宋体"/>
                <w:color w:val="auto"/>
                <w:szCs w:val="21"/>
                <w:highlight w:val="none"/>
              </w:rPr>
              <w:t>注：投标人自行考虑完成项目所需的辅材、杂配件等数量，投标报价中应包含全部内容，中标后采购人不再另行支付额外费用。</w:t>
            </w:r>
          </w:p>
        </w:tc>
      </w:tr>
      <w:tr w14:paraId="22503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1" w:type="pct"/>
            <w:gridSpan w:val="2"/>
            <w:tcBorders>
              <w:top w:val="single" w:color="auto" w:sz="4" w:space="0"/>
              <w:left w:val="single" w:color="auto" w:sz="4" w:space="0"/>
              <w:bottom w:val="single" w:color="auto" w:sz="4" w:space="0"/>
              <w:right w:val="single" w:color="auto" w:sz="4" w:space="0"/>
            </w:tcBorders>
            <w:noWrap w:val="0"/>
            <w:vAlign w:val="center"/>
          </w:tcPr>
          <w:p w14:paraId="27C32E28">
            <w:pPr>
              <w:spacing w:line="360" w:lineRule="auto"/>
              <w:jc w:val="center"/>
              <w:rPr>
                <w:rFonts w:hint="eastAsia" w:ascii="宋体" w:hAnsi="宋体"/>
                <w:color w:val="auto"/>
                <w:szCs w:val="21"/>
                <w:highlight w:val="none"/>
              </w:rPr>
            </w:pPr>
            <w:r>
              <w:rPr>
                <w:rFonts w:hint="eastAsia" w:ascii="宋体" w:hAnsi="宋体"/>
                <w:color w:val="auto"/>
                <w:szCs w:val="21"/>
                <w:highlight w:val="none"/>
              </w:rPr>
              <w:t>5、履约保证金</w:t>
            </w:r>
          </w:p>
        </w:tc>
        <w:tc>
          <w:tcPr>
            <w:tcW w:w="4168" w:type="pct"/>
            <w:gridSpan w:val="4"/>
            <w:tcBorders>
              <w:top w:val="single" w:color="auto" w:sz="4" w:space="0"/>
              <w:left w:val="single" w:color="auto" w:sz="4" w:space="0"/>
              <w:bottom w:val="single" w:color="auto" w:sz="4" w:space="0"/>
              <w:right w:val="single" w:color="auto" w:sz="4" w:space="0"/>
            </w:tcBorders>
            <w:noWrap w:val="0"/>
            <w:vAlign w:val="top"/>
          </w:tcPr>
          <w:p w14:paraId="6FD43997">
            <w:pPr>
              <w:pStyle w:val="4"/>
              <w:snapToGrid w:val="0"/>
              <w:spacing w:line="360" w:lineRule="exact"/>
              <w:outlineLvl w:val="0"/>
              <w:rPr>
                <w:rFonts w:hAnsi="宋体"/>
                <w:color w:val="auto"/>
                <w:sz w:val="21"/>
                <w:highlight w:val="none"/>
              </w:rPr>
            </w:pPr>
            <w:r>
              <w:rPr>
                <w:rFonts w:hint="eastAsia" w:hAnsi="宋体"/>
                <w:color w:val="auto"/>
                <w:sz w:val="21"/>
                <w:highlight w:val="none"/>
              </w:rPr>
              <w:t>1.按本项目成交总金额的5%（如中标供应商为中小企业的，按本项目成交总金额的2%）；中标供应商在签订合同前交至指定账户。</w:t>
            </w:r>
          </w:p>
          <w:p w14:paraId="1B1A9031">
            <w:pPr>
              <w:pStyle w:val="4"/>
              <w:snapToGrid w:val="0"/>
              <w:spacing w:line="360" w:lineRule="exact"/>
              <w:outlineLvl w:val="0"/>
              <w:rPr>
                <w:rFonts w:hAnsi="宋体"/>
                <w:color w:val="auto"/>
                <w:sz w:val="21"/>
                <w:highlight w:val="none"/>
              </w:rPr>
            </w:pPr>
            <w:r>
              <w:rPr>
                <w:rFonts w:hint="eastAsia" w:hAnsi="宋体"/>
                <w:color w:val="auto"/>
                <w:sz w:val="21"/>
                <w:highlight w:val="none"/>
              </w:rPr>
              <w:t>2.履约保证金递交方式：支票、汇票、本票、网上银行或者银行、担保机构出具的保函等非现金形式。</w:t>
            </w:r>
          </w:p>
          <w:p w14:paraId="6BEA6ABD">
            <w:pPr>
              <w:pStyle w:val="4"/>
              <w:snapToGrid w:val="0"/>
              <w:spacing w:line="360" w:lineRule="exact"/>
              <w:outlineLvl w:val="0"/>
              <w:rPr>
                <w:rFonts w:hAnsi="宋体"/>
                <w:color w:val="auto"/>
                <w:sz w:val="21"/>
                <w:highlight w:val="none"/>
              </w:rPr>
            </w:pPr>
            <w:r>
              <w:rPr>
                <w:rFonts w:hint="eastAsia" w:hAnsi="宋体"/>
                <w:color w:val="auto"/>
                <w:sz w:val="21"/>
                <w:highlight w:val="none"/>
              </w:rPr>
              <w:t>履约保证金指定账户：</w:t>
            </w:r>
          </w:p>
          <w:p w14:paraId="0364495A">
            <w:pPr>
              <w:pStyle w:val="4"/>
              <w:snapToGrid w:val="0"/>
              <w:spacing w:line="360" w:lineRule="exact"/>
              <w:outlineLvl w:val="0"/>
              <w:rPr>
                <w:rFonts w:hAnsi="宋体"/>
                <w:color w:val="auto"/>
                <w:sz w:val="21"/>
                <w:highlight w:val="none"/>
              </w:rPr>
            </w:pPr>
            <w:r>
              <w:rPr>
                <w:rFonts w:hint="eastAsia" w:hAnsi="宋体"/>
                <w:color w:val="auto"/>
                <w:sz w:val="21"/>
                <w:highlight w:val="none"/>
              </w:rPr>
              <w:t>开户名称：广西财经学院</w:t>
            </w:r>
          </w:p>
          <w:p w14:paraId="3742B43A">
            <w:pPr>
              <w:pStyle w:val="4"/>
              <w:snapToGrid w:val="0"/>
              <w:spacing w:line="360" w:lineRule="exact"/>
              <w:outlineLvl w:val="0"/>
              <w:rPr>
                <w:rFonts w:hAnsi="宋体"/>
                <w:color w:val="auto"/>
                <w:sz w:val="21"/>
                <w:highlight w:val="none"/>
              </w:rPr>
            </w:pPr>
            <w:r>
              <w:rPr>
                <w:rFonts w:hint="eastAsia" w:hAnsi="宋体"/>
                <w:color w:val="auto"/>
                <w:sz w:val="21"/>
                <w:highlight w:val="none"/>
              </w:rPr>
              <w:t>开户银行：中国银行南宁明秀西路支行</w:t>
            </w:r>
          </w:p>
          <w:p w14:paraId="6D356EC8">
            <w:pPr>
              <w:pStyle w:val="4"/>
              <w:snapToGrid w:val="0"/>
              <w:spacing w:line="360" w:lineRule="exact"/>
              <w:outlineLvl w:val="0"/>
              <w:rPr>
                <w:rFonts w:hAnsi="宋体"/>
                <w:color w:val="auto"/>
                <w:sz w:val="21"/>
                <w:highlight w:val="none"/>
              </w:rPr>
            </w:pPr>
            <w:r>
              <w:rPr>
                <w:rFonts w:hint="eastAsia" w:hAnsi="宋体"/>
                <w:color w:val="auto"/>
                <w:sz w:val="21"/>
                <w:highlight w:val="none"/>
              </w:rPr>
              <w:t>银行账号：611957485481</w:t>
            </w:r>
          </w:p>
          <w:p w14:paraId="6F499C41">
            <w:pPr>
              <w:pStyle w:val="4"/>
              <w:snapToGrid w:val="0"/>
              <w:spacing w:line="360" w:lineRule="exact"/>
              <w:outlineLvl w:val="0"/>
              <w:rPr>
                <w:rFonts w:hAnsi="宋体"/>
                <w:color w:val="auto"/>
                <w:sz w:val="21"/>
                <w:highlight w:val="none"/>
              </w:rPr>
            </w:pPr>
            <w:r>
              <w:rPr>
                <w:rFonts w:hint="eastAsia" w:hAnsi="宋体"/>
                <w:color w:val="auto"/>
                <w:sz w:val="21"/>
                <w:highlight w:val="none"/>
              </w:rPr>
              <w:t>3.履约保证金退付方式、时间及条件：中标供应商若不能完全履行合同，履约保证金不返还；中标供应商若完全履行合同，货物验收合格后，中标供应商向采购人递交退保申请函及凭履约保证金财务凭证，采购人按规定办理无息退还手续。</w:t>
            </w:r>
          </w:p>
        </w:tc>
      </w:tr>
      <w:tr w14:paraId="4E520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6" w:hRule="atLeast"/>
        </w:trPr>
        <w:tc>
          <w:tcPr>
            <w:tcW w:w="831" w:type="pct"/>
            <w:gridSpan w:val="2"/>
            <w:tcBorders>
              <w:top w:val="single" w:color="auto" w:sz="4" w:space="0"/>
              <w:left w:val="single" w:color="auto" w:sz="4" w:space="0"/>
              <w:bottom w:val="single" w:color="auto" w:sz="4" w:space="0"/>
              <w:right w:val="single" w:color="auto" w:sz="4" w:space="0"/>
            </w:tcBorders>
            <w:noWrap w:val="0"/>
            <w:vAlign w:val="center"/>
          </w:tcPr>
          <w:p w14:paraId="23C002D2">
            <w:pPr>
              <w:spacing w:line="360" w:lineRule="auto"/>
              <w:jc w:val="center"/>
              <w:rPr>
                <w:rFonts w:hint="eastAsia" w:ascii="宋体" w:hAnsi="宋体"/>
                <w:color w:val="auto"/>
                <w:szCs w:val="21"/>
                <w:highlight w:val="none"/>
              </w:rPr>
            </w:pPr>
            <w:r>
              <w:rPr>
                <w:rFonts w:hint="eastAsia" w:ascii="宋体" w:hAnsi="宋体"/>
                <w:color w:val="auto"/>
                <w:szCs w:val="21"/>
                <w:highlight w:val="none"/>
              </w:rPr>
              <w:t>6、质量保证期</w:t>
            </w:r>
          </w:p>
        </w:tc>
        <w:tc>
          <w:tcPr>
            <w:tcW w:w="4168" w:type="pct"/>
            <w:gridSpan w:val="4"/>
            <w:tcBorders>
              <w:top w:val="single" w:color="auto" w:sz="4" w:space="0"/>
              <w:left w:val="single" w:color="auto" w:sz="4" w:space="0"/>
              <w:bottom w:val="single" w:color="auto" w:sz="4" w:space="0"/>
              <w:right w:val="single" w:color="auto" w:sz="4" w:space="0"/>
            </w:tcBorders>
            <w:noWrap w:val="0"/>
            <w:vAlign w:val="top"/>
          </w:tcPr>
          <w:p w14:paraId="4BBBABF3">
            <w:pPr>
              <w:spacing w:line="440" w:lineRule="exact"/>
              <w:rPr>
                <w:rFonts w:ascii="宋体" w:hAnsi="宋体" w:cs="宋体"/>
                <w:bCs/>
                <w:color w:val="auto"/>
                <w:szCs w:val="21"/>
                <w:highlight w:val="none"/>
              </w:rPr>
            </w:pPr>
            <w:r>
              <w:rPr>
                <w:rFonts w:hint="eastAsia" w:ascii="宋体" w:hAnsi="宋体"/>
                <w:smallCaps/>
                <w:color w:val="auto"/>
                <w:szCs w:val="21"/>
                <w:highlight w:val="none"/>
              </w:rPr>
              <w:t>1.</w:t>
            </w:r>
            <w:r>
              <w:rPr>
                <w:rFonts w:hint="eastAsia" w:ascii="宋体" w:hAnsi="宋体" w:cs="宋体"/>
                <w:bCs/>
                <w:color w:val="auto"/>
                <w:szCs w:val="21"/>
                <w:highlight w:val="none"/>
              </w:rPr>
              <w:t>设备必须是全新原厂正品。</w:t>
            </w:r>
          </w:p>
          <w:p w14:paraId="258A8B6C">
            <w:pPr>
              <w:spacing w:line="440" w:lineRule="exact"/>
              <w:rPr>
                <w:rFonts w:ascii="宋体" w:hAnsi="宋体" w:cs="宋体"/>
                <w:bCs/>
                <w:color w:val="auto"/>
                <w:szCs w:val="21"/>
                <w:highlight w:val="none"/>
              </w:rPr>
            </w:pPr>
            <w:r>
              <w:rPr>
                <w:rFonts w:hint="eastAsia" w:ascii="宋体" w:hAnsi="宋体"/>
                <w:smallCaps/>
                <w:color w:val="auto"/>
                <w:szCs w:val="21"/>
                <w:highlight w:val="none"/>
              </w:rPr>
              <w:t>2.</w:t>
            </w:r>
            <w:r>
              <w:rPr>
                <w:rFonts w:hint="eastAsia" w:ascii="宋体" w:hAnsi="宋体"/>
                <w:color w:val="auto"/>
                <w:szCs w:val="21"/>
                <w:highlight w:val="none"/>
              </w:rPr>
              <w:t>分项货物有要求按分项要求，</w:t>
            </w:r>
            <w:r>
              <w:rPr>
                <w:rFonts w:hint="eastAsia" w:ascii="宋体" w:hAnsi="宋体" w:cs="宋体"/>
                <w:bCs/>
                <w:color w:val="auto"/>
                <w:szCs w:val="21"/>
                <w:highlight w:val="none"/>
              </w:rPr>
              <w:t>分项没有质保要求的按国家有关产品“三包”规定执行“三包”政策且质保期不少于 3 年，质保期以通过项目最终验收的验收报告签字日开始计算。</w:t>
            </w:r>
          </w:p>
          <w:p w14:paraId="248ADC02">
            <w:pPr>
              <w:spacing w:line="360" w:lineRule="auto"/>
              <w:rPr>
                <w:rFonts w:hint="eastAsia" w:hAnsi="宋体"/>
                <w:color w:val="auto"/>
                <w:szCs w:val="21"/>
                <w:highlight w:val="none"/>
              </w:rPr>
            </w:pPr>
            <w:r>
              <w:rPr>
                <w:rFonts w:hint="eastAsia" w:ascii="宋体" w:hAnsi="宋体"/>
                <w:color w:val="auto"/>
                <w:szCs w:val="21"/>
                <w:highlight w:val="none"/>
              </w:rPr>
              <w:t>3.在质保期内货物发生故障</w:t>
            </w:r>
            <w:r>
              <w:rPr>
                <w:rFonts w:hint="eastAsia" w:ascii="宋体" w:hAnsi="宋体" w:cs="宋体"/>
                <w:bCs/>
                <w:color w:val="auto"/>
                <w:szCs w:val="21"/>
                <w:highlight w:val="none"/>
              </w:rPr>
              <w:t>或设备损坏，</w:t>
            </w:r>
            <w:r>
              <w:rPr>
                <w:rFonts w:hint="eastAsia" w:ascii="宋体" w:hAnsi="宋体"/>
                <w:color w:val="auto"/>
                <w:szCs w:val="21"/>
                <w:highlight w:val="none"/>
              </w:rPr>
              <w:t>中标供应商必须免费提供维修服务。质保期内全免费上门维修、免费更换零部件；质保期过后提供终身维护。对本项目货物提供终身服务，保修期外的服务费用由采购人和中标供应商另行商议。</w:t>
            </w:r>
          </w:p>
        </w:tc>
      </w:tr>
      <w:tr w14:paraId="5152F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1" w:type="pct"/>
            <w:gridSpan w:val="2"/>
            <w:tcBorders>
              <w:top w:val="single" w:color="auto" w:sz="4" w:space="0"/>
              <w:left w:val="single" w:color="auto" w:sz="4" w:space="0"/>
              <w:bottom w:val="single" w:color="auto" w:sz="4" w:space="0"/>
              <w:right w:val="single" w:color="auto" w:sz="4" w:space="0"/>
            </w:tcBorders>
            <w:noWrap w:val="0"/>
            <w:vAlign w:val="center"/>
          </w:tcPr>
          <w:p w14:paraId="6762C676">
            <w:pPr>
              <w:spacing w:line="360" w:lineRule="auto"/>
              <w:jc w:val="center"/>
              <w:rPr>
                <w:rFonts w:ascii="宋体" w:hAnsi="宋体"/>
                <w:color w:val="auto"/>
                <w:szCs w:val="21"/>
                <w:highlight w:val="none"/>
              </w:rPr>
            </w:pPr>
            <w:r>
              <w:rPr>
                <w:rFonts w:hint="eastAsia" w:ascii="宋体" w:hAnsi="宋体" w:cs="宋体"/>
                <w:color w:val="auto"/>
                <w:szCs w:val="21"/>
                <w:highlight w:val="none"/>
              </w:rPr>
              <w:t>7、验收标准</w:t>
            </w:r>
          </w:p>
        </w:tc>
        <w:tc>
          <w:tcPr>
            <w:tcW w:w="4168" w:type="pct"/>
            <w:gridSpan w:val="4"/>
            <w:tcBorders>
              <w:top w:val="single" w:color="auto" w:sz="4" w:space="0"/>
              <w:left w:val="single" w:color="auto" w:sz="4" w:space="0"/>
              <w:bottom w:val="single" w:color="auto" w:sz="4" w:space="0"/>
              <w:right w:val="single" w:color="auto" w:sz="4" w:space="0"/>
            </w:tcBorders>
            <w:noWrap w:val="0"/>
            <w:vAlign w:val="top"/>
          </w:tcPr>
          <w:p w14:paraId="07C3D6A6">
            <w:pPr>
              <w:spacing w:line="360" w:lineRule="auto"/>
              <w:rPr>
                <w:rFonts w:ascii="宋体" w:hAnsi="宋体" w:cs="宋体"/>
                <w:color w:val="auto"/>
                <w:szCs w:val="21"/>
                <w:highlight w:val="none"/>
              </w:rPr>
            </w:pPr>
            <w:r>
              <w:rPr>
                <w:rFonts w:hint="eastAsia" w:ascii="宋体" w:hAnsi="宋体" w:cs="宋体"/>
                <w:color w:val="auto"/>
                <w:szCs w:val="21"/>
                <w:highlight w:val="none"/>
              </w:rPr>
              <w:t>1．中标供应商所提供的产品必须为原装正品的、全新的、完好无破损、且为未开箱状态、符合有关质量标准的产品；设备到货安装前，采购人现场根据采购文件要求及投标文件承诺逐条对应进行核验（必要时，采购人有权要求中标供应商对各项指标进行现场演示），核验不合格或中标供应商未按采购人要求提供现场演示或技术功能无法达到相应技术要求的，按违约处理，采购人有权全部退货，同时报相关监督管理部门处理，由此造成采购人经济损失的由中标供应商负责承担全部赔偿责任。</w:t>
            </w:r>
          </w:p>
          <w:p w14:paraId="5EB033EA">
            <w:pPr>
              <w:spacing w:line="360" w:lineRule="auto"/>
              <w:rPr>
                <w:rFonts w:ascii="宋体" w:hAnsi="宋体" w:cs="宋体"/>
                <w:color w:val="auto"/>
                <w:szCs w:val="21"/>
                <w:highlight w:val="none"/>
              </w:rPr>
            </w:pPr>
            <w:r>
              <w:rPr>
                <w:rFonts w:hint="eastAsia" w:ascii="宋体" w:hAnsi="宋体" w:cs="宋体"/>
                <w:color w:val="auto"/>
                <w:szCs w:val="21"/>
                <w:highlight w:val="none"/>
              </w:rPr>
              <w:t>2.货物供货时由采购人对照采购文件的《技术需求及要求》进行全面核对检验，对中标供应商应提供投标文件所附检测/检验报告等材料进行核查，如不符合采购文件要求或提供虚假报告或虚假承诺的，采购人有权拒绝验收并认定中标人违约，中标供应商承担所有责任和费用，采购人保留进一步追究责任的权利。采购人有权要求中标供应商提供所竞标主要产品进行功能测试，包括但不限于主要产品</w:t>
            </w:r>
            <w:r>
              <w:rPr>
                <w:rFonts w:hint="eastAsia" w:ascii="宋体" w:hAnsi="宋体" w:cs="宋体"/>
                <w:b/>
                <w:color w:val="auto"/>
                <w:szCs w:val="21"/>
                <w:highlight w:val="none"/>
              </w:rPr>
              <w:t>，</w:t>
            </w:r>
            <w:r>
              <w:rPr>
                <w:rFonts w:hint="eastAsia" w:ascii="宋体" w:hAnsi="宋体" w:cs="宋体"/>
                <w:color w:val="auto"/>
                <w:szCs w:val="21"/>
                <w:highlight w:val="none"/>
              </w:rPr>
              <w:t>如有配置或功能不能满足采购要求，按违约处理，必要时采购人有权要求有资质的第三方检测机构进行检测。</w:t>
            </w:r>
          </w:p>
          <w:p w14:paraId="24D9AF40">
            <w:pPr>
              <w:spacing w:line="360" w:lineRule="auto"/>
              <w:rPr>
                <w:rFonts w:ascii="宋体" w:hAnsi="宋体" w:cs="宋体"/>
                <w:color w:val="auto"/>
                <w:szCs w:val="21"/>
                <w:highlight w:val="none"/>
              </w:rPr>
            </w:pPr>
            <w:r>
              <w:rPr>
                <w:rFonts w:hint="eastAsia" w:ascii="宋体" w:hAnsi="宋体" w:cs="宋体"/>
                <w:color w:val="auto"/>
                <w:szCs w:val="21"/>
                <w:highlight w:val="none"/>
              </w:rPr>
              <w:t>3.货物安装部署，联网调试经过采购人验收合格后，签署验收报告。由中标供应商提供产品保修文件。</w:t>
            </w:r>
          </w:p>
          <w:p w14:paraId="7057EDD3">
            <w:pPr>
              <w:spacing w:line="360" w:lineRule="auto"/>
              <w:rPr>
                <w:rFonts w:ascii="宋体" w:hAnsi="宋体" w:cs="宋体"/>
                <w:color w:val="auto"/>
                <w:szCs w:val="21"/>
                <w:highlight w:val="none"/>
              </w:rPr>
            </w:pPr>
            <w:r>
              <w:rPr>
                <w:rFonts w:hint="eastAsia" w:ascii="宋体" w:hAnsi="宋体" w:cs="宋体"/>
                <w:color w:val="auto"/>
                <w:szCs w:val="21"/>
                <w:highlight w:val="none"/>
              </w:rPr>
              <w:t>4.当满足以下条件时，采购人才向供应商签发货物验收报告：</w:t>
            </w:r>
          </w:p>
          <w:p w14:paraId="02CFAC8F">
            <w:pPr>
              <w:spacing w:line="360" w:lineRule="auto"/>
              <w:rPr>
                <w:rFonts w:ascii="宋体" w:hAnsi="宋体" w:cs="宋体"/>
                <w:color w:val="auto"/>
                <w:szCs w:val="21"/>
                <w:highlight w:val="none"/>
              </w:rPr>
            </w:pPr>
            <w:r>
              <w:rPr>
                <w:rFonts w:hint="eastAsia" w:ascii="宋体" w:hAnsi="宋体" w:cs="宋体"/>
                <w:color w:val="auto"/>
                <w:szCs w:val="21"/>
                <w:highlight w:val="none"/>
              </w:rPr>
              <w:t>（1）中标供应商已按照合同规定提供了全部产品及完整的技术资料。</w:t>
            </w:r>
          </w:p>
          <w:p w14:paraId="0DB67D6A">
            <w:pPr>
              <w:spacing w:line="360" w:lineRule="auto"/>
              <w:rPr>
                <w:rFonts w:ascii="宋体" w:hAnsi="宋体" w:cs="宋体"/>
                <w:color w:val="auto"/>
                <w:szCs w:val="21"/>
                <w:highlight w:val="none"/>
              </w:rPr>
            </w:pPr>
            <w:r>
              <w:rPr>
                <w:rFonts w:hint="eastAsia" w:ascii="宋体" w:hAnsi="宋体" w:cs="宋体"/>
                <w:color w:val="auto"/>
                <w:szCs w:val="21"/>
                <w:highlight w:val="none"/>
              </w:rPr>
              <w:t>（2）货物各项参数完全符合《技术需求及要求》的要求，性能满足要求。</w:t>
            </w:r>
          </w:p>
          <w:p w14:paraId="3FE5C97B">
            <w:pPr>
              <w:spacing w:line="360" w:lineRule="auto"/>
              <w:rPr>
                <w:rFonts w:ascii="宋体" w:hAnsi="宋体" w:cs="宋体"/>
                <w:color w:val="auto"/>
                <w:szCs w:val="21"/>
                <w:highlight w:val="none"/>
              </w:rPr>
            </w:pPr>
            <w:r>
              <w:rPr>
                <w:rFonts w:hint="eastAsia" w:ascii="宋体" w:hAnsi="宋体" w:cs="宋体"/>
                <w:color w:val="auto"/>
                <w:szCs w:val="21"/>
                <w:highlight w:val="none"/>
              </w:rPr>
              <w:t>（3）中标供应商负责安装、调试（测试），并完成采购人的使用操作培训。</w:t>
            </w:r>
          </w:p>
          <w:p w14:paraId="449719EA">
            <w:pPr>
              <w:spacing w:line="360" w:lineRule="auto"/>
              <w:rPr>
                <w:rFonts w:ascii="宋体" w:hAnsi="宋体" w:cs="宋体"/>
                <w:color w:val="auto"/>
                <w:szCs w:val="21"/>
                <w:highlight w:val="none"/>
              </w:rPr>
            </w:pPr>
            <w:r>
              <w:rPr>
                <w:rFonts w:hint="eastAsia" w:ascii="宋体" w:hAnsi="宋体" w:cs="宋体"/>
                <w:color w:val="auto"/>
                <w:szCs w:val="21"/>
                <w:highlight w:val="none"/>
              </w:rPr>
              <w:t>（4）中标供应商已提交完整的技术资料、安装图纸等等验收文件材料给采购人。</w:t>
            </w:r>
          </w:p>
          <w:p w14:paraId="2BF6DC97">
            <w:pPr>
              <w:spacing w:line="360" w:lineRule="auto"/>
              <w:rPr>
                <w:rFonts w:ascii="宋体" w:hAnsi="宋体" w:cs="宋体"/>
                <w:color w:val="auto"/>
                <w:szCs w:val="21"/>
                <w:highlight w:val="none"/>
              </w:rPr>
            </w:pPr>
            <w:r>
              <w:rPr>
                <w:rFonts w:hint="eastAsia" w:ascii="宋体" w:hAnsi="宋体" w:cs="宋体"/>
                <w:color w:val="auto"/>
                <w:szCs w:val="21"/>
                <w:highlight w:val="none"/>
              </w:rPr>
              <w:t>5．验收方式和验收材料要求：</w:t>
            </w:r>
          </w:p>
          <w:p w14:paraId="02D3C306">
            <w:pPr>
              <w:spacing w:line="360" w:lineRule="auto"/>
              <w:rPr>
                <w:rFonts w:ascii="宋体" w:hAnsi="宋体" w:cs="宋体"/>
                <w:color w:val="auto"/>
                <w:szCs w:val="21"/>
                <w:highlight w:val="none"/>
              </w:rPr>
            </w:pPr>
            <w:r>
              <w:rPr>
                <w:rFonts w:hint="eastAsia" w:ascii="宋体" w:hAnsi="宋体" w:cs="宋体"/>
                <w:color w:val="auto"/>
                <w:szCs w:val="21"/>
                <w:highlight w:val="none"/>
              </w:rPr>
              <w:t>（1）采购人在项目完成且收到中标供应商验收申请后5个工作日内组织开展履约验收；</w:t>
            </w:r>
          </w:p>
          <w:p w14:paraId="57E6B8FA">
            <w:pPr>
              <w:spacing w:line="360" w:lineRule="auto"/>
              <w:rPr>
                <w:rFonts w:ascii="宋体" w:hAnsi="宋体" w:cs="宋体"/>
                <w:color w:val="auto"/>
                <w:szCs w:val="21"/>
                <w:highlight w:val="none"/>
              </w:rPr>
            </w:pPr>
            <w:r>
              <w:rPr>
                <w:rFonts w:hint="eastAsia" w:ascii="宋体" w:hAnsi="宋体" w:cs="宋体"/>
                <w:color w:val="auto"/>
                <w:szCs w:val="21"/>
                <w:highlight w:val="none"/>
              </w:rPr>
              <w:t>（2）中标供应商必须提供合格的验收材料，验收材料包括①验收申请书（原件）；②成交通知书复印件；③合同（包括附件加盖采购代理机构章的格式合同中规定的附件）复印件；④项目实施过程文件；⑤货物的证明文件；⑥货物的技术资料。</w:t>
            </w:r>
          </w:p>
          <w:p w14:paraId="702AFA5D">
            <w:pPr>
              <w:spacing w:line="360" w:lineRule="auto"/>
              <w:rPr>
                <w:rFonts w:ascii="宋体" w:hAnsi="宋体" w:cs="宋体"/>
                <w:color w:val="auto"/>
                <w:szCs w:val="21"/>
                <w:highlight w:val="none"/>
              </w:rPr>
            </w:pPr>
            <w:r>
              <w:rPr>
                <w:rFonts w:hint="eastAsia" w:ascii="宋体" w:hAnsi="宋体" w:cs="宋体"/>
                <w:color w:val="auto"/>
                <w:szCs w:val="21"/>
                <w:highlight w:val="none"/>
              </w:rPr>
              <w:t>6.本项目须严格执行国家、地方及行业相关验收标准及规范。</w:t>
            </w:r>
          </w:p>
          <w:p w14:paraId="0598E0B8">
            <w:pPr>
              <w:spacing w:line="360" w:lineRule="auto"/>
              <w:rPr>
                <w:rFonts w:hint="eastAsia" w:hAnsi="宋体"/>
                <w:color w:val="auto"/>
                <w:szCs w:val="21"/>
                <w:highlight w:val="none"/>
              </w:rPr>
            </w:pPr>
            <w:r>
              <w:rPr>
                <w:rFonts w:hint="eastAsia" w:ascii="宋体" w:hAnsi="宋体" w:cs="宋体"/>
                <w:color w:val="auto"/>
                <w:szCs w:val="21"/>
                <w:highlight w:val="none"/>
              </w:rPr>
              <w:t>7.中标产品不能涉及任何法律纠纷。</w:t>
            </w:r>
          </w:p>
        </w:tc>
      </w:tr>
      <w:tr w14:paraId="66C54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1" w:type="pct"/>
            <w:gridSpan w:val="2"/>
            <w:tcBorders>
              <w:top w:val="single" w:color="auto" w:sz="4" w:space="0"/>
              <w:left w:val="single" w:color="auto" w:sz="4" w:space="0"/>
              <w:bottom w:val="single" w:color="auto" w:sz="4" w:space="0"/>
              <w:right w:val="single" w:color="auto" w:sz="4" w:space="0"/>
            </w:tcBorders>
            <w:noWrap w:val="0"/>
            <w:vAlign w:val="center"/>
          </w:tcPr>
          <w:p w14:paraId="3E9EF4B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8、售后服务</w:t>
            </w:r>
          </w:p>
          <w:p w14:paraId="201E4FD4">
            <w:pPr>
              <w:spacing w:line="360" w:lineRule="auto"/>
              <w:jc w:val="center"/>
              <w:rPr>
                <w:rFonts w:hint="eastAsia" w:ascii="宋体" w:hAnsi="宋体"/>
                <w:color w:val="auto"/>
                <w:szCs w:val="21"/>
                <w:highlight w:val="none"/>
              </w:rPr>
            </w:pPr>
            <w:r>
              <w:rPr>
                <w:rFonts w:hint="eastAsia" w:ascii="宋体" w:hAnsi="宋体" w:cs="宋体"/>
                <w:bCs/>
                <w:color w:val="auto"/>
                <w:szCs w:val="21"/>
                <w:highlight w:val="none"/>
              </w:rPr>
              <w:t>要求</w:t>
            </w:r>
          </w:p>
        </w:tc>
        <w:tc>
          <w:tcPr>
            <w:tcW w:w="4168" w:type="pct"/>
            <w:gridSpan w:val="4"/>
            <w:tcBorders>
              <w:top w:val="single" w:color="auto" w:sz="4" w:space="0"/>
              <w:left w:val="single" w:color="auto" w:sz="4" w:space="0"/>
              <w:bottom w:val="single" w:color="auto" w:sz="4" w:space="0"/>
              <w:right w:val="single" w:color="auto" w:sz="4" w:space="0"/>
            </w:tcBorders>
            <w:noWrap w:val="0"/>
            <w:vAlign w:val="top"/>
          </w:tcPr>
          <w:p w14:paraId="1091A672">
            <w:pPr>
              <w:spacing w:line="360" w:lineRule="auto"/>
              <w:rPr>
                <w:rFonts w:ascii="宋体" w:hAnsi="宋体" w:cs="宋体"/>
                <w:bCs/>
                <w:color w:val="auto"/>
                <w:szCs w:val="21"/>
                <w:highlight w:val="none"/>
              </w:rPr>
            </w:pPr>
            <w:r>
              <w:rPr>
                <w:rFonts w:hint="eastAsia" w:ascii="宋体" w:hAnsi="宋体" w:cs="宋体"/>
                <w:bCs/>
                <w:color w:val="auto"/>
                <w:szCs w:val="21"/>
                <w:highlight w:val="none"/>
              </w:rPr>
              <w:t>1．免费送货上门，免费安装调试合格；</w:t>
            </w:r>
          </w:p>
          <w:p w14:paraId="20695801">
            <w:pPr>
              <w:spacing w:line="360" w:lineRule="auto"/>
              <w:rPr>
                <w:rFonts w:ascii="宋体" w:hAnsi="宋体" w:cs="宋体"/>
                <w:bCs/>
                <w:color w:val="auto"/>
                <w:szCs w:val="21"/>
                <w:highlight w:val="none"/>
              </w:rPr>
            </w:pPr>
            <w:r>
              <w:rPr>
                <w:rFonts w:hint="eastAsia" w:ascii="宋体" w:hAnsi="宋体" w:cs="宋体"/>
                <w:bCs/>
                <w:color w:val="auto"/>
                <w:szCs w:val="21"/>
                <w:highlight w:val="none"/>
              </w:rPr>
              <w:t>2．中标供应商必须负责项目设备送货、建设、安装调试与培训，免费提供设备操作培训，提供全套说明书；免费现场培训 2～3 名相关人员至掌握设备操作及日常维护；</w:t>
            </w:r>
          </w:p>
          <w:p w14:paraId="4DE080C4">
            <w:pPr>
              <w:spacing w:line="360" w:lineRule="auto"/>
              <w:rPr>
                <w:rFonts w:ascii="宋体" w:hAnsi="宋体" w:cs="宋体"/>
                <w:bCs/>
                <w:color w:val="auto"/>
                <w:szCs w:val="21"/>
                <w:highlight w:val="none"/>
              </w:rPr>
            </w:pPr>
            <w:r>
              <w:rPr>
                <w:rFonts w:hint="eastAsia" w:ascii="宋体" w:hAnsi="宋体" w:cs="宋体"/>
                <w:bCs/>
                <w:color w:val="auto"/>
                <w:szCs w:val="21"/>
                <w:highlight w:val="none"/>
              </w:rPr>
              <w:t>3．设备如出现故障在接到采购人通知后在30分钟内响应，2小时内上门服务，12小时内解决故障；未能在规定时间内排除故障的，必须在接到采购人通知后48小时内提供同档次的备用机并提交故障解决处理方案；</w:t>
            </w:r>
          </w:p>
          <w:p w14:paraId="7EEE5DC5">
            <w:pPr>
              <w:spacing w:line="360" w:lineRule="auto"/>
              <w:rPr>
                <w:rFonts w:ascii="宋体" w:hAnsi="宋体" w:cs="宋体"/>
                <w:bCs/>
                <w:color w:val="auto"/>
                <w:szCs w:val="21"/>
                <w:highlight w:val="none"/>
              </w:rPr>
            </w:pPr>
            <w:r>
              <w:rPr>
                <w:rFonts w:hint="eastAsia" w:ascii="宋体" w:hAnsi="宋体" w:cs="宋体"/>
                <w:bCs/>
                <w:color w:val="auto"/>
                <w:szCs w:val="21"/>
                <w:highlight w:val="none"/>
              </w:rPr>
              <w:t>4．提供定期回访及巡检服务；</w:t>
            </w:r>
          </w:p>
          <w:p w14:paraId="3C938E8E">
            <w:pPr>
              <w:spacing w:line="360" w:lineRule="auto"/>
              <w:rPr>
                <w:rFonts w:ascii="宋体" w:hAnsi="宋体" w:cs="宋体"/>
                <w:bCs/>
                <w:color w:val="auto"/>
                <w:szCs w:val="21"/>
                <w:highlight w:val="none"/>
              </w:rPr>
            </w:pPr>
            <w:r>
              <w:rPr>
                <w:rFonts w:hint="eastAsia" w:ascii="宋体" w:hAnsi="宋体" w:cs="宋体"/>
                <w:bCs/>
                <w:color w:val="auto"/>
                <w:szCs w:val="21"/>
                <w:highlight w:val="none"/>
              </w:rPr>
              <w:t>5．项目供货及安装过程中产生的残留物或垃圾，需由中标供应商自行清理至校外国家有关部门指定堆放处，产品包装箱及有关产品说明书等处置需经采购人确认后处理。</w:t>
            </w:r>
          </w:p>
          <w:p w14:paraId="195690EF">
            <w:pPr>
              <w:spacing w:line="360" w:lineRule="auto"/>
              <w:rPr>
                <w:rFonts w:hint="eastAsia" w:hAnsi="宋体"/>
                <w:color w:val="auto"/>
                <w:szCs w:val="21"/>
                <w:highlight w:val="none"/>
              </w:rPr>
            </w:pPr>
            <w:r>
              <w:rPr>
                <w:rFonts w:hint="eastAsia" w:ascii="宋体" w:hAnsi="宋体" w:cs="宋体"/>
                <w:bCs/>
                <w:color w:val="auto"/>
                <w:szCs w:val="21"/>
                <w:highlight w:val="none"/>
              </w:rPr>
              <w:t>6．对于软件系统存在的安全漏洞包括但不限于数据库安全的情形，中标供应商应提供终身免费系统升级补丁及做好安全策略。</w:t>
            </w:r>
          </w:p>
        </w:tc>
      </w:tr>
      <w:tr w14:paraId="100E4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1" w:type="pct"/>
            <w:gridSpan w:val="2"/>
            <w:tcBorders>
              <w:top w:val="single" w:color="auto" w:sz="4" w:space="0"/>
              <w:left w:val="single" w:color="auto" w:sz="4" w:space="0"/>
              <w:bottom w:val="single" w:color="auto" w:sz="4" w:space="0"/>
              <w:right w:val="single" w:color="auto" w:sz="4" w:space="0"/>
            </w:tcBorders>
            <w:noWrap w:val="0"/>
            <w:vAlign w:val="center"/>
          </w:tcPr>
          <w:p w14:paraId="03A181C7">
            <w:pPr>
              <w:spacing w:line="360" w:lineRule="auto"/>
              <w:jc w:val="center"/>
              <w:rPr>
                <w:rFonts w:hint="eastAsia" w:ascii="宋体" w:hAnsi="宋体"/>
                <w:color w:val="auto"/>
                <w:szCs w:val="21"/>
                <w:highlight w:val="none"/>
              </w:rPr>
            </w:pPr>
            <w:r>
              <w:rPr>
                <w:rFonts w:hint="eastAsia" w:ascii="宋体" w:hAnsi="宋体" w:cs="宋体"/>
                <w:color w:val="auto"/>
                <w:szCs w:val="21"/>
                <w:highlight w:val="none"/>
              </w:rPr>
              <w:t>8、其他要求</w:t>
            </w:r>
          </w:p>
        </w:tc>
        <w:tc>
          <w:tcPr>
            <w:tcW w:w="4168" w:type="pct"/>
            <w:gridSpan w:val="4"/>
            <w:tcBorders>
              <w:top w:val="single" w:color="auto" w:sz="4" w:space="0"/>
              <w:left w:val="single" w:color="auto" w:sz="4" w:space="0"/>
              <w:bottom w:val="single" w:color="auto" w:sz="4" w:space="0"/>
              <w:right w:val="single" w:color="auto" w:sz="4" w:space="0"/>
            </w:tcBorders>
            <w:noWrap w:val="0"/>
            <w:vAlign w:val="top"/>
          </w:tcPr>
          <w:p w14:paraId="67295268">
            <w:pPr>
              <w:spacing w:line="360" w:lineRule="auto"/>
              <w:rPr>
                <w:rFonts w:ascii="宋体" w:hAnsi="宋体" w:cs="宋体"/>
                <w:color w:val="auto"/>
                <w:szCs w:val="21"/>
                <w:highlight w:val="none"/>
              </w:rPr>
            </w:pPr>
            <w:r>
              <w:rPr>
                <w:rFonts w:hint="eastAsia" w:ascii="宋体" w:hAnsi="宋体" w:cs="宋体"/>
                <w:color w:val="auto"/>
                <w:szCs w:val="21"/>
                <w:highlight w:val="none"/>
              </w:rPr>
              <w:t>1.要求供货产品必须是生产厂家正品、全新的、合格的、满足本项目技术需求的货物。所有零部件、配件必须是未经使用的全新的并符合国家有关质量安全标准的产品。中标人负责提供设备使用培训、操作技能训练等。</w:t>
            </w:r>
          </w:p>
          <w:p w14:paraId="792D6F4C">
            <w:pPr>
              <w:spacing w:line="360" w:lineRule="auto"/>
              <w:rPr>
                <w:rFonts w:ascii="宋体" w:hAnsi="宋体" w:cs="宋体"/>
                <w:color w:val="auto"/>
                <w:szCs w:val="21"/>
                <w:highlight w:val="none"/>
              </w:rPr>
            </w:pPr>
            <w:r>
              <w:rPr>
                <w:rFonts w:hint="eastAsia" w:ascii="宋体" w:hAnsi="宋体" w:cs="宋体"/>
                <w:color w:val="auto"/>
                <w:szCs w:val="21"/>
                <w:highlight w:val="none"/>
              </w:rPr>
              <w:t>2.中标人应保证针对本项目的货物涉及到的知识产权和所提供的相关技术资料是合法取得，并享有完整的知识产权，不会因为招标人的使用而被责令停止使用、追偿或要求赔偿损失，如出现此情况，一切经济和法律责任均由投标人承担。</w:t>
            </w:r>
          </w:p>
          <w:p w14:paraId="61EBC9FC">
            <w:pPr>
              <w:spacing w:line="360" w:lineRule="auto"/>
              <w:rPr>
                <w:rFonts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投标时要求提供</w:t>
            </w:r>
            <w:r>
              <w:rPr>
                <w:rFonts w:hint="eastAsia"/>
                <w:color w:val="auto"/>
                <w:highlight w:val="none"/>
              </w:rPr>
              <w:t>投标人为拟投入人员在本单位近半年内连续三个月缴纳社保的证明，或提供劳动合同，或提供工资支付记录凭证。</w:t>
            </w:r>
            <w:r>
              <w:rPr>
                <w:rFonts w:hint="eastAsia" w:ascii="宋体" w:hAnsi="宋体"/>
                <w:color w:val="auto"/>
                <w:szCs w:val="21"/>
                <w:highlight w:val="none"/>
              </w:rPr>
              <w:t>，并保证后续实际实施的项目实施人员一致，若不一致，采购人有权申请采购主管部门追究中标人违约责任并解除合同；若有人员变动，则需经采购人审查，审核通过方可变动。</w:t>
            </w:r>
          </w:p>
          <w:p w14:paraId="7DE6CC24">
            <w:pPr>
              <w:spacing w:line="360" w:lineRule="auto"/>
              <w:rPr>
                <w:rFonts w:ascii="宋体" w:hAnsi="宋体" w:cs="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投标人对本项目实施须配备有专门的“项目经理”进行项目实施管理，</w:t>
            </w:r>
            <w:r>
              <w:rPr>
                <w:rFonts w:hint="eastAsia"/>
                <w:color w:val="auto"/>
                <w:highlight w:val="none"/>
              </w:rPr>
              <w:t>提供投标人为拟投入人员在本单位近半年内连续三个月缴纳社保的证明，或提供劳动合同，或提供工资支付记录凭证。</w:t>
            </w:r>
            <w:r>
              <w:rPr>
                <w:rFonts w:hint="eastAsia" w:ascii="宋体" w:hAnsi="宋体"/>
                <w:color w:val="auto"/>
                <w:szCs w:val="21"/>
                <w:highlight w:val="none"/>
              </w:rPr>
              <w:t>，经核查若中标人配备的项目经理不是正式在岗人员，采购人有权申请采购主管部门追究中标人违约责任，扣除项目履约保证金并解除合同。投标人在投标文件中指定的“项目经理”与今后具体项目现场实施时的“项目经理”必须为同一个人，且实际负责整个项目建设过程。</w:t>
            </w:r>
          </w:p>
          <w:p w14:paraId="40280D5D">
            <w:pPr>
              <w:spacing w:line="360" w:lineRule="auto"/>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color w:val="auto"/>
                <w:szCs w:val="21"/>
                <w:highlight w:val="none"/>
              </w:rPr>
              <w:t>采购人对项目完成的质量和效率有一定要求，</w:t>
            </w:r>
            <w:r>
              <w:rPr>
                <w:rFonts w:hint="eastAsia"/>
                <w:color w:val="auto"/>
                <w:szCs w:val="21"/>
                <w:highlight w:val="none"/>
              </w:rPr>
              <w:t>投标人</w:t>
            </w:r>
            <w:r>
              <w:rPr>
                <w:color w:val="auto"/>
                <w:szCs w:val="21"/>
                <w:highlight w:val="none"/>
              </w:rPr>
              <w:t>须在响应文件中提供</w:t>
            </w:r>
            <w:r>
              <w:rPr>
                <w:rFonts w:hint="eastAsia"/>
                <w:color w:val="auto"/>
                <w:szCs w:val="21"/>
                <w:highlight w:val="none"/>
              </w:rPr>
              <w:t>项目实施方案</w:t>
            </w:r>
            <w:r>
              <w:rPr>
                <w:color w:val="auto"/>
                <w:szCs w:val="21"/>
                <w:highlight w:val="none"/>
              </w:rPr>
              <w:t>，内容包括但不限于：项目背景、现状</w:t>
            </w:r>
            <w:r>
              <w:rPr>
                <w:rFonts w:hint="eastAsia"/>
                <w:color w:val="auto"/>
                <w:szCs w:val="21"/>
                <w:highlight w:val="none"/>
              </w:rPr>
              <w:t>分析</w:t>
            </w:r>
            <w:r>
              <w:rPr>
                <w:color w:val="auto"/>
                <w:szCs w:val="21"/>
                <w:highlight w:val="none"/>
              </w:rPr>
              <w:t>、建设依据，建设目标</w:t>
            </w:r>
            <w:r>
              <w:rPr>
                <w:rFonts w:hint="eastAsia"/>
                <w:color w:val="auto"/>
                <w:szCs w:val="21"/>
                <w:highlight w:val="none"/>
              </w:rPr>
              <w:t>、项目验收等章节内容，</w:t>
            </w:r>
            <w:r>
              <w:rPr>
                <w:rFonts w:hint="eastAsia" w:ascii="宋体" w:hAnsi="宋体"/>
                <w:color w:val="auto"/>
                <w:szCs w:val="21"/>
                <w:highlight w:val="none"/>
              </w:rPr>
              <w:t>项目建设必须保证建设质量且按约定日期完成，</w:t>
            </w:r>
            <w:r>
              <w:rPr>
                <w:color w:val="auto"/>
                <w:szCs w:val="21"/>
                <w:highlight w:val="none"/>
              </w:rPr>
              <w:t>须在规定的时间内交付产品，若逾期交付，采购人有权追究</w:t>
            </w:r>
            <w:r>
              <w:rPr>
                <w:rFonts w:hint="eastAsia"/>
                <w:color w:val="auto"/>
                <w:szCs w:val="21"/>
                <w:highlight w:val="none"/>
              </w:rPr>
              <w:t>中标人</w:t>
            </w:r>
            <w:r>
              <w:rPr>
                <w:color w:val="auto"/>
                <w:szCs w:val="21"/>
                <w:highlight w:val="none"/>
              </w:rPr>
              <w:t>相应责任</w:t>
            </w:r>
            <w:r>
              <w:rPr>
                <w:rFonts w:hint="eastAsia"/>
                <w:color w:val="auto"/>
                <w:szCs w:val="21"/>
                <w:highlight w:val="none"/>
              </w:rPr>
              <w:t>，</w:t>
            </w:r>
            <w:r>
              <w:rPr>
                <w:rFonts w:hint="eastAsia" w:ascii="宋体" w:hAnsi="宋体"/>
                <w:color w:val="auto"/>
                <w:szCs w:val="21"/>
                <w:highlight w:val="none"/>
              </w:rPr>
              <w:t>投标时提供以日为单位的实施计划表，中标人应与采购人充分沟通技术需求，在安装调试完毕后，中标人须向采购单位提前提交验收申请报告，由采购人安排验收时间。</w:t>
            </w:r>
          </w:p>
          <w:p w14:paraId="5A187868">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为了保证本次项目的质量，在签订合同后，采购人有权对本项目带有“★”的技术指标和性能进行测试，以确认其是否达到采购文件中所规定以及投标文件所承诺的要求，若测试结果不能满足采购文件参数以及投标文件所承诺的内容，采购人有权上报财政监督部门，由此引起的后果均由中标供应商自行承担，并且保留追究中标人虚假应标的法律责任</w:t>
            </w:r>
            <w:r>
              <w:rPr>
                <w:rFonts w:ascii="宋体" w:hAnsi="宋体" w:cs="宋体"/>
                <w:color w:val="auto"/>
                <w:szCs w:val="21"/>
                <w:highlight w:val="none"/>
              </w:rPr>
              <w:t>。</w:t>
            </w:r>
          </w:p>
          <w:p w14:paraId="4BF88025">
            <w:pPr>
              <w:spacing w:line="360" w:lineRule="auto"/>
              <w:rPr>
                <w:rFonts w:hint="eastAsia"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.本项目货物不接受进口产品（即通过中国海关报关验放进入中国境内且产自关境外的产品）参与投标，如有此类产品参与投标的按无效标处理。</w:t>
            </w:r>
          </w:p>
        </w:tc>
      </w:tr>
      <w:tr w14:paraId="76049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1" w:type="pct"/>
            <w:gridSpan w:val="2"/>
            <w:tcBorders>
              <w:top w:val="single" w:color="auto" w:sz="4" w:space="0"/>
              <w:left w:val="single" w:color="auto" w:sz="4" w:space="0"/>
              <w:bottom w:val="single" w:color="auto" w:sz="4" w:space="0"/>
              <w:right w:val="single" w:color="auto" w:sz="4" w:space="0"/>
            </w:tcBorders>
            <w:noWrap w:val="0"/>
            <w:vAlign w:val="center"/>
          </w:tcPr>
          <w:p w14:paraId="64B23F3D">
            <w:pPr>
              <w:spacing w:line="360" w:lineRule="auto"/>
              <w:jc w:val="center"/>
              <w:rPr>
                <w:rFonts w:hint="eastAsia" w:ascii="宋体" w:hAnsi="宋体"/>
                <w:color w:val="auto"/>
                <w:szCs w:val="21"/>
                <w:highlight w:val="none"/>
              </w:rPr>
            </w:pPr>
            <w:r>
              <w:rPr>
                <w:rFonts w:hint="eastAsia" w:ascii="宋体" w:hAnsi="宋体" w:cs="宋体"/>
                <w:color w:val="auto"/>
                <w:szCs w:val="21"/>
                <w:highlight w:val="none"/>
              </w:rPr>
              <w:t>10、现场考察</w:t>
            </w:r>
          </w:p>
        </w:tc>
        <w:tc>
          <w:tcPr>
            <w:tcW w:w="4168" w:type="pct"/>
            <w:gridSpan w:val="4"/>
            <w:tcBorders>
              <w:top w:val="single" w:color="auto" w:sz="4" w:space="0"/>
              <w:left w:val="single" w:color="auto" w:sz="4" w:space="0"/>
              <w:bottom w:val="single" w:color="auto" w:sz="4" w:space="0"/>
              <w:right w:val="single" w:color="auto" w:sz="4" w:space="0"/>
            </w:tcBorders>
            <w:noWrap w:val="0"/>
            <w:vAlign w:val="top"/>
          </w:tcPr>
          <w:p w14:paraId="2EECA070">
            <w:pPr>
              <w:spacing w:line="360" w:lineRule="auto"/>
              <w:rPr>
                <w:rFonts w:ascii="宋体" w:hAnsi="宋体" w:cs="宋体"/>
                <w:color w:val="auto"/>
                <w:szCs w:val="21"/>
                <w:highlight w:val="none"/>
              </w:rPr>
            </w:pPr>
            <w:r>
              <w:rPr>
                <w:rFonts w:hint="eastAsia" w:ascii="宋体" w:hAnsi="宋体" w:cs="宋体"/>
                <w:color w:val="auto"/>
                <w:szCs w:val="21"/>
                <w:highlight w:val="none"/>
              </w:rPr>
              <w:t>1.投标人可到采购人现场进行现场考察，充分了解项目情况，否则导致投标失误由投标人自行承担。</w:t>
            </w:r>
          </w:p>
          <w:p w14:paraId="1E394674">
            <w:pPr>
              <w:spacing w:line="360" w:lineRule="auto"/>
              <w:rPr>
                <w:rFonts w:ascii="宋体" w:hAnsi="宋体" w:cs="宋体"/>
                <w:color w:val="auto"/>
                <w:szCs w:val="21"/>
                <w:highlight w:val="none"/>
              </w:rPr>
            </w:pPr>
            <w:r>
              <w:rPr>
                <w:rFonts w:hint="eastAsia" w:ascii="宋体" w:hAnsi="宋体" w:cs="宋体"/>
                <w:color w:val="auto"/>
                <w:szCs w:val="21"/>
                <w:highlight w:val="none"/>
              </w:rPr>
              <w:t>2.考察时间：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9:00—12:00</w:t>
            </w:r>
            <w:r>
              <w:rPr>
                <w:rFonts w:hint="eastAsia" w:ascii="宋体" w:hAnsi="宋体" w:cs="宋体"/>
                <w:color w:val="auto"/>
                <w:szCs w:val="21"/>
                <w:highlight w:val="none"/>
              </w:rPr>
              <w:t>，由采购人代表带领潜在投标人对实地进行考察，逾时不候。</w:t>
            </w:r>
          </w:p>
          <w:p w14:paraId="7B31BE70">
            <w:pPr>
              <w:spacing w:line="360" w:lineRule="auto"/>
              <w:rPr>
                <w:rFonts w:ascii="宋体" w:hAnsi="宋体" w:cs="宋体"/>
                <w:color w:val="auto"/>
                <w:szCs w:val="21"/>
                <w:highlight w:val="none"/>
              </w:rPr>
            </w:pPr>
            <w:r>
              <w:rPr>
                <w:rFonts w:hint="eastAsia" w:ascii="宋体" w:hAnsi="宋体" w:cs="宋体"/>
                <w:color w:val="auto"/>
                <w:szCs w:val="21"/>
                <w:highlight w:val="none"/>
              </w:rPr>
              <w:t>3.集中地点：广西财经学院武鸣校区；</w:t>
            </w:r>
          </w:p>
          <w:p w14:paraId="27A99291">
            <w:pPr>
              <w:spacing w:line="360" w:lineRule="auto"/>
              <w:rPr>
                <w:rFonts w:ascii="宋体" w:hAnsi="宋体" w:cs="宋体"/>
                <w:color w:val="auto"/>
                <w:szCs w:val="21"/>
                <w:highlight w:val="none"/>
              </w:rPr>
            </w:pPr>
            <w:r>
              <w:rPr>
                <w:rFonts w:hint="eastAsia" w:ascii="宋体" w:hAnsi="宋体" w:cs="宋体"/>
                <w:color w:val="auto"/>
                <w:szCs w:val="21"/>
                <w:highlight w:val="none"/>
              </w:rPr>
              <w:t>4.联系人：杨老师，联系电话：</w:t>
            </w:r>
            <w:r>
              <w:rPr>
                <w:rFonts w:ascii="宋体" w:hAnsi="宋体"/>
                <w:color w:val="auto"/>
                <w:szCs w:val="21"/>
                <w:highlight w:val="none"/>
              </w:rPr>
              <w:t>15578002225</w:t>
            </w:r>
          </w:p>
          <w:p w14:paraId="0DD2AEEA">
            <w:pPr>
              <w:spacing w:line="360" w:lineRule="auto"/>
              <w:rPr>
                <w:rFonts w:hint="eastAsia" w:hAnsi="宋体"/>
                <w:color w:val="auto"/>
                <w:szCs w:val="21"/>
                <w:highlight w:val="none"/>
              </w:rPr>
            </w:pPr>
            <w:r>
              <w:rPr>
                <w:rFonts w:hint="eastAsia" w:ascii="宋体" w:hAnsi="宋体" w:cs="宋体"/>
                <w:color w:val="auto"/>
                <w:szCs w:val="21"/>
                <w:highlight w:val="none"/>
              </w:rPr>
              <w:t>5.现场考察为自愿原则，</w:t>
            </w:r>
            <w:r>
              <w:rPr>
                <w:rStyle w:val="7"/>
                <w:rFonts w:hint="default"/>
                <w:color w:val="auto"/>
                <w:sz w:val="21"/>
                <w:szCs w:val="21"/>
                <w:highlight w:val="none"/>
              </w:rPr>
              <w:t>考察人员自带安全帽，安全及产生的一切费用由潜在投标人自行承担</w:t>
            </w:r>
            <w:r>
              <w:rPr>
                <w:rFonts w:hint="eastAsia" w:ascii="宋体" w:hAnsi="宋体" w:cs="宋体"/>
                <w:color w:val="auto"/>
                <w:szCs w:val="21"/>
                <w:highlight w:val="none"/>
              </w:rPr>
              <w:t>。</w:t>
            </w:r>
          </w:p>
        </w:tc>
      </w:tr>
      <w:tr w14:paraId="3EB53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7BE5740A">
            <w:pPr>
              <w:spacing w:line="360" w:lineRule="exact"/>
              <w:rPr>
                <w:rFonts w:hint="eastAsia" w:ascii="宋体" w:hAnsi="宋体"/>
                <w:b/>
                <w:color w:val="auto"/>
                <w:szCs w:val="21"/>
                <w:highlight w:val="none"/>
              </w:rPr>
            </w:pPr>
            <w:r>
              <w:rPr>
                <w:rFonts w:hint="eastAsia" w:ascii="宋体" w:hAnsi="宋体"/>
                <w:b/>
                <w:bCs/>
                <w:color w:val="auto"/>
                <w:szCs w:val="21"/>
                <w:highlight w:val="none"/>
              </w:rPr>
              <w:t>二、与实现项目目标相关的其他要求</w:t>
            </w:r>
          </w:p>
        </w:tc>
      </w:tr>
      <w:tr w14:paraId="10144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39EBE781">
            <w:pPr>
              <w:spacing w:line="360" w:lineRule="exact"/>
              <w:rPr>
                <w:rFonts w:hint="eastAsia" w:ascii="宋体" w:hAnsi="宋体"/>
                <w:b/>
                <w:color w:val="auto"/>
                <w:szCs w:val="21"/>
                <w:highlight w:val="none"/>
              </w:rPr>
            </w:pPr>
            <w:r>
              <w:rPr>
                <w:rFonts w:hint="eastAsia" w:ascii="宋体" w:hAnsi="宋体"/>
                <w:b/>
                <w:color w:val="auto"/>
                <w:szCs w:val="21"/>
                <w:highlight w:val="none"/>
              </w:rPr>
              <w:t>（一）投标人的履约能力要求</w:t>
            </w:r>
          </w:p>
        </w:tc>
      </w:tr>
      <w:tr w14:paraId="64063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1" w:type="pct"/>
            <w:gridSpan w:val="2"/>
            <w:tcBorders>
              <w:top w:val="single" w:color="auto" w:sz="4" w:space="0"/>
              <w:left w:val="single" w:color="auto" w:sz="4" w:space="0"/>
              <w:bottom w:val="single" w:color="auto" w:sz="4" w:space="0"/>
              <w:right w:val="single" w:color="auto" w:sz="4" w:space="0"/>
            </w:tcBorders>
            <w:noWrap w:val="0"/>
            <w:vAlign w:val="center"/>
          </w:tcPr>
          <w:p w14:paraId="7FC94901">
            <w:pPr>
              <w:spacing w:line="360" w:lineRule="exact"/>
              <w:rPr>
                <w:rFonts w:ascii="宋体" w:hAnsi="宋体"/>
                <w:color w:val="auto"/>
                <w:szCs w:val="21"/>
                <w:highlight w:val="none"/>
              </w:rPr>
            </w:pPr>
            <w:r>
              <w:rPr>
                <w:rFonts w:hint="eastAsia" w:ascii="宋体" w:hAnsi="宋体"/>
                <w:color w:val="auto"/>
                <w:szCs w:val="21"/>
                <w:highlight w:val="none"/>
              </w:rPr>
              <w:t>质量管理、企业信用要求</w:t>
            </w:r>
          </w:p>
        </w:tc>
        <w:tc>
          <w:tcPr>
            <w:tcW w:w="4168" w:type="pct"/>
            <w:gridSpan w:val="4"/>
            <w:tcBorders>
              <w:top w:val="single" w:color="auto" w:sz="4" w:space="0"/>
              <w:left w:val="single" w:color="auto" w:sz="4" w:space="0"/>
              <w:bottom w:val="single" w:color="auto" w:sz="4" w:space="0"/>
              <w:right w:val="single" w:color="auto" w:sz="4" w:space="0"/>
            </w:tcBorders>
            <w:noWrap w:val="0"/>
            <w:vAlign w:val="center"/>
          </w:tcPr>
          <w:p w14:paraId="0A7E0337">
            <w:pPr>
              <w:spacing w:line="360" w:lineRule="exact"/>
              <w:rPr>
                <w:rFonts w:ascii="宋体" w:hAnsi="宋体"/>
                <w:color w:val="auto"/>
                <w:szCs w:val="21"/>
                <w:highlight w:val="none"/>
              </w:rPr>
            </w:pPr>
            <w:r>
              <w:rPr>
                <w:rFonts w:hint="eastAsia" w:ascii="宋体" w:hAnsi="宋体"/>
                <w:color w:val="auto"/>
                <w:szCs w:val="21"/>
                <w:highlight w:val="none"/>
              </w:rPr>
              <w:t>如有，请结合本招标文件第四章“评标办法及评分标准”在投标文件中自行提供。</w:t>
            </w:r>
          </w:p>
        </w:tc>
      </w:tr>
      <w:tr w14:paraId="201BE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1" w:type="pct"/>
            <w:gridSpan w:val="2"/>
            <w:tcBorders>
              <w:top w:val="single" w:color="auto" w:sz="4" w:space="0"/>
              <w:left w:val="single" w:color="auto" w:sz="4" w:space="0"/>
              <w:bottom w:val="single" w:color="auto" w:sz="4" w:space="0"/>
              <w:right w:val="single" w:color="auto" w:sz="4" w:space="0"/>
            </w:tcBorders>
            <w:noWrap w:val="0"/>
            <w:vAlign w:val="center"/>
          </w:tcPr>
          <w:p w14:paraId="75DDA3CD">
            <w:pPr>
              <w:spacing w:line="360" w:lineRule="exact"/>
              <w:rPr>
                <w:rFonts w:ascii="宋体" w:hAnsi="宋体"/>
                <w:color w:val="auto"/>
                <w:szCs w:val="21"/>
                <w:highlight w:val="none"/>
              </w:rPr>
            </w:pPr>
            <w:r>
              <w:rPr>
                <w:rFonts w:hint="eastAsia" w:ascii="宋体" w:hAnsi="宋体"/>
                <w:color w:val="auto"/>
                <w:szCs w:val="21"/>
                <w:highlight w:val="none"/>
              </w:rPr>
              <w:t>能力或者业绩要求</w:t>
            </w:r>
          </w:p>
        </w:tc>
        <w:tc>
          <w:tcPr>
            <w:tcW w:w="4168" w:type="pct"/>
            <w:gridSpan w:val="4"/>
            <w:tcBorders>
              <w:top w:val="single" w:color="auto" w:sz="4" w:space="0"/>
              <w:left w:val="single" w:color="auto" w:sz="4" w:space="0"/>
              <w:bottom w:val="single" w:color="auto" w:sz="4" w:space="0"/>
              <w:right w:val="single" w:color="auto" w:sz="4" w:space="0"/>
            </w:tcBorders>
            <w:noWrap w:val="0"/>
            <w:vAlign w:val="center"/>
          </w:tcPr>
          <w:p w14:paraId="74586051">
            <w:pPr>
              <w:spacing w:line="360" w:lineRule="exact"/>
              <w:rPr>
                <w:rFonts w:ascii="宋体" w:hAnsi="宋体"/>
                <w:color w:val="auto"/>
                <w:szCs w:val="21"/>
                <w:highlight w:val="none"/>
              </w:rPr>
            </w:pPr>
            <w:r>
              <w:rPr>
                <w:rFonts w:hint="eastAsia" w:ascii="宋体" w:hAnsi="宋体"/>
                <w:color w:val="auto"/>
                <w:szCs w:val="21"/>
                <w:highlight w:val="none"/>
              </w:rPr>
              <w:t>如有，请结合本招标文件第四章“评标办法及评分标准”在投标文件中自行提供。</w:t>
            </w:r>
          </w:p>
        </w:tc>
      </w:tr>
      <w:tr w14:paraId="59851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63A29FB3">
            <w:pPr>
              <w:spacing w:line="360" w:lineRule="exact"/>
              <w:rPr>
                <w:rFonts w:hint="eastAsia" w:ascii="宋体" w:hAnsi="宋体"/>
                <w:b/>
                <w:color w:val="auto"/>
                <w:szCs w:val="21"/>
                <w:highlight w:val="none"/>
              </w:rPr>
            </w:pPr>
            <w:r>
              <w:rPr>
                <w:rFonts w:hint="eastAsia" w:ascii="宋体" w:hAnsi="宋体"/>
                <w:b/>
                <w:color w:val="auto"/>
                <w:szCs w:val="21"/>
                <w:highlight w:val="none"/>
              </w:rPr>
              <w:t>（二）政策性加分条件</w:t>
            </w:r>
          </w:p>
        </w:tc>
      </w:tr>
      <w:tr w14:paraId="3B0C7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4E814874">
            <w:pPr>
              <w:spacing w:line="360" w:lineRule="exact"/>
              <w:rPr>
                <w:rFonts w:hint="eastAsia" w:ascii="宋体" w:hAnsi="宋体"/>
                <w:color w:val="auto"/>
                <w:szCs w:val="21"/>
                <w:highlight w:val="none"/>
              </w:rPr>
            </w:pPr>
            <w:r>
              <w:rPr>
                <w:rFonts w:hint="eastAsia" w:ascii="宋体" w:hAnsi="宋体"/>
                <w:color w:val="auto"/>
                <w:szCs w:val="21"/>
                <w:highlight w:val="none"/>
              </w:rPr>
              <w:t>符合节能环保等国家政策要求。</w:t>
            </w:r>
          </w:p>
        </w:tc>
      </w:tr>
      <w:tr w14:paraId="48D28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355AE552">
            <w:pPr>
              <w:tabs>
                <w:tab w:val="left" w:pos="180"/>
                <w:tab w:val="left" w:pos="1620"/>
              </w:tabs>
              <w:spacing w:line="360" w:lineRule="exact"/>
              <w:rPr>
                <w:rFonts w:ascii="宋体" w:hAnsi="宋体" w:cs="宋体"/>
                <w:bCs/>
                <w:color w:val="auto"/>
                <w:szCs w:val="21"/>
                <w:highlight w:val="none"/>
              </w:rPr>
            </w:pPr>
            <w:r>
              <w:rPr>
                <w:rFonts w:hint="eastAsia" w:ascii="宋体" w:hAnsi="宋体"/>
                <w:b/>
                <w:color w:val="auto"/>
                <w:szCs w:val="21"/>
                <w:highlight w:val="none"/>
              </w:rPr>
              <w:t>（三）验收事项其他说明</w:t>
            </w:r>
          </w:p>
        </w:tc>
      </w:tr>
      <w:tr w14:paraId="6E0B9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759B16BA">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本章《采购需求》有其他要求的按其要求。</w:t>
            </w:r>
          </w:p>
          <w:p w14:paraId="23B73DDB">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合同履行过程中，由采购人根据中标人所提供的货物或服务，对照招标文件要求及中标人投标文件承诺进行检验并记录，发现中标人在投标文件中有弄虚作假的行为，或在投标文件中有针对技术商务条款有虚假响应情况的，采购单位将终止合同或不予验收，并追究中标人的责任，由此带来的一切损失由中标人自行承担。</w:t>
            </w:r>
          </w:p>
          <w:p w14:paraId="43617D97">
            <w:pPr>
              <w:spacing w:line="36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2F3E54B0">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验收过程中，除另有约定的以外，所产生的费用均由中标人承担。报价时应考虑相关费用。</w:t>
            </w:r>
          </w:p>
          <w:p w14:paraId="0C81C1EB">
            <w:pPr>
              <w:spacing w:line="360" w:lineRule="exact"/>
              <w:ind w:firstLine="411" w:firstLineChars="196"/>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产品实行强制标准认证制度、生产许可证制度、销售或经营许可证制度、注册证制度的，中标人均应提供相关有效的证书复印件。</w:t>
            </w:r>
          </w:p>
        </w:tc>
      </w:tr>
      <w:tr w14:paraId="686EC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19264830">
            <w:pPr>
              <w:spacing w:line="360" w:lineRule="exact"/>
              <w:rPr>
                <w:rFonts w:ascii="宋体" w:hAnsi="宋体"/>
                <w:color w:val="auto"/>
                <w:szCs w:val="21"/>
                <w:highlight w:val="none"/>
              </w:rPr>
            </w:pPr>
            <w:r>
              <w:rPr>
                <w:rFonts w:hint="eastAsia" w:ascii="宋体" w:hAnsi="宋体"/>
                <w:b/>
                <w:color w:val="auto"/>
                <w:szCs w:val="21"/>
                <w:highlight w:val="none"/>
              </w:rPr>
              <w:t>（四）进口产品及核心产品说明</w:t>
            </w:r>
          </w:p>
        </w:tc>
      </w:tr>
      <w:tr w14:paraId="7EB2F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01870ECD">
            <w:pPr>
              <w:spacing w:line="360" w:lineRule="exact"/>
              <w:ind w:firstLine="435"/>
              <w:rPr>
                <w:rFonts w:ascii="宋体" w:hAnsi="宋体"/>
                <w:color w:val="auto"/>
                <w:szCs w:val="21"/>
                <w:highlight w:val="none"/>
              </w:rPr>
            </w:pPr>
            <w:r>
              <w:rPr>
                <w:rFonts w:hint="eastAsia" w:ascii="宋体" w:hAnsi="宋体"/>
                <w:color w:val="auto"/>
                <w:szCs w:val="21"/>
                <w:highlight w:val="none"/>
              </w:rPr>
              <w:t>★1.本项目货物不接受进口产品（即通过中国海关报关验放进入中国境内且产自关境外的产品）参与投标，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r>
              <w:rPr>
                <w:rFonts w:hint="eastAsia" w:ascii="宋体" w:hAnsi="宋体"/>
                <w:color w:val="auto"/>
                <w:szCs w:val="21"/>
                <w:highlight w:val="none"/>
              </w:rPr>
              <w:t>。</w:t>
            </w:r>
          </w:p>
          <w:p w14:paraId="44570DD0">
            <w:pPr>
              <w:spacing w:line="360" w:lineRule="exact"/>
              <w:ind w:firstLine="435"/>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本项目序号</w:t>
            </w:r>
            <w:r>
              <w:rPr>
                <w:rFonts w:hint="eastAsia" w:ascii="宋体" w:hAnsi="宋体"/>
                <w:b/>
                <w:color w:val="auto"/>
                <w:szCs w:val="21"/>
                <w:highlight w:val="none"/>
                <w:u w:val="single"/>
              </w:rPr>
              <w:t xml:space="preserve"> 7“存储” </w:t>
            </w:r>
            <w:r>
              <w:rPr>
                <w:rFonts w:ascii="宋体" w:hAnsi="宋体"/>
                <w:b/>
                <w:color w:val="auto"/>
                <w:szCs w:val="21"/>
                <w:highlight w:val="none"/>
                <w:u w:val="single"/>
              </w:rPr>
              <w:t xml:space="preserve"> </w:t>
            </w:r>
            <w:r>
              <w:rPr>
                <w:rFonts w:hint="eastAsia" w:ascii="宋体" w:hAnsi="宋体"/>
                <w:b/>
                <w:color w:val="auto"/>
                <w:szCs w:val="21"/>
                <w:highlight w:val="none"/>
              </w:rPr>
              <w:t>采购标的即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3C047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4F0BC8F7">
            <w:pPr>
              <w:spacing w:line="360" w:lineRule="exact"/>
              <w:rPr>
                <w:rFonts w:hint="eastAsia" w:ascii="宋体" w:hAnsi="宋体"/>
                <w:color w:val="auto"/>
                <w:szCs w:val="21"/>
                <w:highlight w:val="none"/>
              </w:rPr>
            </w:pPr>
            <w:r>
              <w:rPr>
                <w:rFonts w:hint="eastAsia" w:ascii="宋体" w:hAnsi="宋体"/>
                <w:b/>
                <w:color w:val="auto"/>
                <w:szCs w:val="21"/>
                <w:highlight w:val="none"/>
              </w:rPr>
              <w:t>三</w:t>
            </w:r>
            <w:r>
              <w:rPr>
                <w:rFonts w:ascii="宋体" w:hAnsi="宋体"/>
                <w:b/>
                <w:color w:val="auto"/>
                <w:szCs w:val="21"/>
                <w:highlight w:val="none"/>
              </w:rPr>
              <w:t>、其他说明</w:t>
            </w:r>
          </w:p>
        </w:tc>
      </w:tr>
      <w:tr w14:paraId="714D0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1A39AEB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u w:val="single"/>
              </w:rPr>
              <w:t>本项目评审时以预算金额为最高限价，投标人投标报价超所投分标最高限价的作无效投标处理</w:t>
            </w:r>
            <w:r>
              <w:rPr>
                <w:rFonts w:hint="eastAsia" w:ascii="宋体" w:hAnsi="宋体"/>
                <w:color w:val="auto"/>
                <w:szCs w:val="21"/>
                <w:highlight w:val="none"/>
              </w:rPr>
              <w:t>。</w:t>
            </w:r>
          </w:p>
          <w:p w14:paraId="62395BE2">
            <w:pPr>
              <w:spacing w:line="360" w:lineRule="exact"/>
              <w:ind w:firstLine="404" w:firstLineChars="200"/>
              <w:rPr>
                <w:rFonts w:hint="eastAsia" w:ascii="宋体" w:hAnsi="宋体"/>
                <w:color w:val="auto"/>
                <w:spacing w:val="-4"/>
                <w:szCs w:val="21"/>
                <w:highlight w:val="none"/>
              </w:rPr>
            </w:pPr>
            <w:r>
              <w:rPr>
                <w:rFonts w:hint="eastAsia" w:ascii="宋体" w:hAnsi="宋体"/>
                <w:color w:val="auto"/>
                <w:spacing w:val="-4"/>
                <w:szCs w:val="21"/>
                <w:highlight w:val="none"/>
              </w:rPr>
              <w:t>★</w:t>
            </w:r>
            <w:r>
              <w:rPr>
                <w:rFonts w:hint="eastAsia" w:ascii="宋体" w:hAnsi="宋体"/>
                <w:b/>
                <w:color w:val="auto"/>
                <w:spacing w:val="-4"/>
                <w:szCs w:val="21"/>
                <w:highlight w:val="none"/>
              </w:rPr>
              <w:t>2.</w:t>
            </w:r>
            <w:r>
              <w:rPr>
                <w:rFonts w:hint="eastAsia" w:ascii="宋体" w:hAnsi="宋体"/>
                <w:color w:val="auto"/>
                <w:spacing w:val="-4"/>
                <w:szCs w:val="21"/>
                <w:highlight w:val="none"/>
              </w:rPr>
              <w:t>投标人就本项目需求中全部内容作完整唯一报价，不完整响应或拆分投标的将导致投标无效。</w:t>
            </w:r>
          </w:p>
        </w:tc>
      </w:tr>
    </w:tbl>
    <w:p w14:paraId="76422E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B55F2"/>
    <w:multiLevelType w:val="multilevel"/>
    <w:tmpl w:val="120B55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2ACCF9"/>
    <w:multiLevelType w:val="singleLevel"/>
    <w:tmpl w:val="182ACCF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87A8E"/>
    <w:rsid w:val="45687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line="380" w:lineRule="exact"/>
    </w:pPr>
    <w:rPr>
      <w:kern w:val="0"/>
      <w:sz w:val="24"/>
    </w:rPr>
  </w:style>
  <w:style w:type="paragraph" w:styleId="4">
    <w:name w:val="Plain Text"/>
    <w:basedOn w:val="1"/>
    <w:qFormat/>
    <w:uiPriority w:val="0"/>
    <w:rPr>
      <w:rFonts w:ascii="宋体" w:hAnsi="Courier New"/>
      <w:kern w:val="0"/>
      <w:sz w:val="20"/>
      <w:szCs w:val="21"/>
    </w:rPr>
  </w:style>
  <w:style w:type="character" w:customStyle="1" w:styleId="7">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2025-06-10T07:21:00Z</dcterms:created>
  <dc:creator>小陆</dc:creator>
  <cp:lastModifiedBy>小陆</cp:lastModifiedBy>
  <dcterms:modified xsi:type="dcterms:W3CDTF">2025-06-10T07:24:23Z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EF1E3B148C2640A1B715D482003AACED_11</vt:lpwstr>
  </property>
  <property fmtid="{D5CDD505-2E9C-101B-9397-08002B2CF9AE}" pid="4" name="KSOTemplateDocerSaveRecord">
    <vt:lpwstr>eyJoZGlkIjoiMDQxNzI3MmRmZTYzOGU0YjlmMTRiZjUwNzQ3MDgwODMiLCJ1c2VySWQiOiIyNTY3ODQ3NjUifQ==</vt:lpwstr>
  </property>
</Properties>
</file>