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B7F1A55">
      <w:pPr>
        <w:pStyle w:val="19"/>
        <w:kinsoku w:val="0"/>
        <w:overflowPunct w:val="0"/>
        <w:rPr>
          <w:color w:val="auto"/>
        </w:rPr>
      </w:pPr>
      <w:bookmarkStart w:id="0" w:name="_Toc217446030"/>
      <w:bookmarkStart w:id="1" w:name="_Toc183682338"/>
    </w:p>
    <w:p w14:paraId="56222198">
      <w:pPr>
        <w:tabs>
          <w:tab w:val="left" w:pos="1710"/>
        </w:tabs>
        <w:rPr>
          <w:color w:val="auto"/>
        </w:rPr>
      </w:pPr>
    </w:p>
    <w:p w14:paraId="766FA1A7">
      <w:pPr>
        <w:tabs>
          <w:tab w:val="left" w:pos="1710"/>
        </w:tabs>
        <w:rPr>
          <w:color w:val="auto"/>
        </w:rPr>
      </w:pPr>
    </w:p>
    <w:p w14:paraId="339970EA">
      <w:pPr>
        <w:tabs>
          <w:tab w:val="left" w:pos="1710"/>
        </w:tabs>
        <w:rPr>
          <w:color w:val="auto"/>
        </w:rPr>
      </w:pPr>
    </w:p>
    <w:p w14:paraId="208D948E">
      <w:pPr>
        <w:tabs>
          <w:tab w:val="left" w:pos="1710"/>
        </w:tabs>
        <w:rPr>
          <w:color w:val="auto"/>
        </w:rPr>
      </w:pPr>
    </w:p>
    <w:p w14:paraId="7288D35D">
      <w:pPr>
        <w:tabs>
          <w:tab w:val="left" w:pos="1710"/>
        </w:tabs>
        <w:rPr>
          <w:color w:val="auto"/>
        </w:rPr>
      </w:pP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3"/>
        <w:gridCol w:w="4751"/>
      </w:tblGrid>
      <w:tr w14:paraId="51BB7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6804" w:type="dxa"/>
            <w:gridSpan w:val="2"/>
            <w:tcBorders>
              <w:top w:val="nil"/>
              <w:left w:val="nil"/>
              <w:right w:val="nil"/>
            </w:tcBorders>
          </w:tcPr>
          <w:p w14:paraId="06219771">
            <w:pPr>
              <w:snapToGrid w:val="0"/>
              <w:spacing w:line="240" w:lineRule="atLeast"/>
              <w:jc w:val="center"/>
              <w:rPr>
                <w:b/>
                <w:color w:val="auto"/>
                <w:sz w:val="60"/>
                <w:szCs w:val="60"/>
              </w:rPr>
            </w:pPr>
            <w:r>
              <w:rPr>
                <w:rFonts w:hint="eastAsia"/>
                <w:b/>
                <w:color w:val="auto"/>
                <w:sz w:val="60"/>
                <w:szCs w:val="60"/>
              </w:rPr>
              <w:t>招标</w:t>
            </w:r>
            <w:r>
              <w:rPr>
                <w:b/>
                <w:color w:val="auto"/>
                <w:sz w:val="60"/>
                <w:szCs w:val="60"/>
              </w:rPr>
              <w:t>文件</w:t>
            </w:r>
          </w:p>
        </w:tc>
      </w:tr>
      <w:tr w14:paraId="66B1B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exact"/>
          <w:jc w:val="center"/>
        </w:trPr>
        <w:tc>
          <w:tcPr>
            <w:tcW w:w="2053" w:type="dxa"/>
            <w:vAlign w:val="center"/>
          </w:tcPr>
          <w:p w14:paraId="20193DBC">
            <w:pPr>
              <w:rPr>
                <w:b/>
                <w:color w:val="auto"/>
                <w:sz w:val="32"/>
                <w:szCs w:val="32"/>
              </w:rPr>
            </w:pPr>
            <w:r>
              <w:rPr>
                <w:b/>
                <w:color w:val="auto"/>
                <w:sz w:val="32"/>
                <w:szCs w:val="32"/>
              </w:rPr>
              <w:t>项目名称：</w:t>
            </w:r>
          </w:p>
        </w:tc>
        <w:tc>
          <w:tcPr>
            <w:tcW w:w="4751" w:type="dxa"/>
            <w:vAlign w:val="center"/>
          </w:tcPr>
          <w:p w14:paraId="036221A7">
            <w:pPr>
              <w:rPr>
                <w:rFonts w:hint="eastAsia" w:eastAsia="宋体"/>
                <w:b/>
                <w:color w:val="auto"/>
                <w:sz w:val="32"/>
                <w:szCs w:val="32"/>
                <w:lang w:eastAsia="zh-CN"/>
              </w:rPr>
            </w:pPr>
            <w:r>
              <w:rPr>
                <w:rFonts w:hint="eastAsia"/>
                <w:b/>
                <w:color w:val="auto"/>
                <w:sz w:val="32"/>
                <w:szCs w:val="32"/>
                <w:lang w:eastAsia="zh-CN"/>
              </w:rPr>
              <w:t>中草药专业群仪器设备采购项目（重）</w:t>
            </w:r>
          </w:p>
        </w:tc>
      </w:tr>
      <w:tr w14:paraId="793C7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053" w:type="dxa"/>
            <w:vAlign w:val="center"/>
          </w:tcPr>
          <w:p w14:paraId="4B52F209">
            <w:pPr>
              <w:rPr>
                <w:b/>
                <w:color w:val="auto"/>
                <w:sz w:val="32"/>
                <w:szCs w:val="32"/>
              </w:rPr>
            </w:pPr>
            <w:r>
              <w:rPr>
                <w:b/>
                <w:color w:val="auto"/>
                <w:sz w:val="32"/>
                <w:szCs w:val="32"/>
              </w:rPr>
              <w:t>项目编号：</w:t>
            </w:r>
          </w:p>
        </w:tc>
        <w:tc>
          <w:tcPr>
            <w:tcW w:w="4751" w:type="dxa"/>
            <w:vAlign w:val="center"/>
          </w:tcPr>
          <w:p w14:paraId="481C1AC9">
            <w:pPr>
              <w:rPr>
                <w:rFonts w:hint="eastAsia" w:eastAsia="宋体"/>
                <w:b/>
                <w:color w:val="auto"/>
                <w:sz w:val="32"/>
                <w:szCs w:val="32"/>
                <w:lang w:eastAsia="zh-CN"/>
              </w:rPr>
            </w:pPr>
            <w:r>
              <w:rPr>
                <w:rFonts w:hint="eastAsia"/>
                <w:b/>
                <w:color w:val="auto"/>
                <w:sz w:val="32"/>
                <w:szCs w:val="32"/>
                <w:lang w:eastAsia="zh-CN"/>
              </w:rPr>
              <w:t>GXZC2025-G1-003137-JDZB</w:t>
            </w:r>
          </w:p>
        </w:tc>
      </w:tr>
      <w:tr w14:paraId="530A0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053" w:type="dxa"/>
            <w:vAlign w:val="center"/>
          </w:tcPr>
          <w:p w14:paraId="1EC24140">
            <w:pPr>
              <w:rPr>
                <w:b/>
                <w:color w:val="auto"/>
                <w:sz w:val="32"/>
                <w:szCs w:val="32"/>
              </w:rPr>
            </w:pPr>
            <w:r>
              <w:rPr>
                <w:b/>
                <w:color w:val="auto"/>
                <w:sz w:val="32"/>
                <w:szCs w:val="32"/>
              </w:rPr>
              <w:t>联系电话：</w:t>
            </w:r>
          </w:p>
        </w:tc>
        <w:tc>
          <w:tcPr>
            <w:tcW w:w="4751" w:type="dxa"/>
            <w:vAlign w:val="center"/>
          </w:tcPr>
          <w:p w14:paraId="1D4DF703">
            <w:pPr>
              <w:rPr>
                <w:rFonts w:hint="eastAsia" w:eastAsia="宋体"/>
                <w:b/>
                <w:color w:val="auto"/>
                <w:sz w:val="32"/>
                <w:szCs w:val="32"/>
                <w:lang w:eastAsia="zh-CN"/>
              </w:rPr>
            </w:pPr>
            <w:r>
              <w:rPr>
                <w:b/>
                <w:color w:val="auto"/>
                <w:sz w:val="32"/>
                <w:szCs w:val="32"/>
              </w:rPr>
              <w:t>0771-</w:t>
            </w:r>
            <w:r>
              <w:rPr>
                <w:rFonts w:hint="eastAsia"/>
                <w:b/>
                <w:color w:val="auto"/>
                <w:sz w:val="32"/>
                <w:szCs w:val="32"/>
                <w:lang w:eastAsia="zh-CN"/>
              </w:rPr>
              <w:t>2808981</w:t>
            </w:r>
          </w:p>
        </w:tc>
      </w:tr>
    </w:tbl>
    <w:p w14:paraId="41F6319C">
      <w:pPr>
        <w:tabs>
          <w:tab w:val="left" w:pos="1710"/>
        </w:tabs>
        <w:rPr>
          <w:color w:val="auto"/>
        </w:rPr>
      </w:pPr>
    </w:p>
    <w:p w14:paraId="1CD9FB9A">
      <w:pPr>
        <w:rPr>
          <w:color w:val="auto"/>
        </w:rPr>
      </w:pPr>
    </w:p>
    <w:p w14:paraId="7195F2D2">
      <w:pPr>
        <w:rPr>
          <w:color w:val="auto"/>
        </w:rPr>
      </w:pPr>
    </w:p>
    <w:p w14:paraId="2091651E">
      <w:pPr>
        <w:rPr>
          <w:color w:val="auto"/>
        </w:rPr>
      </w:pPr>
    </w:p>
    <w:p w14:paraId="04E0E913">
      <w:pPr>
        <w:rPr>
          <w:color w:val="auto"/>
        </w:rPr>
      </w:pPr>
    </w:p>
    <w:p w14:paraId="435A21B8">
      <w:pPr>
        <w:widowControl/>
        <w:jc w:val="left"/>
        <w:rPr>
          <w:rFonts w:hint="eastAsia" w:ascii="宋体" w:hAnsi="宋体" w:cs="宋体"/>
          <w:color w:val="auto"/>
          <w:kern w:val="0"/>
          <w:sz w:val="24"/>
        </w:rPr>
      </w:pPr>
    </w:p>
    <w:p w14:paraId="73CC62F0">
      <w:pPr>
        <w:rPr>
          <w:color w:val="auto"/>
        </w:rPr>
      </w:pPr>
    </w:p>
    <w:p w14:paraId="02FC7BE4">
      <w:pPr>
        <w:rPr>
          <w:color w:val="auto"/>
        </w:rPr>
      </w:pPr>
    </w:p>
    <w:p w14:paraId="2B29801E">
      <w:pPr>
        <w:rPr>
          <w:color w:val="auto"/>
        </w:rPr>
      </w:pPr>
    </w:p>
    <w:p w14:paraId="7224D1C5">
      <w:pPr>
        <w:rPr>
          <w:color w:val="auto"/>
        </w:rPr>
      </w:pPr>
    </w:p>
    <w:p w14:paraId="09905F5E">
      <w:pPr>
        <w:rPr>
          <w:color w:val="auto"/>
        </w:rPr>
      </w:pPr>
    </w:p>
    <w:p w14:paraId="02A742BD">
      <w:pPr>
        <w:rPr>
          <w:color w:val="auto"/>
        </w:rPr>
      </w:pPr>
    </w:p>
    <w:p w14:paraId="65B7F8DE">
      <w:pPr>
        <w:rPr>
          <w:color w:val="auto"/>
        </w:rPr>
      </w:pPr>
    </w:p>
    <w:p w14:paraId="5DD33CEF">
      <w:pPr>
        <w:rPr>
          <w:color w:val="auto"/>
        </w:rPr>
      </w:pPr>
    </w:p>
    <w:p w14:paraId="0BD576F7">
      <w:pPr>
        <w:rPr>
          <w:color w:val="auto"/>
        </w:rPr>
      </w:pPr>
    </w:p>
    <w:p w14:paraId="1741A8EA">
      <w:pPr>
        <w:rPr>
          <w:color w:val="auto"/>
        </w:rPr>
      </w:pPr>
    </w:p>
    <w:p w14:paraId="4CF9E1EA">
      <w:pPr>
        <w:pStyle w:val="31"/>
        <w:rPr>
          <w:color w:val="auto"/>
        </w:rPr>
      </w:pPr>
    </w:p>
    <w:p w14:paraId="295C9DBC">
      <w:pPr>
        <w:rPr>
          <w:color w:val="auto"/>
        </w:rPr>
      </w:pPr>
    </w:p>
    <w:p w14:paraId="611BF2F6">
      <w:pPr>
        <w:pStyle w:val="31"/>
        <w:rPr>
          <w:color w:val="auto"/>
        </w:rPr>
      </w:pPr>
    </w:p>
    <w:p w14:paraId="0844B404">
      <w:pPr>
        <w:rPr>
          <w:color w:val="auto"/>
        </w:rPr>
      </w:pPr>
    </w:p>
    <w:p w14:paraId="4EBABF77">
      <w:pPr>
        <w:pStyle w:val="31"/>
        <w:rPr>
          <w:color w:val="auto"/>
        </w:rPr>
      </w:pPr>
    </w:p>
    <w:tbl>
      <w:tblPr>
        <w:tblStyle w:val="51"/>
        <w:tblW w:w="0" w:type="auto"/>
        <w:jc w:val="center"/>
        <w:tblLayout w:type="fixed"/>
        <w:tblCellMar>
          <w:top w:w="0" w:type="dxa"/>
          <w:left w:w="108" w:type="dxa"/>
          <w:bottom w:w="0" w:type="dxa"/>
          <w:right w:w="108" w:type="dxa"/>
        </w:tblCellMar>
      </w:tblPr>
      <w:tblGrid>
        <w:gridCol w:w="2713"/>
        <w:gridCol w:w="5577"/>
      </w:tblGrid>
      <w:tr w14:paraId="360B67A9">
        <w:trPr>
          <w:trHeight w:val="703" w:hRule="atLeast"/>
          <w:jc w:val="center"/>
        </w:trPr>
        <w:tc>
          <w:tcPr>
            <w:tcW w:w="2707" w:type="dxa"/>
            <w:vAlign w:val="center"/>
          </w:tcPr>
          <w:p w14:paraId="6D50130B">
            <w:pPr>
              <w:autoSpaceDE w:val="0"/>
              <w:autoSpaceDN w:val="0"/>
              <w:adjustRightInd w:val="0"/>
              <w:jc w:val="right"/>
              <w:rPr>
                <w:b/>
                <w:color w:val="auto"/>
                <w:sz w:val="32"/>
                <w:szCs w:val="32"/>
              </w:rPr>
            </w:pPr>
            <w:r>
              <w:rPr>
                <w:b/>
                <w:color w:val="auto"/>
                <w:sz w:val="32"/>
                <w:szCs w:val="32"/>
              </w:rPr>
              <w:t xml:space="preserve">  采购人：</w:t>
            </w:r>
          </w:p>
        </w:tc>
        <w:tc>
          <w:tcPr>
            <w:tcW w:w="5577" w:type="dxa"/>
            <w:vAlign w:val="center"/>
          </w:tcPr>
          <w:p w14:paraId="33F76C88">
            <w:pPr>
              <w:autoSpaceDE w:val="0"/>
              <w:autoSpaceDN w:val="0"/>
              <w:adjustRightInd w:val="0"/>
              <w:jc w:val="left"/>
              <w:rPr>
                <w:rFonts w:hint="eastAsia" w:eastAsia="宋体"/>
                <w:b/>
                <w:color w:val="auto"/>
                <w:sz w:val="32"/>
                <w:szCs w:val="32"/>
                <w:lang w:eastAsia="zh-CN"/>
              </w:rPr>
            </w:pPr>
            <w:r>
              <w:rPr>
                <w:rFonts w:hint="eastAsia"/>
                <w:b/>
                <w:color w:val="auto"/>
                <w:sz w:val="32"/>
                <w:szCs w:val="32"/>
                <w:lang w:eastAsia="zh-CN"/>
              </w:rPr>
              <w:t>广西农业职业技术大学</w:t>
            </w:r>
          </w:p>
        </w:tc>
      </w:tr>
      <w:tr w14:paraId="687B9DBA">
        <w:tblPrEx>
          <w:tblCellMar>
            <w:top w:w="0" w:type="dxa"/>
            <w:left w:w="108" w:type="dxa"/>
            <w:bottom w:w="0" w:type="dxa"/>
            <w:right w:w="108" w:type="dxa"/>
          </w:tblCellMar>
        </w:tblPrEx>
        <w:trPr>
          <w:trHeight w:val="703" w:hRule="atLeast"/>
          <w:jc w:val="center"/>
        </w:trPr>
        <w:tc>
          <w:tcPr>
            <w:tcW w:w="2713" w:type="dxa"/>
          </w:tcPr>
          <w:p w14:paraId="6E949875">
            <w:pPr>
              <w:autoSpaceDE w:val="0"/>
              <w:autoSpaceDN w:val="0"/>
              <w:adjustRightInd w:val="0"/>
              <w:jc w:val="right"/>
              <w:rPr>
                <w:b/>
                <w:color w:val="auto"/>
                <w:sz w:val="32"/>
                <w:szCs w:val="32"/>
              </w:rPr>
            </w:pPr>
            <w:r>
              <w:rPr>
                <w:b/>
                <w:color w:val="auto"/>
                <w:sz w:val="32"/>
                <w:szCs w:val="32"/>
              </w:rPr>
              <w:t>采购代理机构：</w:t>
            </w:r>
          </w:p>
        </w:tc>
        <w:tc>
          <w:tcPr>
            <w:tcW w:w="5571" w:type="dxa"/>
          </w:tcPr>
          <w:p w14:paraId="55A9A714">
            <w:pPr>
              <w:autoSpaceDE w:val="0"/>
              <w:autoSpaceDN w:val="0"/>
              <w:adjustRightInd w:val="0"/>
              <w:rPr>
                <w:b/>
                <w:color w:val="auto"/>
                <w:sz w:val="32"/>
                <w:szCs w:val="32"/>
                <w:u w:val="single"/>
              </w:rPr>
            </w:pPr>
            <w:r>
              <w:rPr>
                <w:b/>
                <w:color w:val="auto"/>
                <w:sz w:val="32"/>
                <w:szCs w:val="32"/>
              </w:rPr>
              <w:t>广西机电设备招标有限公司</w:t>
            </w:r>
          </w:p>
        </w:tc>
      </w:tr>
    </w:tbl>
    <w:p w14:paraId="695EE540">
      <w:pPr>
        <w:rPr>
          <w:color w:val="auto"/>
        </w:rPr>
      </w:pPr>
    </w:p>
    <w:p w14:paraId="2337A449">
      <w:pPr>
        <w:ind w:firstLine="321" w:firstLineChars="100"/>
        <w:jc w:val="center"/>
        <w:rPr>
          <w:b/>
          <w:color w:val="auto"/>
          <w:sz w:val="32"/>
          <w:szCs w:val="32"/>
        </w:rPr>
        <w:sectPr>
          <w:headerReference r:id="rId3" w:type="first"/>
          <w:footerReference r:id="rId6" w:type="first"/>
          <w:footerReference r:id="rId4" w:type="default"/>
          <w:footerReference r:id="rId5" w:type="even"/>
          <w:type w:val="nextColumn"/>
          <w:pgSz w:w="11906" w:h="16838"/>
          <w:pgMar w:top="1418" w:right="1418" w:bottom="1246" w:left="1418" w:header="851" w:footer="992" w:gutter="0"/>
          <w:pgNumType w:start="0"/>
          <w:cols w:space="720" w:num="1"/>
          <w:titlePg/>
          <w:docGrid w:linePitch="312" w:charSpace="0"/>
        </w:sectPr>
      </w:pPr>
      <w:r>
        <w:rPr>
          <w:b/>
          <w:color w:val="auto"/>
          <w:sz w:val="32"/>
          <w:szCs w:val="32"/>
        </w:rPr>
        <w:t>202</w:t>
      </w:r>
      <w:r>
        <w:rPr>
          <w:rFonts w:hint="eastAsia"/>
          <w:b/>
          <w:color w:val="auto"/>
          <w:sz w:val="32"/>
          <w:szCs w:val="32"/>
          <w:lang w:val="en-US" w:eastAsia="zh-CN"/>
        </w:rPr>
        <w:t>5</w:t>
      </w:r>
      <w:r>
        <w:rPr>
          <w:b/>
          <w:color w:val="auto"/>
          <w:sz w:val="32"/>
          <w:szCs w:val="32"/>
        </w:rPr>
        <w:t>年</w:t>
      </w:r>
      <w:r>
        <w:rPr>
          <w:rFonts w:hint="eastAsia"/>
          <w:b/>
          <w:color w:val="auto"/>
          <w:sz w:val="32"/>
          <w:szCs w:val="32"/>
          <w:lang w:val="en-US" w:eastAsia="zh-CN"/>
        </w:rPr>
        <w:t xml:space="preserve">  </w:t>
      </w:r>
      <w:r>
        <w:rPr>
          <w:b/>
          <w:color w:val="auto"/>
          <w:sz w:val="32"/>
          <w:szCs w:val="32"/>
        </w:rPr>
        <w:t>月</w:t>
      </w:r>
    </w:p>
    <w:p w14:paraId="6E000D79">
      <w:pPr>
        <w:spacing w:line="360" w:lineRule="auto"/>
        <w:rPr>
          <w:b/>
          <w:color w:val="auto"/>
          <w:sz w:val="24"/>
        </w:rPr>
      </w:pPr>
    </w:p>
    <w:p w14:paraId="1311BE17">
      <w:pPr>
        <w:pStyle w:val="26"/>
        <w:snapToGrid w:val="0"/>
        <w:spacing w:before="120" w:after="120" w:line="320" w:lineRule="exact"/>
        <w:jc w:val="center"/>
        <w:outlineLvl w:val="0"/>
        <w:rPr>
          <w:rFonts w:ascii="Times New Roman" w:hAnsi="Times New Roman" w:cs="Times New Roman"/>
          <w:b/>
          <w:bCs/>
          <w:color w:val="auto"/>
          <w:sz w:val="32"/>
          <w:szCs w:val="32"/>
        </w:rPr>
      </w:pPr>
      <w:bookmarkStart w:id="2" w:name="_Toc6931"/>
      <w:bookmarkStart w:id="3" w:name="_Toc142987204"/>
      <w:r>
        <w:rPr>
          <w:rFonts w:ascii="Times New Roman" w:hAnsi="Times New Roman" w:cs="Times New Roman"/>
          <w:b/>
          <w:bCs/>
          <w:color w:val="auto"/>
          <w:sz w:val="32"/>
          <w:szCs w:val="32"/>
        </w:rPr>
        <w:t>目    录</w:t>
      </w:r>
      <w:bookmarkEnd w:id="2"/>
      <w:bookmarkEnd w:id="3"/>
    </w:p>
    <w:p w14:paraId="2AB637D2">
      <w:pPr>
        <w:pStyle w:val="33"/>
        <w:tabs>
          <w:tab w:val="right" w:leader="dot" w:pos="9354"/>
          <w:tab w:val="clear" w:pos="8398"/>
        </w:tabs>
        <w:ind w:firstLine="241"/>
        <w:rPr>
          <w:rFonts w:hint="eastAsia" w:asciiTheme="minorHAnsi" w:hAnsiTheme="minorHAnsi" w:eastAsiaTheme="minorEastAsia" w:cstheme="minorBidi"/>
          <w:b w:val="0"/>
          <w:bCs w:val="0"/>
          <w:caps w:val="0"/>
          <w:color w:val="auto"/>
          <w:sz w:val="21"/>
          <w:szCs w:val="22"/>
          <w14:ligatures w14:val="standardContextual"/>
        </w:rPr>
      </w:pPr>
      <w:r>
        <w:rPr>
          <w:rFonts w:ascii="Times New Roman" w:hAnsi="Times New Roman"/>
          <w:color w:val="auto"/>
        </w:rPr>
        <w:fldChar w:fldCharType="begin"/>
      </w:r>
      <w:r>
        <w:rPr>
          <w:rStyle w:val="57"/>
          <w:rFonts w:ascii="Times New Roman" w:hAnsi="Times New Roman"/>
          <w:color w:val="auto"/>
        </w:rPr>
        <w:instrText xml:space="preserve"> TOC \o "1-1" \h \z \u </w:instrText>
      </w:r>
      <w:r>
        <w:rPr>
          <w:rFonts w:ascii="Times New Roman" w:hAnsi="Times New Roman"/>
          <w:color w:val="auto"/>
        </w:rPr>
        <w:fldChar w:fldCharType="separate"/>
      </w:r>
    </w:p>
    <w:p w14:paraId="2B88475C">
      <w:pPr>
        <w:pStyle w:val="33"/>
        <w:tabs>
          <w:tab w:val="right" w:leader="dot" w:pos="9354"/>
          <w:tab w:val="clear" w:pos="8398"/>
        </w:tabs>
        <w:ind w:firstLine="241"/>
        <w:rPr>
          <w:rFonts w:hint="eastAsia" w:asciiTheme="minorHAnsi" w:hAnsiTheme="minorHAnsi" w:eastAsiaTheme="minorEastAsia" w:cstheme="minorBidi"/>
          <w:b w:val="0"/>
          <w:bCs w:val="0"/>
          <w:caps w:val="0"/>
          <w:color w:val="auto"/>
          <w:sz w:val="21"/>
          <w:szCs w:val="22"/>
          <w14:ligatures w14:val="standardContextual"/>
        </w:rPr>
      </w:pPr>
      <w:r>
        <w:rPr>
          <w:color w:val="auto"/>
        </w:rPr>
        <w:fldChar w:fldCharType="begin"/>
      </w:r>
      <w:r>
        <w:rPr>
          <w:color w:val="auto"/>
        </w:rPr>
        <w:instrText xml:space="preserve"> HYPERLINK \l "_Toc142987205" </w:instrText>
      </w:r>
      <w:r>
        <w:rPr>
          <w:color w:val="auto"/>
        </w:rPr>
        <w:fldChar w:fldCharType="separate"/>
      </w:r>
      <w:r>
        <w:rPr>
          <w:rStyle w:val="57"/>
          <w:rFonts w:ascii="Times New Roman" w:hAnsi="Times New Roman"/>
          <w:color w:val="auto"/>
        </w:rPr>
        <w:t>第一章  招标公告</w:t>
      </w:r>
      <w:r>
        <w:rPr>
          <w:color w:val="auto"/>
        </w:rPr>
        <w:tab/>
      </w:r>
      <w:r>
        <w:rPr>
          <w:color w:val="auto"/>
        </w:rPr>
        <w:fldChar w:fldCharType="begin"/>
      </w:r>
      <w:r>
        <w:rPr>
          <w:color w:val="auto"/>
        </w:rPr>
        <w:instrText xml:space="preserve"> PAGEREF _Toc142987205 \h </w:instrText>
      </w:r>
      <w:r>
        <w:rPr>
          <w:color w:val="auto"/>
        </w:rPr>
        <w:fldChar w:fldCharType="separate"/>
      </w:r>
      <w:r>
        <w:rPr>
          <w:color w:val="auto"/>
        </w:rPr>
        <w:t>1</w:t>
      </w:r>
      <w:r>
        <w:rPr>
          <w:color w:val="auto"/>
        </w:rPr>
        <w:fldChar w:fldCharType="end"/>
      </w:r>
      <w:r>
        <w:rPr>
          <w:color w:val="auto"/>
        </w:rPr>
        <w:fldChar w:fldCharType="end"/>
      </w:r>
    </w:p>
    <w:p w14:paraId="2626669F">
      <w:pPr>
        <w:pStyle w:val="33"/>
        <w:tabs>
          <w:tab w:val="right" w:leader="dot" w:pos="9354"/>
          <w:tab w:val="clear" w:pos="8398"/>
        </w:tabs>
        <w:ind w:firstLine="241"/>
        <w:rPr>
          <w:rFonts w:hint="eastAsia" w:asciiTheme="minorHAnsi" w:hAnsiTheme="minorHAnsi" w:eastAsiaTheme="minorEastAsia" w:cstheme="minorBidi"/>
          <w:b w:val="0"/>
          <w:bCs w:val="0"/>
          <w:caps w:val="0"/>
          <w:color w:val="auto"/>
          <w:sz w:val="21"/>
          <w:szCs w:val="22"/>
          <w14:ligatures w14:val="standardContextual"/>
        </w:rPr>
      </w:pPr>
      <w:r>
        <w:rPr>
          <w:color w:val="auto"/>
        </w:rPr>
        <w:fldChar w:fldCharType="begin"/>
      </w:r>
      <w:r>
        <w:rPr>
          <w:color w:val="auto"/>
        </w:rPr>
        <w:instrText xml:space="preserve"> HYPERLINK \l "_Toc142987206" </w:instrText>
      </w:r>
      <w:r>
        <w:rPr>
          <w:color w:val="auto"/>
        </w:rPr>
        <w:fldChar w:fldCharType="separate"/>
      </w:r>
      <w:r>
        <w:rPr>
          <w:rStyle w:val="57"/>
          <w:rFonts w:ascii="Times New Roman" w:hAnsi="Times New Roman"/>
          <w:color w:val="auto"/>
        </w:rPr>
        <w:t>第二章  采购需求</w:t>
      </w:r>
      <w:r>
        <w:rPr>
          <w:color w:val="auto"/>
        </w:rPr>
        <w:tab/>
      </w:r>
      <w:r>
        <w:rPr>
          <w:color w:val="auto"/>
        </w:rPr>
        <w:fldChar w:fldCharType="begin"/>
      </w:r>
      <w:r>
        <w:rPr>
          <w:color w:val="auto"/>
        </w:rPr>
        <w:instrText xml:space="preserve"> PAGEREF _Toc142987206 \h </w:instrText>
      </w:r>
      <w:r>
        <w:rPr>
          <w:color w:val="auto"/>
        </w:rPr>
        <w:fldChar w:fldCharType="separate"/>
      </w:r>
      <w:r>
        <w:rPr>
          <w:color w:val="auto"/>
        </w:rPr>
        <w:t>4</w:t>
      </w:r>
      <w:r>
        <w:rPr>
          <w:color w:val="auto"/>
        </w:rPr>
        <w:fldChar w:fldCharType="end"/>
      </w:r>
      <w:r>
        <w:rPr>
          <w:color w:val="auto"/>
        </w:rPr>
        <w:fldChar w:fldCharType="end"/>
      </w:r>
    </w:p>
    <w:p w14:paraId="2A3B9F34">
      <w:pPr>
        <w:pStyle w:val="33"/>
        <w:tabs>
          <w:tab w:val="right" w:leader="dot" w:pos="9354"/>
          <w:tab w:val="clear" w:pos="8398"/>
        </w:tabs>
        <w:ind w:firstLine="241"/>
        <w:rPr>
          <w:rFonts w:hint="eastAsia" w:asciiTheme="minorHAnsi" w:hAnsiTheme="minorHAnsi" w:eastAsiaTheme="minorEastAsia" w:cstheme="minorBidi"/>
          <w:b w:val="0"/>
          <w:bCs w:val="0"/>
          <w:caps w:val="0"/>
          <w:color w:val="auto"/>
          <w:sz w:val="21"/>
          <w:szCs w:val="22"/>
          <w14:ligatures w14:val="standardContextual"/>
        </w:rPr>
      </w:pPr>
      <w:r>
        <w:rPr>
          <w:color w:val="auto"/>
        </w:rPr>
        <w:fldChar w:fldCharType="begin"/>
      </w:r>
      <w:r>
        <w:rPr>
          <w:color w:val="auto"/>
        </w:rPr>
        <w:instrText xml:space="preserve"> HYPERLINK \l "_Toc142987207" </w:instrText>
      </w:r>
      <w:r>
        <w:rPr>
          <w:color w:val="auto"/>
        </w:rPr>
        <w:fldChar w:fldCharType="separate"/>
      </w:r>
      <w:r>
        <w:rPr>
          <w:rStyle w:val="57"/>
          <w:rFonts w:ascii="Times New Roman" w:hAnsi="Times New Roman"/>
          <w:color w:val="auto"/>
        </w:rPr>
        <w:t>第三章  供应商须知</w:t>
      </w:r>
      <w:r>
        <w:rPr>
          <w:color w:val="auto"/>
        </w:rPr>
        <w:tab/>
      </w:r>
      <w:r>
        <w:rPr>
          <w:color w:val="auto"/>
        </w:rPr>
        <w:fldChar w:fldCharType="begin"/>
      </w:r>
      <w:r>
        <w:rPr>
          <w:color w:val="auto"/>
        </w:rPr>
        <w:instrText xml:space="preserve"> PAGEREF _Toc142987207 \h </w:instrText>
      </w:r>
      <w:r>
        <w:rPr>
          <w:color w:val="auto"/>
        </w:rPr>
        <w:fldChar w:fldCharType="separate"/>
      </w:r>
      <w:r>
        <w:rPr>
          <w:color w:val="auto"/>
        </w:rPr>
        <w:t>23</w:t>
      </w:r>
      <w:r>
        <w:rPr>
          <w:color w:val="auto"/>
        </w:rPr>
        <w:fldChar w:fldCharType="end"/>
      </w:r>
      <w:r>
        <w:rPr>
          <w:color w:val="auto"/>
        </w:rPr>
        <w:fldChar w:fldCharType="end"/>
      </w:r>
    </w:p>
    <w:p w14:paraId="4C5765A2">
      <w:pPr>
        <w:pStyle w:val="33"/>
        <w:tabs>
          <w:tab w:val="right" w:leader="dot" w:pos="9354"/>
          <w:tab w:val="clear" w:pos="8398"/>
        </w:tabs>
        <w:ind w:firstLine="241"/>
        <w:rPr>
          <w:rFonts w:hint="eastAsia" w:asciiTheme="minorHAnsi" w:hAnsiTheme="minorHAnsi" w:eastAsiaTheme="minorEastAsia" w:cstheme="minorBidi"/>
          <w:b w:val="0"/>
          <w:bCs w:val="0"/>
          <w:caps w:val="0"/>
          <w:color w:val="auto"/>
          <w:sz w:val="21"/>
          <w:szCs w:val="22"/>
          <w14:ligatures w14:val="standardContextual"/>
        </w:rPr>
      </w:pPr>
      <w:r>
        <w:rPr>
          <w:color w:val="auto"/>
        </w:rPr>
        <w:fldChar w:fldCharType="begin"/>
      </w:r>
      <w:r>
        <w:rPr>
          <w:color w:val="auto"/>
        </w:rPr>
        <w:instrText xml:space="preserve"> HYPERLINK \l "_Toc142987208" </w:instrText>
      </w:r>
      <w:r>
        <w:rPr>
          <w:color w:val="auto"/>
        </w:rPr>
        <w:fldChar w:fldCharType="separate"/>
      </w:r>
      <w:r>
        <w:rPr>
          <w:rStyle w:val="57"/>
          <w:rFonts w:ascii="Times New Roman" w:hAnsi="Times New Roman"/>
          <w:color w:val="auto"/>
        </w:rPr>
        <w:t>第四章  评审方法及标准</w:t>
      </w:r>
      <w:r>
        <w:rPr>
          <w:color w:val="auto"/>
        </w:rPr>
        <w:tab/>
      </w:r>
      <w:r>
        <w:rPr>
          <w:color w:val="auto"/>
        </w:rPr>
        <w:fldChar w:fldCharType="begin"/>
      </w:r>
      <w:r>
        <w:rPr>
          <w:color w:val="auto"/>
        </w:rPr>
        <w:instrText xml:space="preserve"> PAGEREF _Toc142987208 \h </w:instrText>
      </w:r>
      <w:r>
        <w:rPr>
          <w:color w:val="auto"/>
        </w:rPr>
        <w:fldChar w:fldCharType="separate"/>
      </w:r>
      <w:r>
        <w:rPr>
          <w:color w:val="auto"/>
        </w:rPr>
        <w:t>39</w:t>
      </w:r>
      <w:r>
        <w:rPr>
          <w:color w:val="auto"/>
        </w:rPr>
        <w:fldChar w:fldCharType="end"/>
      </w:r>
      <w:r>
        <w:rPr>
          <w:color w:val="auto"/>
        </w:rPr>
        <w:fldChar w:fldCharType="end"/>
      </w:r>
    </w:p>
    <w:p w14:paraId="4FE2C63A">
      <w:pPr>
        <w:pStyle w:val="33"/>
        <w:tabs>
          <w:tab w:val="right" w:leader="dot" w:pos="9354"/>
          <w:tab w:val="clear" w:pos="8398"/>
        </w:tabs>
        <w:ind w:firstLine="241"/>
        <w:rPr>
          <w:rFonts w:hint="eastAsia" w:asciiTheme="minorHAnsi" w:hAnsiTheme="minorHAnsi" w:eastAsiaTheme="minorEastAsia" w:cstheme="minorBidi"/>
          <w:b w:val="0"/>
          <w:bCs w:val="0"/>
          <w:caps w:val="0"/>
          <w:color w:val="auto"/>
          <w:sz w:val="21"/>
          <w:szCs w:val="22"/>
          <w14:ligatures w14:val="standardContextual"/>
        </w:rPr>
      </w:pPr>
      <w:r>
        <w:rPr>
          <w:color w:val="auto"/>
        </w:rPr>
        <w:fldChar w:fldCharType="begin"/>
      </w:r>
      <w:r>
        <w:rPr>
          <w:color w:val="auto"/>
        </w:rPr>
        <w:instrText xml:space="preserve"> HYPERLINK \l "_Toc142987209" </w:instrText>
      </w:r>
      <w:r>
        <w:rPr>
          <w:color w:val="auto"/>
        </w:rPr>
        <w:fldChar w:fldCharType="separate"/>
      </w:r>
      <w:r>
        <w:rPr>
          <w:rStyle w:val="57"/>
          <w:rFonts w:ascii="Times New Roman" w:hAnsi="Times New Roman"/>
          <w:color w:val="auto"/>
        </w:rPr>
        <w:t>第五章  合同主要条款格式</w:t>
      </w:r>
      <w:r>
        <w:rPr>
          <w:color w:val="auto"/>
        </w:rPr>
        <w:tab/>
      </w:r>
      <w:r>
        <w:rPr>
          <w:color w:val="auto"/>
        </w:rPr>
        <w:fldChar w:fldCharType="begin"/>
      </w:r>
      <w:r>
        <w:rPr>
          <w:color w:val="auto"/>
        </w:rPr>
        <w:instrText xml:space="preserve"> PAGEREF _Toc142987209 \h </w:instrText>
      </w:r>
      <w:r>
        <w:rPr>
          <w:color w:val="auto"/>
        </w:rPr>
        <w:fldChar w:fldCharType="separate"/>
      </w:r>
      <w:r>
        <w:rPr>
          <w:color w:val="auto"/>
        </w:rPr>
        <w:t>45</w:t>
      </w:r>
      <w:r>
        <w:rPr>
          <w:color w:val="auto"/>
        </w:rPr>
        <w:fldChar w:fldCharType="end"/>
      </w:r>
      <w:r>
        <w:rPr>
          <w:color w:val="auto"/>
        </w:rPr>
        <w:fldChar w:fldCharType="end"/>
      </w:r>
    </w:p>
    <w:p w14:paraId="49DB78C2">
      <w:pPr>
        <w:pStyle w:val="33"/>
        <w:tabs>
          <w:tab w:val="right" w:leader="dot" w:pos="9354"/>
          <w:tab w:val="clear" w:pos="8398"/>
        </w:tabs>
        <w:ind w:firstLine="241"/>
        <w:rPr>
          <w:rFonts w:hint="eastAsia" w:asciiTheme="minorHAnsi" w:hAnsiTheme="minorHAnsi" w:eastAsiaTheme="minorEastAsia" w:cstheme="minorBidi"/>
          <w:b w:val="0"/>
          <w:bCs w:val="0"/>
          <w:caps w:val="0"/>
          <w:color w:val="auto"/>
          <w:sz w:val="21"/>
          <w:szCs w:val="22"/>
          <w14:ligatures w14:val="standardContextual"/>
        </w:rPr>
      </w:pPr>
      <w:r>
        <w:rPr>
          <w:color w:val="auto"/>
        </w:rPr>
        <w:fldChar w:fldCharType="begin"/>
      </w:r>
      <w:r>
        <w:rPr>
          <w:color w:val="auto"/>
        </w:rPr>
        <w:instrText xml:space="preserve"> HYPERLINK \l "_Toc142987210" </w:instrText>
      </w:r>
      <w:r>
        <w:rPr>
          <w:color w:val="auto"/>
        </w:rPr>
        <w:fldChar w:fldCharType="separate"/>
      </w:r>
      <w:r>
        <w:rPr>
          <w:rStyle w:val="57"/>
          <w:rFonts w:ascii="Times New Roman" w:hAnsi="Times New Roman"/>
          <w:color w:val="auto"/>
        </w:rPr>
        <w:t>第六章  投标文件格式</w:t>
      </w:r>
      <w:r>
        <w:rPr>
          <w:color w:val="auto"/>
        </w:rPr>
        <w:tab/>
      </w:r>
      <w:r>
        <w:rPr>
          <w:color w:val="auto"/>
        </w:rPr>
        <w:fldChar w:fldCharType="begin"/>
      </w:r>
      <w:r>
        <w:rPr>
          <w:color w:val="auto"/>
        </w:rPr>
        <w:instrText xml:space="preserve"> PAGEREF _Toc142987210 \h </w:instrText>
      </w:r>
      <w:r>
        <w:rPr>
          <w:color w:val="auto"/>
        </w:rPr>
        <w:fldChar w:fldCharType="separate"/>
      </w:r>
      <w:r>
        <w:rPr>
          <w:color w:val="auto"/>
        </w:rPr>
        <w:t>54</w:t>
      </w:r>
      <w:r>
        <w:rPr>
          <w:color w:val="auto"/>
        </w:rPr>
        <w:fldChar w:fldCharType="end"/>
      </w:r>
      <w:r>
        <w:rPr>
          <w:color w:val="auto"/>
        </w:rPr>
        <w:fldChar w:fldCharType="end"/>
      </w:r>
    </w:p>
    <w:p w14:paraId="03B49494">
      <w:pPr>
        <w:pStyle w:val="33"/>
        <w:ind w:firstLine="241"/>
        <w:rPr>
          <w:rFonts w:ascii="Times New Roman" w:hAnsi="Times New Roman"/>
          <w:color w:val="auto"/>
        </w:rPr>
      </w:pPr>
      <w:r>
        <w:rPr>
          <w:rFonts w:ascii="Times New Roman" w:hAnsi="Times New Roman"/>
          <w:color w:val="auto"/>
        </w:rPr>
        <w:fldChar w:fldCharType="end"/>
      </w:r>
    </w:p>
    <w:p w14:paraId="41B4AD09">
      <w:pPr>
        <w:spacing w:before="120" w:beforeLines="50" w:line="480" w:lineRule="exact"/>
        <w:rPr>
          <w:color w:val="auto"/>
          <w:sz w:val="28"/>
          <w:szCs w:val="28"/>
        </w:rPr>
      </w:pPr>
    </w:p>
    <w:p w14:paraId="4A661BDC">
      <w:pPr>
        <w:spacing w:before="120" w:beforeLines="50" w:line="480" w:lineRule="exact"/>
        <w:rPr>
          <w:color w:val="auto"/>
          <w:sz w:val="30"/>
        </w:rPr>
        <w:sectPr>
          <w:headerReference r:id="rId7" w:type="first"/>
          <w:footerReference r:id="rId8" w:type="first"/>
          <w:pgSz w:w="11906" w:h="16838"/>
          <w:pgMar w:top="1418" w:right="1134" w:bottom="1247" w:left="1418" w:header="851" w:footer="992" w:gutter="0"/>
          <w:pgNumType w:start="0"/>
          <w:cols w:space="720" w:num="1"/>
          <w:titlePg/>
          <w:docGrid w:linePitch="312" w:charSpace="0"/>
        </w:sectPr>
      </w:pPr>
    </w:p>
    <w:p w14:paraId="1686152F">
      <w:pPr>
        <w:pStyle w:val="26"/>
        <w:snapToGrid w:val="0"/>
        <w:spacing w:before="120" w:after="120" w:line="320" w:lineRule="exact"/>
        <w:jc w:val="center"/>
        <w:outlineLvl w:val="0"/>
        <w:rPr>
          <w:rFonts w:ascii="Times New Roman" w:hAnsi="Times New Roman" w:cs="Times New Roman"/>
          <w:color w:val="auto"/>
          <w:sz w:val="32"/>
          <w:szCs w:val="32"/>
        </w:rPr>
      </w:pPr>
      <w:bookmarkStart w:id="4" w:name="_Toc142987205"/>
      <w:bookmarkStart w:id="5" w:name="_Toc254970489"/>
      <w:bookmarkStart w:id="6" w:name="_Toc254970630"/>
      <w:r>
        <w:rPr>
          <w:rFonts w:ascii="Times New Roman" w:hAnsi="Times New Roman" w:cs="Times New Roman"/>
          <w:color w:val="auto"/>
          <w:sz w:val="32"/>
          <w:szCs w:val="32"/>
        </w:rPr>
        <w:t>第</w:t>
      </w:r>
      <w:r>
        <w:rPr>
          <w:rFonts w:hint="eastAsia" w:ascii="Times New Roman" w:hAnsi="Times New Roman" w:cs="Times New Roman"/>
          <w:color w:val="auto"/>
          <w:sz w:val="32"/>
          <w:szCs w:val="32"/>
        </w:rPr>
        <w:t>一</w:t>
      </w:r>
      <w:r>
        <w:rPr>
          <w:rFonts w:ascii="Times New Roman" w:hAnsi="Times New Roman" w:cs="Times New Roman"/>
          <w:color w:val="auto"/>
          <w:sz w:val="32"/>
          <w:szCs w:val="32"/>
        </w:rPr>
        <w:t xml:space="preserve">章  </w:t>
      </w:r>
      <w:r>
        <w:rPr>
          <w:rFonts w:hint="eastAsia" w:ascii="Times New Roman" w:hAnsi="Times New Roman" w:cs="Times New Roman"/>
          <w:color w:val="auto"/>
          <w:sz w:val="32"/>
          <w:szCs w:val="32"/>
        </w:rPr>
        <w:t>招标公告</w:t>
      </w:r>
      <w:bookmarkEnd w:id="4"/>
    </w:p>
    <w:p w14:paraId="30E77AE6">
      <w:pPr>
        <w:spacing w:line="400" w:lineRule="exact"/>
        <w:jc w:val="center"/>
        <w:rPr>
          <w:color w:val="auto"/>
          <w:kern w:val="0"/>
          <w:sz w:val="24"/>
        </w:rPr>
      </w:pPr>
      <w:bookmarkStart w:id="7" w:name="_Hlk158041122"/>
      <w:r>
        <w:rPr>
          <w:color w:val="auto"/>
          <w:kern w:val="0"/>
          <w:sz w:val="24"/>
        </w:rPr>
        <w:t>广西机电设备招标有限公司关于</w:t>
      </w:r>
      <w:bookmarkStart w:id="8" w:name="_Hlk36541082"/>
      <w:r>
        <w:rPr>
          <w:rFonts w:hint="eastAsia"/>
          <w:color w:val="auto"/>
          <w:kern w:val="0"/>
          <w:sz w:val="24"/>
          <w:lang w:eastAsia="zh-CN"/>
        </w:rPr>
        <w:t>中草药专业群仪器设备采购项目（重）</w:t>
      </w:r>
      <w:r>
        <w:rPr>
          <w:color w:val="auto"/>
          <w:sz w:val="24"/>
        </w:rPr>
        <w:t>(</w:t>
      </w:r>
      <w:r>
        <w:rPr>
          <w:rFonts w:hint="eastAsia"/>
          <w:color w:val="auto"/>
          <w:sz w:val="24"/>
        </w:rPr>
        <w:t>GXZC2025-G1-003137-JDZB</w:t>
      </w:r>
      <w:r>
        <w:rPr>
          <w:color w:val="auto"/>
          <w:sz w:val="24"/>
        </w:rPr>
        <w:t>)</w:t>
      </w:r>
      <w:bookmarkEnd w:id="8"/>
      <w:r>
        <w:rPr>
          <w:color w:val="auto"/>
          <w:kern w:val="0"/>
          <w:sz w:val="24"/>
        </w:rPr>
        <w:t>公开招标公告</w:t>
      </w:r>
    </w:p>
    <w:p w14:paraId="3B62A6B1">
      <w:pPr>
        <w:spacing w:line="312" w:lineRule="auto"/>
        <w:jc w:val="left"/>
        <w:rPr>
          <w:color w:val="auto"/>
          <w:kern w:val="0"/>
          <w:szCs w:val="21"/>
        </w:rPr>
      </w:pPr>
    </w:p>
    <w:bookmarkEnd w:id="5"/>
    <w:bookmarkEnd w:id="6"/>
    <w:bookmarkEnd w:id="7"/>
    <w:p w14:paraId="52A1A5AC">
      <w:pPr>
        <w:spacing w:line="312" w:lineRule="auto"/>
        <w:ind w:firstLine="420" w:firstLineChars="200"/>
        <w:rPr>
          <w:b/>
          <w:bCs/>
          <w:color w:val="auto"/>
          <w:kern w:val="0"/>
          <w:sz w:val="22"/>
          <w:szCs w:val="22"/>
        </w:rPr>
      </w:pPr>
      <w:bookmarkStart w:id="9" w:name="_Hlk132795121"/>
      <w:r>
        <w:rPr>
          <w:rFonts w:hint="eastAsia"/>
          <w:color w:val="auto"/>
          <w:szCs w:val="21"/>
        </w:rPr>
        <w:t>项目概况：</w:t>
      </w:r>
      <w:r>
        <w:rPr>
          <w:rFonts w:hint="eastAsia"/>
          <w:color w:val="auto"/>
          <w:szCs w:val="21"/>
          <w:lang w:eastAsia="zh-CN"/>
        </w:rPr>
        <w:t>中草药专业群仪器设备采购项目（重）</w:t>
      </w:r>
      <w:r>
        <w:rPr>
          <w:rFonts w:hint="eastAsia"/>
          <w:color w:val="auto"/>
          <w:szCs w:val="21"/>
        </w:rPr>
        <w:t>招标项目的潜在投标人应在</w:t>
      </w:r>
      <w:bookmarkStart w:id="10" w:name="_Hlk160178031"/>
      <w:r>
        <w:rPr>
          <w:rFonts w:hint="eastAsia"/>
          <w:color w:val="auto"/>
          <w:szCs w:val="21"/>
        </w:rPr>
        <w:t>广西政府采购云平台</w:t>
      </w:r>
      <w:bookmarkStart w:id="11" w:name="_Hlk160186238"/>
      <w:r>
        <w:rPr>
          <w:rFonts w:hint="eastAsia"/>
          <w:color w:val="auto"/>
          <w:szCs w:val="21"/>
        </w:rPr>
        <w:t>（</w:t>
      </w:r>
      <w:r>
        <w:rPr>
          <w:color w:val="auto"/>
          <w:szCs w:val="21"/>
        </w:rPr>
        <w:t>https://www.gcy.zfcg.gxzf.gov.cn/</w:t>
      </w:r>
      <w:r>
        <w:rPr>
          <w:rFonts w:hint="eastAsia"/>
          <w:color w:val="auto"/>
          <w:szCs w:val="21"/>
        </w:rPr>
        <w:t>）</w:t>
      </w:r>
      <w:bookmarkEnd w:id="10"/>
      <w:bookmarkEnd w:id="11"/>
      <w:r>
        <w:rPr>
          <w:rFonts w:hint="eastAsia"/>
          <w:color w:val="auto"/>
          <w:szCs w:val="21"/>
        </w:rPr>
        <w:t>获取招标文件，并于202</w:t>
      </w:r>
      <w:r>
        <w:rPr>
          <w:rFonts w:hint="eastAsia"/>
          <w:color w:val="auto"/>
          <w:szCs w:val="21"/>
          <w:lang w:val="en-US" w:eastAsia="zh-CN"/>
        </w:rPr>
        <w:t>5</w:t>
      </w:r>
      <w:r>
        <w:rPr>
          <w:rFonts w:hint="eastAsia"/>
          <w:color w:val="auto"/>
          <w:szCs w:val="21"/>
        </w:rPr>
        <w:t>年</w:t>
      </w:r>
      <w:r>
        <w:rPr>
          <w:rFonts w:hint="eastAsia"/>
          <w:color w:val="auto"/>
          <w:szCs w:val="21"/>
          <w:lang w:val="en-US" w:eastAsia="zh-CN"/>
        </w:rPr>
        <w:t xml:space="preserve">   </w:t>
      </w:r>
      <w:r>
        <w:rPr>
          <w:rFonts w:hint="eastAsia"/>
          <w:color w:val="auto"/>
          <w:szCs w:val="21"/>
        </w:rPr>
        <w:t>月</w:t>
      </w:r>
      <w:r>
        <w:rPr>
          <w:rFonts w:hint="eastAsia"/>
          <w:color w:val="auto"/>
          <w:szCs w:val="21"/>
          <w:lang w:val="en-US" w:eastAsia="zh-CN"/>
        </w:rPr>
        <w:t xml:space="preserve">  </w:t>
      </w:r>
      <w:r>
        <w:rPr>
          <w:rFonts w:hint="eastAsia"/>
          <w:color w:val="auto"/>
          <w:szCs w:val="21"/>
        </w:rPr>
        <w:t>日 09:30（北京时间）前递交投标文件。</w:t>
      </w:r>
    </w:p>
    <w:bookmarkEnd w:id="9"/>
    <w:p w14:paraId="1E5D9B5E">
      <w:pPr>
        <w:spacing w:line="312" w:lineRule="auto"/>
        <w:ind w:firstLine="442" w:firstLineChars="200"/>
        <w:jc w:val="left"/>
        <w:rPr>
          <w:b/>
          <w:bCs/>
          <w:color w:val="auto"/>
          <w:kern w:val="0"/>
          <w:sz w:val="22"/>
          <w:szCs w:val="22"/>
        </w:rPr>
      </w:pPr>
      <w:r>
        <w:rPr>
          <w:rFonts w:hint="eastAsia"/>
          <w:b/>
          <w:bCs/>
          <w:color w:val="auto"/>
          <w:kern w:val="0"/>
          <w:sz w:val="22"/>
          <w:szCs w:val="22"/>
        </w:rPr>
        <w:t>一、项目基本情况</w:t>
      </w:r>
    </w:p>
    <w:p w14:paraId="081E1D80">
      <w:pPr>
        <w:spacing w:line="312" w:lineRule="auto"/>
        <w:ind w:firstLine="420" w:firstLineChars="200"/>
        <w:jc w:val="left"/>
        <w:rPr>
          <w:rFonts w:hint="eastAsia" w:eastAsia="宋体"/>
          <w:color w:val="auto"/>
          <w:kern w:val="0"/>
          <w:szCs w:val="21"/>
          <w:lang w:eastAsia="zh-CN"/>
        </w:rPr>
      </w:pPr>
      <w:r>
        <w:rPr>
          <w:color w:val="auto"/>
          <w:kern w:val="0"/>
          <w:szCs w:val="21"/>
        </w:rPr>
        <w:t>项目编号：</w:t>
      </w:r>
      <w:r>
        <w:rPr>
          <w:rFonts w:hint="eastAsia"/>
          <w:color w:val="auto"/>
          <w:kern w:val="0"/>
          <w:szCs w:val="21"/>
        </w:rPr>
        <w:t>GXZC2025-G1-003137-JDZB</w:t>
      </w:r>
    </w:p>
    <w:p w14:paraId="065E5B65">
      <w:pPr>
        <w:spacing w:line="312" w:lineRule="auto"/>
        <w:ind w:firstLine="420" w:firstLineChars="200"/>
        <w:jc w:val="left"/>
        <w:rPr>
          <w:rFonts w:hint="eastAsia" w:eastAsia="宋体"/>
          <w:color w:val="auto"/>
          <w:kern w:val="0"/>
          <w:szCs w:val="21"/>
          <w:lang w:eastAsia="zh-CN"/>
        </w:rPr>
      </w:pPr>
      <w:r>
        <w:rPr>
          <w:color w:val="auto"/>
          <w:kern w:val="0"/>
          <w:szCs w:val="21"/>
        </w:rPr>
        <w:t>项目名称：</w:t>
      </w:r>
      <w:r>
        <w:rPr>
          <w:rFonts w:hint="eastAsia"/>
          <w:color w:val="auto"/>
          <w:kern w:val="0"/>
          <w:szCs w:val="21"/>
          <w:lang w:eastAsia="zh-CN"/>
        </w:rPr>
        <w:t>中草药专业群仪器设备采购项目（重）</w:t>
      </w:r>
    </w:p>
    <w:p w14:paraId="6CE4E564">
      <w:pPr>
        <w:spacing w:line="312" w:lineRule="auto"/>
        <w:ind w:firstLine="420" w:firstLineChars="200"/>
        <w:jc w:val="left"/>
        <w:rPr>
          <w:rFonts w:hint="default" w:eastAsia="宋体"/>
          <w:color w:val="auto"/>
          <w:kern w:val="0"/>
          <w:szCs w:val="21"/>
          <w:lang w:val="en-US" w:eastAsia="zh-CN"/>
        </w:rPr>
      </w:pPr>
      <w:bookmarkStart w:id="12" w:name="_Hlk132796123"/>
      <w:r>
        <w:rPr>
          <w:color w:val="auto"/>
          <w:kern w:val="0"/>
          <w:szCs w:val="21"/>
        </w:rPr>
        <w:t>预算</w:t>
      </w:r>
      <w:r>
        <w:rPr>
          <w:rFonts w:hint="eastAsia"/>
          <w:color w:val="auto"/>
          <w:kern w:val="0"/>
          <w:szCs w:val="21"/>
        </w:rPr>
        <w:t>总</w:t>
      </w:r>
      <w:r>
        <w:rPr>
          <w:color w:val="auto"/>
          <w:kern w:val="0"/>
          <w:szCs w:val="21"/>
        </w:rPr>
        <w:t>金额</w:t>
      </w:r>
      <w:r>
        <w:rPr>
          <w:rFonts w:hint="eastAsia"/>
          <w:color w:val="auto"/>
          <w:kern w:val="0"/>
          <w:szCs w:val="21"/>
        </w:rPr>
        <w:t>（元）</w:t>
      </w:r>
      <w:r>
        <w:rPr>
          <w:color w:val="auto"/>
          <w:kern w:val="0"/>
          <w:szCs w:val="21"/>
        </w:rPr>
        <w:t>：</w:t>
      </w:r>
      <w:bookmarkEnd w:id="12"/>
      <w:r>
        <w:rPr>
          <w:rFonts w:hint="eastAsia"/>
          <w:color w:val="auto"/>
          <w:kern w:val="0"/>
          <w:szCs w:val="21"/>
          <w:lang w:val="en-US" w:eastAsia="zh-CN"/>
        </w:rPr>
        <w:t>2292400</w:t>
      </w:r>
    </w:p>
    <w:p w14:paraId="244113E8">
      <w:pPr>
        <w:spacing w:line="312" w:lineRule="auto"/>
        <w:ind w:firstLine="420" w:firstLineChars="200"/>
        <w:jc w:val="left"/>
        <w:rPr>
          <w:color w:val="auto"/>
          <w:kern w:val="0"/>
          <w:szCs w:val="21"/>
        </w:rPr>
      </w:pPr>
      <w:r>
        <w:rPr>
          <w:rFonts w:hint="eastAsia"/>
          <w:color w:val="auto"/>
          <w:kern w:val="0"/>
          <w:szCs w:val="21"/>
        </w:rPr>
        <w:t>采购需求</w:t>
      </w:r>
      <w:r>
        <w:rPr>
          <w:color w:val="auto"/>
          <w:kern w:val="0"/>
          <w:szCs w:val="21"/>
        </w:rPr>
        <w:t>：</w:t>
      </w:r>
    </w:p>
    <w:p w14:paraId="207674E1">
      <w:pPr>
        <w:spacing w:line="312" w:lineRule="auto"/>
        <w:ind w:firstLine="424" w:firstLineChars="202"/>
        <w:jc w:val="left"/>
        <w:rPr>
          <w:rFonts w:hint="eastAsia"/>
          <w:color w:val="auto"/>
          <w:lang w:val="en-US" w:eastAsia="zh-CN"/>
        </w:rPr>
      </w:pPr>
      <w:bookmarkStart w:id="13" w:name="_Hlk77608065"/>
      <w:r>
        <w:rPr>
          <w:rFonts w:hint="eastAsia"/>
          <w:color w:val="auto"/>
          <w:lang w:val="en-US" w:eastAsia="zh-CN"/>
        </w:rPr>
        <w:t>标项一</w:t>
      </w:r>
    </w:p>
    <w:p w14:paraId="620C2549">
      <w:pPr>
        <w:spacing w:line="312" w:lineRule="auto"/>
        <w:ind w:firstLine="424" w:firstLineChars="202"/>
        <w:jc w:val="left"/>
        <w:rPr>
          <w:rFonts w:hint="default" w:eastAsia="宋体"/>
          <w:color w:val="auto"/>
          <w:lang w:val="en-US" w:eastAsia="zh-CN"/>
        </w:rPr>
      </w:pPr>
      <w:r>
        <w:rPr>
          <w:rFonts w:hint="eastAsia"/>
          <w:color w:val="auto"/>
          <w:lang w:val="en-US" w:eastAsia="zh-CN"/>
        </w:rPr>
        <w:t>标项名称：中药仪器设备采购项目</w:t>
      </w:r>
    </w:p>
    <w:p w14:paraId="649290E6">
      <w:pPr>
        <w:spacing w:line="312" w:lineRule="auto"/>
        <w:ind w:firstLine="424" w:firstLineChars="202"/>
        <w:jc w:val="left"/>
        <w:rPr>
          <w:color w:val="auto"/>
          <w:kern w:val="0"/>
          <w:szCs w:val="21"/>
        </w:rPr>
      </w:pPr>
      <w:r>
        <w:rPr>
          <w:rFonts w:hint="eastAsia"/>
          <w:color w:val="auto"/>
          <w:kern w:val="0"/>
          <w:szCs w:val="21"/>
        </w:rPr>
        <w:t>数量：</w:t>
      </w:r>
      <w:r>
        <w:rPr>
          <w:color w:val="auto"/>
          <w:kern w:val="0"/>
          <w:szCs w:val="21"/>
        </w:rPr>
        <w:t>1</w:t>
      </w:r>
    </w:p>
    <w:p w14:paraId="6D7DC51B">
      <w:pPr>
        <w:spacing w:line="312" w:lineRule="auto"/>
        <w:ind w:firstLine="420" w:firstLineChars="200"/>
        <w:jc w:val="left"/>
        <w:rPr>
          <w:rFonts w:hint="default" w:eastAsia="宋体"/>
          <w:color w:val="auto"/>
          <w:kern w:val="0"/>
          <w:szCs w:val="21"/>
          <w:lang w:val="en-US" w:eastAsia="zh-CN"/>
        </w:rPr>
      </w:pPr>
      <w:r>
        <w:rPr>
          <w:rFonts w:hint="eastAsia"/>
          <w:color w:val="auto"/>
          <w:kern w:val="0"/>
          <w:szCs w:val="21"/>
        </w:rPr>
        <w:t>预算金额（元）：</w:t>
      </w:r>
      <w:r>
        <w:rPr>
          <w:rFonts w:hint="eastAsia"/>
          <w:color w:val="auto"/>
          <w:kern w:val="0"/>
          <w:szCs w:val="21"/>
          <w:lang w:val="en-US" w:eastAsia="zh-CN"/>
        </w:rPr>
        <w:t>2292400</w:t>
      </w:r>
    </w:p>
    <w:p w14:paraId="53FFEBFD">
      <w:pPr>
        <w:spacing w:line="312" w:lineRule="auto"/>
        <w:ind w:firstLine="424" w:firstLineChars="202"/>
        <w:jc w:val="left"/>
        <w:rPr>
          <w:color w:val="auto"/>
          <w:kern w:val="0"/>
          <w:szCs w:val="21"/>
        </w:rPr>
      </w:pPr>
      <w:r>
        <w:rPr>
          <w:rFonts w:hint="eastAsia"/>
          <w:color w:val="auto"/>
          <w:kern w:val="0"/>
          <w:szCs w:val="21"/>
        </w:rPr>
        <w:t>简要规格描述或项目基本概况介绍、用途：</w:t>
      </w:r>
      <w:r>
        <w:rPr>
          <w:rFonts w:hint="eastAsia" w:ascii="宋体" w:hAnsi="宋体" w:eastAsia="宋体" w:cs="宋体"/>
          <w:color w:val="auto"/>
          <w:kern w:val="2"/>
          <w:sz w:val="21"/>
          <w:szCs w:val="21"/>
          <w:highlight w:val="none"/>
          <w:lang w:val="en-US" w:eastAsia="zh-CN" w:bidi="ar"/>
          <w:woUserID w:val="9"/>
        </w:rPr>
        <w:t>普通PCR仪3台、</w:t>
      </w:r>
      <w:r>
        <w:rPr>
          <w:rFonts w:hint="eastAsia" w:ascii="宋体" w:hAnsi="宋体" w:eastAsia="宋体" w:cs="宋体"/>
          <w:b w:val="0"/>
          <w:bCs w:val="0"/>
          <w:color w:val="auto"/>
          <w:kern w:val="0"/>
          <w:sz w:val="21"/>
          <w:szCs w:val="21"/>
          <w:highlight w:val="none"/>
          <w:lang w:bidi="ar"/>
        </w:rPr>
        <w:t>梯度PCR仪(快速)</w:t>
      </w:r>
      <w:r>
        <w:rPr>
          <w:rFonts w:hint="eastAsia" w:ascii="宋体" w:hAnsi="宋体" w:eastAsia="宋体" w:cs="宋体"/>
          <w:b w:val="0"/>
          <w:bCs w:val="0"/>
          <w:color w:val="auto"/>
          <w:kern w:val="0"/>
          <w:sz w:val="21"/>
          <w:szCs w:val="21"/>
          <w:highlight w:val="none"/>
          <w:lang w:val="en-US" w:eastAsia="zh-CN" w:bidi="ar"/>
        </w:rPr>
        <w:t>1台、</w:t>
      </w:r>
      <w:r>
        <w:rPr>
          <w:rFonts w:hint="eastAsia" w:ascii="宋体" w:hAnsi="宋体" w:eastAsia="宋体" w:cs="宋体"/>
          <w:b w:val="0"/>
          <w:bCs w:val="0"/>
          <w:color w:val="auto"/>
          <w:kern w:val="0"/>
          <w:sz w:val="21"/>
          <w:szCs w:val="21"/>
          <w:highlight w:val="none"/>
          <w:lang w:bidi="ar"/>
        </w:rPr>
        <w:t>超微量分光光度计</w:t>
      </w:r>
      <w:r>
        <w:rPr>
          <w:rFonts w:hint="eastAsia" w:ascii="宋体" w:hAnsi="宋体" w:eastAsia="宋体" w:cs="宋体"/>
          <w:b w:val="0"/>
          <w:bCs w:val="0"/>
          <w:color w:val="auto"/>
          <w:kern w:val="0"/>
          <w:sz w:val="21"/>
          <w:szCs w:val="21"/>
          <w:highlight w:val="none"/>
          <w:lang w:val="en-US" w:eastAsia="zh-CN" w:bidi="ar"/>
        </w:rPr>
        <w:t>1台</w:t>
      </w:r>
      <w:r>
        <w:rPr>
          <w:rFonts w:hint="eastAsia" w:ascii="宋体" w:hAnsi="宋体" w:eastAsia="宋体" w:cs="宋体"/>
          <w:b w:val="0"/>
          <w:bCs w:val="0"/>
          <w:color w:val="auto"/>
          <w:sz w:val="21"/>
          <w:szCs w:val="21"/>
          <w:lang w:val="en-US" w:eastAsia="zh-CN"/>
        </w:rPr>
        <w:t>等设备</w:t>
      </w:r>
      <w:r>
        <w:rPr>
          <w:rFonts w:hint="eastAsia"/>
          <w:color w:val="auto"/>
          <w:kern w:val="0"/>
          <w:szCs w:val="21"/>
        </w:rPr>
        <w:t>，详见招标文件采购需求。</w:t>
      </w:r>
    </w:p>
    <w:p w14:paraId="0CA563F8">
      <w:pPr>
        <w:spacing w:line="312" w:lineRule="auto"/>
        <w:ind w:firstLine="420" w:firstLineChars="200"/>
        <w:jc w:val="left"/>
        <w:rPr>
          <w:color w:val="auto"/>
          <w:kern w:val="0"/>
          <w:szCs w:val="21"/>
        </w:rPr>
      </w:pPr>
      <w:r>
        <w:rPr>
          <w:color w:val="auto"/>
          <w:kern w:val="0"/>
          <w:szCs w:val="21"/>
        </w:rPr>
        <w:t>最高限价</w:t>
      </w:r>
      <w:r>
        <w:rPr>
          <w:rFonts w:hint="eastAsia"/>
          <w:color w:val="auto"/>
          <w:kern w:val="0"/>
          <w:szCs w:val="21"/>
        </w:rPr>
        <w:t>（如有）</w:t>
      </w:r>
      <w:r>
        <w:rPr>
          <w:color w:val="auto"/>
          <w:kern w:val="0"/>
          <w:szCs w:val="21"/>
        </w:rPr>
        <w:t>：</w:t>
      </w:r>
      <w:r>
        <w:rPr>
          <w:rFonts w:hint="eastAsia"/>
          <w:color w:val="auto"/>
          <w:kern w:val="0"/>
          <w:szCs w:val="21"/>
          <w:lang w:val="en-US" w:eastAsia="zh-CN"/>
        </w:rPr>
        <w:t>2292400</w:t>
      </w:r>
    </w:p>
    <w:p w14:paraId="31101E67">
      <w:pPr>
        <w:spacing w:line="312" w:lineRule="auto"/>
        <w:ind w:firstLine="424" w:firstLineChars="202"/>
        <w:jc w:val="left"/>
        <w:rPr>
          <w:color w:val="auto"/>
          <w:kern w:val="0"/>
          <w:szCs w:val="21"/>
        </w:rPr>
      </w:pPr>
      <w:r>
        <w:rPr>
          <w:rFonts w:hint="eastAsia"/>
          <w:color w:val="auto"/>
          <w:kern w:val="0"/>
          <w:szCs w:val="21"/>
        </w:rPr>
        <w:t>合同履约期限：自签订合同之日起 20 日历日内全部交付完成并验收合格</w:t>
      </w:r>
      <w:r>
        <w:rPr>
          <w:rFonts w:hint="eastAsia" w:ascii="宋体" w:hAnsi="宋体" w:cs="宋体"/>
          <w:color w:val="auto"/>
          <w:szCs w:val="21"/>
        </w:rPr>
        <w:t>。</w:t>
      </w:r>
    </w:p>
    <w:p w14:paraId="2C410A71">
      <w:pPr>
        <w:spacing w:line="312" w:lineRule="auto"/>
        <w:ind w:firstLine="424" w:firstLineChars="202"/>
        <w:jc w:val="left"/>
        <w:rPr>
          <w:color w:val="auto"/>
          <w:kern w:val="0"/>
          <w:szCs w:val="21"/>
        </w:rPr>
      </w:pPr>
      <w:r>
        <w:rPr>
          <w:rFonts w:hint="eastAsia" w:ascii="宋体" w:hAnsi="宋体" w:cs="宋体"/>
          <w:color w:val="auto"/>
          <w:szCs w:val="21"/>
          <w:lang w:bidi="ar"/>
        </w:rPr>
        <w:t>本标项不接受联合体投标。</w:t>
      </w:r>
    </w:p>
    <w:p w14:paraId="2BA9DC74">
      <w:pPr>
        <w:spacing w:line="312" w:lineRule="auto"/>
        <w:ind w:firstLine="424" w:firstLineChars="202"/>
        <w:jc w:val="left"/>
        <w:rPr>
          <w:rFonts w:hint="eastAsia" w:ascii="宋体" w:hAnsi="宋体"/>
          <w:color w:val="auto"/>
          <w:szCs w:val="21"/>
          <w:lang w:bidi="ar"/>
        </w:rPr>
      </w:pPr>
      <w:r>
        <w:rPr>
          <w:rFonts w:hint="eastAsia"/>
          <w:color w:val="auto"/>
          <w:kern w:val="0"/>
          <w:szCs w:val="21"/>
        </w:rPr>
        <w:t>备注：</w:t>
      </w:r>
      <w:r>
        <w:rPr>
          <w:rFonts w:hint="eastAsia" w:ascii="宋体" w:hAnsi="宋体"/>
          <w:color w:val="auto"/>
          <w:szCs w:val="21"/>
          <w:lang w:bidi="ar"/>
        </w:rPr>
        <w:t>1.采购计划号：广西政采[2025]19150号</w:t>
      </w:r>
    </w:p>
    <w:bookmarkEnd w:id="13"/>
    <w:p w14:paraId="1F99F3FF">
      <w:pPr>
        <w:spacing w:line="312" w:lineRule="auto"/>
        <w:ind w:firstLine="442" w:firstLineChars="200"/>
        <w:jc w:val="left"/>
        <w:rPr>
          <w:b/>
          <w:bCs/>
          <w:color w:val="auto"/>
          <w:kern w:val="0"/>
          <w:sz w:val="22"/>
          <w:szCs w:val="22"/>
        </w:rPr>
      </w:pPr>
      <w:r>
        <w:rPr>
          <w:rFonts w:hint="eastAsia"/>
          <w:b/>
          <w:bCs/>
          <w:color w:val="auto"/>
          <w:kern w:val="0"/>
          <w:sz w:val="22"/>
          <w:szCs w:val="22"/>
        </w:rPr>
        <w:t>二、申请人的资格要求</w:t>
      </w:r>
    </w:p>
    <w:p w14:paraId="70323681">
      <w:pPr>
        <w:spacing w:line="312" w:lineRule="auto"/>
        <w:ind w:firstLine="420" w:firstLineChars="200"/>
        <w:jc w:val="left"/>
        <w:rPr>
          <w:color w:val="auto"/>
          <w:szCs w:val="21"/>
        </w:rPr>
      </w:pPr>
      <w:r>
        <w:rPr>
          <w:color w:val="auto"/>
          <w:kern w:val="0"/>
          <w:szCs w:val="21"/>
        </w:rPr>
        <w:t>1</w:t>
      </w:r>
      <w:r>
        <w:rPr>
          <w:rFonts w:hint="eastAsia"/>
          <w:color w:val="auto"/>
          <w:kern w:val="0"/>
          <w:szCs w:val="21"/>
        </w:rPr>
        <w:t>.满足</w:t>
      </w:r>
      <w:r>
        <w:rPr>
          <w:color w:val="auto"/>
          <w:kern w:val="0"/>
          <w:szCs w:val="21"/>
        </w:rPr>
        <w:t>《中华人民共和国政府采购法》第二十二条规定；</w:t>
      </w:r>
      <w:r>
        <w:rPr>
          <w:color w:val="auto"/>
          <w:szCs w:val="21"/>
        </w:rPr>
        <w:t xml:space="preserve"> </w:t>
      </w:r>
    </w:p>
    <w:p w14:paraId="5161EDE5">
      <w:pPr>
        <w:spacing w:line="312" w:lineRule="auto"/>
        <w:ind w:firstLine="420" w:firstLineChars="200"/>
        <w:jc w:val="left"/>
        <w:rPr>
          <w:color w:val="auto"/>
          <w:kern w:val="0"/>
          <w:szCs w:val="21"/>
        </w:rPr>
      </w:pPr>
      <w:r>
        <w:rPr>
          <w:rFonts w:hint="eastAsia"/>
          <w:color w:val="auto"/>
          <w:szCs w:val="21"/>
        </w:rPr>
        <w:t>2.落实政府采购政策需满足的资格要求：</w:t>
      </w:r>
      <w:bookmarkStart w:id="14" w:name="_Hlk132732708"/>
      <w:r>
        <w:rPr>
          <w:rFonts w:hint="eastAsia"/>
          <w:color w:val="auto"/>
          <w:kern w:val="0"/>
          <w:szCs w:val="21"/>
        </w:rPr>
        <w:t>无。</w:t>
      </w:r>
    </w:p>
    <w:bookmarkEnd w:id="14"/>
    <w:p w14:paraId="34F04DEC">
      <w:pPr>
        <w:spacing w:line="312" w:lineRule="auto"/>
        <w:ind w:firstLine="420" w:firstLineChars="200"/>
        <w:jc w:val="left"/>
        <w:rPr>
          <w:color w:val="auto"/>
          <w:kern w:val="0"/>
          <w:szCs w:val="21"/>
        </w:rPr>
      </w:pPr>
      <w:r>
        <w:rPr>
          <w:color w:val="auto"/>
          <w:kern w:val="0"/>
          <w:szCs w:val="21"/>
        </w:rPr>
        <w:t>3</w:t>
      </w:r>
      <w:r>
        <w:rPr>
          <w:rFonts w:hint="eastAsia"/>
          <w:color w:val="auto"/>
          <w:kern w:val="0"/>
          <w:szCs w:val="21"/>
        </w:rPr>
        <w:t>.本项目的</w:t>
      </w:r>
      <w:r>
        <w:rPr>
          <w:color w:val="auto"/>
          <w:kern w:val="0"/>
          <w:szCs w:val="21"/>
        </w:rPr>
        <w:t>特定资格</w:t>
      </w:r>
      <w:r>
        <w:rPr>
          <w:rFonts w:hint="eastAsia"/>
          <w:color w:val="auto"/>
          <w:kern w:val="0"/>
          <w:szCs w:val="21"/>
        </w:rPr>
        <w:t>要求</w:t>
      </w:r>
      <w:r>
        <w:rPr>
          <w:color w:val="auto"/>
          <w:kern w:val="0"/>
          <w:szCs w:val="21"/>
        </w:rPr>
        <w:t>：</w:t>
      </w:r>
    </w:p>
    <w:p w14:paraId="01EA2783">
      <w:pPr>
        <w:spacing w:line="312" w:lineRule="auto"/>
        <w:ind w:firstLine="420" w:firstLineChars="200"/>
        <w:jc w:val="left"/>
        <w:rPr>
          <w:color w:val="auto"/>
          <w:kern w:val="0"/>
          <w:szCs w:val="21"/>
        </w:rPr>
      </w:pPr>
      <w:r>
        <w:rPr>
          <w:color w:val="auto"/>
          <w:kern w:val="0"/>
          <w:szCs w:val="21"/>
        </w:rPr>
        <w:t>（1）资质要求：</w:t>
      </w:r>
      <w:r>
        <w:rPr>
          <w:rFonts w:hint="eastAsia"/>
          <w:color w:val="auto"/>
          <w:kern w:val="0"/>
          <w:szCs w:val="21"/>
          <w:highlight w:val="none"/>
          <w:lang w:val="en-US" w:eastAsia="zh-CN"/>
        </w:rPr>
        <w:t>无</w:t>
      </w:r>
      <w:r>
        <w:rPr>
          <w:rFonts w:hint="eastAsia"/>
          <w:color w:val="auto"/>
          <w:kern w:val="0"/>
          <w:szCs w:val="21"/>
          <w:highlight w:val="none"/>
        </w:rPr>
        <w:t>。</w:t>
      </w:r>
    </w:p>
    <w:p w14:paraId="0EFA78BA">
      <w:pPr>
        <w:spacing w:line="312" w:lineRule="auto"/>
        <w:ind w:firstLine="420" w:firstLineChars="200"/>
        <w:jc w:val="left"/>
        <w:rPr>
          <w:color w:val="auto"/>
          <w:kern w:val="0"/>
          <w:szCs w:val="21"/>
        </w:rPr>
      </w:pPr>
      <w:r>
        <w:rPr>
          <w:color w:val="auto"/>
          <w:kern w:val="0"/>
          <w:szCs w:val="21"/>
        </w:rPr>
        <w:t>（2）业绩要求：无。</w:t>
      </w:r>
      <w:bookmarkStart w:id="15" w:name="_Hlk77608117"/>
    </w:p>
    <w:bookmarkEnd w:id="15"/>
    <w:p w14:paraId="39F62A86">
      <w:pPr>
        <w:spacing w:line="312" w:lineRule="auto"/>
        <w:ind w:firstLine="420" w:firstLineChars="200"/>
        <w:jc w:val="left"/>
        <w:rPr>
          <w:color w:val="auto"/>
          <w:kern w:val="0"/>
          <w:szCs w:val="21"/>
        </w:rPr>
      </w:pPr>
      <w:r>
        <w:rPr>
          <w:rFonts w:hint="eastAsia"/>
          <w:color w:val="auto"/>
          <w:kern w:val="0"/>
          <w:szCs w:val="21"/>
        </w:rPr>
        <w:t>（</w:t>
      </w:r>
      <w:r>
        <w:rPr>
          <w:color w:val="auto"/>
          <w:kern w:val="0"/>
          <w:szCs w:val="21"/>
        </w:rPr>
        <w:t>3</w:t>
      </w:r>
      <w:r>
        <w:rPr>
          <w:rFonts w:hint="eastAsia"/>
          <w:color w:val="auto"/>
          <w:kern w:val="0"/>
          <w:szCs w:val="21"/>
        </w:rPr>
        <w:t>）</w:t>
      </w:r>
      <w:r>
        <w:rPr>
          <w:color w:val="auto"/>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color w:val="auto"/>
          <w:kern w:val="0"/>
          <w:szCs w:val="21"/>
        </w:rPr>
        <w:t>本</w:t>
      </w:r>
      <w:r>
        <w:rPr>
          <w:color w:val="auto"/>
          <w:kern w:val="0"/>
          <w:szCs w:val="21"/>
        </w:rPr>
        <w:t>项目的采购活动</w:t>
      </w:r>
      <w:r>
        <w:rPr>
          <w:rFonts w:hint="eastAsia"/>
          <w:color w:val="auto"/>
          <w:kern w:val="0"/>
          <w:szCs w:val="21"/>
        </w:rPr>
        <w:t>。</w:t>
      </w:r>
    </w:p>
    <w:p w14:paraId="33CA34F1">
      <w:pPr>
        <w:spacing w:line="312" w:lineRule="auto"/>
        <w:ind w:firstLine="420" w:firstLineChars="200"/>
        <w:jc w:val="left"/>
        <w:rPr>
          <w:color w:val="auto"/>
          <w:kern w:val="0"/>
          <w:szCs w:val="21"/>
        </w:rPr>
      </w:pPr>
      <w:r>
        <w:rPr>
          <w:rFonts w:hint="eastAsia"/>
          <w:color w:val="auto"/>
          <w:kern w:val="0"/>
          <w:szCs w:val="21"/>
        </w:rPr>
        <w:t>（</w:t>
      </w:r>
      <w:r>
        <w:rPr>
          <w:color w:val="auto"/>
          <w:kern w:val="0"/>
          <w:szCs w:val="21"/>
        </w:rPr>
        <w:t>4</w:t>
      </w:r>
      <w:r>
        <w:rPr>
          <w:rFonts w:hint="eastAsia"/>
          <w:color w:val="auto"/>
          <w:kern w:val="0"/>
          <w:szCs w:val="21"/>
        </w:rPr>
        <w:t>）</w:t>
      </w:r>
      <w:r>
        <w:rPr>
          <w:color w:val="auto"/>
          <w:kern w:val="0"/>
          <w:szCs w:val="21"/>
        </w:rPr>
        <w:t>未被列入失信被执行人、重大税收违法失信主体、政府采购严重违法失信行为记录名单。</w:t>
      </w:r>
    </w:p>
    <w:p w14:paraId="6F5DC85B">
      <w:pPr>
        <w:spacing w:line="312" w:lineRule="auto"/>
        <w:ind w:firstLine="420" w:firstLineChars="200"/>
        <w:jc w:val="left"/>
        <w:rPr>
          <w:color w:val="auto"/>
          <w:kern w:val="0"/>
          <w:szCs w:val="21"/>
        </w:rPr>
      </w:pPr>
      <w:r>
        <w:rPr>
          <w:rFonts w:hint="eastAsia"/>
          <w:color w:val="auto"/>
          <w:kern w:val="0"/>
          <w:szCs w:val="21"/>
        </w:rPr>
        <w:t>（5）本项目（不允许）分公司参与投标。</w:t>
      </w:r>
    </w:p>
    <w:p w14:paraId="7BDC3DD8">
      <w:pPr>
        <w:spacing w:line="312" w:lineRule="auto"/>
        <w:ind w:firstLine="420" w:firstLineChars="200"/>
        <w:jc w:val="left"/>
        <w:rPr>
          <w:color w:val="auto"/>
          <w:kern w:val="0"/>
          <w:szCs w:val="21"/>
        </w:rPr>
      </w:pPr>
      <w:bookmarkStart w:id="16" w:name="_Hlk132732817"/>
      <w:r>
        <w:rPr>
          <w:rFonts w:hint="eastAsia"/>
          <w:color w:val="auto"/>
          <w:szCs w:val="21"/>
        </w:rPr>
        <w:t>（</w:t>
      </w:r>
      <w:r>
        <w:rPr>
          <w:color w:val="auto"/>
          <w:szCs w:val="21"/>
        </w:rPr>
        <w:t>6</w:t>
      </w:r>
      <w:r>
        <w:rPr>
          <w:rFonts w:hint="eastAsia"/>
          <w:color w:val="auto"/>
          <w:szCs w:val="21"/>
        </w:rPr>
        <w:t>）</w:t>
      </w:r>
      <w:r>
        <w:rPr>
          <w:rFonts w:hint="eastAsia"/>
          <w:color w:val="auto"/>
          <w:kern w:val="0"/>
          <w:szCs w:val="21"/>
        </w:rPr>
        <w:t>本项目（不允许）分包。</w:t>
      </w:r>
    </w:p>
    <w:p w14:paraId="4B3D9229">
      <w:pPr>
        <w:spacing w:line="312" w:lineRule="auto"/>
        <w:ind w:firstLine="420" w:firstLineChars="200"/>
        <w:jc w:val="left"/>
        <w:rPr>
          <w:color w:val="auto"/>
          <w:szCs w:val="21"/>
        </w:rPr>
      </w:pPr>
      <w:r>
        <w:rPr>
          <w:rFonts w:hint="eastAsia"/>
          <w:color w:val="auto"/>
          <w:kern w:val="0"/>
          <w:szCs w:val="21"/>
        </w:rPr>
        <w:t>（</w:t>
      </w:r>
      <w:r>
        <w:rPr>
          <w:color w:val="auto"/>
          <w:kern w:val="0"/>
          <w:szCs w:val="21"/>
        </w:rPr>
        <w:t>7</w:t>
      </w:r>
      <w:r>
        <w:rPr>
          <w:rFonts w:hint="eastAsia"/>
          <w:color w:val="auto"/>
          <w:kern w:val="0"/>
          <w:szCs w:val="21"/>
        </w:rPr>
        <w:t>）</w:t>
      </w:r>
      <w:r>
        <w:rPr>
          <w:color w:val="auto"/>
          <w:kern w:val="0"/>
          <w:szCs w:val="21"/>
        </w:rPr>
        <w:t>本项目</w:t>
      </w:r>
      <w:r>
        <w:rPr>
          <w:rFonts w:hint="eastAsia"/>
          <w:color w:val="auto"/>
          <w:kern w:val="0"/>
          <w:szCs w:val="21"/>
        </w:rPr>
        <w:t>（</w:t>
      </w:r>
      <w:r>
        <w:rPr>
          <w:color w:val="auto"/>
          <w:kern w:val="0"/>
          <w:szCs w:val="21"/>
        </w:rPr>
        <w:t>不接受</w:t>
      </w:r>
      <w:r>
        <w:rPr>
          <w:rFonts w:hint="eastAsia"/>
          <w:color w:val="auto"/>
          <w:kern w:val="0"/>
          <w:szCs w:val="21"/>
        </w:rPr>
        <w:t>）</w:t>
      </w:r>
      <w:r>
        <w:rPr>
          <w:color w:val="auto"/>
          <w:kern w:val="0"/>
          <w:szCs w:val="21"/>
        </w:rPr>
        <w:t>联合体投标。</w:t>
      </w:r>
    </w:p>
    <w:bookmarkEnd w:id="16"/>
    <w:p w14:paraId="141D1121">
      <w:pPr>
        <w:spacing w:line="312" w:lineRule="auto"/>
        <w:ind w:firstLine="420" w:firstLineChars="200"/>
        <w:jc w:val="left"/>
        <w:rPr>
          <w:rFonts w:hint="eastAsia"/>
          <w:color w:val="auto"/>
          <w:kern w:val="0"/>
          <w:szCs w:val="21"/>
        </w:rPr>
      </w:pPr>
      <w:r>
        <w:rPr>
          <w:rFonts w:hint="eastAsia"/>
          <w:color w:val="auto"/>
          <w:kern w:val="0"/>
          <w:szCs w:val="21"/>
        </w:rPr>
        <w:t>（</w:t>
      </w:r>
      <w:r>
        <w:rPr>
          <w:color w:val="auto"/>
          <w:kern w:val="0"/>
          <w:szCs w:val="21"/>
        </w:rPr>
        <w:t>8</w:t>
      </w:r>
      <w:r>
        <w:rPr>
          <w:rFonts w:hint="eastAsia"/>
          <w:color w:val="auto"/>
          <w:kern w:val="0"/>
          <w:szCs w:val="21"/>
        </w:rPr>
        <w:t>）</w:t>
      </w:r>
      <w:r>
        <w:rPr>
          <w:color w:val="auto"/>
          <w:kern w:val="0"/>
          <w:szCs w:val="21"/>
        </w:rPr>
        <w:t>按照招标公告规定获得招标文件。</w:t>
      </w:r>
      <w:r>
        <w:rPr>
          <w:rFonts w:hint="eastAsia"/>
          <w:color w:val="auto"/>
          <w:kern w:val="0"/>
          <w:szCs w:val="21"/>
        </w:rPr>
        <w:t>招标文件有规定时按要求提交投标保证金。</w:t>
      </w:r>
    </w:p>
    <w:p w14:paraId="3A26D77C">
      <w:pPr>
        <w:spacing w:line="312" w:lineRule="auto"/>
        <w:ind w:firstLine="442" w:firstLineChars="200"/>
        <w:jc w:val="left"/>
        <w:rPr>
          <w:b/>
          <w:bCs/>
          <w:color w:val="auto"/>
          <w:kern w:val="0"/>
          <w:sz w:val="22"/>
          <w:szCs w:val="22"/>
        </w:rPr>
      </w:pPr>
      <w:r>
        <w:rPr>
          <w:rFonts w:hint="eastAsia"/>
          <w:b/>
          <w:bCs/>
          <w:color w:val="auto"/>
          <w:kern w:val="0"/>
          <w:sz w:val="22"/>
          <w:szCs w:val="22"/>
        </w:rPr>
        <w:t>三、获取招标文件</w:t>
      </w:r>
    </w:p>
    <w:p w14:paraId="7F25883C">
      <w:pPr>
        <w:spacing w:line="312" w:lineRule="auto"/>
        <w:ind w:firstLine="420" w:firstLineChars="200"/>
        <w:jc w:val="left"/>
        <w:rPr>
          <w:color w:val="auto"/>
        </w:rPr>
      </w:pPr>
      <w:bookmarkStart w:id="17" w:name="_Hlk19048251"/>
      <w:r>
        <w:rPr>
          <w:rFonts w:hint="eastAsia"/>
          <w:color w:val="auto"/>
        </w:rPr>
        <w:t>时间：</w:t>
      </w:r>
      <w:r>
        <w:rPr>
          <w:color w:val="auto"/>
        </w:rPr>
        <w:t>202</w:t>
      </w:r>
      <w:r>
        <w:rPr>
          <w:rFonts w:hint="eastAsia"/>
          <w:color w:val="auto"/>
          <w:lang w:val="en-US" w:eastAsia="zh-CN"/>
        </w:rPr>
        <w:t>5</w:t>
      </w:r>
      <w:r>
        <w:rPr>
          <w:rFonts w:hint="eastAsia"/>
          <w:color w:val="auto"/>
        </w:rPr>
        <w:t>年</w:t>
      </w:r>
      <w:r>
        <w:rPr>
          <w:rFonts w:hint="eastAsia"/>
          <w:color w:val="auto"/>
          <w:lang w:val="en-US" w:eastAsia="zh-CN"/>
        </w:rPr>
        <w:t xml:space="preserve">    </w:t>
      </w:r>
      <w:r>
        <w:rPr>
          <w:rFonts w:hint="eastAsia"/>
          <w:color w:val="auto"/>
        </w:rPr>
        <w:t>月</w:t>
      </w:r>
      <w:r>
        <w:rPr>
          <w:rFonts w:hint="eastAsia"/>
          <w:color w:val="auto"/>
          <w:lang w:val="en-US" w:eastAsia="zh-CN"/>
        </w:rPr>
        <w:t xml:space="preserve">    </w:t>
      </w:r>
      <w:r>
        <w:rPr>
          <w:rFonts w:hint="eastAsia"/>
          <w:color w:val="auto"/>
        </w:rPr>
        <w:t>日起至202</w:t>
      </w:r>
      <w:r>
        <w:rPr>
          <w:rFonts w:hint="eastAsia"/>
          <w:color w:val="auto"/>
          <w:lang w:val="en-US" w:eastAsia="zh-CN"/>
        </w:rPr>
        <w:t>5</w:t>
      </w:r>
      <w:r>
        <w:rPr>
          <w:rFonts w:hint="eastAsia"/>
          <w:color w:val="auto"/>
        </w:rPr>
        <w:t>年</w:t>
      </w:r>
      <w:r>
        <w:rPr>
          <w:rFonts w:hint="eastAsia"/>
          <w:color w:val="auto"/>
          <w:lang w:val="en-US" w:eastAsia="zh-CN"/>
        </w:rPr>
        <w:t xml:space="preserve">   </w:t>
      </w:r>
      <w:r>
        <w:rPr>
          <w:rFonts w:hint="eastAsia"/>
          <w:color w:val="auto"/>
        </w:rPr>
        <w:t>月</w:t>
      </w:r>
      <w:r>
        <w:rPr>
          <w:rFonts w:hint="eastAsia"/>
          <w:color w:val="auto"/>
          <w:lang w:val="en-US" w:eastAsia="zh-CN"/>
        </w:rPr>
        <w:t xml:space="preserve">   </w:t>
      </w:r>
      <w:r>
        <w:rPr>
          <w:rFonts w:hint="eastAsia"/>
          <w:color w:val="auto"/>
        </w:rPr>
        <w:t>日，每天上午</w:t>
      </w:r>
      <w:r>
        <w:rPr>
          <w:rFonts w:hint="eastAsia"/>
        </w:rPr>
        <w:t>每天上午08时30分至12时00分，下午14时30分至17时30分</w:t>
      </w:r>
      <w:r>
        <w:rPr>
          <w:rFonts w:hint="eastAsia"/>
          <w:color w:val="auto"/>
        </w:rPr>
        <w:t>（北京时间，法定节假日除外）。</w:t>
      </w:r>
    </w:p>
    <w:p w14:paraId="5DE85DFB">
      <w:pPr>
        <w:spacing w:line="312" w:lineRule="auto"/>
        <w:ind w:firstLine="420" w:firstLineChars="200"/>
        <w:jc w:val="left"/>
        <w:rPr>
          <w:color w:val="auto"/>
          <w:szCs w:val="21"/>
        </w:rPr>
      </w:pPr>
      <w:r>
        <w:rPr>
          <w:rFonts w:hint="eastAsia"/>
          <w:color w:val="auto"/>
        </w:rPr>
        <w:t>地点（网址）：</w:t>
      </w:r>
      <w:bookmarkStart w:id="18" w:name="_Hlk160186293"/>
      <w:r>
        <w:rPr>
          <w:rFonts w:hint="eastAsia" w:ascii="Arial" w:hAnsi="Arial" w:cs="Arial"/>
          <w:color w:val="auto"/>
          <w:kern w:val="0"/>
          <w:szCs w:val="21"/>
        </w:rPr>
        <w:t>广西政府采购云平台（</w:t>
      </w:r>
      <w:r>
        <w:rPr>
          <w:color w:val="auto"/>
        </w:rPr>
        <w:fldChar w:fldCharType="begin"/>
      </w:r>
      <w:r>
        <w:rPr>
          <w:color w:val="auto"/>
        </w:rPr>
        <w:instrText xml:space="preserve"> HYPERLINK "https://www.gcy.zfcg.gxzf.gov.cn/" </w:instrText>
      </w:r>
      <w:r>
        <w:rPr>
          <w:color w:val="auto"/>
        </w:rPr>
        <w:fldChar w:fldCharType="separate"/>
      </w:r>
      <w:r>
        <w:rPr>
          <w:rStyle w:val="57"/>
          <w:rFonts w:hint="eastAsia" w:ascii="Arial" w:hAnsi="Arial" w:cs="Arial"/>
          <w:color w:val="auto"/>
          <w:kern w:val="0"/>
          <w:szCs w:val="21"/>
          <w:u w:val="none"/>
        </w:rPr>
        <w:t>https://www.gcy.zfcg.gxzf.gov.cn/</w:t>
      </w:r>
      <w:r>
        <w:rPr>
          <w:rStyle w:val="57"/>
          <w:rFonts w:hint="eastAsia" w:ascii="Arial" w:hAnsi="Arial" w:cs="Arial"/>
          <w:color w:val="auto"/>
          <w:kern w:val="0"/>
          <w:szCs w:val="21"/>
          <w:u w:val="none"/>
        </w:rPr>
        <w:fldChar w:fldCharType="end"/>
      </w:r>
      <w:r>
        <w:rPr>
          <w:rFonts w:hint="eastAsia" w:ascii="Arial" w:hAnsi="Arial" w:cs="Arial"/>
          <w:color w:val="auto"/>
          <w:kern w:val="0"/>
          <w:szCs w:val="21"/>
        </w:rPr>
        <w:t>）</w:t>
      </w:r>
    </w:p>
    <w:bookmarkEnd w:id="18"/>
    <w:p w14:paraId="366A4D83">
      <w:pPr>
        <w:spacing w:line="312" w:lineRule="auto"/>
        <w:ind w:firstLine="420" w:firstLineChars="200"/>
        <w:jc w:val="left"/>
        <w:rPr>
          <w:color w:val="auto"/>
          <w:szCs w:val="21"/>
        </w:rPr>
      </w:pPr>
      <w:r>
        <w:rPr>
          <w:rFonts w:hint="eastAsia"/>
          <w:color w:val="auto"/>
          <w:szCs w:val="21"/>
        </w:rPr>
        <w:t>方式：</w:t>
      </w:r>
      <w:bookmarkStart w:id="19" w:name="_Hlk132732941"/>
      <w:r>
        <w:rPr>
          <w:rFonts w:hint="eastAsia"/>
          <w:color w:val="auto"/>
          <w:szCs w:val="21"/>
        </w:rPr>
        <w:t>供应商登录广西政府采购云平台在线申请获取招标文件（进入“项目采购”应用，在获取招标文件菜单中选择项目，申请获取招标文件）</w:t>
      </w:r>
    </w:p>
    <w:bookmarkEnd w:id="19"/>
    <w:p w14:paraId="272C6093">
      <w:pPr>
        <w:spacing w:line="312" w:lineRule="auto"/>
        <w:ind w:firstLine="420" w:firstLineChars="200"/>
        <w:jc w:val="left"/>
        <w:rPr>
          <w:color w:val="auto"/>
        </w:rPr>
      </w:pPr>
      <w:r>
        <w:rPr>
          <w:rFonts w:hint="eastAsia"/>
          <w:color w:val="auto"/>
        </w:rPr>
        <w:t>售价（元）：</w:t>
      </w:r>
      <w:r>
        <w:rPr>
          <w:color w:val="auto"/>
        </w:rPr>
        <w:t>0</w:t>
      </w:r>
    </w:p>
    <w:bookmarkEnd w:id="17"/>
    <w:p w14:paraId="6C81B3E7">
      <w:pPr>
        <w:spacing w:line="312" w:lineRule="auto"/>
        <w:ind w:firstLine="442" w:firstLineChars="200"/>
        <w:jc w:val="left"/>
        <w:rPr>
          <w:b/>
          <w:bCs/>
          <w:color w:val="auto"/>
          <w:kern w:val="0"/>
          <w:sz w:val="22"/>
          <w:szCs w:val="22"/>
        </w:rPr>
      </w:pPr>
      <w:r>
        <w:rPr>
          <w:rFonts w:hint="eastAsia"/>
          <w:b/>
          <w:bCs/>
          <w:color w:val="auto"/>
          <w:kern w:val="0"/>
          <w:sz w:val="22"/>
          <w:szCs w:val="22"/>
        </w:rPr>
        <w:t>四、提交投标文件截止时间、开标时间和地点</w:t>
      </w:r>
    </w:p>
    <w:p w14:paraId="46DF9037">
      <w:pPr>
        <w:spacing w:line="312" w:lineRule="auto"/>
        <w:ind w:firstLine="420" w:firstLineChars="200"/>
        <w:jc w:val="left"/>
        <w:rPr>
          <w:color w:val="auto"/>
          <w:kern w:val="0"/>
          <w:szCs w:val="21"/>
        </w:rPr>
      </w:pPr>
      <w:r>
        <w:rPr>
          <w:rFonts w:hint="eastAsia"/>
          <w:color w:val="auto"/>
          <w:kern w:val="0"/>
          <w:szCs w:val="21"/>
        </w:rPr>
        <w:t>提交投标文件截止时间：</w:t>
      </w:r>
      <w:bookmarkStart w:id="20" w:name="_Hlk88997050"/>
      <w:r>
        <w:rPr>
          <w:color w:val="auto"/>
          <w:kern w:val="0"/>
          <w:szCs w:val="21"/>
        </w:rPr>
        <w:t>202</w:t>
      </w:r>
      <w:r>
        <w:rPr>
          <w:rFonts w:hint="eastAsia"/>
          <w:color w:val="auto"/>
          <w:kern w:val="0"/>
          <w:szCs w:val="21"/>
          <w:lang w:val="en-US" w:eastAsia="zh-CN"/>
        </w:rPr>
        <w:t>5</w:t>
      </w:r>
      <w:r>
        <w:rPr>
          <w:color w:val="auto"/>
          <w:kern w:val="0"/>
          <w:szCs w:val="21"/>
        </w:rPr>
        <w:t>年</w:t>
      </w:r>
      <w:r>
        <w:rPr>
          <w:rFonts w:hint="eastAsia"/>
          <w:color w:val="auto"/>
          <w:kern w:val="0"/>
          <w:szCs w:val="21"/>
          <w:lang w:val="en-US" w:eastAsia="zh-CN"/>
        </w:rPr>
        <w:t xml:space="preserve">   </w:t>
      </w:r>
      <w:r>
        <w:rPr>
          <w:color w:val="auto"/>
          <w:kern w:val="0"/>
          <w:szCs w:val="21"/>
        </w:rPr>
        <w:t>月</w:t>
      </w:r>
      <w:r>
        <w:rPr>
          <w:rFonts w:hint="eastAsia"/>
          <w:color w:val="auto"/>
          <w:kern w:val="0"/>
          <w:szCs w:val="21"/>
          <w:lang w:val="en-US" w:eastAsia="zh-CN"/>
        </w:rPr>
        <w:t xml:space="preserve">   </w:t>
      </w:r>
      <w:r>
        <w:rPr>
          <w:color w:val="auto"/>
          <w:kern w:val="0"/>
          <w:szCs w:val="21"/>
        </w:rPr>
        <w:t>日</w:t>
      </w:r>
      <w:bookmarkEnd w:id="20"/>
      <w:r>
        <w:rPr>
          <w:rFonts w:hint="eastAsia"/>
          <w:color w:val="auto"/>
          <w:kern w:val="0"/>
          <w:szCs w:val="21"/>
        </w:rPr>
        <w:t>09:30（北京时间）</w:t>
      </w:r>
    </w:p>
    <w:p w14:paraId="09AC6C05">
      <w:pPr>
        <w:spacing w:line="312" w:lineRule="auto"/>
        <w:ind w:firstLine="420" w:firstLineChars="200"/>
        <w:jc w:val="left"/>
        <w:rPr>
          <w:color w:val="auto"/>
          <w:kern w:val="0"/>
          <w:szCs w:val="21"/>
        </w:rPr>
      </w:pPr>
      <w:r>
        <w:rPr>
          <w:rFonts w:hint="eastAsia"/>
          <w:color w:val="auto"/>
          <w:kern w:val="0"/>
          <w:szCs w:val="21"/>
        </w:rPr>
        <w:t>投标地点（网址）：</w:t>
      </w:r>
      <w:bookmarkStart w:id="21" w:name="_Hlk88997081"/>
      <w:r>
        <w:rPr>
          <w:rFonts w:hint="eastAsia"/>
          <w:color w:val="auto"/>
          <w:szCs w:val="21"/>
        </w:rPr>
        <w:t>本项目为全流程电子化项目，没有现场递交投标文件及现场开标环节，通过广西政府采购云平台</w:t>
      </w:r>
      <w:bookmarkStart w:id="22" w:name="_Hlk160186485"/>
      <w:r>
        <w:rPr>
          <w:rFonts w:hint="eastAsia"/>
          <w:color w:val="auto"/>
          <w:szCs w:val="21"/>
        </w:rPr>
        <w:t>（https://www.gcy.zfcg.gxzf.gov.cn/）</w:t>
      </w:r>
      <w:bookmarkEnd w:id="22"/>
      <w:r>
        <w:rPr>
          <w:rFonts w:hint="eastAsia"/>
          <w:color w:val="auto"/>
          <w:szCs w:val="21"/>
        </w:rPr>
        <w:t>实行在线电子投标，供应商应先安装</w:t>
      </w:r>
      <w:bookmarkStart w:id="23" w:name="_Hlk160186504"/>
      <w:r>
        <w:rPr>
          <w:rFonts w:hint="eastAsia"/>
          <w:color w:val="auto"/>
          <w:szCs w:val="21"/>
        </w:rPr>
        <w:t>广西政府采购云平台新版客户端（请自行前往广西政府采购网-办事服务-下载专区进行下载）</w:t>
      </w:r>
      <w:bookmarkEnd w:id="23"/>
      <w:r>
        <w:rPr>
          <w:rFonts w:hint="eastAsia"/>
          <w:color w:val="auto"/>
          <w:szCs w:val="21"/>
        </w:rPr>
        <w:t>，并按照本项目招标文件和广西政府采购云平台的要求使用C</w:t>
      </w:r>
      <w:r>
        <w:rPr>
          <w:color w:val="auto"/>
          <w:szCs w:val="21"/>
        </w:rPr>
        <w:t>A</w:t>
      </w:r>
      <w:r>
        <w:rPr>
          <w:rFonts w:hint="eastAsia"/>
          <w:color w:val="auto"/>
          <w:szCs w:val="21"/>
        </w:rPr>
        <w:t xml:space="preserve">认证编制、加密投标文件后在投标截止时间前上传至 广西政府采购云平台，供应商在广西政府采购云平台提交电子版投标文件时，请填写参加远程开标活动经办人联系方式。 </w:t>
      </w:r>
    </w:p>
    <w:bookmarkEnd w:id="21"/>
    <w:p w14:paraId="36B8ADB8">
      <w:pPr>
        <w:spacing w:line="312" w:lineRule="auto"/>
        <w:ind w:firstLine="420" w:firstLineChars="200"/>
        <w:jc w:val="left"/>
        <w:rPr>
          <w:color w:val="auto"/>
          <w:kern w:val="0"/>
          <w:szCs w:val="21"/>
        </w:rPr>
      </w:pPr>
      <w:r>
        <w:rPr>
          <w:rFonts w:hint="eastAsia"/>
          <w:color w:val="auto"/>
          <w:kern w:val="0"/>
          <w:szCs w:val="21"/>
        </w:rPr>
        <w:t>开标时间：</w:t>
      </w:r>
      <w:r>
        <w:rPr>
          <w:color w:val="auto"/>
          <w:kern w:val="0"/>
          <w:szCs w:val="21"/>
        </w:rPr>
        <w:t>202</w:t>
      </w:r>
      <w:r>
        <w:rPr>
          <w:rFonts w:hint="eastAsia"/>
          <w:color w:val="auto"/>
          <w:kern w:val="0"/>
          <w:szCs w:val="21"/>
          <w:lang w:val="en-US" w:eastAsia="zh-CN"/>
        </w:rPr>
        <w:t>5</w:t>
      </w:r>
      <w:r>
        <w:rPr>
          <w:color w:val="auto"/>
          <w:kern w:val="0"/>
          <w:szCs w:val="21"/>
        </w:rPr>
        <w:t>年</w:t>
      </w:r>
      <w:r>
        <w:rPr>
          <w:rFonts w:hint="eastAsia"/>
          <w:color w:val="auto"/>
          <w:kern w:val="0"/>
          <w:szCs w:val="21"/>
          <w:lang w:val="en-US" w:eastAsia="zh-CN"/>
        </w:rPr>
        <w:t xml:space="preserve">   </w:t>
      </w:r>
      <w:r>
        <w:rPr>
          <w:color w:val="auto"/>
          <w:kern w:val="0"/>
          <w:szCs w:val="21"/>
        </w:rPr>
        <w:t>月</w:t>
      </w:r>
      <w:r>
        <w:rPr>
          <w:rFonts w:hint="eastAsia"/>
          <w:color w:val="auto"/>
          <w:kern w:val="0"/>
          <w:szCs w:val="21"/>
          <w:lang w:val="en-US" w:eastAsia="zh-CN"/>
        </w:rPr>
        <w:t xml:space="preserve">  </w:t>
      </w:r>
      <w:r>
        <w:rPr>
          <w:color w:val="auto"/>
          <w:kern w:val="0"/>
          <w:szCs w:val="21"/>
        </w:rPr>
        <w:t>日</w:t>
      </w:r>
      <w:r>
        <w:rPr>
          <w:rFonts w:hint="eastAsia"/>
          <w:color w:val="auto"/>
          <w:kern w:val="0"/>
          <w:szCs w:val="21"/>
        </w:rPr>
        <w:t>09:30（北京时间）</w:t>
      </w:r>
    </w:p>
    <w:p w14:paraId="65ED44A2">
      <w:pPr>
        <w:spacing w:line="312" w:lineRule="auto"/>
        <w:ind w:firstLine="420" w:firstLineChars="200"/>
        <w:jc w:val="left"/>
        <w:rPr>
          <w:color w:val="auto"/>
          <w:szCs w:val="21"/>
        </w:rPr>
      </w:pPr>
      <w:r>
        <w:rPr>
          <w:rFonts w:hint="eastAsia"/>
          <w:color w:val="auto"/>
          <w:kern w:val="0"/>
          <w:szCs w:val="21"/>
        </w:rPr>
        <w:t>开标地点：</w:t>
      </w:r>
      <w:bookmarkStart w:id="24" w:name="_Hlk88997106"/>
      <w:r>
        <w:rPr>
          <w:rFonts w:hint="eastAsia"/>
          <w:color w:val="auto"/>
          <w:szCs w:val="21"/>
        </w:rPr>
        <w:t>供应商登录广西政府采购云平台电子开标大厅开标。</w:t>
      </w:r>
      <w:bookmarkEnd w:id="24"/>
    </w:p>
    <w:p w14:paraId="5A6EDE0E">
      <w:pPr>
        <w:spacing w:line="312" w:lineRule="auto"/>
        <w:ind w:firstLine="442" w:firstLineChars="200"/>
        <w:jc w:val="left"/>
        <w:rPr>
          <w:b/>
          <w:bCs/>
          <w:color w:val="auto"/>
          <w:kern w:val="0"/>
          <w:sz w:val="22"/>
          <w:szCs w:val="22"/>
        </w:rPr>
      </w:pPr>
      <w:r>
        <w:rPr>
          <w:rFonts w:hint="eastAsia"/>
          <w:b/>
          <w:bCs/>
          <w:color w:val="auto"/>
          <w:kern w:val="0"/>
          <w:sz w:val="22"/>
          <w:szCs w:val="22"/>
        </w:rPr>
        <w:t>五、公告期限</w:t>
      </w:r>
    </w:p>
    <w:p w14:paraId="6A49ABCE">
      <w:pPr>
        <w:spacing w:line="312" w:lineRule="auto"/>
        <w:ind w:firstLine="420" w:firstLineChars="200"/>
        <w:jc w:val="left"/>
        <w:rPr>
          <w:color w:val="auto"/>
          <w:kern w:val="0"/>
          <w:szCs w:val="21"/>
        </w:rPr>
      </w:pPr>
      <w:r>
        <w:rPr>
          <w:rFonts w:hint="eastAsia"/>
          <w:color w:val="auto"/>
          <w:kern w:val="0"/>
          <w:szCs w:val="21"/>
        </w:rPr>
        <w:t>自本公告发布之日起5个工作日。</w:t>
      </w:r>
    </w:p>
    <w:p w14:paraId="2750ED2E">
      <w:pPr>
        <w:spacing w:line="312" w:lineRule="auto"/>
        <w:ind w:firstLine="442" w:firstLineChars="200"/>
        <w:jc w:val="left"/>
        <w:rPr>
          <w:b/>
          <w:bCs/>
          <w:color w:val="auto"/>
          <w:kern w:val="0"/>
          <w:sz w:val="22"/>
          <w:szCs w:val="22"/>
        </w:rPr>
      </w:pPr>
      <w:r>
        <w:rPr>
          <w:rFonts w:hint="eastAsia"/>
          <w:b/>
          <w:bCs/>
          <w:color w:val="auto"/>
          <w:kern w:val="0"/>
          <w:sz w:val="22"/>
          <w:szCs w:val="22"/>
        </w:rPr>
        <w:t>六、其他补充事宜</w:t>
      </w:r>
    </w:p>
    <w:p w14:paraId="66A7D467">
      <w:pPr>
        <w:spacing w:line="312" w:lineRule="auto"/>
        <w:ind w:firstLine="420" w:firstLineChars="200"/>
        <w:jc w:val="left"/>
        <w:rPr>
          <w:color w:val="auto"/>
          <w:kern w:val="0"/>
          <w:szCs w:val="21"/>
        </w:rPr>
      </w:pPr>
      <w:r>
        <w:rPr>
          <w:rFonts w:hint="eastAsia"/>
          <w:color w:val="auto"/>
          <w:kern w:val="0"/>
          <w:szCs w:val="21"/>
        </w:rPr>
        <w:t>1</w:t>
      </w:r>
      <w:r>
        <w:rPr>
          <w:color w:val="auto"/>
          <w:kern w:val="0"/>
          <w:szCs w:val="21"/>
        </w:rPr>
        <w:t>.</w:t>
      </w:r>
      <w:r>
        <w:rPr>
          <w:rFonts w:hint="eastAsia"/>
          <w:color w:val="auto"/>
          <w:kern w:val="0"/>
          <w:szCs w:val="21"/>
        </w:rPr>
        <w:t>公告发布媒体：广西壮族自治区政府采购网、中国政府采购网、广西壮族自治区公共资源交易中心官网</w:t>
      </w:r>
    </w:p>
    <w:p w14:paraId="4F8C5353">
      <w:pPr>
        <w:spacing w:line="312" w:lineRule="auto"/>
        <w:ind w:firstLine="420" w:firstLineChars="200"/>
        <w:jc w:val="left"/>
        <w:rPr>
          <w:color w:val="auto"/>
          <w:kern w:val="0"/>
          <w:szCs w:val="21"/>
        </w:rPr>
      </w:pPr>
      <w:r>
        <w:rPr>
          <w:rFonts w:hint="eastAsia"/>
          <w:color w:val="auto"/>
          <w:kern w:val="0"/>
          <w:szCs w:val="21"/>
        </w:rPr>
        <w:t>2</w:t>
      </w:r>
      <w:r>
        <w:rPr>
          <w:color w:val="auto"/>
          <w:kern w:val="0"/>
          <w:szCs w:val="21"/>
        </w:rPr>
        <w:t>.</w:t>
      </w:r>
      <w:bookmarkStart w:id="25" w:name="_Hlk48145640"/>
      <w:r>
        <w:rPr>
          <w:rFonts w:hint="eastAsia"/>
          <w:color w:val="auto"/>
          <w:kern w:val="0"/>
          <w:szCs w:val="21"/>
        </w:rPr>
        <w:t>需落实的政府采购政策：</w:t>
      </w:r>
      <w:bookmarkEnd w:id="25"/>
      <w:r>
        <w:rPr>
          <w:color w:val="auto"/>
          <w:kern w:val="0"/>
          <w:szCs w:val="21"/>
        </w:rPr>
        <w:t>本项目适用政府采购促进中小企业、监狱企业发展、促进残疾人就业、节能环保等有关政策，具体详见招标文件。</w:t>
      </w:r>
    </w:p>
    <w:p w14:paraId="5565842C">
      <w:pPr>
        <w:spacing w:line="312" w:lineRule="auto"/>
        <w:ind w:firstLine="420" w:firstLineChars="200"/>
        <w:jc w:val="left"/>
        <w:rPr>
          <w:color w:val="auto"/>
          <w:kern w:val="0"/>
          <w:szCs w:val="21"/>
        </w:rPr>
      </w:pPr>
      <w:r>
        <w:rPr>
          <w:rFonts w:hint="eastAsia" w:cs="宋体"/>
          <w:color w:val="auto"/>
        </w:rPr>
        <w:t>3.本项目（否）采用远程异地评审</w:t>
      </w:r>
      <w:r>
        <w:rPr>
          <w:rFonts w:hint="eastAsia"/>
          <w:color w:val="auto"/>
          <w:kern w:val="0"/>
          <w:szCs w:val="21"/>
        </w:rPr>
        <w:t>。</w:t>
      </w:r>
    </w:p>
    <w:p w14:paraId="328C70D7">
      <w:pPr>
        <w:spacing w:line="312" w:lineRule="auto"/>
        <w:ind w:firstLine="420" w:firstLineChars="200"/>
        <w:rPr>
          <w:color w:val="auto"/>
          <w:kern w:val="0"/>
          <w:szCs w:val="21"/>
        </w:rPr>
      </w:pPr>
      <w:bookmarkStart w:id="26" w:name="_Hlk88997182"/>
      <w:r>
        <w:rPr>
          <w:color w:val="auto"/>
          <w:kern w:val="0"/>
          <w:szCs w:val="21"/>
        </w:rPr>
        <w:t>4.</w:t>
      </w:r>
      <w:r>
        <w:rPr>
          <w:rFonts w:hint="eastAsia"/>
          <w:color w:val="auto"/>
          <w:kern w:val="0"/>
          <w:szCs w:val="21"/>
        </w:rPr>
        <w:t>注意事项：</w:t>
      </w:r>
    </w:p>
    <w:p w14:paraId="50D1AE50">
      <w:pPr>
        <w:spacing w:line="276" w:lineRule="auto"/>
        <w:ind w:firstLine="420" w:firstLineChars="200"/>
        <w:rPr>
          <w:color w:val="auto"/>
          <w:szCs w:val="21"/>
        </w:rPr>
      </w:pPr>
      <w:r>
        <w:rPr>
          <w:rFonts w:hint="eastAsia"/>
          <w:color w:val="auto"/>
          <w:kern w:val="0"/>
          <w:szCs w:val="21"/>
        </w:rPr>
        <w:t>（1）</w:t>
      </w:r>
      <w:r>
        <w:rPr>
          <w:rFonts w:hint="eastAsia"/>
          <w:color w:val="auto"/>
          <w:szCs w:val="21"/>
        </w:rPr>
        <w:t>未进行网上注册并办理数字证书（CA认证）的供应商将无法参与本项目政府采购活动，潜在供应商应当在投标截止时间前，完成广西政府采购云平台上的CA数字证书办理及投标文件的提交。完成CA数字证书办理预计7日左右，建议各供应商抓紧时间办理。</w:t>
      </w:r>
    </w:p>
    <w:p w14:paraId="17191479">
      <w:pPr>
        <w:spacing w:line="276" w:lineRule="auto"/>
        <w:ind w:firstLine="420" w:firstLineChars="200"/>
        <w:rPr>
          <w:color w:val="auto"/>
          <w:kern w:val="0"/>
          <w:szCs w:val="21"/>
        </w:rPr>
      </w:pPr>
      <w:r>
        <w:rPr>
          <w:rFonts w:hint="eastAsia"/>
          <w:color w:val="auto"/>
          <w:szCs w:val="21"/>
        </w:rPr>
        <w:t>（2）为确保网上操作合法、有效和安全，请供应商确保在电子投标过程中能够对相关数据电文进行加密和使用电子签章，妥善保管CA数字证书并使用有效的CA数字证书参与整个招标活动。</w:t>
      </w:r>
    </w:p>
    <w:p w14:paraId="38331E87">
      <w:pPr>
        <w:spacing w:line="276" w:lineRule="auto"/>
        <w:ind w:firstLine="420" w:firstLineChars="200"/>
        <w:rPr>
          <w:rFonts w:hint="eastAsia" w:ascii="宋体" w:hAnsi="宋体" w:cs="宋体"/>
          <w:color w:val="auto"/>
          <w:kern w:val="0"/>
          <w:szCs w:val="21"/>
        </w:rPr>
      </w:pPr>
      <w:r>
        <w:rPr>
          <w:rFonts w:hint="eastAsia"/>
          <w:color w:val="auto"/>
          <w:szCs w:val="21"/>
        </w:rPr>
        <w:t>（3）</w:t>
      </w:r>
      <w:bookmarkStart w:id="27" w:name="_Hlk160186592"/>
      <w:r>
        <w:rPr>
          <w:rFonts w:hint="eastAsia"/>
          <w:color w:val="auto"/>
          <w:szCs w:val="21"/>
        </w:rPr>
        <w:t>若</w:t>
      </w:r>
      <w:r>
        <w:rPr>
          <w:rFonts w:hint="eastAsia" w:ascii="宋体" w:hAnsi="宋体" w:cs="宋体"/>
          <w:color w:val="auto"/>
          <w:kern w:val="0"/>
          <w:szCs w:val="21"/>
        </w:rPr>
        <w:t>对项目采购电子交易系统操作有疑问，可登录</w:t>
      </w:r>
      <w:r>
        <w:rPr>
          <w:rFonts w:hint="eastAsia"/>
          <w:color w:val="auto"/>
          <w:szCs w:val="21"/>
        </w:rPr>
        <w:t>广西政府采购云平台（https://www.gcy.zfcg.gxzf.gov.cn/）</w:t>
      </w:r>
      <w:r>
        <w:rPr>
          <w:rFonts w:hint="eastAsia" w:ascii="宋体" w:hAnsi="宋体" w:cs="宋体"/>
          <w:color w:val="auto"/>
          <w:kern w:val="0"/>
          <w:szCs w:val="21"/>
        </w:rPr>
        <w:t>，点击右侧咨询小采或帮助文档或拨打客服热线</w:t>
      </w:r>
      <w:r>
        <w:rPr>
          <w:rFonts w:ascii="宋体" w:hAnsi="宋体" w:cs="宋体"/>
          <w:color w:val="auto"/>
          <w:kern w:val="0"/>
          <w:szCs w:val="21"/>
        </w:rPr>
        <w:t xml:space="preserve">95763 </w:t>
      </w:r>
    </w:p>
    <w:bookmarkEnd w:id="26"/>
    <w:bookmarkEnd w:id="27"/>
    <w:p w14:paraId="1C270034">
      <w:pPr>
        <w:spacing w:line="312" w:lineRule="auto"/>
        <w:ind w:firstLine="442" w:firstLineChars="200"/>
        <w:jc w:val="left"/>
        <w:rPr>
          <w:b/>
          <w:bCs/>
          <w:color w:val="auto"/>
          <w:kern w:val="0"/>
          <w:sz w:val="22"/>
          <w:szCs w:val="22"/>
        </w:rPr>
      </w:pPr>
      <w:r>
        <w:rPr>
          <w:rFonts w:hint="eastAsia"/>
          <w:b/>
          <w:bCs/>
          <w:color w:val="auto"/>
          <w:kern w:val="0"/>
          <w:sz w:val="22"/>
          <w:szCs w:val="22"/>
        </w:rPr>
        <w:t>七、对本次招标提出询问，请按以下方式联系</w:t>
      </w:r>
    </w:p>
    <w:p w14:paraId="1F3F9898">
      <w:pPr>
        <w:spacing w:line="312" w:lineRule="auto"/>
        <w:ind w:firstLine="420" w:firstLineChars="200"/>
        <w:jc w:val="left"/>
        <w:rPr>
          <w:color w:val="auto"/>
          <w:kern w:val="0"/>
          <w:szCs w:val="21"/>
        </w:rPr>
      </w:pPr>
      <w:r>
        <w:rPr>
          <w:rFonts w:hint="eastAsia"/>
          <w:color w:val="auto"/>
          <w:kern w:val="0"/>
          <w:szCs w:val="21"/>
        </w:rPr>
        <w:t>1.采购人信息</w:t>
      </w:r>
    </w:p>
    <w:p w14:paraId="65CDC08E">
      <w:pPr>
        <w:spacing w:line="312" w:lineRule="auto"/>
        <w:ind w:firstLine="420" w:firstLineChars="200"/>
        <w:jc w:val="left"/>
        <w:rPr>
          <w:rFonts w:hint="eastAsia" w:eastAsia="宋体"/>
          <w:color w:val="auto"/>
          <w:kern w:val="0"/>
          <w:szCs w:val="21"/>
          <w:lang w:eastAsia="zh-CN"/>
        </w:rPr>
      </w:pPr>
      <w:r>
        <w:rPr>
          <w:rFonts w:hint="eastAsia"/>
          <w:color w:val="auto"/>
          <w:kern w:val="0"/>
          <w:szCs w:val="21"/>
        </w:rPr>
        <w:t>名称：</w:t>
      </w:r>
      <w:r>
        <w:rPr>
          <w:rFonts w:hint="eastAsia"/>
          <w:color w:val="auto"/>
          <w:kern w:val="0"/>
          <w:szCs w:val="21"/>
          <w:lang w:eastAsia="zh-CN"/>
        </w:rPr>
        <w:t>广西农业职业技术大学</w:t>
      </w:r>
    </w:p>
    <w:p w14:paraId="2160F06A">
      <w:pPr>
        <w:spacing w:line="312" w:lineRule="auto"/>
        <w:ind w:firstLine="420" w:firstLineChars="200"/>
        <w:jc w:val="left"/>
        <w:rPr>
          <w:rFonts w:hint="eastAsia" w:eastAsia="宋体"/>
          <w:color w:val="auto"/>
          <w:kern w:val="0"/>
          <w:szCs w:val="21"/>
          <w:lang w:eastAsia="zh-CN"/>
        </w:rPr>
      </w:pPr>
      <w:r>
        <w:rPr>
          <w:color w:val="auto"/>
          <w:kern w:val="0"/>
          <w:szCs w:val="21"/>
        </w:rPr>
        <w:t>地址：</w:t>
      </w:r>
      <w:r>
        <w:rPr>
          <w:rFonts w:hint="eastAsia"/>
          <w:color w:val="auto"/>
          <w:kern w:val="0"/>
          <w:szCs w:val="21"/>
          <w:lang w:eastAsia="zh-CN"/>
        </w:rPr>
        <w:t>广西南宁市西乡塘区大学东路176号</w:t>
      </w:r>
    </w:p>
    <w:p w14:paraId="1EF3CA68">
      <w:pPr>
        <w:spacing w:line="312" w:lineRule="auto"/>
        <w:ind w:firstLine="420" w:firstLineChars="200"/>
        <w:jc w:val="left"/>
        <w:rPr>
          <w:rFonts w:hint="default" w:eastAsia="宋体"/>
          <w:color w:val="auto"/>
          <w:kern w:val="0"/>
          <w:szCs w:val="21"/>
          <w:lang w:val="en-US" w:eastAsia="zh-CN"/>
        </w:rPr>
      </w:pPr>
      <w:r>
        <w:rPr>
          <w:rFonts w:hint="eastAsia"/>
          <w:color w:val="auto"/>
          <w:kern w:val="0"/>
          <w:szCs w:val="21"/>
        </w:rPr>
        <w:t>项目联系人：</w:t>
      </w:r>
      <w:r>
        <w:rPr>
          <w:rFonts w:hint="eastAsia"/>
          <w:color w:val="auto"/>
          <w:kern w:val="0"/>
          <w:szCs w:val="21"/>
          <w:lang w:val="en-US" w:eastAsia="zh-CN"/>
        </w:rPr>
        <w:t>陈宇、张慧芬</w:t>
      </w:r>
      <w:r>
        <w:rPr>
          <w:rFonts w:hint="eastAsia" w:ascii="Arial" w:hAnsi="Arial" w:cs="Arial"/>
          <w:color w:val="auto"/>
          <w:kern w:val="0"/>
          <w:szCs w:val="21"/>
          <w:lang w:val="en-US" w:eastAsia="zh-CN"/>
        </w:rPr>
        <w:t xml:space="preserve">   </w:t>
      </w:r>
    </w:p>
    <w:p w14:paraId="09A8BE98">
      <w:pPr>
        <w:spacing w:line="312" w:lineRule="auto"/>
        <w:ind w:firstLine="420" w:firstLineChars="200"/>
        <w:jc w:val="left"/>
        <w:rPr>
          <w:rFonts w:hint="default" w:eastAsia="宋体"/>
          <w:color w:val="auto"/>
          <w:kern w:val="0"/>
          <w:szCs w:val="21"/>
          <w:u w:val="single"/>
          <w:lang w:val="en-US" w:eastAsia="zh-CN"/>
        </w:rPr>
      </w:pPr>
      <w:r>
        <w:rPr>
          <w:rFonts w:hint="eastAsia"/>
          <w:color w:val="auto"/>
          <w:kern w:val="0"/>
          <w:szCs w:val="21"/>
        </w:rPr>
        <w:t>项目</w:t>
      </w:r>
      <w:r>
        <w:rPr>
          <w:color w:val="auto"/>
          <w:kern w:val="0"/>
          <w:szCs w:val="21"/>
        </w:rPr>
        <w:t>联系</w:t>
      </w:r>
      <w:r>
        <w:rPr>
          <w:rFonts w:hint="eastAsia"/>
          <w:color w:val="auto"/>
          <w:kern w:val="0"/>
          <w:szCs w:val="21"/>
        </w:rPr>
        <w:t>方式</w:t>
      </w:r>
      <w:r>
        <w:rPr>
          <w:color w:val="auto"/>
          <w:kern w:val="0"/>
          <w:szCs w:val="21"/>
        </w:rPr>
        <w:t>：</w:t>
      </w:r>
      <w:r>
        <w:rPr>
          <w:rFonts w:hint="eastAsia"/>
          <w:color w:val="auto"/>
          <w:kern w:val="0"/>
          <w:szCs w:val="21"/>
          <w:lang w:val="en-US" w:eastAsia="zh-CN"/>
        </w:rPr>
        <w:t>0771-4714671</w:t>
      </w:r>
      <w:r>
        <w:rPr>
          <w:rFonts w:hint="eastAsia" w:ascii="Arial" w:hAnsi="Arial" w:cs="Arial"/>
          <w:color w:val="auto"/>
          <w:kern w:val="0"/>
          <w:szCs w:val="21"/>
          <w:lang w:val="en-US" w:eastAsia="zh-CN"/>
        </w:rPr>
        <w:t xml:space="preserve">   </w:t>
      </w:r>
    </w:p>
    <w:p w14:paraId="29A47349">
      <w:pPr>
        <w:spacing w:line="312" w:lineRule="auto"/>
        <w:ind w:firstLine="420" w:firstLineChars="200"/>
        <w:jc w:val="left"/>
        <w:rPr>
          <w:color w:val="auto"/>
          <w:kern w:val="0"/>
          <w:szCs w:val="21"/>
        </w:rPr>
      </w:pPr>
      <w:r>
        <w:rPr>
          <w:rFonts w:hint="eastAsia"/>
          <w:color w:val="auto"/>
          <w:kern w:val="0"/>
          <w:szCs w:val="21"/>
        </w:rPr>
        <w:t>2.采购代理机构信息</w:t>
      </w:r>
    </w:p>
    <w:p w14:paraId="24E7757D">
      <w:pPr>
        <w:spacing w:line="312" w:lineRule="auto"/>
        <w:ind w:firstLine="420" w:firstLineChars="200"/>
        <w:jc w:val="left"/>
        <w:rPr>
          <w:color w:val="auto"/>
          <w:kern w:val="0"/>
          <w:szCs w:val="21"/>
        </w:rPr>
      </w:pPr>
      <w:r>
        <w:rPr>
          <w:rFonts w:hint="eastAsia"/>
          <w:color w:val="auto"/>
          <w:kern w:val="0"/>
          <w:szCs w:val="21"/>
        </w:rPr>
        <w:t>名称：广西机电设备招标有限公司</w:t>
      </w:r>
    </w:p>
    <w:p w14:paraId="5E92F834">
      <w:pPr>
        <w:spacing w:line="312" w:lineRule="auto"/>
        <w:ind w:firstLine="420" w:firstLineChars="200"/>
        <w:jc w:val="left"/>
        <w:rPr>
          <w:rFonts w:hint="default" w:eastAsia="宋体"/>
          <w:color w:val="auto"/>
          <w:kern w:val="0"/>
          <w:szCs w:val="21"/>
          <w:lang w:val="en-US" w:eastAsia="zh-CN"/>
        </w:rPr>
      </w:pPr>
      <w:r>
        <w:rPr>
          <w:rFonts w:hint="eastAsia"/>
          <w:color w:val="auto"/>
          <w:kern w:val="0"/>
          <w:szCs w:val="21"/>
        </w:rPr>
        <w:t>地址：广西南宁市金湖路63号金源CBD现代城B座7层7</w:t>
      </w:r>
      <w:r>
        <w:rPr>
          <w:rFonts w:hint="eastAsia"/>
          <w:color w:val="auto"/>
          <w:kern w:val="0"/>
          <w:szCs w:val="21"/>
          <w:lang w:val="en-US" w:eastAsia="zh-CN"/>
        </w:rPr>
        <w:t>18</w:t>
      </w:r>
    </w:p>
    <w:p w14:paraId="4748BAC8">
      <w:pPr>
        <w:spacing w:line="312" w:lineRule="auto"/>
        <w:ind w:firstLine="420" w:firstLineChars="200"/>
        <w:jc w:val="left"/>
        <w:rPr>
          <w:rFonts w:hint="eastAsia" w:eastAsia="宋体"/>
          <w:color w:val="auto"/>
          <w:kern w:val="0"/>
          <w:szCs w:val="21"/>
          <w:lang w:eastAsia="zh-CN"/>
        </w:rPr>
      </w:pPr>
      <w:r>
        <w:rPr>
          <w:rFonts w:hint="eastAsia"/>
          <w:color w:val="auto"/>
          <w:kern w:val="0"/>
          <w:szCs w:val="21"/>
        </w:rPr>
        <w:t>项目联系人：</w:t>
      </w:r>
      <w:r>
        <w:rPr>
          <w:rFonts w:hint="eastAsia"/>
          <w:color w:val="auto"/>
          <w:kern w:val="0"/>
          <w:szCs w:val="21"/>
          <w:lang w:eastAsia="zh-CN"/>
        </w:rPr>
        <w:t>梅莹</w:t>
      </w:r>
    </w:p>
    <w:p w14:paraId="4C3266F8">
      <w:pPr>
        <w:spacing w:line="312" w:lineRule="auto"/>
        <w:ind w:firstLine="420" w:firstLineChars="200"/>
        <w:jc w:val="left"/>
        <w:rPr>
          <w:rFonts w:hint="eastAsia" w:eastAsia="宋体"/>
          <w:color w:val="auto"/>
          <w:kern w:val="0"/>
          <w:szCs w:val="21"/>
          <w:lang w:eastAsia="zh-CN"/>
        </w:rPr>
      </w:pPr>
      <w:r>
        <w:rPr>
          <w:rFonts w:hint="eastAsia"/>
          <w:color w:val="auto"/>
          <w:kern w:val="0"/>
          <w:szCs w:val="21"/>
        </w:rPr>
        <w:t>项目联系方式：0771-</w:t>
      </w:r>
      <w:r>
        <w:rPr>
          <w:rFonts w:hint="eastAsia"/>
          <w:color w:val="auto"/>
          <w:kern w:val="0"/>
          <w:szCs w:val="21"/>
          <w:lang w:eastAsia="zh-CN"/>
        </w:rPr>
        <w:t>2808981</w:t>
      </w:r>
    </w:p>
    <w:p w14:paraId="44A5098A">
      <w:pPr>
        <w:spacing w:line="312" w:lineRule="auto"/>
        <w:ind w:firstLine="420" w:firstLineChars="200"/>
        <w:jc w:val="right"/>
        <w:rPr>
          <w:color w:val="auto"/>
          <w:kern w:val="0"/>
          <w:szCs w:val="21"/>
        </w:rPr>
      </w:pPr>
    </w:p>
    <w:p w14:paraId="5BDCCCA6">
      <w:pPr>
        <w:spacing w:line="312" w:lineRule="auto"/>
        <w:ind w:firstLine="420" w:firstLineChars="200"/>
        <w:jc w:val="right"/>
        <w:rPr>
          <w:kern w:val="0"/>
          <w:szCs w:val="21"/>
        </w:rPr>
      </w:pPr>
      <w:r>
        <w:rPr>
          <w:kern w:val="0"/>
          <w:szCs w:val="21"/>
        </w:rPr>
        <w:t>广西机电设备招标有限公司</w:t>
      </w:r>
    </w:p>
    <w:p w14:paraId="0A6BDDFC">
      <w:pPr>
        <w:pStyle w:val="31"/>
        <w:jc w:val="right"/>
        <w:rPr>
          <w:rFonts w:hint="eastAsia" w:ascii="宋体" w:hAnsi="宋体"/>
          <w:color w:val="auto"/>
          <w:kern w:val="0"/>
          <w:sz w:val="21"/>
          <w:szCs w:val="21"/>
        </w:rPr>
      </w:pPr>
      <w:r>
        <w:rPr>
          <w:rFonts w:hint="eastAsia" w:ascii="宋体" w:hAnsi="宋体"/>
          <w:color w:val="auto"/>
          <w:kern w:val="0"/>
          <w:sz w:val="21"/>
          <w:szCs w:val="21"/>
        </w:rPr>
        <w:t>202</w:t>
      </w:r>
      <w:r>
        <w:rPr>
          <w:rFonts w:hint="eastAsia" w:ascii="宋体" w:hAnsi="宋体"/>
          <w:color w:val="auto"/>
          <w:kern w:val="0"/>
          <w:sz w:val="21"/>
          <w:szCs w:val="21"/>
          <w:lang w:val="en-US" w:eastAsia="zh-CN"/>
        </w:rPr>
        <w:t>5</w:t>
      </w:r>
      <w:r>
        <w:rPr>
          <w:rFonts w:ascii="宋体" w:hAnsi="宋体"/>
          <w:color w:val="auto"/>
          <w:kern w:val="0"/>
          <w:sz w:val="21"/>
          <w:szCs w:val="21"/>
        </w:rPr>
        <w:t>年</w:t>
      </w:r>
      <w:r>
        <w:rPr>
          <w:rFonts w:hint="eastAsia" w:ascii="宋体" w:hAnsi="宋体"/>
          <w:color w:val="auto"/>
          <w:kern w:val="0"/>
          <w:sz w:val="21"/>
          <w:szCs w:val="21"/>
          <w:lang w:val="en-US" w:eastAsia="zh-CN"/>
        </w:rPr>
        <w:t xml:space="preserve">  </w:t>
      </w:r>
      <w:r>
        <w:rPr>
          <w:rFonts w:ascii="宋体" w:hAnsi="宋体"/>
          <w:color w:val="auto"/>
          <w:kern w:val="0"/>
          <w:sz w:val="21"/>
          <w:szCs w:val="21"/>
        </w:rPr>
        <w:t>月</w:t>
      </w:r>
      <w:r>
        <w:rPr>
          <w:rFonts w:hint="eastAsia" w:ascii="宋体" w:hAnsi="宋体"/>
          <w:color w:val="auto"/>
          <w:kern w:val="0"/>
          <w:sz w:val="21"/>
          <w:szCs w:val="21"/>
          <w:lang w:val="en-US" w:eastAsia="zh-CN"/>
        </w:rPr>
        <w:t xml:space="preserve">  </w:t>
      </w:r>
      <w:r>
        <w:rPr>
          <w:rFonts w:ascii="宋体" w:hAnsi="宋体"/>
          <w:color w:val="auto"/>
          <w:kern w:val="0"/>
          <w:sz w:val="21"/>
          <w:szCs w:val="21"/>
        </w:rPr>
        <w:t>日</w:t>
      </w:r>
    </w:p>
    <w:p w14:paraId="672FC0C5">
      <w:pPr>
        <w:widowControl/>
        <w:jc w:val="left"/>
        <w:rPr>
          <w:color w:val="auto"/>
        </w:rPr>
      </w:pPr>
      <w:r>
        <w:rPr>
          <w:color w:val="auto"/>
        </w:rPr>
        <w:br w:type="page"/>
      </w:r>
    </w:p>
    <w:p w14:paraId="2E03368F">
      <w:pPr>
        <w:rPr>
          <w:color w:val="auto"/>
        </w:rPr>
      </w:pPr>
    </w:p>
    <w:p w14:paraId="4C50E27E">
      <w:pPr>
        <w:pStyle w:val="26"/>
        <w:snapToGrid w:val="0"/>
        <w:spacing w:before="120" w:after="120" w:line="320" w:lineRule="exact"/>
        <w:jc w:val="center"/>
        <w:outlineLvl w:val="0"/>
        <w:rPr>
          <w:rFonts w:ascii="Times New Roman" w:hAnsi="Times New Roman" w:cs="Times New Roman"/>
          <w:color w:val="auto"/>
          <w:sz w:val="32"/>
          <w:szCs w:val="32"/>
        </w:rPr>
      </w:pPr>
      <w:bookmarkStart w:id="28" w:name="_Toc142987206"/>
      <w:r>
        <w:rPr>
          <w:rFonts w:ascii="Times New Roman" w:hAnsi="Times New Roman" w:cs="Times New Roman"/>
          <w:color w:val="auto"/>
          <w:sz w:val="32"/>
          <w:szCs w:val="32"/>
        </w:rPr>
        <w:t>第二章  采购需求</w:t>
      </w:r>
      <w:bookmarkEnd w:id="28"/>
    </w:p>
    <w:p w14:paraId="560DCDBE">
      <w:pPr>
        <w:pStyle w:val="26"/>
        <w:snapToGrid w:val="0"/>
        <w:jc w:val="left"/>
        <w:rPr>
          <w:rFonts w:hint="eastAsia" w:hAnsi="宋体" w:cs="Times New Roman"/>
          <w:b/>
          <w:color w:val="auto"/>
          <w:sz w:val="24"/>
          <w:szCs w:val="24"/>
        </w:rPr>
      </w:pPr>
      <w:bookmarkStart w:id="29" w:name="_Hlk77608362"/>
    </w:p>
    <w:p w14:paraId="6A9AE749">
      <w:pPr>
        <w:spacing w:line="360" w:lineRule="auto"/>
        <w:rPr>
          <w:rFonts w:hint="eastAsia" w:ascii="黑体" w:hAnsi="黑体" w:eastAsia="黑体" w:cs="Arial"/>
          <w:b/>
          <w:color w:val="auto"/>
          <w:kern w:val="0"/>
          <w:sz w:val="28"/>
          <w:szCs w:val="28"/>
        </w:rPr>
      </w:pPr>
      <w:r>
        <w:rPr>
          <w:rFonts w:ascii="黑体" w:hAnsi="黑体" w:eastAsia="黑体" w:cs="Arial"/>
          <w:b/>
          <w:color w:val="auto"/>
          <w:kern w:val="0"/>
          <w:sz w:val="28"/>
          <w:szCs w:val="28"/>
        </w:rPr>
        <w:t>一、</w:t>
      </w:r>
      <w:r>
        <w:rPr>
          <w:rFonts w:hint="eastAsia" w:ascii="黑体" w:hAnsi="黑体" w:eastAsia="黑体" w:cs="Arial"/>
          <w:b/>
          <w:color w:val="auto"/>
          <w:kern w:val="0"/>
          <w:sz w:val="28"/>
          <w:szCs w:val="28"/>
        </w:rPr>
        <w:t>总体</w:t>
      </w:r>
      <w:r>
        <w:rPr>
          <w:rFonts w:ascii="黑体" w:hAnsi="黑体" w:eastAsia="黑体" w:cs="Arial"/>
          <w:b/>
          <w:color w:val="auto"/>
          <w:kern w:val="0"/>
          <w:sz w:val="28"/>
          <w:szCs w:val="28"/>
        </w:rPr>
        <w:t>要求</w:t>
      </w:r>
    </w:p>
    <w:p w14:paraId="53A7BF9F">
      <w:pPr>
        <w:spacing w:line="360" w:lineRule="auto"/>
        <w:rPr>
          <w:color w:val="auto"/>
          <w:szCs w:val="21"/>
        </w:rPr>
      </w:pPr>
      <w:r>
        <w:rPr>
          <w:color w:val="auto"/>
          <w:szCs w:val="21"/>
        </w:rPr>
        <w:t>1</w:t>
      </w:r>
      <w:r>
        <w:rPr>
          <w:rFonts w:hint="eastAsia"/>
          <w:color w:val="auto"/>
          <w:szCs w:val="21"/>
        </w:rPr>
        <w:t>.政府采购政策的应用</w:t>
      </w:r>
    </w:p>
    <w:p w14:paraId="656F2A60">
      <w:pPr>
        <w:spacing w:line="360" w:lineRule="auto"/>
        <w:rPr>
          <w:color w:val="auto"/>
          <w:szCs w:val="21"/>
        </w:rPr>
      </w:pPr>
      <w:r>
        <w:rPr>
          <w:rFonts w:hint="eastAsia"/>
          <w:color w:val="auto"/>
          <w:szCs w:val="21"/>
        </w:rPr>
        <w:t>详见招标文件“评审方法及标准</w:t>
      </w:r>
      <w:r>
        <w:rPr>
          <w:color w:val="auto"/>
          <w:szCs w:val="21"/>
        </w:rPr>
        <w:t>/政府采购政策应用说明”。</w:t>
      </w:r>
    </w:p>
    <w:p w14:paraId="74B98920">
      <w:pPr>
        <w:spacing w:line="360" w:lineRule="auto"/>
        <w:rPr>
          <w:color w:val="auto"/>
          <w:szCs w:val="21"/>
        </w:rPr>
      </w:pPr>
      <w:r>
        <w:rPr>
          <w:color w:val="auto"/>
          <w:szCs w:val="21"/>
        </w:rPr>
        <w:t>2</w:t>
      </w:r>
      <w:r>
        <w:rPr>
          <w:rFonts w:hint="eastAsia"/>
          <w:color w:val="auto"/>
          <w:szCs w:val="21"/>
        </w:rPr>
        <w:t>.采购需求要求未尽事宜</w:t>
      </w:r>
      <w:r>
        <w:rPr>
          <w:color w:val="auto"/>
          <w:szCs w:val="21"/>
        </w:rPr>
        <w:t>由</w:t>
      </w:r>
      <w:r>
        <w:rPr>
          <w:rFonts w:hint="eastAsia"/>
          <w:color w:val="auto"/>
          <w:szCs w:val="21"/>
        </w:rPr>
        <w:t>采购人与中标供应商</w:t>
      </w:r>
      <w:r>
        <w:rPr>
          <w:color w:val="auto"/>
          <w:szCs w:val="21"/>
        </w:rPr>
        <w:t>在采购合同中约定。</w:t>
      </w:r>
    </w:p>
    <w:p w14:paraId="0CCE922E">
      <w:pPr>
        <w:spacing w:line="360" w:lineRule="auto"/>
        <w:rPr>
          <w:color w:val="auto"/>
          <w:szCs w:val="21"/>
        </w:rPr>
      </w:pPr>
      <w:r>
        <w:rPr>
          <w:rFonts w:hint="eastAsia"/>
          <w:color w:val="auto"/>
          <w:szCs w:val="21"/>
        </w:rPr>
        <w:t>3.</w:t>
      </w:r>
      <w:r>
        <w:rPr>
          <w:rFonts w:hint="eastAsia"/>
          <w:color w:val="auto"/>
        </w:rPr>
        <w:t xml:space="preserve"> </w:t>
      </w:r>
      <w:r>
        <w:rPr>
          <w:rFonts w:hint="eastAsia"/>
          <w:color w:val="auto"/>
          <w:szCs w:val="21"/>
        </w:rPr>
        <w:t>标“▲”为实质性参数技术要求，不响应或负偏离的作废标处理。</w:t>
      </w:r>
    </w:p>
    <w:p w14:paraId="5813193A">
      <w:pPr>
        <w:spacing w:line="360" w:lineRule="auto"/>
        <w:rPr>
          <w:rFonts w:hint="eastAsia" w:ascii="黑体" w:hAnsi="黑体" w:eastAsia="黑体" w:cs="Arial"/>
          <w:b/>
          <w:color w:val="auto"/>
          <w:kern w:val="0"/>
          <w:sz w:val="28"/>
          <w:szCs w:val="28"/>
        </w:rPr>
      </w:pPr>
      <w:r>
        <w:rPr>
          <w:rFonts w:hint="eastAsia" w:ascii="黑体" w:hAnsi="黑体" w:eastAsia="黑体" w:cs="Arial"/>
          <w:b/>
          <w:color w:val="auto"/>
          <w:kern w:val="0"/>
          <w:sz w:val="28"/>
          <w:szCs w:val="28"/>
        </w:rPr>
        <w:t>二、技术要求</w:t>
      </w:r>
    </w:p>
    <w:p w14:paraId="6FBBBD47">
      <w:pPr>
        <w:spacing w:line="360" w:lineRule="auto"/>
        <w:rPr>
          <w:color w:val="auto"/>
          <w:szCs w:val="21"/>
        </w:rPr>
      </w:pPr>
      <w:r>
        <w:rPr>
          <w:rFonts w:hint="eastAsia"/>
          <w:color w:val="auto"/>
          <w:szCs w:val="21"/>
        </w:rPr>
        <w:t>1.需实现的功能、目标及应用场景</w:t>
      </w:r>
    </w:p>
    <w:p w14:paraId="10594CA0">
      <w:pPr>
        <w:spacing w:line="360" w:lineRule="auto"/>
        <w:rPr>
          <w:color w:val="auto"/>
          <w:szCs w:val="21"/>
        </w:rPr>
      </w:pPr>
      <w:r>
        <w:rPr>
          <w:rFonts w:hint="eastAsia"/>
          <w:color w:val="auto"/>
          <w:szCs w:val="21"/>
        </w:rPr>
        <w:t>满足招标文件要求，验收达到合格标准。</w:t>
      </w:r>
    </w:p>
    <w:p w14:paraId="30FA8231">
      <w:pPr>
        <w:spacing w:line="360" w:lineRule="auto"/>
        <w:rPr>
          <w:color w:val="auto"/>
          <w:szCs w:val="21"/>
        </w:rPr>
      </w:pPr>
      <w:r>
        <w:rPr>
          <w:rFonts w:hint="eastAsia"/>
          <w:color w:val="auto"/>
          <w:szCs w:val="21"/>
          <w:lang w:val="en-US" w:eastAsia="zh-CN"/>
        </w:rPr>
        <w:t>2</w:t>
      </w:r>
      <w:r>
        <w:rPr>
          <w:rFonts w:hint="eastAsia"/>
          <w:color w:val="auto"/>
          <w:szCs w:val="21"/>
        </w:rPr>
        <w:t>.</w:t>
      </w:r>
      <w:r>
        <w:rPr>
          <w:color w:val="auto"/>
          <w:szCs w:val="21"/>
        </w:rPr>
        <w:t>需执行的国家相关标准、行业标准、地方标准或者其他标准、规范</w:t>
      </w:r>
    </w:p>
    <w:p w14:paraId="15614F05">
      <w:pPr>
        <w:spacing w:line="360" w:lineRule="auto"/>
        <w:rPr>
          <w:iCs/>
          <w:color w:val="auto"/>
          <w:szCs w:val="21"/>
        </w:rPr>
      </w:pPr>
      <w:r>
        <w:rPr>
          <w:rFonts w:hint="eastAsia"/>
          <w:color w:val="auto"/>
          <w:szCs w:val="21"/>
        </w:rPr>
        <w:t>本项目应执行的国家相关标准、行业标准、地方标准或者其他标准、规范为：</w:t>
      </w:r>
      <w:r>
        <w:rPr>
          <w:rFonts w:hint="eastAsia"/>
          <w:color w:val="auto"/>
          <w:szCs w:val="21"/>
          <w:u w:val="single"/>
        </w:rPr>
        <w:t xml:space="preserve"> </w:t>
      </w:r>
      <w:r>
        <w:rPr>
          <w:color w:val="auto"/>
          <w:szCs w:val="21"/>
          <w:u w:val="single"/>
        </w:rPr>
        <w:t xml:space="preserve"> </w:t>
      </w:r>
      <w:bookmarkStart w:id="30" w:name="_Hlk88997327"/>
      <w:r>
        <w:rPr>
          <w:rFonts w:hint="eastAsia"/>
          <w:iCs/>
          <w:color w:val="auto"/>
          <w:szCs w:val="21"/>
          <w:u w:val="single"/>
        </w:rPr>
        <w:t>详见技术指标要求</w:t>
      </w:r>
      <w:r>
        <w:rPr>
          <w:iCs/>
          <w:color w:val="auto"/>
          <w:szCs w:val="21"/>
          <w:u w:val="single"/>
        </w:rPr>
        <w:t xml:space="preserve"> </w:t>
      </w:r>
      <w:r>
        <w:rPr>
          <w:i/>
          <w:color w:val="auto"/>
          <w:szCs w:val="21"/>
          <w:u w:val="single"/>
        </w:rPr>
        <w:t xml:space="preserve">  </w:t>
      </w:r>
      <w:bookmarkEnd w:id="30"/>
      <w:r>
        <w:rPr>
          <w:i/>
          <w:color w:val="auto"/>
          <w:szCs w:val="21"/>
          <w:u w:val="single"/>
        </w:rPr>
        <w:t xml:space="preserve"> </w:t>
      </w:r>
    </w:p>
    <w:p w14:paraId="512135A7">
      <w:pPr>
        <w:spacing w:line="360" w:lineRule="auto"/>
        <w:rPr>
          <w:color w:val="auto"/>
          <w:szCs w:val="21"/>
        </w:rPr>
      </w:pPr>
      <w:r>
        <w:rPr>
          <w:rFonts w:hint="eastAsia"/>
          <w:color w:val="auto"/>
          <w:szCs w:val="21"/>
          <w:lang w:val="en-US" w:eastAsia="zh-CN"/>
        </w:rPr>
        <w:t>3</w:t>
      </w:r>
      <w:r>
        <w:rPr>
          <w:rFonts w:hint="eastAsia"/>
          <w:color w:val="auto"/>
          <w:szCs w:val="21"/>
        </w:rPr>
        <w:t>.一般说明</w:t>
      </w:r>
    </w:p>
    <w:p w14:paraId="02142269">
      <w:pPr>
        <w:spacing w:line="360" w:lineRule="auto"/>
        <w:rPr>
          <w:color w:val="auto"/>
          <w:szCs w:val="21"/>
        </w:rPr>
      </w:pPr>
      <w:r>
        <w:rPr>
          <w:rFonts w:hint="eastAsia"/>
          <w:color w:val="auto"/>
          <w:szCs w:val="21"/>
        </w:rPr>
        <w:t>（</w:t>
      </w:r>
      <w:r>
        <w:rPr>
          <w:color w:val="auto"/>
          <w:szCs w:val="21"/>
        </w:rPr>
        <w:t>1）</w:t>
      </w:r>
      <w:r>
        <w:rPr>
          <w:rFonts w:hint="eastAsia"/>
          <w:color w:val="auto"/>
          <w:szCs w:val="21"/>
        </w:rPr>
        <w:t>本章</w:t>
      </w:r>
      <w:r>
        <w:rPr>
          <w:color w:val="auto"/>
          <w:szCs w:val="21"/>
        </w:rPr>
        <w:t>中如提及品牌型号，仅起参考作用。供应商可选用其他品牌型号替代，但这些替代的品牌型号要实质上参照或相当于或优于参考品牌型号及其技术参数性能（配置）要求。</w:t>
      </w:r>
    </w:p>
    <w:p w14:paraId="5978C858">
      <w:pPr>
        <w:spacing w:line="360" w:lineRule="auto"/>
        <w:rPr>
          <w:color w:val="auto"/>
          <w:szCs w:val="21"/>
        </w:rPr>
      </w:pPr>
      <w:r>
        <w:rPr>
          <w:rFonts w:hint="eastAsia"/>
          <w:color w:val="auto"/>
          <w:szCs w:val="21"/>
        </w:rPr>
        <w:t>（</w:t>
      </w:r>
      <w:r>
        <w:rPr>
          <w:color w:val="auto"/>
          <w:szCs w:val="21"/>
        </w:rPr>
        <w:t>2）</w:t>
      </w:r>
      <w:bookmarkStart w:id="31" w:name="_Hlk132788003"/>
      <w:r>
        <w:rPr>
          <w:color w:val="auto"/>
          <w:szCs w:val="21"/>
        </w:rPr>
        <w:t>如要求提供检测报告</w:t>
      </w:r>
      <w:r>
        <w:rPr>
          <w:rFonts w:hint="eastAsia"/>
          <w:color w:val="auto"/>
          <w:szCs w:val="21"/>
        </w:rPr>
        <w:t>或其他证明材料</w:t>
      </w:r>
      <w:r>
        <w:rPr>
          <w:color w:val="auto"/>
          <w:szCs w:val="21"/>
        </w:rPr>
        <w:t>的，检测报告或</w:t>
      </w:r>
      <w:r>
        <w:rPr>
          <w:rFonts w:hint="eastAsia"/>
          <w:color w:val="auto"/>
          <w:szCs w:val="21"/>
        </w:rPr>
        <w:t>其他证明材料</w:t>
      </w:r>
      <w:r>
        <w:rPr>
          <w:color w:val="auto"/>
          <w:szCs w:val="21"/>
        </w:rPr>
        <w:t>内容中若涉及外文说明，必须同时提供对应中文翻译说明，评审依据以中文翻译内容为准，外文说明仅供参考；产品</w:t>
      </w:r>
      <w:r>
        <w:rPr>
          <w:rFonts w:hint="eastAsia"/>
          <w:color w:val="auto"/>
          <w:szCs w:val="21"/>
        </w:rPr>
        <w:t>证明材料</w:t>
      </w:r>
      <w:r>
        <w:rPr>
          <w:color w:val="auto"/>
          <w:szCs w:val="21"/>
        </w:rPr>
        <w:t>应为报告正面、背面和附件标注的全部具体内容；产品</w:t>
      </w:r>
      <w:r>
        <w:rPr>
          <w:rFonts w:hint="eastAsia"/>
          <w:color w:val="auto"/>
          <w:szCs w:val="21"/>
        </w:rPr>
        <w:t>证明材料</w:t>
      </w:r>
      <w:r>
        <w:rPr>
          <w:color w:val="auto"/>
          <w:szCs w:val="21"/>
        </w:rPr>
        <w:t>的</w:t>
      </w:r>
      <w:r>
        <w:rPr>
          <w:rFonts w:hint="eastAsia"/>
          <w:color w:val="auto"/>
          <w:szCs w:val="21"/>
        </w:rPr>
        <w:t>内容</w:t>
      </w:r>
      <w:r>
        <w:rPr>
          <w:color w:val="auto"/>
          <w:szCs w:val="21"/>
        </w:rPr>
        <w:t>应该能够被阅读、识别和判断</w:t>
      </w:r>
      <w:bookmarkEnd w:id="31"/>
      <w:r>
        <w:rPr>
          <w:color w:val="auto"/>
          <w:szCs w:val="21"/>
        </w:rPr>
        <w:t>。</w:t>
      </w:r>
      <w:r>
        <w:rPr>
          <w:rFonts w:hint="eastAsia"/>
          <w:color w:val="auto"/>
          <w:szCs w:val="21"/>
        </w:rPr>
        <w:t xml:space="preserve"> </w:t>
      </w:r>
    </w:p>
    <w:p w14:paraId="78794C92">
      <w:pPr>
        <w:spacing w:line="360" w:lineRule="auto"/>
        <w:rPr>
          <w:color w:val="auto"/>
          <w:szCs w:val="21"/>
          <w:u w:val="single"/>
        </w:rPr>
      </w:pPr>
      <w:r>
        <w:rPr>
          <w:rFonts w:hint="eastAsia" w:ascii="宋体" w:hAnsi="宋体"/>
          <w:color w:val="auto"/>
          <w:lang w:val="en-US" w:eastAsia="zh-CN"/>
        </w:rPr>
        <w:t>4</w:t>
      </w:r>
      <w:r>
        <w:rPr>
          <w:rFonts w:hint="eastAsia" w:ascii="宋体" w:hAnsi="宋体"/>
          <w:color w:val="auto"/>
        </w:rPr>
        <w:t>.本项目中小企业划分标准所属行业名称（行业名称及划分见本章附件</w:t>
      </w:r>
      <w:r>
        <w:rPr>
          <w:rFonts w:hint="eastAsia" w:ascii="宋体" w:hAnsi="宋体"/>
          <w:color w:val="auto"/>
          <w:lang w:val="en-US" w:eastAsia="zh-CN"/>
        </w:rPr>
        <w:t>1</w:t>
      </w:r>
      <w:r>
        <w:rPr>
          <w:rFonts w:hint="eastAsia" w:ascii="宋体" w:hAnsi="宋体"/>
          <w:color w:val="auto"/>
        </w:rPr>
        <w:t>）：本项目所有标的均属于</w:t>
      </w:r>
      <w:r>
        <w:rPr>
          <w:rFonts w:hint="eastAsia" w:ascii="宋体" w:hAnsi="宋体"/>
          <w:b/>
          <w:bCs/>
          <w:color w:val="auto"/>
          <w:u w:val="single"/>
        </w:rPr>
        <w:t>工业</w:t>
      </w:r>
      <w:r>
        <w:rPr>
          <w:rFonts w:hint="eastAsia" w:ascii="宋体" w:hAnsi="宋体"/>
          <w:color w:val="auto"/>
          <w:szCs w:val="21"/>
        </w:rPr>
        <w:t>。</w:t>
      </w:r>
      <w:r>
        <w:rPr>
          <w:color w:val="auto"/>
          <w:szCs w:val="21"/>
          <w:u w:val="single"/>
        </w:rPr>
        <w:t xml:space="preserve"> </w:t>
      </w:r>
    </w:p>
    <w:p w14:paraId="129B1F40">
      <w:pPr>
        <w:spacing w:line="360" w:lineRule="auto"/>
        <w:rPr>
          <w:rFonts w:hint="default"/>
          <w:color w:val="auto"/>
          <w:szCs w:val="21"/>
          <w:lang w:val="en-US" w:eastAsia="zh-CN"/>
        </w:rPr>
      </w:pPr>
      <w:r>
        <w:rPr>
          <w:rFonts w:hint="eastAsia" w:ascii="宋体" w:hAnsi="宋体" w:eastAsia="宋体" w:cs="宋体"/>
          <w:color w:val="auto"/>
          <w:kern w:val="2"/>
          <w:sz w:val="21"/>
          <w:szCs w:val="21"/>
          <w:lang w:val="en-US" w:eastAsia="zh-CN" w:bidi="ar"/>
          <w:woUserID w:val="8"/>
        </w:rPr>
        <w:t>▲</w:t>
      </w:r>
      <w:r>
        <w:rPr>
          <w:rFonts w:hint="eastAsia"/>
          <w:color w:val="auto"/>
          <w:szCs w:val="21"/>
          <w:lang w:val="en-US" w:eastAsia="zh-CN"/>
        </w:rPr>
        <w:t>5.本项目所有技术参数均为实质性参数，</w:t>
      </w:r>
      <w:r>
        <w:rPr>
          <w:rFonts w:hint="eastAsia"/>
          <w:color w:val="auto"/>
          <w:szCs w:val="21"/>
        </w:rPr>
        <w:t>不响应或负偏离的作废标处理</w:t>
      </w:r>
      <w:r>
        <w:rPr>
          <w:rFonts w:hint="eastAsia"/>
          <w:color w:val="auto"/>
          <w:szCs w:val="21"/>
          <w:lang w:val="en-US" w:eastAsia="zh-CN"/>
        </w:rPr>
        <w:t>。</w:t>
      </w:r>
    </w:p>
    <w:p w14:paraId="607B888E">
      <w:pPr>
        <w:spacing w:line="360" w:lineRule="auto"/>
        <w:rPr>
          <w:rFonts w:hint="eastAsia"/>
          <w:color w:val="auto"/>
          <w:szCs w:val="21"/>
        </w:rPr>
      </w:pPr>
      <w:r>
        <w:rPr>
          <w:rFonts w:hint="eastAsia"/>
          <w:color w:val="auto"/>
          <w:szCs w:val="21"/>
          <w:lang w:val="en-US" w:eastAsia="zh-CN"/>
        </w:rPr>
        <w:t>6</w:t>
      </w:r>
      <w:r>
        <w:rPr>
          <w:rFonts w:hint="eastAsia"/>
          <w:color w:val="auto"/>
          <w:szCs w:val="21"/>
        </w:rPr>
        <w:t>.标的名称、数量、需满足的质量、技术规格、物理特性、性能、材料、结构、外观、安全，或者服务内容和标准一览表</w:t>
      </w:r>
    </w:p>
    <w:p w14:paraId="2C8121C7">
      <w:pPr>
        <w:rPr>
          <w:color w:val="auto"/>
        </w:rPr>
      </w:pPr>
      <w:r>
        <w:rPr>
          <w:color w:val="auto"/>
        </w:rPr>
        <w:br w:type="page"/>
      </w:r>
    </w:p>
    <w:p w14:paraId="2C67569D">
      <w:pPr>
        <w:pStyle w:val="26"/>
        <w:snapToGrid w:val="0"/>
        <w:jc w:val="left"/>
        <w:rPr>
          <w:rFonts w:hint="eastAsia" w:ascii="宋体" w:hAnsi="宋体" w:eastAsia="宋体" w:cs="宋体"/>
          <w:b/>
          <w:bCs/>
          <w:color w:val="auto"/>
          <w:sz w:val="21"/>
          <w:szCs w:val="21"/>
          <w:highlight w:val="none"/>
          <w:lang w:val="en-US" w:eastAsia="zh-CN"/>
        </w:rPr>
      </w:pPr>
    </w:p>
    <w:tbl>
      <w:tblPr>
        <w:tblStyle w:val="51"/>
        <w:tblW w:w="4977" w:type="pct"/>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12"/>
        <w:gridCol w:w="878"/>
        <w:gridCol w:w="6723"/>
        <w:gridCol w:w="697"/>
        <w:gridCol w:w="664"/>
      </w:tblGrid>
      <w:tr w14:paraId="134AF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414"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37DFA7F">
            <w:pPr>
              <w:keepNext w:val="0"/>
              <w:keepLines w:val="0"/>
              <w:pageBreakBefore w:val="0"/>
              <w:suppressLineNumbers w:val="0"/>
              <w:kinsoku/>
              <w:wordWrap/>
              <w:overflowPunct/>
              <w:topLinePunct w:val="0"/>
              <w:autoSpaceDN/>
              <w:bidi w:val="0"/>
              <w:snapToGrid w:val="0"/>
              <w:spacing w:before="0" w:beforeAutospacing="0" w:afterAutospacing="0" w:line="240" w:lineRule="auto"/>
              <w:ind w:left="0" w:right="0"/>
              <w:jc w:val="center"/>
              <w:rPr>
                <w:rFonts w:hint="eastAsia" w:ascii="宋体" w:hAnsi="宋体" w:eastAsia="宋体" w:cs="宋体"/>
                <w:b/>
                <w:bCs/>
                <w:color w:val="auto"/>
                <w:szCs w:val="21"/>
              </w:rPr>
            </w:pPr>
            <w:r>
              <w:rPr>
                <w:rFonts w:hint="eastAsia" w:ascii="宋体" w:hAnsi="宋体" w:eastAsia="宋体" w:cs="宋体"/>
                <w:b/>
                <w:bCs/>
                <w:color w:val="auto"/>
                <w:szCs w:val="21"/>
              </w:rPr>
              <w:t>序号</w:t>
            </w:r>
          </w:p>
        </w:tc>
        <w:tc>
          <w:tcPr>
            <w:tcW w:w="883"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4253C10">
            <w:pPr>
              <w:keepNext w:val="0"/>
              <w:keepLines w:val="0"/>
              <w:pageBreakBefore w:val="0"/>
              <w:suppressLineNumbers w:val="0"/>
              <w:kinsoku/>
              <w:wordWrap/>
              <w:overflowPunct/>
              <w:topLinePunct w:val="0"/>
              <w:autoSpaceDN/>
              <w:bidi w:val="0"/>
              <w:snapToGrid w:val="0"/>
              <w:spacing w:before="0" w:beforeAutospacing="0" w:afterAutospacing="0" w:line="240" w:lineRule="auto"/>
              <w:ind w:left="0" w:right="0"/>
              <w:jc w:val="center"/>
              <w:rPr>
                <w:rFonts w:hint="eastAsia" w:ascii="宋体" w:hAnsi="宋体" w:eastAsia="宋体" w:cs="宋体"/>
                <w:b/>
                <w:bCs/>
                <w:color w:val="auto"/>
                <w:szCs w:val="21"/>
              </w:rPr>
            </w:pPr>
            <w:r>
              <w:rPr>
                <w:rFonts w:hint="eastAsia" w:ascii="宋体" w:hAnsi="宋体" w:eastAsia="宋体" w:cs="宋体"/>
                <w:b/>
                <w:bCs/>
                <w:color w:val="auto"/>
                <w:szCs w:val="21"/>
              </w:rPr>
              <w:t>采购内容</w:t>
            </w:r>
          </w:p>
        </w:tc>
        <w:tc>
          <w:tcPr>
            <w:tcW w:w="6760"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3E70E2C">
            <w:pPr>
              <w:keepNext w:val="0"/>
              <w:keepLines w:val="0"/>
              <w:pageBreakBefore w:val="0"/>
              <w:suppressLineNumbers w:val="0"/>
              <w:kinsoku/>
              <w:wordWrap/>
              <w:overflowPunct/>
              <w:topLinePunct w:val="0"/>
              <w:autoSpaceDN/>
              <w:bidi w:val="0"/>
              <w:snapToGrid w:val="0"/>
              <w:spacing w:before="0" w:beforeAutospacing="0" w:afterAutospacing="0" w:line="240" w:lineRule="auto"/>
              <w:ind w:left="0" w:right="0"/>
              <w:jc w:val="center"/>
              <w:rPr>
                <w:rFonts w:hint="eastAsia" w:ascii="宋体" w:hAnsi="宋体" w:eastAsia="宋体" w:cs="宋体"/>
                <w:b/>
                <w:bCs/>
                <w:color w:val="auto"/>
                <w:szCs w:val="21"/>
              </w:rPr>
            </w:pPr>
            <w:r>
              <w:rPr>
                <w:rFonts w:hint="eastAsia" w:ascii="宋体" w:hAnsi="宋体" w:eastAsia="宋体" w:cs="宋体"/>
                <w:b/>
                <w:bCs/>
                <w:color w:val="auto"/>
                <w:szCs w:val="21"/>
              </w:rPr>
              <w:t>技术参数</w:t>
            </w:r>
          </w:p>
        </w:tc>
        <w:tc>
          <w:tcPr>
            <w:tcW w:w="701" w:type="dxa"/>
            <w:tcBorders>
              <w:top w:val="single" w:color="auto" w:sz="4" w:space="0"/>
              <w:left w:val="single" w:color="auto" w:sz="4" w:space="0"/>
              <w:bottom w:val="single" w:color="auto" w:sz="4" w:space="0"/>
              <w:right w:val="single" w:color="auto" w:sz="4" w:space="0"/>
            </w:tcBorders>
            <w:vAlign w:val="center"/>
          </w:tcPr>
          <w:p w14:paraId="565B803D">
            <w:pPr>
              <w:keepNext w:val="0"/>
              <w:keepLines w:val="0"/>
              <w:pageBreakBefore w:val="0"/>
              <w:suppressLineNumbers w:val="0"/>
              <w:kinsoku/>
              <w:wordWrap/>
              <w:overflowPunct/>
              <w:topLinePunct w:val="0"/>
              <w:autoSpaceDN/>
              <w:bidi w:val="0"/>
              <w:snapToGrid w:val="0"/>
              <w:spacing w:before="0" w:beforeAutospacing="0" w:afterAutospacing="0" w:line="240" w:lineRule="auto"/>
              <w:ind w:left="0" w:right="0"/>
              <w:jc w:val="center"/>
              <w:rPr>
                <w:rFonts w:hint="eastAsia" w:ascii="宋体" w:hAnsi="宋体" w:eastAsia="宋体" w:cs="宋体"/>
                <w:b/>
                <w:bCs/>
                <w:color w:val="auto"/>
                <w:szCs w:val="21"/>
              </w:rPr>
            </w:pPr>
            <w:r>
              <w:rPr>
                <w:rFonts w:hint="eastAsia" w:ascii="宋体" w:hAnsi="宋体" w:eastAsia="宋体" w:cs="宋体"/>
                <w:b/>
                <w:bCs/>
                <w:color w:val="auto"/>
                <w:szCs w:val="21"/>
              </w:rPr>
              <w:t>计量</w:t>
            </w:r>
          </w:p>
          <w:p w14:paraId="3A5BC590">
            <w:pPr>
              <w:keepNext w:val="0"/>
              <w:keepLines w:val="0"/>
              <w:pageBreakBefore w:val="0"/>
              <w:suppressLineNumbers w:val="0"/>
              <w:kinsoku/>
              <w:wordWrap/>
              <w:overflowPunct/>
              <w:topLinePunct w:val="0"/>
              <w:autoSpaceDN/>
              <w:bidi w:val="0"/>
              <w:snapToGrid w:val="0"/>
              <w:spacing w:before="0" w:beforeAutospacing="0" w:afterAutospacing="0" w:line="240" w:lineRule="auto"/>
              <w:ind w:left="0" w:right="0"/>
              <w:jc w:val="center"/>
              <w:rPr>
                <w:rFonts w:hint="eastAsia" w:ascii="宋体" w:hAnsi="宋体" w:eastAsia="宋体" w:cs="宋体"/>
                <w:b/>
                <w:bCs/>
                <w:color w:val="auto"/>
                <w:szCs w:val="21"/>
              </w:rPr>
            </w:pPr>
            <w:r>
              <w:rPr>
                <w:rFonts w:hint="eastAsia" w:ascii="宋体" w:hAnsi="宋体" w:eastAsia="宋体" w:cs="宋体"/>
                <w:b/>
                <w:bCs/>
                <w:color w:val="auto"/>
                <w:szCs w:val="21"/>
              </w:rPr>
              <w:t>单位</w:t>
            </w:r>
          </w:p>
        </w:tc>
        <w:tc>
          <w:tcPr>
            <w:tcW w:w="668" w:type="dxa"/>
            <w:tcBorders>
              <w:top w:val="single" w:color="auto" w:sz="4" w:space="0"/>
              <w:left w:val="single" w:color="auto" w:sz="4" w:space="0"/>
              <w:bottom w:val="single" w:color="auto" w:sz="4" w:space="0"/>
              <w:right w:val="single" w:color="auto" w:sz="4" w:space="0"/>
            </w:tcBorders>
            <w:vAlign w:val="center"/>
          </w:tcPr>
          <w:p w14:paraId="3802D5FF">
            <w:pPr>
              <w:keepNext w:val="0"/>
              <w:keepLines w:val="0"/>
              <w:pageBreakBefore w:val="0"/>
              <w:suppressLineNumbers w:val="0"/>
              <w:kinsoku/>
              <w:wordWrap/>
              <w:overflowPunct/>
              <w:topLinePunct w:val="0"/>
              <w:autoSpaceDN/>
              <w:bidi w:val="0"/>
              <w:snapToGrid w:val="0"/>
              <w:spacing w:before="0" w:beforeAutospacing="0" w:afterAutospacing="0" w:line="240" w:lineRule="auto"/>
              <w:ind w:left="0" w:right="0"/>
              <w:jc w:val="center"/>
              <w:rPr>
                <w:rFonts w:hint="eastAsia" w:ascii="宋体" w:hAnsi="宋体" w:eastAsia="宋体" w:cs="宋体"/>
                <w:b/>
                <w:bCs/>
                <w:color w:val="auto"/>
                <w:szCs w:val="21"/>
              </w:rPr>
            </w:pPr>
            <w:r>
              <w:rPr>
                <w:rFonts w:hint="eastAsia" w:ascii="宋体" w:hAnsi="宋体" w:eastAsia="宋体" w:cs="宋体"/>
                <w:b/>
                <w:bCs/>
                <w:color w:val="auto"/>
                <w:szCs w:val="21"/>
              </w:rPr>
              <w:t>数量</w:t>
            </w:r>
          </w:p>
        </w:tc>
      </w:tr>
      <w:tr w14:paraId="12312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414"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D4D1554">
            <w:pPr>
              <w:pStyle w:val="148"/>
              <w:keepNext w:val="0"/>
              <w:keepLines w:val="0"/>
              <w:widowControl/>
              <w:numPr>
                <w:ilvl w:val="0"/>
                <w:numId w:val="0"/>
              </w:numPr>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bCs/>
                <w:color w:val="auto"/>
                <w:szCs w:val="21"/>
                <w:highlight w:val="none"/>
              </w:rPr>
            </w:pPr>
            <w:r>
              <w:rPr>
                <w:rFonts w:hint="eastAsia" w:ascii="宋体" w:hAnsi="宋体" w:eastAsia="宋体" w:cs="宋体"/>
                <w:b w:val="0"/>
                <w:bCs w:val="0"/>
                <w:color w:val="auto"/>
                <w:kern w:val="2"/>
                <w:sz w:val="21"/>
                <w:szCs w:val="21"/>
                <w:highlight w:val="none"/>
                <w:lang w:val="en-US" w:eastAsia="zh-CN" w:bidi="ar-SA"/>
              </w:rPr>
              <w:t>1</w:t>
            </w:r>
          </w:p>
        </w:tc>
        <w:tc>
          <w:tcPr>
            <w:tcW w:w="883"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B908AF9">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b/>
                <w:bCs/>
                <w:color w:val="auto"/>
                <w:szCs w:val="21"/>
                <w:highlight w:val="none"/>
              </w:rPr>
            </w:pPr>
            <w:r>
              <w:rPr>
                <w:rFonts w:hint="eastAsia" w:ascii="宋体" w:hAnsi="宋体" w:eastAsia="宋体" w:cs="宋体"/>
                <w:color w:val="auto"/>
                <w:kern w:val="2"/>
                <w:sz w:val="21"/>
                <w:szCs w:val="21"/>
                <w:highlight w:val="none"/>
                <w:lang w:val="en-US" w:eastAsia="zh-CN" w:bidi="ar"/>
                <w:woUserID w:val="9"/>
              </w:rPr>
              <w:t>普通PCR仪</w:t>
            </w:r>
          </w:p>
        </w:tc>
        <w:tc>
          <w:tcPr>
            <w:tcW w:w="6760"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1838A82">
            <w:pPr>
              <w:pStyle w:val="17"/>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lang w:val="en-US" w:eastAsia="zh-CN" w:bidi="ar"/>
                <w:woUserID w:val="9"/>
              </w:rPr>
            </w:pPr>
            <w:r>
              <w:rPr>
                <w:rFonts w:hint="eastAsia" w:ascii="宋体" w:hAnsi="宋体" w:eastAsia="宋体" w:cs="宋体"/>
                <w:color w:val="auto"/>
                <w:kern w:val="2"/>
                <w:sz w:val="21"/>
                <w:szCs w:val="21"/>
                <w:highlight w:val="none"/>
                <w:lang w:val="en-US" w:eastAsia="zh-CN" w:bidi="ar"/>
                <w:woUserID w:val="9"/>
              </w:rPr>
              <w:t>1. Block形式：6 x 16孔 0.2ml（可独立运行）；</w:t>
            </w:r>
          </w:p>
          <w:p w14:paraId="3CDE7AD0">
            <w:pPr>
              <w:pStyle w:val="17"/>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 xml:space="preserve">2.Block最高升降温速率：≥5°C/秒 </w:t>
            </w:r>
          </w:p>
          <w:p w14:paraId="19189581">
            <w:pPr>
              <w:pStyle w:val="17"/>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3. 仪器冷却/加热技术（温控方式）：Peliter半导体；</w:t>
            </w:r>
          </w:p>
          <w:p w14:paraId="4152CEE5">
            <w:pPr>
              <w:pStyle w:val="17"/>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lang w:val="en-US" w:eastAsia="zh-CN" w:bidi="ar"/>
                <w:woUserID w:val="9"/>
              </w:rPr>
            </w:pPr>
            <w:r>
              <w:rPr>
                <w:rFonts w:hint="eastAsia" w:ascii="宋体" w:hAnsi="宋体" w:eastAsia="宋体" w:cs="宋体"/>
                <w:color w:val="auto"/>
                <w:kern w:val="2"/>
                <w:sz w:val="21"/>
                <w:szCs w:val="21"/>
                <w:highlight w:val="none"/>
                <w:lang w:val="en-US" w:eastAsia="zh-CN" w:bidi="ar"/>
                <w:woUserID w:val="9"/>
              </w:rPr>
              <w:t>4.样品通量及体积：1-96个/10-80ul；</w:t>
            </w:r>
          </w:p>
          <w:p w14:paraId="3E933F23">
            <w:pPr>
              <w:pStyle w:val="17"/>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5.样本板形式：96孔板（仅无裙边），8连管，PCR单管</w:t>
            </w:r>
          </w:p>
          <w:p w14:paraId="569B9884">
            <w:pPr>
              <w:pStyle w:val="17"/>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6.梯度功能：6通道独立控温，样本板基座，温度探测器，软件控制，精确控制PCR退火温度 。</w:t>
            </w:r>
          </w:p>
          <w:p w14:paraId="3FC33417">
            <w:pPr>
              <w:pStyle w:val="17"/>
              <w:keepNext w:val="0"/>
              <w:keepLines w:val="0"/>
              <w:suppressLineNumbers w:val="0"/>
              <w:spacing w:before="0" w:beforeAutospacing="0" w:after="0" w:afterAutospacing="0"/>
              <w:ind w:left="0" w:right="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7.温控范围：4~99.9℃</w:t>
            </w:r>
          </w:p>
          <w:p w14:paraId="19C88141">
            <w:pPr>
              <w:pStyle w:val="17"/>
              <w:keepNext w:val="0"/>
              <w:keepLines w:val="0"/>
              <w:suppressLineNumbers w:val="0"/>
              <w:spacing w:before="0" w:beforeAutospacing="0" w:after="0" w:afterAutospacing="0"/>
              <w:ind w:left="0" w:right="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8.温度梯度宽度：0.1~30℃；每2列区域间最大温差为5℃</w:t>
            </w:r>
          </w:p>
          <w:p w14:paraId="4E827433">
            <w:pPr>
              <w:pStyle w:val="17"/>
              <w:keepNext w:val="0"/>
              <w:keepLines w:val="0"/>
              <w:suppressLineNumbers w:val="0"/>
              <w:spacing w:before="0" w:beforeAutospacing="0" w:after="0" w:afterAutospacing="0"/>
              <w:ind w:left="0" w:right="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9.热盖温度范围：最高110℃</w:t>
            </w:r>
          </w:p>
          <w:p w14:paraId="25C6B93E">
            <w:pPr>
              <w:pStyle w:val="17"/>
              <w:keepNext w:val="0"/>
              <w:keepLines w:val="0"/>
              <w:suppressLineNumbers w:val="0"/>
              <w:spacing w:before="0" w:beforeAutospacing="0" w:after="0" w:afterAutospacing="0"/>
              <w:ind w:left="0" w:right="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10.热盖接触压力：工程师可调节</w:t>
            </w:r>
          </w:p>
          <w:p w14:paraId="50CAACC1">
            <w:pPr>
              <w:pStyle w:val="17"/>
              <w:keepNext w:val="0"/>
              <w:keepLines w:val="0"/>
              <w:suppressLineNumbers w:val="0"/>
              <w:spacing w:before="0" w:beforeAutospacing="0" w:after="0" w:afterAutospacing="0"/>
              <w:ind w:left="0" w:right="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11.温度精确性：±0.1°C</w:t>
            </w:r>
          </w:p>
          <w:p w14:paraId="768F4860">
            <w:pPr>
              <w:pStyle w:val="17"/>
              <w:keepNext w:val="0"/>
              <w:keepLines w:val="0"/>
              <w:suppressLineNumbers w:val="0"/>
              <w:spacing w:before="0" w:beforeAutospacing="0" w:after="0" w:afterAutospacing="0"/>
              <w:ind w:left="0" w:right="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12.温度均一性：&lt;0.3°C（达到95°C后20sec）</w:t>
            </w:r>
          </w:p>
          <w:p w14:paraId="4461C867">
            <w:pPr>
              <w:pStyle w:val="17"/>
              <w:keepNext w:val="0"/>
              <w:keepLines w:val="0"/>
              <w:suppressLineNumbers w:val="0"/>
              <w:spacing w:before="0" w:beforeAutospacing="0" w:after="0" w:afterAutospacing="0"/>
              <w:ind w:left="0" w:right="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13.温度显示分辨率：0.1℃</w:t>
            </w:r>
          </w:p>
          <w:p w14:paraId="50CF5185">
            <w:pPr>
              <w:pStyle w:val="17"/>
              <w:keepNext w:val="0"/>
              <w:keepLines w:val="0"/>
              <w:suppressLineNumbers w:val="0"/>
              <w:spacing w:before="0" w:beforeAutospacing="0" w:after="0" w:afterAutospacing="0"/>
              <w:ind w:left="0" w:right="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14.显示屏：采用</w:t>
            </w:r>
            <w:r>
              <w:rPr>
                <w:rFonts w:hint="eastAsia"/>
                <w:color w:val="auto"/>
                <w:lang w:val="en-US" w:eastAsia="zh-CN"/>
              </w:rPr>
              <w:t>≥</w:t>
            </w:r>
            <w:r>
              <w:rPr>
                <w:rFonts w:hint="eastAsia" w:ascii="宋体" w:hAnsi="宋体" w:eastAsia="宋体" w:cs="宋体"/>
                <w:color w:val="auto"/>
                <w:szCs w:val="21"/>
                <w:highlight w:val="none"/>
                <w:lang w:val="en-US" w:eastAsia="zh-CN"/>
              </w:rPr>
              <w:t>7英寸彩色液晶触摸屏，可全屏显示PCR整个程序，大屏幕设计方便查看运行曲线;可预设运行程序，快速启动，也可辑运行程序，保存备用。</w:t>
            </w:r>
          </w:p>
          <w:p w14:paraId="4408352D">
            <w:pPr>
              <w:pStyle w:val="17"/>
              <w:keepNext w:val="0"/>
              <w:keepLines w:val="0"/>
              <w:suppressLineNumbers w:val="0"/>
              <w:spacing w:before="0" w:beforeAutospacing="0" w:after="0" w:afterAutospacing="0"/>
              <w:ind w:left="0" w:right="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15.可以做Touch down PCR实验和长至10kb片段PCR扩增</w:t>
            </w:r>
          </w:p>
          <w:p w14:paraId="6FE0B5D5">
            <w:pPr>
              <w:pStyle w:val="17"/>
              <w:keepNext w:val="0"/>
              <w:keepLines w:val="0"/>
              <w:suppressLineNumbers w:val="0"/>
              <w:spacing w:before="0" w:beforeAutospacing="0" w:after="0" w:afterAutospacing="0"/>
              <w:ind w:left="0" w:right="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16.存储能力：在主机上可存储2000个protocol，若使用TF卡存储则无限制（主机2000个程序，TF卡无限）</w:t>
            </w:r>
          </w:p>
          <w:p w14:paraId="4AA578E7">
            <w:pPr>
              <w:pStyle w:val="17"/>
              <w:keepNext w:val="0"/>
              <w:keepLines w:val="0"/>
              <w:suppressLineNumbers w:val="0"/>
              <w:spacing w:before="0" w:beforeAutospacing="0" w:after="0" w:afterAutospacing="0"/>
              <w:ind w:left="0" w:right="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17.具有断电保护功能和快速启动功能。</w:t>
            </w:r>
          </w:p>
          <w:p w14:paraId="526B2F9E">
            <w:pPr>
              <w:pStyle w:val="17"/>
              <w:keepNext w:val="0"/>
              <w:keepLines w:val="0"/>
              <w:suppressLineNumbers w:val="0"/>
              <w:spacing w:before="0" w:beforeAutospacing="0" w:after="0" w:afterAutospacing="0"/>
              <w:ind w:left="0" w:right="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lang w:val="en-US" w:eastAsia="zh-CN"/>
              </w:rPr>
              <w:t>18.配置清单：主机1台。</w:t>
            </w:r>
          </w:p>
        </w:tc>
        <w:tc>
          <w:tcPr>
            <w:tcW w:w="701"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AFA5CEE">
            <w:pPr>
              <w:keepNext w:val="0"/>
              <w:keepLines w:val="0"/>
              <w:suppressLineNumbers w:val="0"/>
              <w:spacing w:before="0" w:beforeAutospacing="0" w:after="0" w:afterAutospacing="0"/>
              <w:ind w:left="0" w:leftChars="0" w:right="0" w:rightChars="0"/>
              <w:jc w:val="center"/>
              <w:rPr>
                <w:rFonts w:hint="eastAsia" w:ascii="宋体" w:hAnsi="宋体" w:eastAsia="宋体" w:cs="宋体"/>
                <w:b/>
                <w:bCs/>
                <w:color w:val="auto"/>
                <w:szCs w:val="21"/>
                <w:highlight w:val="none"/>
              </w:rPr>
            </w:pPr>
            <w:r>
              <w:rPr>
                <w:rFonts w:hint="eastAsia" w:ascii="宋体" w:hAnsi="宋体" w:eastAsia="宋体" w:cs="宋体"/>
                <w:b w:val="0"/>
                <w:bCs w:val="0"/>
                <w:color w:val="auto"/>
                <w:sz w:val="21"/>
                <w:szCs w:val="21"/>
                <w:highlight w:val="none"/>
              </w:rPr>
              <w:t>台</w:t>
            </w:r>
          </w:p>
        </w:tc>
        <w:tc>
          <w:tcPr>
            <w:tcW w:w="668" w:type="dxa"/>
            <w:tcBorders>
              <w:top w:val="single" w:color="auto" w:sz="4" w:space="0"/>
              <w:left w:val="single" w:color="auto" w:sz="4" w:space="0"/>
              <w:bottom w:val="single" w:color="auto" w:sz="4" w:space="0"/>
              <w:right w:val="single" w:color="auto" w:sz="4" w:space="0"/>
            </w:tcBorders>
            <w:vAlign w:val="center"/>
          </w:tcPr>
          <w:p w14:paraId="4074449B">
            <w:pPr>
              <w:keepNext w:val="0"/>
              <w:keepLines w:val="0"/>
              <w:suppressLineNumbers w:val="0"/>
              <w:spacing w:before="0" w:beforeAutospacing="0" w:after="0" w:afterAutospacing="0"/>
              <w:ind w:left="0" w:leftChars="0" w:right="0" w:rightChars="0"/>
              <w:jc w:val="center"/>
              <w:rPr>
                <w:rFonts w:hint="eastAsia" w:ascii="宋体" w:hAnsi="宋体" w:eastAsia="宋体" w:cs="宋体"/>
                <w:b/>
                <w:bCs/>
                <w:color w:val="auto"/>
                <w:szCs w:val="21"/>
                <w:highlight w:val="none"/>
              </w:rPr>
            </w:pPr>
            <w:r>
              <w:rPr>
                <w:rFonts w:hint="eastAsia" w:ascii="宋体" w:hAnsi="宋体" w:eastAsia="宋体" w:cs="宋体"/>
                <w:b w:val="0"/>
                <w:bCs w:val="0"/>
                <w:color w:val="auto"/>
                <w:sz w:val="21"/>
                <w:szCs w:val="21"/>
                <w:highlight w:val="none"/>
              </w:rPr>
              <w:t>3</w:t>
            </w:r>
          </w:p>
        </w:tc>
      </w:tr>
      <w:tr w14:paraId="66B25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414"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4FC1362">
            <w:pPr>
              <w:pStyle w:val="148"/>
              <w:keepNext w:val="0"/>
              <w:keepLines w:val="0"/>
              <w:widowControl/>
              <w:numPr>
                <w:ilvl w:val="-1"/>
                <w:numId w:val="0"/>
              </w:numPr>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bCs/>
                <w:color w:val="auto"/>
                <w:szCs w:val="21"/>
                <w:highlight w:val="none"/>
              </w:rPr>
            </w:pPr>
            <w:r>
              <w:rPr>
                <w:rFonts w:hint="eastAsia" w:ascii="宋体" w:hAnsi="宋体" w:eastAsia="宋体" w:cs="宋体"/>
                <w:b w:val="0"/>
                <w:bCs w:val="0"/>
                <w:color w:val="auto"/>
                <w:kern w:val="2"/>
                <w:sz w:val="21"/>
                <w:szCs w:val="21"/>
                <w:highlight w:val="none"/>
                <w:lang w:val="en-US" w:eastAsia="zh-CN" w:bidi="ar-SA"/>
              </w:rPr>
              <w:t>2</w:t>
            </w:r>
          </w:p>
        </w:tc>
        <w:tc>
          <w:tcPr>
            <w:tcW w:w="883"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27150A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bCs/>
                <w:color w:val="auto"/>
                <w:szCs w:val="21"/>
                <w:highlight w:val="none"/>
              </w:rPr>
            </w:pPr>
            <w:r>
              <w:rPr>
                <w:rFonts w:hint="eastAsia" w:ascii="宋体" w:hAnsi="宋体" w:eastAsia="宋体" w:cs="宋体"/>
                <w:b w:val="0"/>
                <w:bCs w:val="0"/>
                <w:color w:val="auto"/>
                <w:kern w:val="0"/>
                <w:sz w:val="21"/>
                <w:szCs w:val="21"/>
                <w:highlight w:val="none"/>
                <w:lang w:bidi="ar"/>
              </w:rPr>
              <w:t>梯度PCR仪(快速)</w:t>
            </w:r>
          </w:p>
        </w:tc>
        <w:tc>
          <w:tcPr>
            <w:tcW w:w="6760"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5CF0DF3">
            <w:pPr>
              <w:pStyle w:val="17"/>
              <w:keepNext w:val="0"/>
              <w:keepLines w:val="0"/>
              <w:suppressLineNumbers w:val="0"/>
              <w:spacing w:before="0" w:beforeAutospacing="0" w:after="0" w:afterAutospacing="0"/>
              <w:ind w:left="0" w:right="0"/>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1.反应模块：0.2ml×96孔反应模块，适合96孔板、8联管、单管等标准耗材；</w:t>
            </w:r>
          </w:p>
          <w:p w14:paraId="49309556">
            <w:pPr>
              <w:pStyle w:val="17"/>
              <w:keepNext w:val="0"/>
              <w:keepLines w:val="0"/>
              <w:suppressLineNumbers w:val="0"/>
              <w:spacing w:before="0" w:beforeAutospacing="0" w:after="0" w:afterAutospacing="0"/>
              <w:ind w:left="0" w:right="0"/>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2.仪器冷却/加热技术（温控方式）：半导体；</w:t>
            </w:r>
          </w:p>
          <w:p w14:paraId="23B8D40B">
            <w:pPr>
              <w:pStyle w:val="17"/>
              <w:keepNext w:val="0"/>
              <w:keepLines w:val="0"/>
              <w:suppressLineNumbers w:val="0"/>
              <w:spacing w:before="0" w:beforeAutospacing="0" w:after="0" w:afterAutospacing="0"/>
              <w:ind w:left="0" w:right="0"/>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3.样品反应槽材质：纯银镀金槽，热传递效果更佳，并具有抗腐蚀防氧化特性；</w:t>
            </w:r>
          </w:p>
          <w:p w14:paraId="017054AE">
            <w:pPr>
              <w:pStyle w:val="17"/>
              <w:keepNext w:val="0"/>
              <w:keepLines w:val="0"/>
              <w:suppressLineNumbers w:val="0"/>
              <w:spacing w:before="0" w:beforeAutospacing="0" w:after="0" w:afterAutospacing="0"/>
              <w:ind w:left="0" w:right="0"/>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4.标配为高速反应模块，其最大变温速率：≥8℃/S,能提高工作效率</w:t>
            </w:r>
          </w:p>
          <w:p w14:paraId="47D2CEF1">
            <w:pPr>
              <w:pStyle w:val="17"/>
              <w:keepNext w:val="0"/>
              <w:keepLines w:val="0"/>
              <w:suppressLineNumbers w:val="0"/>
              <w:spacing w:before="0" w:beforeAutospacing="0" w:after="0" w:afterAutospacing="0"/>
              <w:ind w:left="0" w:right="0"/>
              <w:rPr>
                <w:rFonts w:hint="eastAsia" w:ascii="宋体" w:hAnsi="宋体" w:eastAsia="宋体" w:cs="宋体"/>
                <w:color w:val="auto"/>
                <w:kern w:val="2"/>
                <w:sz w:val="21"/>
                <w:szCs w:val="21"/>
                <w:highlight w:val="none"/>
                <w:lang w:val="en-US" w:eastAsia="zh-CN" w:bidi="ar"/>
                <w:woUserID w:val="9"/>
              </w:rPr>
            </w:pPr>
            <w:r>
              <w:rPr>
                <w:rFonts w:hint="eastAsia" w:ascii="宋体" w:hAnsi="宋体" w:eastAsia="宋体" w:cs="宋体"/>
                <w:color w:val="auto"/>
                <w:kern w:val="2"/>
                <w:sz w:val="21"/>
                <w:szCs w:val="21"/>
                <w:highlight w:val="none"/>
                <w:lang w:val="en-US" w:eastAsia="zh-CN" w:bidi="ar"/>
                <w:woUserID w:val="9"/>
              </w:rPr>
              <w:t>5.模块种类：96孔纯银镀金模块</w:t>
            </w:r>
          </w:p>
          <w:p w14:paraId="27DAE581">
            <w:pPr>
              <w:pStyle w:val="17"/>
              <w:keepNext w:val="0"/>
              <w:keepLines w:val="0"/>
              <w:suppressLineNumbers w:val="0"/>
              <w:spacing w:before="0" w:beforeAutospacing="0" w:after="0" w:afterAutospacing="0"/>
              <w:ind w:left="0" w:right="0"/>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6.仪器控温准确性：≤±0.1℃</w:t>
            </w:r>
          </w:p>
          <w:p w14:paraId="3C8306AA">
            <w:pPr>
              <w:pStyle w:val="17"/>
              <w:keepNext w:val="0"/>
              <w:keepLines w:val="0"/>
              <w:suppressLineNumbers w:val="0"/>
              <w:spacing w:before="0" w:beforeAutospacing="0" w:after="0" w:afterAutospacing="0"/>
              <w:ind w:left="0" w:right="0"/>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7.仪器控温均一性：≤±0.15℃</w:t>
            </w:r>
          </w:p>
          <w:p w14:paraId="415FFA1D">
            <w:pPr>
              <w:pStyle w:val="17"/>
              <w:keepNext w:val="0"/>
              <w:keepLines w:val="0"/>
              <w:suppressLineNumbers w:val="0"/>
              <w:spacing w:before="0" w:beforeAutospacing="0" w:after="0" w:afterAutospacing="0"/>
              <w:ind w:left="0" w:right="0"/>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8.带有温度梯度功能，可同时对≥12个不同的温度点进行反应条件优化，温度梯度跨度不小于40℃</w:t>
            </w:r>
          </w:p>
          <w:p w14:paraId="21FCD32C">
            <w:pPr>
              <w:pStyle w:val="17"/>
              <w:keepNext w:val="0"/>
              <w:keepLines w:val="0"/>
              <w:suppressLineNumbers w:val="0"/>
              <w:spacing w:before="0" w:beforeAutospacing="0" w:after="0" w:afterAutospacing="0"/>
              <w:ind w:left="0" w:right="0"/>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9.具有不少于两种温度梯度设计模式：线性温度梯度和随机温度梯度模式</w:t>
            </w:r>
          </w:p>
          <w:p w14:paraId="14B23B12">
            <w:pPr>
              <w:pStyle w:val="17"/>
              <w:keepNext w:val="0"/>
              <w:keepLines w:val="0"/>
              <w:suppressLineNumbers w:val="0"/>
              <w:spacing w:before="0" w:beforeAutospacing="0" w:after="0" w:afterAutospacing="0"/>
              <w:ind w:left="0" w:right="0"/>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10.热盖温度可调，最高不低于110℃</w:t>
            </w:r>
          </w:p>
          <w:p w14:paraId="16D76FC5">
            <w:pPr>
              <w:pStyle w:val="17"/>
              <w:keepNext w:val="0"/>
              <w:keepLines w:val="0"/>
              <w:suppressLineNumbers w:val="0"/>
              <w:spacing w:before="0" w:beforeAutospacing="0" w:after="0" w:afterAutospacing="0"/>
              <w:ind w:left="0" w:right="0"/>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11.具有样品防蒸发技术，当热盖温度到达设定温度时才开始PCR反应，使得样品管上方温度始终高于样品温度；</w:t>
            </w:r>
          </w:p>
          <w:p w14:paraId="266C3AA6">
            <w:pPr>
              <w:pStyle w:val="17"/>
              <w:keepNext w:val="0"/>
              <w:keepLines w:val="0"/>
              <w:suppressLineNumbers w:val="0"/>
              <w:spacing w:before="0" w:beforeAutospacing="0" w:after="0" w:afterAutospacing="0"/>
              <w:ind w:left="0" w:right="0"/>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12.彩色触摸屏，水晶屏幕，无反光;</w:t>
            </w:r>
          </w:p>
          <w:p w14:paraId="1C0F3E90">
            <w:pPr>
              <w:pStyle w:val="17"/>
              <w:keepNext w:val="0"/>
              <w:keepLines w:val="0"/>
              <w:suppressLineNumbers w:val="0"/>
              <w:spacing w:before="0" w:beforeAutospacing="0" w:after="0" w:afterAutospacing="0"/>
              <w:ind w:left="0" w:right="0"/>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13.具有USB和网络接口，并可通过网络接口连接电脑进行软件升级</w:t>
            </w:r>
          </w:p>
          <w:p w14:paraId="5141C5B6">
            <w:pPr>
              <w:pStyle w:val="17"/>
              <w:keepNext w:val="0"/>
              <w:keepLines w:val="0"/>
              <w:suppressLineNumbers w:val="0"/>
              <w:spacing w:before="0" w:beforeAutospacing="0" w:after="0" w:afterAutospacing="0"/>
              <w:ind w:left="0" w:right="0"/>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14.用户特异性的程序快速启动功能：每个用户可快速启动自己最近使用过的5个程序</w:t>
            </w:r>
          </w:p>
          <w:p w14:paraId="5CAEBDE4">
            <w:pPr>
              <w:pStyle w:val="17"/>
              <w:keepNext w:val="0"/>
              <w:keepLines w:val="0"/>
              <w:suppressLineNumbers w:val="0"/>
              <w:spacing w:before="0" w:beforeAutospacing="0" w:after="0" w:afterAutospacing="0"/>
              <w:ind w:left="0" w:right="0"/>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15.程序运行显示方式可在表格式和图形式之间互相自由切换。</w:t>
            </w:r>
          </w:p>
          <w:p w14:paraId="38B9B1FB">
            <w:pPr>
              <w:pStyle w:val="17"/>
              <w:keepNext w:val="0"/>
              <w:keepLines w:val="0"/>
              <w:suppressLineNumbers w:val="0"/>
              <w:spacing w:before="0" w:beforeAutospacing="0" w:after="0" w:afterAutospacing="0"/>
              <w:ind w:left="0" w:right="0"/>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16.静音技术：运行时最大声音不超过45分贝。</w:t>
            </w:r>
          </w:p>
          <w:p w14:paraId="21D43D4E">
            <w:pPr>
              <w:pStyle w:val="17"/>
              <w:keepNext w:val="0"/>
              <w:keepLines w:val="0"/>
              <w:suppressLineNumbers w:val="0"/>
              <w:spacing w:before="0" w:beforeAutospacing="0" w:after="0" w:afterAutospacing="0"/>
              <w:ind w:left="0" w:right="0"/>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17.仪器具有独立孵育模块功能，可快速的进行实验室常规孵育实验</w:t>
            </w:r>
          </w:p>
          <w:p w14:paraId="6FF12E49">
            <w:pPr>
              <w:pStyle w:val="17"/>
              <w:keepNext w:val="0"/>
              <w:keepLines w:val="0"/>
              <w:suppressLineNumbers w:val="0"/>
              <w:spacing w:before="0" w:beforeAutospacing="0" w:after="0" w:afterAutospacing="0"/>
              <w:ind w:left="0" w:right="0"/>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 xml:space="preserve">18.具进行Touchdown PCR实验，以提高PCR扩增产物的特异性； </w:t>
            </w:r>
          </w:p>
          <w:p w14:paraId="00EDB4A4">
            <w:pPr>
              <w:pStyle w:val="17"/>
              <w:keepNext w:val="0"/>
              <w:keepLines w:val="0"/>
              <w:suppressLineNumbers w:val="0"/>
              <w:spacing w:before="0" w:beforeAutospacing="0" w:after="0" w:afterAutospacing="0"/>
              <w:ind w:left="0" w:right="0"/>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19.有断电自动重启功能</w:t>
            </w:r>
          </w:p>
          <w:p w14:paraId="4A60050D">
            <w:pPr>
              <w:pStyle w:val="17"/>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
                <w:woUserID w:val="9"/>
              </w:rPr>
              <w:t>20.屏幕操作软件语言可至少在中文和英文间自由切换，从而满足不同的使用习惯</w:t>
            </w:r>
          </w:p>
          <w:p w14:paraId="5B9FAC16">
            <w:pPr>
              <w:pStyle w:val="17"/>
              <w:keepNext w:val="0"/>
              <w:keepLines w:val="0"/>
              <w:suppressLineNumbers w:val="0"/>
              <w:spacing w:before="0" w:beforeAutospacing="0" w:after="0" w:afterAutospacing="0"/>
              <w:ind w:left="0" w:right="0"/>
              <w:rPr>
                <w:rFonts w:hint="eastAsia" w:ascii="宋体" w:hAnsi="宋体" w:eastAsia="宋体" w:cs="宋体"/>
                <w:color w:val="auto"/>
                <w:kern w:val="2"/>
                <w:sz w:val="21"/>
                <w:szCs w:val="21"/>
                <w:highlight w:val="none"/>
                <w:lang w:val="en-US" w:eastAsia="zh-CN" w:bidi="ar"/>
                <w:woUserID w:val="9"/>
              </w:rPr>
            </w:pPr>
            <w:r>
              <w:rPr>
                <w:rFonts w:hint="eastAsia" w:ascii="宋体" w:hAnsi="宋体" w:eastAsia="宋体" w:cs="宋体"/>
                <w:color w:val="auto"/>
                <w:kern w:val="2"/>
                <w:sz w:val="21"/>
                <w:szCs w:val="21"/>
                <w:highlight w:val="none"/>
                <w:lang w:val="en-US" w:eastAsia="zh-CN" w:bidi="ar"/>
                <w:woUserID w:val="9"/>
              </w:rPr>
              <w:t>21.</w:t>
            </w:r>
            <w:r>
              <w:rPr>
                <w:rFonts w:hint="eastAsia" w:ascii="宋体" w:hAnsi="宋体" w:eastAsia="宋体" w:cs="宋体"/>
                <w:color w:val="auto"/>
                <w:szCs w:val="21"/>
                <w:highlight w:val="none"/>
              </w:rPr>
              <w:t>供货时需要提供原厂或者代理出具的授权书和售后服务证明</w:t>
            </w:r>
            <w:r>
              <w:rPr>
                <w:rFonts w:hint="eastAsia" w:ascii="宋体" w:hAnsi="宋体" w:eastAsia="宋体" w:cs="宋体"/>
                <w:color w:val="auto"/>
                <w:kern w:val="2"/>
                <w:sz w:val="21"/>
                <w:szCs w:val="21"/>
                <w:highlight w:val="none"/>
                <w:lang w:val="en-US" w:eastAsia="zh-CN" w:bidi="ar"/>
                <w:woUserID w:val="9"/>
              </w:rPr>
              <w:t>，保证技术支持和售后服务：原厂整机质保2年。</w:t>
            </w:r>
          </w:p>
          <w:p w14:paraId="30E32C76">
            <w:pPr>
              <w:pStyle w:val="17"/>
              <w:keepNext w:val="0"/>
              <w:keepLines w:val="0"/>
              <w:suppressLineNumbers w:val="0"/>
              <w:spacing w:before="0" w:beforeAutospacing="0" w:after="0" w:afterAutospacing="0"/>
              <w:ind w:left="0" w:right="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22.</w:t>
            </w:r>
            <w:r>
              <w:rPr>
                <w:rFonts w:hint="eastAsia" w:ascii="宋体" w:hAnsi="宋体" w:eastAsia="宋体" w:cs="宋体"/>
                <w:color w:val="auto"/>
                <w:szCs w:val="21"/>
                <w:highlight w:val="none"/>
                <w:lang w:val="en-US" w:eastAsia="zh-CN"/>
              </w:rPr>
              <w:t>配置清单：</w:t>
            </w:r>
          </w:p>
          <w:p w14:paraId="321B346F">
            <w:pPr>
              <w:pStyle w:val="17"/>
              <w:keepNext w:val="0"/>
              <w:keepLines w:val="0"/>
              <w:numPr>
                <w:ilvl w:val="-1"/>
                <w:numId w:val="0"/>
              </w:numPr>
              <w:suppressLineNumbers w:val="0"/>
              <w:spacing w:before="0" w:beforeAutospacing="0" w:after="0" w:afterAutospacing="0"/>
              <w:ind w:left="0" w:right="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主机一台</w:t>
            </w:r>
            <w:r>
              <w:rPr>
                <w:rFonts w:hint="eastAsia" w:ascii="宋体" w:hAnsi="宋体" w:eastAsia="宋体" w:cs="宋体"/>
                <w:color w:val="auto"/>
                <w:szCs w:val="21"/>
                <w:highlight w:val="none"/>
                <w:lang w:eastAsia="zh-CN"/>
              </w:rPr>
              <w:t>；</w:t>
            </w:r>
          </w:p>
          <w:p w14:paraId="530D361A">
            <w:pPr>
              <w:pStyle w:val="17"/>
              <w:keepNext w:val="0"/>
              <w:keepLines w:val="0"/>
              <w:numPr>
                <w:ilvl w:val="-1"/>
                <w:numId w:val="0"/>
              </w:numPr>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电源线一根</w:t>
            </w:r>
            <w:r>
              <w:rPr>
                <w:rFonts w:hint="eastAsia" w:ascii="宋体" w:hAnsi="宋体" w:eastAsia="宋体" w:cs="宋体"/>
                <w:color w:val="auto"/>
                <w:szCs w:val="21"/>
                <w:highlight w:val="none"/>
                <w:lang w:eastAsia="zh-CN"/>
              </w:rPr>
              <w:t>；</w:t>
            </w:r>
          </w:p>
          <w:p w14:paraId="75A61236">
            <w:pPr>
              <w:pStyle w:val="17"/>
              <w:keepNext w:val="0"/>
              <w:keepLines w:val="0"/>
              <w:numPr>
                <w:ilvl w:val="-1"/>
                <w:numId w:val="0"/>
              </w:numPr>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96镀金纯银模块</w:t>
            </w:r>
            <w:r>
              <w:rPr>
                <w:rFonts w:hint="eastAsia" w:ascii="宋体" w:hAnsi="宋体" w:eastAsia="宋体" w:cs="宋体"/>
                <w:color w:val="auto"/>
                <w:szCs w:val="21"/>
                <w:highlight w:val="none"/>
                <w:lang w:val="en-US" w:eastAsia="zh-CN"/>
              </w:rPr>
              <w:t>一个；</w:t>
            </w:r>
          </w:p>
          <w:p w14:paraId="4F78ABFF">
            <w:pPr>
              <w:pStyle w:val="17"/>
              <w:keepNext w:val="0"/>
              <w:keepLines w:val="0"/>
              <w:suppressLineNumbers w:val="0"/>
              <w:spacing w:before="0" w:beforeAutospacing="0" w:after="0" w:afterAutospacing="0"/>
              <w:ind w:left="0" w:right="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说明书一份</w:t>
            </w:r>
          </w:p>
        </w:tc>
        <w:tc>
          <w:tcPr>
            <w:tcW w:w="701"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0335827">
            <w:pPr>
              <w:keepNext w:val="0"/>
              <w:keepLines w:val="0"/>
              <w:suppressLineNumbers w:val="0"/>
              <w:spacing w:before="0" w:beforeAutospacing="0" w:after="0" w:afterAutospacing="0"/>
              <w:ind w:left="0" w:leftChars="0" w:right="0" w:rightChars="0"/>
              <w:jc w:val="center"/>
              <w:rPr>
                <w:rFonts w:hint="eastAsia" w:ascii="宋体" w:hAnsi="宋体" w:eastAsia="宋体" w:cs="宋体"/>
                <w:b/>
                <w:bCs/>
                <w:color w:val="auto"/>
                <w:szCs w:val="21"/>
                <w:highlight w:val="none"/>
              </w:rPr>
            </w:pPr>
            <w:r>
              <w:rPr>
                <w:rFonts w:hint="eastAsia" w:ascii="宋体" w:hAnsi="宋体" w:eastAsia="宋体" w:cs="宋体"/>
                <w:b w:val="0"/>
                <w:bCs w:val="0"/>
                <w:color w:val="auto"/>
                <w:sz w:val="21"/>
                <w:szCs w:val="21"/>
                <w:highlight w:val="none"/>
              </w:rPr>
              <w:t>台</w:t>
            </w:r>
          </w:p>
        </w:tc>
        <w:tc>
          <w:tcPr>
            <w:tcW w:w="668" w:type="dxa"/>
            <w:tcBorders>
              <w:top w:val="single" w:color="auto" w:sz="4" w:space="0"/>
              <w:left w:val="single" w:color="auto" w:sz="4" w:space="0"/>
              <w:bottom w:val="single" w:color="auto" w:sz="4" w:space="0"/>
              <w:right w:val="single" w:color="auto" w:sz="4" w:space="0"/>
            </w:tcBorders>
            <w:vAlign w:val="center"/>
          </w:tcPr>
          <w:p w14:paraId="746AB891">
            <w:pPr>
              <w:keepNext w:val="0"/>
              <w:keepLines w:val="0"/>
              <w:suppressLineNumbers w:val="0"/>
              <w:spacing w:before="0" w:beforeAutospacing="0" w:after="0" w:afterAutospacing="0"/>
              <w:ind w:left="0" w:leftChars="0" w:right="0" w:rightChars="0"/>
              <w:jc w:val="center"/>
              <w:rPr>
                <w:rFonts w:hint="eastAsia" w:ascii="宋体" w:hAnsi="宋体" w:eastAsia="宋体" w:cs="宋体"/>
                <w:b/>
                <w:bCs/>
                <w:color w:val="auto"/>
                <w:szCs w:val="21"/>
                <w:highlight w:val="none"/>
              </w:rPr>
            </w:pPr>
            <w:r>
              <w:rPr>
                <w:rFonts w:hint="eastAsia" w:ascii="宋体" w:hAnsi="宋体" w:eastAsia="宋体" w:cs="宋体"/>
                <w:b w:val="0"/>
                <w:bCs w:val="0"/>
                <w:color w:val="auto"/>
                <w:sz w:val="21"/>
                <w:szCs w:val="21"/>
                <w:highlight w:val="none"/>
              </w:rPr>
              <w:t>1</w:t>
            </w:r>
          </w:p>
        </w:tc>
      </w:tr>
      <w:tr w14:paraId="5AAAB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414"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B1AF1BC">
            <w:pPr>
              <w:keepNext w:val="0"/>
              <w:keepLines w:val="0"/>
              <w:widowControl/>
              <w:numPr>
                <w:ilvl w:val="0"/>
                <w:numId w:val="0"/>
              </w:numPr>
              <w:suppressLineNumbers w:val="0"/>
              <w:spacing w:before="0" w:beforeAutospacing="0" w:after="0" w:afterAutospacing="0" w:line="570" w:lineRule="exact"/>
              <w:ind w:left="0" w:leftChars="0" w:right="0" w:rightChars="0" w:firstLine="0" w:firstLineChars="0"/>
              <w:jc w:val="center"/>
              <w:textAlignment w:val="center"/>
              <w:rPr>
                <w:rFonts w:hint="eastAsia" w:ascii="宋体" w:hAnsi="宋体" w:eastAsia="宋体" w:cs="宋体"/>
                <w:b/>
                <w:bCs/>
                <w:color w:val="auto"/>
                <w:szCs w:val="21"/>
                <w:highlight w:val="none"/>
              </w:rPr>
            </w:pPr>
            <w:r>
              <w:rPr>
                <w:rFonts w:hint="eastAsia" w:ascii="宋体" w:hAnsi="宋体" w:eastAsia="宋体" w:cs="宋体"/>
                <w:b w:val="0"/>
                <w:bCs w:val="0"/>
                <w:color w:val="auto"/>
                <w:sz w:val="21"/>
                <w:szCs w:val="21"/>
                <w:highlight w:val="none"/>
                <w:lang w:val="en-US" w:eastAsia="zh-CN"/>
              </w:rPr>
              <w:t>3</w:t>
            </w:r>
          </w:p>
        </w:tc>
        <w:tc>
          <w:tcPr>
            <w:tcW w:w="883"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A778A1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bCs/>
                <w:color w:val="auto"/>
                <w:szCs w:val="21"/>
                <w:highlight w:val="none"/>
              </w:rPr>
            </w:pPr>
            <w:r>
              <w:rPr>
                <w:rFonts w:hint="eastAsia" w:ascii="宋体" w:hAnsi="宋体" w:eastAsia="宋体" w:cs="宋体"/>
                <w:b w:val="0"/>
                <w:bCs w:val="0"/>
                <w:color w:val="auto"/>
                <w:kern w:val="0"/>
                <w:sz w:val="21"/>
                <w:szCs w:val="21"/>
                <w:highlight w:val="none"/>
                <w:lang w:bidi="ar"/>
              </w:rPr>
              <w:t>超微量分光光度计</w:t>
            </w:r>
          </w:p>
        </w:tc>
        <w:tc>
          <w:tcPr>
            <w:tcW w:w="6760"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FE98FDE">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1.自带不小于7英寸、1280×800高分辨率彩色、多点电容式触摸显示器</w:t>
            </w:r>
          </w:p>
          <w:p w14:paraId="5F6EE2FF">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cs="宋体"/>
                <w:szCs w:val="21"/>
                <w:lang w:bidi="ar"/>
              </w:rPr>
              <w:t>■</w:t>
            </w:r>
            <w:r>
              <w:rPr>
                <w:rFonts w:hint="eastAsia" w:ascii="宋体" w:hAnsi="宋体" w:eastAsia="宋体" w:cs="宋体"/>
                <w:color w:val="auto"/>
                <w:kern w:val="2"/>
                <w:sz w:val="21"/>
                <w:szCs w:val="21"/>
                <w:highlight w:val="none"/>
                <w:lang w:val="en-US" w:eastAsia="zh-CN" w:bidi="ar"/>
                <w:woUserID w:val="9"/>
              </w:rPr>
              <w:t>2.光谱扫描的波长范围：190</w:t>
            </w:r>
            <w:r>
              <w:rPr>
                <w:rFonts w:hint="eastAsia" w:ascii="宋体" w:hAnsi="宋体" w:eastAsia="宋体" w:cs="宋体"/>
                <w:color w:val="auto"/>
                <w:lang w:val="en-US" w:eastAsia="zh-CN"/>
              </w:rPr>
              <w:t>nm</w:t>
            </w:r>
            <w:r>
              <w:rPr>
                <w:rFonts w:hint="eastAsia" w:ascii="宋体" w:hAnsi="宋体" w:eastAsia="宋体" w:cs="宋体"/>
                <w:color w:val="auto"/>
                <w:kern w:val="2"/>
                <w:sz w:val="21"/>
                <w:szCs w:val="21"/>
                <w:highlight w:val="none"/>
                <w:lang w:val="en-US" w:eastAsia="zh-CN" w:bidi="ar"/>
                <w:woUserID w:val="9"/>
              </w:rPr>
              <w:t>-850nm，可测低波长下的蛋白光吸收；具智能样本检测技术，可自动进行污染物鉴定和结果校正；</w:t>
            </w:r>
          </w:p>
          <w:p w14:paraId="34D2C1B4">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3.氙闪灯光源，波长精度≤1nm，检测器≥2048-CMOS线阵图像传感器</w:t>
            </w:r>
          </w:p>
          <w:p w14:paraId="7FCA5089">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4.光谱分辨率：≤1.8nm(FWHM at Hg254nm)</w:t>
            </w:r>
          </w:p>
          <w:p w14:paraId="0A584340">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5.检测重复性：≤0.002A(1.0mm光程) 或≤1%CV</w:t>
            </w:r>
          </w:p>
          <w:p w14:paraId="66C68E61">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6.光吸收准确度：≤3%(at 0.97A at 302nm)；吸光率范围：0-550 OD</w:t>
            </w:r>
          </w:p>
          <w:p w14:paraId="453309C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cs="宋体"/>
                <w:szCs w:val="21"/>
                <w:lang w:bidi="ar"/>
              </w:rPr>
              <w:t>■</w:t>
            </w:r>
            <w:r>
              <w:rPr>
                <w:rFonts w:hint="eastAsia" w:ascii="宋体" w:hAnsi="宋体" w:eastAsia="宋体" w:cs="宋体"/>
                <w:color w:val="auto"/>
                <w:kern w:val="2"/>
                <w:sz w:val="21"/>
                <w:szCs w:val="21"/>
                <w:highlight w:val="none"/>
                <w:lang w:val="en-US" w:eastAsia="zh-CN" w:bidi="ar"/>
                <w:woUserID w:val="9"/>
              </w:rPr>
              <w:t>7.核酸检测上限最大27,500ng/ul，下限：≤2ng/ul</w:t>
            </w:r>
          </w:p>
          <w:p w14:paraId="6B4249FE">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；蛋白检测下限基座≤0.06mg/ml（BSA），基座≤0.03mg/ml（IgG），蛋白检测上限基座≥820mg/ml（BSA）</w:t>
            </w:r>
          </w:p>
          <w:p w14:paraId="102EF318">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8.检测所需样微量≤2uL，无需检测容器-比色皿</w:t>
            </w:r>
          </w:p>
          <w:p w14:paraId="3859C03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jc w:val="both"/>
              <w:textAlignment w:val="auto"/>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9.机内至少含0.03,0.05,0.1,0.2,1mm 5个光程的光路径，根据样品浓度进行自动匹配最佳光程。</w:t>
            </w:r>
          </w:p>
          <w:p w14:paraId="3441F116">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10.</w:t>
            </w:r>
            <w:r>
              <w:rPr>
                <w:rFonts w:hint="eastAsia" w:ascii="宋体" w:hAnsi="宋体" w:cs="宋体"/>
                <w:color w:val="auto"/>
                <w:kern w:val="2"/>
                <w:sz w:val="21"/>
                <w:szCs w:val="21"/>
                <w:highlight w:val="none"/>
                <w:lang w:val="en-US" w:eastAsia="zh-CN" w:bidi="ar"/>
                <w:woUserID w:val="9"/>
              </w:rPr>
              <w:t>主机</w:t>
            </w:r>
            <w:r>
              <w:rPr>
                <w:rFonts w:hint="eastAsia" w:ascii="宋体" w:hAnsi="宋体" w:eastAsia="宋体" w:cs="宋体"/>
                <w:color w:val="auto"/>
                <w:kern w:val="2"/>
                <w:sz w:val="21"/>
                <w:szCs w:val="21"/>
                <w:highlight w:val="none"/>
                <w:lang w:val="en-US" w:eastAsia="zh-CN" w:bidi="ar"/>
                <w:woUserID w:val="9"/>
              </w:rPr>
              <w:t>含不少于3个USB插口，并含以太网、蓝牙、Wi-Fi等连接方式。</w:t>
            </w:r>
          </w:p>
          <w:p w14:paraId="00E486FD">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lang w:val="en-US" w:eastAsia="zh-CN" w:bidi="ar"/>
                <w:woUserID w:val="9"/>
              </w:rPr>
            </w:pPr>
            <w:r>
              <w:rPr>
                <w:rFonts w:hint="eastAsia" w:ascii="宋体" w:hAnsi="宋体" w:eastAsia="宋体" w:cs="宋体"/>
                <w:color w:val="auto"/>
                <w:kern w:val="2"/>
                <w:sz w:val="21"/>
                <w:szCs w:val="21"/>
                <w:highlight w:val="none"/>
                <w:lang w:val="en-US" w:eastAsia="zh-CN" w:bidi="ar"/>
                <w:woUserID w:val="9"/>
              </w:rPr>
              <w:t>11.具有摄像头，对结果可疑样品进行上样液柱中气泡，形态完整等的拍照监测，排除样本液柱塌陷等带来的检测不准确；具中文操作界面，不少于8种</w:t>
            </w:r>
          </w:p>
          <w:p w14:paraId="0A16607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val="en-US" w:eastAsia="zh-CN"/>
              </w:rPr>
              <w:t>12.</w:t>
            </w:r>
            <w:r>
              <w:rPr>
                <w:rFonts w:hint="eastAsia" w:ascii="宋体" w:hAnsi="宋体" w:eastAsia="宋体" w:cs="宋体"/>
                <w:color w:val="auto"/>
                <w:sz w:val="21"/>
                <w:szCs w:val="21"/>
                <w:highlight w:val="none"/>
              </w:rPr>
              <w:t>应用范围：核酸A260,A260/A280,A260/A230和标记的核酸；蛋白A280和A205，蛋白Pierce660,蛋白Bradford，蛋白BCA，蛋白Lowry,标记蛋白，UV-Vis和用户自定义；具备智能样本检测技术，在检测中有疑问可询求实时的技术支持。</w:t>
            </w:r>
          </w:p>
          <w:p w14:paraId="4C8812A3">
            <w:pPr>
              <w:keepNext w:val="0"/>
              <w:keepLines w:val="0"/>
              <w:suppressLineNumbers w:val="0"/>
              <w:spacing w:before="0" w:beforeAutospacing="0" w:after="0" w:afterAutospacing="0" w:line="360" w:lineRule="auto"/>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kern w:val="0"/>
                <w:sz w:val="21"/>
                <w:szCs w:val="21"/>
                <w:highlight w:val="none"/>
                <w:lang w:val="en-US" w:eastAsia="zh-CN"/>
              </w:rPr>
              <w:t>提供</w:t>
            </w:r>
            <w:r>
              <w:rPr>
                <w:rFonts w:hint="eastAsia" w:ascii="宋体" w:hAnsi="宋体" w:eastAsia="宋体" w:cs="宋体"/>
                <w:color w:val="auto"/>
                <w:kern w:val="0"/>
                <w:sz w:val="21"/>
                <w:szCs w:val="21"/>
                <w:highlight w:val="none"/>
              </w:rPr>
              <w:t>仪器的安装、校准工作，</w:t>
            </w:r>
            <w:r>
              <w:rPr>
                <w:rFonts w:hint="eastAsia" w:ascii="宋体" w:hAnsi="宋体" w:eastAsia="宋体" w:cs="宋体"/>
                <w:color w:val="auto"/>
                <w:kern w:val="0"/>
                <w:sz w:val="21"/>
                <w:szCs w:val="21"/>
                <w:highlight w:val="none"/>
                <w:lang w:val="en-US" w:eastAsia="zh-CN"/>
              </w:rPr>
              <w:t>供货时</w:t>
            </w:r>
            <w:r>
              <w:rPr>
                <w:rFonts w:hint="eastAsia" w:ascii="宋体" w:hAnsi="宋体" w:eastAsia="宋体" w:cs="宋体"/>
                <w:color w:val="auto"/>
                <w:kern w:val="0"/>
                <w:sz w:val="21"/>
                <w:szCs w:val="21"/>
                <w:highlight w:val="none"/>
              </w:rPr>
              <w:t>出具该仪器完整的校准报告。</w:t>
            </w:r>
          </w:p>
          <w:p w14:paraId="61E3072F">
            <w:pPr>
              <w:pStyle w:val="17"/>
              <w:keepNext w:val="0"/>
              <w:keepLines w:val="0"/>
              <w:suppressLineNumbers w:val="0"/>
              <w:spacing w:before="0" w:beforeAutospacing="0" w:after="0" w:afterAutospacing="0"/>
              <w:ind w:left="0" w:right="0"/>
              <w:rPr>
                <w:rFonts w:hint="eastAsia" w:ascii="宋体" w:hAnsi="宋体" w:eastAsia="宋体" w:cs="宋体"/>
                <w:b/>
                <w:bCs/>
                <w:color w:val="auto"/>
                <w:szCs w:val="21"/>
                <w:highlight w:val="none"/>
              </w:rPr>
            </w:pPr>
            <w:r>
              <w:rPr>
                <w:rFonts w:hint="eastAsia" w:ascii="宋体" w:hAnsi="宋体" w:cs="宋体"/>
                <w:color w:val="auto"/>
                <w:sz w:val="21"/>
                <w:szCs w:val="21"/>
                <w:highlight w:val="none"/>
                <w:lang w:val="en-US" w:eastAsia="zh-CN"/>
              </w:rPr>
              <w:t>14.</w:t>
            </w:r>
            <w:r>
              <w:rPr>
                <w:rFonts w:hint="eastAsia" w:ascii="宋体" w:hAnsi="宋体" w:eastAsia="宋体" w:cs="宋体"/>
                <w:color w:val="auto"/>
                <w:sz w:val="21"/>
                <w:szCs w:val="21"/>
                <w:highlight w:val="none"/>
                <w:lang w:val="en-US" w:eastAsia="zh-CN"/>
              </w:rPr>
              <w:t>配置清单：主机1套。</w:t>
            </w:r>
          </w:p>
        </w:tc>
        <w:tc>
          <w:tcPr>
            <w:tcW w:w="701"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6EAFAD6">
            <w:pPr>
              <w:keepNext w:val="0"/>
              <w:keepLines w:val="0"/>
              <w:suppressLineNumbers w:val="0"/>
              <w:spacing w:before="0" w:beforeAutospacing="0" w:after="0" w:afterAutospacing="0"/>
              <w:ind w:left="0" w:leftChars="0" w:right="0" w:rightChars="0"/>
              <w:jc w:val="center"/>
              <w:rPr>
                <w:rFonts w:hint="eastAsia" w:ascii="宋体" w:hAnsi="宋体" w:eastAsia="宋体" w:cs="宋体"/>
                <w:b/>
                <w:bCs/>
                <w:color w:val="auto"/>
                <w:szCs w:val="21"/>
                <w:highlight w:val="none"/>
              </w:rPr>
            </w:pPr>
            <w:r>
              <w:rPr>
                <w:rFonts w:hint="eastAsia" w:ascii="宋体" w:hAnsi="宋体" w:eastAsia="宋体" w:cs="宋体"/>
                <w:b w:val="0"/>
                <w:bCs w:val="0"/>
                <w:color w:val="auto"/>
                <w:sz w:val="21"/>
                <w:szCs w:val="21"/>
                <w:highlight w:val="none"/>
              </w:rPr>
              <w:t>台</w:t>
            </w:r>
          </w:p>
        </w:tc>
        <w:tc>
          <w:tcPr>
            <w:tcW w:w="668" w:type="dxa"/>
            <w:tcBorders>
              <w:top w:val="single" w:color="auto" w:sz="4" w:space="0"/>
              <w:left w:val="single" w:color="auto" w:sz="4" w:space="0"/>
              <w:bottom w:val="single" w:color="auto" w:sz="4" w:space="0"/>
              <w:right w:val="single" w:color="auto" w:sz="4" w:space="0"/>
            </w:tcBorders>
            <w:vAlign w:val="center"/>
          </w:tcPr>
          <w:p w14:paraId="1D654B3A">
            <w:pPr>
              <w:keepNext w:val="0"/>
              <w:keepLines w:val="0"/>
              <w:suppressLineNumbers w:val="0"/>
              <w:spacing w:before="0" w:beforeAutospacing="0" w:after="0" w:afterAutospacing="0"/>
              <w:ind w:left="0" w:leftChars="0" w:right="0" w:rightChars="0"/>
              <w:jc w:val="center"/>
              <w:rPr>
                <w:rFonts w:hint="eastAsia" w:ascii="宋体" w:hAnsi="宋体" w:eastAsia="宋体" w:cs="宋体"/>
                <w:b/>
                <w:bCs/>
                <w:color w:val="auto"/>
                <w:szCs w:val="21"/>
                <w:highlight w:val="none"/>
              </w:rPr>
            </w:pPr>
            <w:r>
              <w:rPr>
                <w:rFonts w:hint="eastAsia" w:ascii="宋体" w:hAnsi="宋体" w:eastAsia="宋体" w:cs="宋体"/>
                <w:b w:val="0"/>
                <w:bCs w:val="0"/>
                <w:color w:val="auto"/>
                <w:sz w:val="21"/>
                <w:szCs w:val="21"/>
                <w:highlight w:val="none"/>
              </w:rPr>
              <w:t>1</w:t>
            </w:r>
          </w:p>
        </w:tc>
      </w:tr>
      <w:tr w14:paraId="7A133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414"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68EC851">
            <w:pPr>
              <w:keepNext w:val="0"/>
              <w:keepLines w:val="0"/>
              <w:widowControl/>
              <w:numPr>
                <w:ilvl w:val="0"/>
                <w:numId w:val="0"/>
              </w:numPr>
              <w:suppressLineNumbers w:val="0"/>
              <w:spacing w:before="0" w:beforeAutospacing="0" w:after="0" w:afterAutospacing="0" w:line="570" w:lineRule="exact"/>
              <w:ind w:left="0" w:leftChars="0" w:right="0" w:rightChars="0" w:firstLine="0" w:firstLineChars="0"/>
              <w:jc w:val="center"/>
              <w:textAlignment w:val="center"/>
              <w:rPr>
                <w:rFonts w:hint="eastAsia" w:ascii="宋体" w:hAnsi="宋体" w:eastAsia="宋体" w:cs="宋体"/>
                <w:b/>
                <w:bCs/>
                <w:color w:val="auto"/>
                <w:szCs w:val="21"/>
                <w:highlight w:val="none"/>
              </w:rPr>
            </w:pPr>
            <w:r>
              <w:rPr>
                <w:rFonts w:hint="eastAsia" w:ascii="宋体" w:hAnsi="宋体" w:eastAsia="宋体" w:cs="宋体"/>
                <w:b w:val="0"/>
                <w:bCs w:val="0"/>
                <w:color w:val="auto"/>
                <w:sz w:val="21"/>
                <w:szCs w:val="21"/>
                <w:highlight w:val="none"/>
                <w:lang w:val="en-US" w:eastAsia="zh-CN"/>
              </w:rPr>
              <w:t>4</w:t>
            </w:r>
          </w:p>
        </w:tc>
        <w:tc>
          <w:tcPr>
            <w:tcW w:w="883"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F9A573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bCs/>
                <w:color w:val="auto"/>
                <w:szCs w:val="21"/>
                <w:highlight w:val="none"/>
              </w:rPr>
            </w:pPr>
            <w:r>
              <w:rPr>
                <w:rFonts w:hint="eastAsia" w:ascii="宋体" w:hAnsi="宋体" w:eastAsia="宋体" w:cs="宋体"/>
                <w:b w:val="0"/>
                <w:bCs w:val="0"/>
                <w:color w:val="auto"/>
                <w:kern w:val="0"/>
                <w:sz w:val="21"/>
                <w:szCs w:val="21"/>
                <w:highlight w:val="none"/>
                <w:lang w:bidi="ar"/>
              </w:rPr>
              <w:t>电泳仪</w:t>
            </w:r>
          </w:p>
        </w:tc>
        <w:tc>
          <w:tcPr>
            <w:tcW w:w="6760"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7877FC9">
            <w:pPr>
              <w:keepNext w:val="0"/>
              <w:keepLines w:val="0"/>
              <w:widowControl w:val="0"/>
              <w:suppressLineNumbers w:val="0"/>
              <w:spacing w:before="0" w:beforeAutospacing="0" w:after="0" w:afterAutospacing="0"/>
              <w:ind w:left="0" w:right="0"/>
              <w:jc w:val="both"/>
              <w:rPr>
                <w:rFonts w:hint="eastAsia" w:ascii="宋体" w:hAnsi="宋体" w:eastAsia="宋体" w:cs="宋体"/>
                <w:b w:val="0"/>
                <w:bCs w:val="0"/>
                <w:color w:val="auto"/>
                <w:kern w:val="2"/>
                <w:sz w:val="21"/>
                <w:szCs w:val="21"/>
                <w:highlight w:val="none"/>
                <w:woUserID w:val="9"/>
              </w:rPr>
            </w:pPr>
            <w:r>
              <w:rPr>
                <w:rFonts w:hint="eastAsia" w:ascii="宋体" w:hAnsi="宋体" w:cs="宋体"/>
                <w:b w:val="0"/>
                <w:bCs w:val="0"/>
                <w:color w:val="auto"/>
                <w:kern w:val="0"/>
                <w:sz w:val="21"/>
                <w:szCs w:val="21"/>
                <w:highlight w:val="none"/>
                <w:lang w:val="en-US" w:eastAsia="zh-CN" w:bidi="ar"/>
              </w:rPr>
              <w:t>一、</w:t>
            </w:r>
            <w:r>
              <w:rPr>
                <w:rFonts w:hint="eastAsia" w:ascii="宋体" w:hAnsi="宋体" w:eastAsia="宋体" w:cs="宋体"/>
                <w:b w:val="0"/>
                <w:bCs w:val="0"/>
                <w:color w:val="auto"/>
                <w:kern w:val="0"/>
                <w:sz w:val="21"/>
                <w:szCs w:val="21"/>
                <w:highlight w:val="none"/>
                <w:lang w:bidi="ar"/>
              </w:rPr>
              <w:t>琼脂糖凝胶电泳</w:t>
            </w:r>
            <w:r>
              <w:rPr>
                <w:rFonts w:hint="eastAsia" w:ascii="宋体" w:hAnsi="宋体" w:eastAsia="宋体" w:cs="宋体"/>
                <w:b w:val="0"/>
                <w:bCs w:val="0"/>
                <w:color w:val="auto"/>
                <w:kern w:val="0"/>
                <w:sz w:val="21"/>
                <w:szCs w:val="21"/>
                <w:highlight w:val="none"/>
                <w:lang w:val="en-US" w:eastAsia="zh-CN" w:bidi="ar"/>
              </w:rPr>
              <w:t>和</w:t>
            </w:r>
            <w:r>
              <w:rPr>
                <w:rFonts w:hint="eastAsia" w:ascii="宋体" w:hAnsi="宋体" w:eastAsia="宋体" w:cs="宋体"/>
                <w:b w:val="0"/>
                <w:bCs w:val="0"/>
                <w:color w:val="auto"/>
                <w:kern w:val="2"/>
                <w:sz w:val="21"/>
                <w:szCs w:val="21"/>
                <w:highlight w:val="none"/>
                <w:lang w:val="en-US" w:eastAsia="zh-CN" w:bidi="ar"/>
                <w:woUserID w:val="9"/>
              </w:rPr>
              <w:t>聚丙烯酰胺凝胶电泳设备：</w:t>
            </w:r>
          </w:p>
          <w:p w14:paraId="6F6BCEFE">
            <w:pPr>
              <w:keepNext w:val="0"/>
              <w:keepLines w:val="0"/>
              <w:widowControl w:val="0"/>
              <w:suppressLineNumbers w:val="0"/>
              <w:spacing w:before="0" w:beforeAutospacing="0" w:after="0" w:afterAutospacing="0"/>
              <w:ind w:left="0" w:right="0"/>
              <w:jc w:val="both"/>
              <w:rPr>
                <w:rFonts w:hint="eastAsia" w:ascii="宋体" w:hAnsi="宋体" w:eastAsia="宋体" w:cs="宋体"/>
                <w:b w:val="0"/>
                <w:bCs w:val="0"/>
                <w:color w:val="auto"/>
                <w:kern w:val="2"/>
                <w:sz w:val="21"/>
                <w:szCs w:val="21"/>
                <w:highlight w:val="none"/>
                <w:woUserID w:val="9"/>
              </w:rPr>
            </w:pPr>
            <w:r>
              <w:rPr>
                <w:rFonts w:hint="eastAsia" w:ascii="宋体" w:hAnsi="宋体" w:eastAsia="宋体" w:cs="宋体"/>
                <w:b w:val="0"/>
                <w:bCs w:val="0"/>
                <w:color w:val="auto"/>
                <w:kern w:val="2"/>
                <w:sz w:val="21"/>
                <w:szCs w:val="21"/>
                <w:highlight w:val="none"/>
                <w:lang w:val="en-US" w:eastAsia="zh-CN" w:bidi="ar"/>
                <w:woUserID w:val="9"/>
              </w:rPr>
              <w:t xml:space="preserve">1. 凝胶面积的规格（长×宽）：120×120 mm，120×60 mm，60×120 mm，60×60 mm；±10mm </w:t>
            </w:r>
          </w:p>
          <w:p w14:paraId="61E6FD6E">
            <w:pPr>
              <w:keepNext w:val="0"/>
              <w:keepLines w:val="0"/>
              <w:widowControl w:val="0"/>
              <w:suppressLineNumbers w:val="0"/>
              <w:spacing w:before="0" w:beforeAutospacing="0" w:after="0" w:afterAutospacing="0"/>
              <w:ind w:left="0" w:right="0"/>
              <w:jc w:val="both"/>
              <w:rPr>
                <w:rFonts w:hint="eastAsia" w:ascii="宋体" w:hAnsi="宋体" w:eastAsia="宋体" w:cs="宋体"/>
                <w:b w:val="0"/>
                <w:bCs w:val="0"/>
                <w:color w:val="auto"/>
                <w:kern w:val="2"/>
                <w:sz w:val="21"/>
                <w:szCs w:val="21"/>
                <w:highlight w:val="none"/>
                <w:woUserID w:val="9"/>
              </w:rPr>
            </w:pPr>
            <w:r>
              <w:rPr>
                <w:rFonts w:hint="eastAsia" w:ascii="宋体" w:hAnsi="宋体" w:eastAsia="宋体" w:cs="宋体"/>
                <w:b w:val="0"/>
                <w:bCs w:val="0"/>
                <w:color w:val="auto"/>
                <w:kern w:val="2"/>
                <w:sz w:val="21"/>
                <w:szCs w:val="21"/>
                <w:highlight w:val="none"/>
                <w:lang w:val="en-US" w:eastAsia="zh-CN" w:bidi="ar"/>
                <w:woUserID w:val="9"/>
              </w:rPr>
              <w:t>2.缓冲液体积不少于800ml；可承受电压300 V、电流200 mA、功率100 W</w:t>
            </w:r>
          </w:p>
          <w:p w14:paraId="34399421">
            <w:pPr>
              <w:keepNext w:val="0"/>
              <w:keepLines w:val="0"/>
              <w:widowControl w:val="0"/>
              <w:suppressLineNumbers w:val="0"/>
              <w:spacing w:before="0" w:beforeAutospacing="0" w:after="0" w:afterAutospacing="0"/>
              <w:ind w:left="0" w:right="0"/>
              <w:jc w:val="both"/>
              <w:rPr>
                <w:rFonts w:hint="eastAsia" w:ascii="宋体" w:hAnsi="宋体" w:eastAsia="宋体" w:cs="宋体"/>
                <w:b w:val="0"/>
                <w:bCs w:val="0"/>
                <w:color w:val="auto"/>
                <w:kern w:val="2"/>
                <w:sz w:val="21"/>
                <w:szCs w:val="21"/>
                <w:highlight w:val="none"/>
                <w:woUserID w:val="9"/>
              </w:rPr>
            </w:pPr>
            <w:r>
              <w:rPr>
                <w:rFonts w:hint="eastAsia" w:ascii="宋体" w:hAnsi="宋体" w:cs="宋体"/>
                <w:b w:val="0"/>
                <w:bCs w:val="0"/>
                <w:color w:val="auto"/>
                <w:kern w:val="2"/>
                <w:sz w:val="21"/>
                <w:szCs w:val="21"/>
                <w:highlight w:val="none"/>
                <w:lang w:val="en-US" w:eastAsia="zh-CN" w:bidi="ar"/>
                <w:woUserID w:val="9"/>
              </w:rPr>
              <w:t>二、</w:t>
            </w:r>
            <w:r>
              <w:rPr>
                <w:rFonts w:hint="eastAsia" w:ascii="宋体" w:hAnsi="宋体" w:eastAsia="宋体" w:cs="宋体"/>
                <w:b w:val="0"/>
                <w:bCs w:val="0"/>
                <w:color w:val="auto"/>
                <w:kern w:val="2"/>
                <w:sz w:val="21"/>
                <w:szCs w:val="21"/>
                <w:highlight w:val="none"/>
                <w:lang w:val="en-US" w:eastAsia="zh-CN" w:bidi="ar"/>
                <w:woUserID w:val="9"/>
              </w:rPr>
              <w:t>水平电泳：</w:t>
            </w:r>
          </w:p>
          <w:p w14:paraId="2A8BEB32">
            <w:pPr>
              <w:keepNext w:val="0"/>
              <w:keepLines w:val="0"/>
              <w:widowControl w:val="0"/>
              <w:suppressLineNumbers w:val="0"/>
              <w:spacing w:before="0" w:beforeAutospacing="0" w:after="0" w:afterAutospacing="0"/>
              <w:ind w:left="0" w:right="0"/>
              <w:jc w:val="both"/>
              <w:rPr>
                <w:rFonts w:hint="eastAsia" w:ascii="宋体" w:hAnsi="宋体" w:eastAsia="宋体" w:cs="宋体"/>
                <w:b w:val="0"/>
                <w:bCs w:val="0"/>
                <w:color w:val="auto"/>
                <w:kern w:val="2"/>
                <w:sz w:val="21"/>
                <w:szCs w:val="21"/>
                <w:highlight w:val="none"/>
                <w:woUserID w:val="9"/>
              </w:rPr>
            </w:pPr>
            <w:r>
              <w:rPr>
                <w:rFonts w:hint="eastAsia" w:ascii="宋体" w:hAnsi="宋体" w:eastAsia="宋体" w:cs="宋体"/>
                <w:b w:val="0"/>
                <w:bCs w:val="0"/>
                <w:color w:val="auto"/>
                <w:kern w:val="2"/>
                <w:sz w:val="21"/>
                <w:szCs w:val="21"/>
                <w:highlight w:val="none"/>
                <w:lang w:val="en-US" w:eastAsia="zh-CN" w:bidi="ar"/>
                <w:woUserID w:val="9"/>
              </w:rPr>
              <w:t>1.输出范围为电压:5-600 V；电流:1-500 mA；功率:1-300 W</w:t>
            </w:r>
          </w:p>
          <w:p w14:paraId="6B5372E4">
            <w:pPr>
              <w:keepNext w:val="0"/>
              <w:keepLines w:val="0"/>
              <w:widowControl w:val="0"/>
              <w:suppressLineNumbers w:val="0"/>
              <w:spacing w:before="0" w:beforeAutospacing="0" w:after="0" w:afterAutospacing="0"/>
              <w:ind w:left="0" w:right="0"/>
              <w:jc w:val="both"/>
              <w:rPr>
                <w:rFonts w:hint="eastAsia" w:ascii="宋体" w:hAnsi="宋体" w:eastAsia="宋体" w:cs="宋体"/>
                <w:b w:val="0"/>
                <w:bCs w:val="0"/>
                <w:color w:val="auto"/>
                <w:kern w:val="2"/>
                <w:sz w:val="21"/>
                <w:szCs w:val="21"/>
                <w:highlight w:val="none"/>
                <w:woUserID w:val="9"/>
              </w:rPr>
            </w:pPr>
            <w:r>
              <w:rPr>
                <w:rFonts w:hint="eastAsia" w:ascii="宋体" w:hAnsi="宋体" w:eastAsia="宋体" w:cs="宋体"/>
                <w:b w:val="0"/>
                <w:bCs w:val="0"/>
                <w:color w:val="auto"/>
                <w:kern w:val="2"/>
                <w:sz w:val="21"/>
                <w:szCs w:val="21"/>
                <w:highlight w:val="none"/>
                <w:lang w:val="en-US" w:eastAsia="zh-CN" w:bidi="ar"/>
                <w:woUserID w:val="9"/>
              </w:rPr>
              <w:t>2.分 辨 率：不少于电压1V、电流1 mA、功率≥1 W</w:t>
            </w:r>
          </w:p>
          <w:p w14:paraId="681A2E9C">
            <w:pPr>
              <w:keepNext w:val="0"/>
              <w:keepLines w:val="0"/>
              <w:widowControl w:val="0"/>
              <w:suppressLineNumbers w:val="0"/>
              <w:spacing w:before="0" w:beforeAutospacing="0" w:after="0" w:afterAutospacing="0"/>
              <w:ind w:left="0" w:right="0"/>
              <w:jc w:val="both"/>
              <w:rPr>
                <w:rFonts w:hint="eastAsia" w:ascii="宋体" w:hAnsi="宋体" w:eastAsia="宋体" w:cs="宋体"/>
                <w:b w:val="0"/>
                <w:bCs w:val="0"/>
                <w:color w:val="auto"/>
                <w:kern w:val="2"/>
                <w:sz w:val="21"/>
                <w:szCs w:val="21"/>
                <w:highlight w:val="none"/>
                <w:woUserID w:val="9"/>
              </w:rPr>
            </w:pPr>
            <w:r>
              <w:rPr>
                <w:rFonts w:hint="eastAsia" w:ascii="宋体" w:hAnsi="宋体" w:eastAsia="宋体" w:cs="宋体"/>
                <w:b w:val="0"/>
                <w:bCs w:val="0"/>
                <w:color w:val="auto"/>
                <w:kern w:val="2"/>
                <w:sz w:val="21"/>
                <w:szCs w:val="21"/>
                <w:highlight w:val="none"/>
                <w:lang w:val="en-US" w:eastAsia="zh-CN" w:bidi="ar"/>
                <w:woUserID w:val="9"/>
              </w:rPr>
              <w:t>3.显示方式：液晶显示屏</w:t>
            </w:r>
          </w:p>
          <w:p w14:paraId="4332C73E">
            <w:pPr>
              <w:keepNext w:val="0"/>
              <w:keepLines w:val="0"/>
              <w:widowControl w:val="0"/>
              <w:suppressLineNumbers w:val="0"/>
              <w:spacing w:before="0" w:beforeAutospacing="0" w:after="0" w:afterAutospacing="0"/>
              <w:ind w:left="0" w:right="0"/>
              <w:jc w:val="both"/>
              <w:rPr>
                <w:rFonts w:hint="eastAsia" w:ascii="宋体" w:hAnsi="宋体" w:eastAsia="宋体" w:cs="宋体"/>
                <w:b w:val="0"/>
                <w:bCs w:val="0"/>
                <w:color w:val="auto"/>
                <w:szCs w:val="21"/>
                <w:highlight w:val="none"/>
                <w:woUserID w:val="9"/>
              </w:rPr>
            </w:pPr>
            <w:r>
              <w:rPr>
                <w:rFonts w:hint="eastAsia" w:ascii="宋体" w:hAnsi="宋体" w:eastAsia="宋体" w:cs="宋体"/>
                <w:b w:val="0"/>
                <w:bCs w:val="0"/>
                <w:color w:val="auto"/>
                <w:kern w:val="2"/>
                <w:sz w:val="21"/>
                <w:szCs w:val="21"/>
                <w:highlight w:val="none"/>
                <w:lang w:val="en-US" w:eastAsia="zh-CN" w:bidi="ar"/>
                <w:woUserID w:val="9"/>
              </w:rPr>
              <w:t>4.定时范围：1～999 min</w:t>
            </w:r>
          </w:p>
          <w:p w14:paraId="354F9DF6">
            <w:pPr>
              <w:pStyle w:val="31"/>
              <w:keepNext w:val="0"/>
              <w:keepLines w:val="0"/>
              <w:suppressLineNumbers w:val="0"/>
              <w:spacing w:before="0" w:beforeAutospacing="0" w:after="0" w:afterAutospacing="0"/>
              <w:ind w:left="0" w:right="0"/>
              <w:rPr>
                <w:rFonts w:hint="eastAsia" w:ascii="宋体" w:hAnsi="宋体" w:eastAsia="宋体" w:cs="宋体"/>
                <w:b w:val="0"/>
                <w:bCs w:val="0"/>
                <w:color w:val="auto"/>
                <w:kern w:val="2"/>
                <w:sz w:val="21"/>
                <w:szCs w:val="21"/>
                <w:highlight w:val="none"/>
                <w:lang w:val="en-US" w:eastAsia="zh-CN" w:bidi="ar"/>
                <w:woUserID w:val="9"/>
              </w:rPr>
            </w:pPr>
            <w:r>
              <w:rPr>
                <w:rFonts w:hint="eastAsia" w:ascii="宋体" w:hAnsi="宋体" w:cs="宋体"/>
                <w:b w:val="0"/>
                <w:bCs w:val="0"/>
                <w:color w:val="auto"/>
                <w:kern w:val="2"/>
                <w:sz w:val="21"/>
                <w:szCs w:val="21"/>
                <w:highlight w:val="none"/>
                <w:lang w:val="en-US" w:eastAsia="zh-CN" w:bidi="ar"/>
                <w:woUserID w:val="9"/>
              </w:rPr>
              <w:t>三、</w:t>
            </w:r>
            <w:r>
              <w:rPr>
                <w:rFonts w:hint="eastAsia" w:ascii="宋体" w:hAnsi="宋体" w:eastAsia="宋体" w:cs="宋体"/>
                <w:b w:val="0"/>
                <w:bCs w:val="0"/>
                <w:color w:val="auto"/>
                <w:kern w:val="2"/>
                <w:sz w:val="21"/>
                <w:szCs w:val="21"/>
                <w:highlight w:val="none"/>
                <w:lang w:val="en-US" w:eastAsia="zh-CN" w:bidi="ar"/>
                <w:woUserID w:val="9"/>
              </w:rPr>
              <w:t>配置：</w:t>
            </w:r>
          </w:p>
          <w:p w14:paraId="72AC8AB0">
            <w:pPr>
              <w:keepNext w:val="0"/>
              <w:keepLines w:val="0"/>
              <w:numPr>
                <w:ilvl w:val="0"/>
                <w:numId w:val="1"/>
              </w:numPr>
              <w:suppressLineNumbers w:val="0"/>
              <w:spacing w:before="0" w:beforeAutospacing="0" w:after="0" w:afterAutospacing="0"/>
              <w:ind w:left="0" w:right="0"/>
              <w:rPr>
                <w:rFonts w:hint="eastAsia" w:ascii="宋体" w:hAnsi="宋体" w:eastAsia="宋体" w:cs="宋体"/>
                <w:b w:val="0"/>
                <w:bCs w:val="0"/>
                <w:color w:val="auto"/>
                <w:kern w:val="2"/>
                <w:sz w:val="21"/>
                <w:szCs w:val="21"/>
                <w:highlight w:val="none"/>
                <w:lang w:val="en-US" w:eastAsia="zh-CN" w:bidi="ar"/>
                <w:woUserID w:val="9"/>
              </w:rPr>
            </w:pPr>
            <w:r>
              <w:rPr>
                <w:rFonts w:hint="eastAsia" w:ascii="宋体" w:hAnsi="宋体" w:eastAsia="宋体" w:cs="宋体"/>
                <w:b w:val="0"/>
                <w:bCs w:val="0"/>
                <w:color w:val="auto"/>
                <w:kern w:val="2"/>
                <w:sz w:val="21"/>
                <w:szCs w:val="21"/>
                <w:highlight w:val="none"/>
                <w:lang w:val="en-US" w:eastAsia="zh-CN" w:bidi="ar"/>
                <w:woUserID w:val="9"/>
              </w:rPr>
              <w:t>下槽1个</w:t>
            </w:r>
          </w:p>
          <w:p w14:paraId="732355A5">
            <w:pPr>
              <w:pStyle w:val="31"/>
              <w:keepNext w:val="0"/>
              <w:keepLines w:val="0"/>
              <w:numPr>
                <w:ilvl w:val="0"/>
                <w:numId w:val="1"/>
              </w:numPr>
              <w:suppressLineNumbers w:val="0"/>
              <w:spacing w:before="0" w:beforeAutospacing="0" w:after="0" w:afterAutospacing="0"/>
              <w:ind w:left="0" w:right="0"/>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eastAsia="zh-CN"/>
              </w:rPr>
              <w:t>下盖1套</w:t>
            </w:r>
          </w:p>
          <w:p w14:paraId="794FDEDB">
            <w:pPr>
              <w:pStyle w:val="31"/>
              <w:keepNext w:val="0"/>
              <w:keepLines w:val="0"/>
              <w:numPr>
                <w:ilvl w:val="0"/>
                <w:numId w:val="1"/>
              </w:numPr>
              <w:suppressLineNumbers w:val="0"/>
              <w:spacing w:before="0" w:beforeAutospacing="0" w:after="0" w:afterAutospacing="0"/>
              <w:ind w:left="0" w:right="0"/>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电泳仪电源线</w:t>
            </w:r>
            <w:r>
              <w:rPr>
                <w:rFonts w:hint="eastAsia" w:ascii="宋体" w:hAnsi="宋体" w:eastAsia="宋体" w:cs="宋体"/>
                <w:b w:val="0"/>
                <w:bCs w:val="0"/>
                <w:color w:val="auto"/>
                <w:sz w:val="21"/>
                <w:szCs w:val="21"/>
                <w:highlight w:val="none"/>
                <w:lang w:val="en-US" w:eastAsia="zh-CN"/>
              </w:rPr>
              <w:t>1套</w:t>
            </w:r>
          </w:p>
          <w:p w14:paraId="0292683D">
            <w:pPr>
              <w:pStyle w:val="31"/>
              <w:keepNext w:val="0"/>
              <w:keepLines w:val="0"/>
              <w:numPr>
                <w:ilvl w:val="0"/>
                <w:numId w:val="1"/>
              </w:numPr>
              <w:suppressLineNumbers w:val="0"/>
              <w:spacing w:before="0" w:beforeAutospacing="0" w:after="0" w:afterAutospacing="0"/>
              <w:ind w:left="0" w:right="0"/>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铂金电极1对</w:t>
            </w:r>
          </w:p>
          <w:p w14:paraId="3439A350">
            <w:pPr>
              <w:pStyle w:val="31"/>
              <w:keepNext w:val="0"/>
              <w:keepLines w:val="0"/>
              <w:numPr>
                <w:ilvl w:val="0"/>
                <w:numId w:val="1"/>
              </w:numPr>
              <w:suppressLineNumbers w:val="0"/>
              <w:spacing w:before="0" w:beforeAutospacing="0" w:after="0" w:afterAutospacing="0"/>
              <w:ind w:left="0" w:right="0"/>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凝胶托盘120×120 mm，120×60 mm，60×120 mm，60×60 mm</w:t>
            </w:r>
            <w:r>
              <w:rPr>
                <w:rFonts w:hint="eastAsia" w:ascii="宋体" w:hAnsi="宋体" w:eastAsia="宋体" w:cs="宋体"/>
                <w:b w:val="0"/>
                <w:bCs w:val="0"/>
                <w:color w:val="auto"/>
                <w:sz w:val="21"/>
                <w:szCs w:val="21"/>
                <w:highlight w:val="none"/>
                <w:lang w:val="en-US" w:eastAsia="zh-CN"/>
              </w:rPr>
              <w:t xml:space="preserve">  4</w:t>
            </w:r>
            <w:r>
              <w:rPr>
                <w:rFonts w:hint="eastAsia" w:ascii="宋体" w:hAnsi="宋体" w:eastAsia="宋体" w:cs="宋体"/>
                <w:b w:val="0"/>
                <w:bCs w:val="0"/>
                <w:color w:val="auto"/>
                <w:sz w:val="21"/>
                <w:szCs w:val="21"/>
                <w:highlight w:val="none"/>
                <w:lang w:val="en-US"/>
              </w:rPr>
              <w:t>个</w:t>
            </w:r>
          </w:p>
          <w:p w14:paraId="6DC81674">
            <w:pPr>
              <w:pStyle w:val="31"/>
              <w:keepNext w:val="0"/>
              <w:keepLines w:val="0"/>
              <w:numPr>
                <w:ilvl w:val="0"/>
                <w:numId w:val="1"/>
              </w:numPr>
              <w:suppressLineNumbers w:val="0"/>
              <w:spacing w:before="0" w:beforeAutospacing="0" w:after="0" w:afterAutospacing="0"/>
              <w:ind w:left="0" w:right="0"/>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梳子</w:t>
            </w:r>
            <w:r>
              <w:rPr>
                <w:rFonts w:hint="eastAsia" w:ascii="宋体" w:hAnsi="宋体" w:eastAsia="宋体" w:cs="宋体"/>
                <w:b w:val="0"/>
                <w:bCs w:val="0"/>
                <w:color w:val="auto"/>
                <w:sz w:val="21"/>
                <w:szCs w:val="21"/>
                <w:highlight w:val="none"/>
                <w:lang w:val="en-US" w:eastAsia="zh-CN"/>
              </w:rPr>
              <w:t>：0.75 mm：6+6齿/13齿，8+11齿/18齿，1.0 mm：11+11齿/25齿，1.5 mm：2+6齿/13齿，8+8齿/18齿，2.0mm：3+2齿/3+3齿，6把</w:t>
            </w:r>
          </w:p>
          <w:p w14:paraId="2C503837">
            <w:pPr>
              <w:pStyle w:val="31"/>
              <w:keepNext w:val="0"/>
              <w:keepLines w:val="0"/>
              <w:numPr>
                <w:ilvl w:val="0"/>
                <w:numId w:val="1"/>
              </w:numPr>
              <w:suppressLineNumbers w:val="0"/>
              <w:spacing w:before="0" w:beforeAutospacing="0" w:after="0" w:afterAutospacing="0"/>
              <w:ind w:left="0" w:right="0"/>
              <w:rPr>
                <w:rFonts w:hint="eastAsia" w:ascii="宋体" w:hAnsi="宋体" w:eastAsia="宋体" w:cs="宋体"/>
                <w:b/>
                <w:bCs/>
                <w:color w:val="auto"/>
                <w:szCs w:val="21"/>
                <w:highlight w:val="none"/>
              </w:rPr>
            </w:pPr>
            <w:r>
              <w:rPr>
                <w:rFonts w:hint="eastAsia" w:ascii="宋体" w:hAnsi="宋体" w:eastAsia="宋体" w:cs="宋体"/>
                <w:b w:val="0"/>
                <w:bCs w:val="0"/>
                <w:color w:val="auto"/>
                <w:sz w:val="21"/>
                <w:szCs w:val="21"/>
                <w:highlight w:val="none"/>
                <w:lang w:val="en-US"/>
              </w:rPr>
              <w:t>保修卡1份</w:t>
            </w:r>
          </w:p>
        </w:tc>
        <w:tc>
          <w:tcPr>
            <w:tcW w:w="701"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15C9A20">
            <w:pPr>
              <w:keepNext w:val="0"/>
              <w:keepLines w:val="0"/>
              <w:suppressLineNumbers w:val="0"/>
              <w:spacing w:before="0" w:beforeAutospacing="0" w:after="0" w:afterAutospacing="0"/>
              <w:ind w:left="0" w:leftChars="0" w:right="0" w:rightChars="0"/>
              <w:jc w:val="center"/>
              <w:rPr>
                <w:rFonts w:hint="eastAsia" w:ascii="宋体" w:hAnsi="宋体" w:eastAsia="宋体" w:cs="宋体"/>
                <w:b/>
                <w:bCs/>
                <w:color w:val="auto"/>
                <w:szCs w:val="21"/>
                <w:highlight w:val="none"/>
              </w:rPr>
            </w:pPr>
            <w:r>
              <w:rPr>
                <w:rFonts w:hint="eastAsia" w:ascii="宋体" w:hAnsi="宋体" w:eastAsia="宋体" w:cs="宋体"/>
                <w:b w:val="0"/>
                <w:bCs w:val="0"/>
                <w:color w:val="auto"/>
                <w:sz w:val="21"/>
                <w:szCs w:val="21"/>
                <w:highlight w:val="none"/>
              </w:rPr>
              <w:t>台</w:t>
            </w:r>
          </w:p>
        </w:tc>
        <w:tc>
          <w:tcPr>
            <w:tcW w:w="668" w:type="dxa"/>
            <w:tcBorders>
              <w:top w:val="single" w:color="auto" w:sz="4" w:space="0"/>
              <w:left w:val="single" w:color="auto" w:sz="4" w:space="0"/>
              <w:bottom w:val="single" w:color="auto" w:sz="4" w:space="0"/>
              <w:right w:val="single" w:color="auto" w:sz="4" w:space="0"/>
            </w:tcBorders>
            <w:vAlign w:val="center"/>
          </w:tcPr>
          <w:p w14:paraId="3F372AB2">
            <w:pPr>
              <w:keepNext w:val="0"/>
              <w:keepLines w:val="0"/>
              <w:suppressLineNumbers w:val="0"/>
              <w:spacing w:before="0" w:beforeAutospacing="0" w:after="0" w:afterAutospacing="0"/>
              <w:ind w:left="0" w:leftChars="0" w:right="0" w:rightChars="0"/>
              <w:jc w:val="center"/>
              <w:rPr>
                <w:rFonts w:hint="eastAsia" w:ascii="宋体" w:hAnsi="宋体" w:eastAsia="宋体" w:cs="宋体"/>
                <w:b/>
                <w:bCs/>
                <w:color w:val="auto"/>
                <w:szCs w:val="21"/>
                <w:highlight w:val="none"/>
              </w:rPr>
            </w:pPr>
            <w:r>
              <w:rPr>
                <w:rFonts w:hint="eastAsia" w:ascii="宋体" w:hAnsi="宋体" w:eastAsia="宋体" w:cs="宋体"/>
                <w:b w:val="0"/>
                <w:bCs w:val="0"/>
                <w:color w:val="auto"/>
                <w:sz w:val="21"/>
                <w:szCs w:val="21"/>
                <w:highlight w:val="none"/>
              </w:rPr>
              <w:t>1</w:t>
            </w:r>
          </w:p>
        </w:tc>
      </w:tr>
      <w:tr w14:paraId="3F99A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414"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9CB0C84">
            <w:pPr>
              <w:keepNext w:val="0"/>
              <w:keepLines w:val="0"/>
              <w:widowControl/>
              <w:numPr>
                <w:ilvl w:val="0"/>
                <w:numId w:val="0"/>
              </w:numPr>
              <w:suppressLineNumbers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bCs/>
                <w:color w:val="auto"/>
                <w:szCs w:val="21"/>
                <w:highlight w:val="none"/>
              </w:rPr>
            </w:pPr>
            <w:r>
              <w:rPr>
                <w:rFonts w:hint="eastAsia" w:ascii="宋体" w:hAnsi="宋体" w:eastAsia="宋体" w:cs="宋体"/>
                <w:b w:val="0"/>
                <w:bCs w:val="0"/>
                <w:color w:val="auto"/>
                <w:sz w:val="21"/>
                <w:szCs w:val="21"/>
                <w:highlight w:val="none"/>
                <w:lang w:val="en-US" w:eastAsia="zh-CN"/>
              </w:rPr>
              <w:t>5</w:t>
            </w:r>
          </w:p>
        </w:tc>
        <w:tc>
          <w:tcPr>
            <w:tcW w:w="883"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76C24C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bCs/>
                <w:color w:val="auto"/>
                <w:szCs w:val="21"/>
                <w:highlight w:val="none"/>
              </w:rPr>
            </w:pPr>
            <w:r>
              <w:rPr>
                <w:rFonts w:hint="eastAsia" w:ascii="宋体" w:hAnsi="宋体" w:eastAsia="宋体" w:cs="宋体"/>
                <w:b w:val="0"/>
                <w:bCs w:val="0"/>
                <w:color w:val="auto"/>
                <w:sz w:val="21"/>
                <w:szCs w:val="21"/>
                <w:highlight w:val="none"/>
              </w:rPr>
              <w:t>多功能荧光化学发光成像系统</w:t>
            </w:r>
          </w:p>
        </w:tc>
        <w:tc>
          <w:tcPr>
            <w:tcW w:w="6760"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5A842A5">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1.仪器应用范围</w:t>
            </w:r>
          </w:p>
          <w:p w14:paraId="2DDC6AD8">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1.1 仪器可实现Cy2、Cy3、Cy5等多色荧光以及近红外荧光的拍摄以及化学发光和普通凝胶成像及可见光成像；</w:t>
            </w:r>
          </w:p>
          <w:p w14:paraId="55E86137">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1.2 红、绿、蓝三色荧光成像，近红外荧光成像；</w:t>
            </w:r>
          </w:p>
          <w:p w14:paraId="7A727D99">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1.3 化学发光检测Western Lightning、 ECL、ECL plus、CDP Star、SuperSignal、CSPD、 LumiGlo等多种化学发光底物。</w:t>
            </w:r>
          </w:p>
          <w:p w14:paraId="517A9A6A">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1.4 DNA/RNA凝胶、蛋白质凝胶、印迹杂交膜放射自显影胶牌、酶标板、薄层层析板、培养皿的成像及分析。</w:t>
            </w:r>
          </w:p>
          <w:p w14:paraId="06DCC02B">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2.暗箱系统</w:t>
            </w:r>
          </w:p>
          <w:p w14:paraId="37F437E6">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2.1 </w:t>
            </w:r>
            <w:r>
              <w:rPr>
                <w:rFonts w:hint="eastAsia" w:ascii="宋体" w:hAnsi="宋体" w:cs="宋体"/>
                <w:b w:val="0"/>
                <w:bCs w:val="0"/>
                <w:color w:val="auto"/>
                <w:sz w:val="21"/>
                <w:szCs w:val="21"/>
                <w:highlight w:val="none"/>
                <w:lang w:val="en-US" w:eastAsia="zh-CN"/>
              </w:rPr>
              <w:t>配</w:t>
            </w:r>
            <w:r>
              <w:rPr>
                <w:rFonts w:hint="eastAsia" w:ascii="宋体" w:hAnsi="宋体" w:eastAsia="宋体" w:cs="宋体"/>
                <w:b w:val="0"/>
                <w:bCs w:val="0"/>
                <w:color w:val="auto"/>
                <w:sz w:val="21"/>
                <w:szCs w:val="21"/>
                <w:highlight w:val="none"/>
                <w:lang w:val="en-US" w:eastAsia="zh-CN"/>
              </w:rPr>
              <w:t>不小于</w:t>
            </w:r>
            <w:r>
              <w:rPr>
                <w:rFonts w:hint="eastAsia" w:ascii="宋体" w:hAnsi="宋体" w:eastAsia="宋体" w:cs="宋体"/>
                <w:b w:val="0"/>
                <w:bCs w:val="0"/>
                <w:color w:val="auto"/>
                <w:sz w:val="21"/>
                <w:szCs w:val="21"/>
                <w:highlight w:val="none"/>
              </w:rPr>
              <w:t>15.6寸电容触摸屏，可</w:t>
            </w:r>
            <w:r>
              <w:rPr>
                <w:rFonts w:hint="eastAsia" w:ascii="宋体" w:hAnsi="宋体" w:eastAsia="宋体" w:cs="宋体"/>
                <w:b w:val="0"/>
                <w:bCs w:val="0"/>
                <w:color w:val="auto"/>
                <w:sz w:val="21"/>
                <w:szCs w:val="21"/>
                <w:highlight w:val="none"/>
                <w:lang w:eastAsia="zh-CN"/>
              </w:rPr>
              <w:t>戴</w:t>
            </w:r>
            <w:r>
              <w:rPr>
                <w:rFonts w:hint="eastAsia" w:ascii="宋体" w:hAnsi="宋体" w:eastAsia="宋体" w:cs="宋体"/>
                <w:b w:val="0"/>
                <w:bCs w:val="0"/>
                <w:color w:val="auto"/>
                <w:sz w:val="21"/>
                <w:szCs w:val="21"/>
                <w:highlight w:val="none"/>
              </w:rPr>
              <w:t>手套操作；</w:t>
            </w:r>
          </w:p>
          <w:p w14:paraId="73843126">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操作系统：</w:t>
            </w:r>
            <w:r>
              <w:rPr>
                <w:rFonts w:hint="eastAsia" w:ascii="宋体" w:hAnsi="宋体" w:eastAsia="宋体" w:cs="宋体"/>
                <w:b w:val="0"/>
                <w:bCs w:val="0"/>
                <w:color w:val="auto"/>
                <w:sz w:val="21"/>
                <w:szCs w:val="21"/>
                <w:highlight w:val="none"/>
                <w:lang w:val="en-US" w:eastAsia="zh-CN"/>
              </w:rPr>
              <w:t>不低于</w:t>
            </w:r>
            <w:r>
              <w:rPr>
                <w:rFonts w:hint="eastAsia" w:ascii="宋体" w:hAnsi="宋体" w:eastAsia="宋体" w:cs="宋体"/>
                <w:b w:val="0"/>
                <w:bCs w:val="0"/>
                <w:color w:val="auto"/>
                <w:sz w:val="21"/>
                <w:szCs w:val="21"/>
                <w:highlight w:val="none"/>
              </w:rPr>
              <w:t>12代i5控制单元；</w:t>
            </w:r>
          </w:p>
          <w:p w14:paraId="7AC438F8">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 xml:space="preserve"> 自动门锁设计，仪器关门后自动锁门，保证仪器密闭性；</w:t>
            </w:r>
          </w:p>
          <w:p w14:paraId="011C7DB6">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3.相机</w:t>
            </w:r>
          </w:p>
          <w:p w14:paraId="0FB47E1A">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3.1 科研级制冷CMOS相机，灰度值为16 bit（0～65535级灰阶）；</w:t>
            </w:r>
          </w:p>
          <w:p w14:paraId="0F5B5CEF">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cs="宋体"/>
                <w:szCs w:val="21"/>
                <w:lang w:bidi="ar"/>
              </w:rPr>
              <w:t>■</w:t>
            </w:r>
            <w:r>
              <w:rPr>
                <w:rFonts w:hint="eastAsia" w:ascii="宋体" w:hAnsi="宋体" w:eastAsia="宋体" w:cs="宋体"/>
                <w:b w:val="0"/>
                <w:bCs w:val="0"/>
                <w:color w:val="auto"/>
                <w:sz w:val="21"/>
                <w:szCs w:val="21"/>
                <w:highlight w:val="none"/>
              </w:rPr>
              <w:t>3.2 有效分辨率≥3000 × 3000（≥900万像素）；</w:t>
            </w:r>
          </w:p>
          <w:p w14:paraId="64EF7D04">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3.3 像素尺寸：3.76um ×3.76um；</w:t>
            </w:r>
          </w:p>
          <w:p w14:paraId="6BC0A0F3">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3.4 制冷温度≤-47℃（</w:t>
            </w:r>
            <w:r>
              <w:rPr>
                <w:rFonts w:hint="eastAsia" w:ascii="宋体" w:hAnsi="宋体" w:eastAsia="宋体" w:cs="宋体"/>
                <w:b w:val="0"/>
                <w:bCs w:val="0"/>
                <w:color w:val="auto"/>
                <w:sz w:val="21"/>
                <w:szCs w:val="21"/>
                <w:highlight w:val="none"/>
                <w:lang w:val="en-US" w:eastAsia="zh-CN"/>
              </w:rPr>
              <w:t>并能</w:t>
            </w:r>
            <w:r>
              <w:rPr>
                <w:rFonts w:hint="eastAsia" w:ascii="宋体" w:hAnsi="宋体" w:eastAsia="宋体" w:cs="宋体"/>
                <w:b w:val="0"/>
                <w:bCs w:val="0"/>
                <w:color w:val="auto"/>
                <w:sz w:val="21"/>
                <w:szCs w:val="21"/>
                <w:highlight w:val="none"/>
              </w:rPr>
              <w:t>动态实时显示相机制冷温度）;</w:t>
            </w:r>
          </w:p>
          <w:p w14:paraId="14D3F66D">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3.5 暗电流：&lt;0.0005e-/pixel/sec ;</w:t>
            </w:r>
          </w:p>
          <w:p w14:paraId="685ED945">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3.6 感光效率&gt;92%;</w:t>
            </w:r>
          </w:p>
          <w:p w14:paraId="61A987F9">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3.7 具有Binning模式，可实现1×1，2×2，3×3，4×4，6×6，8×8像素合并；</w:t>
            </w:r>
          </w:p>
          <w:p w14:paraId="70486290">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3.8 成像动态范围为0～4.5 OD，高灵敏度；</w:t>
            </w:r>
          </w:p>
          <w:p w14:paraId="25740770">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4.镜头</w:t>
            </w:r>
          </w:p>
          <w:p w14:paraId="6FA33495">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4.1 </w:t>
            </w:r>
            <w:r>
              <w:rPr>
                <w:rFonts w:hint="eastAsia" w:ascii="宋体" w:hAnsi="宋体" w:eastAsia="宋体" w:cs="宋体"/>
                <w:b w:val="0"/>
                <w:bCs w:val="0"/>
                <w:color w:val="auto"/>
                <w:sz w:val="21"/>
                <w:szCs w:val="21"/>
                <w:highlight w:val="none"/>
                <w:lang w:val="en-US" w:eastAsia="zh-CN"/>
              </w:rPr>
              <w:t>不小于</w:t>
            </w:r>
            <w:r>
              <w:rPr>
                <w:rFonts w:hint="eastAsia" w:ascii="宋体" w:hAnsi="宋体" w:eastAsia="宋体" w:cs="宋体"/>
                <w:b w:val="0"/>
                <w:bCs w:val="0"/>
                <w:color w:val="auto"/>
                <w:sz w:val="21"/>
                <w:szCs w:val="21"/>
                <w:highlight w:val="none"/>
              </w:rPr>
              <w:t>F0.8高清晰大口径电动镜头，可自动聚焦；</w:t>
            </w:r>
          </w:p>
          <w:p w14:paraId="0B4CE239">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5.光源和滤镜系统</w:t>
            </w:r>
          </w:p>
          <w:p w14:paraId="4B51D2BB">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5.1 标配三波段LED透射光源，紫外LED（302nm）/蓝光LED（470nm）/白光LED，均光板自动识别光源并开启，拍照后自动关闭，也可设置定时关闭。</w:t>
            </w:r>
          </w:p>
          <w:p w14:paraId="769CC1EB">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5.2 标配254nm和365nm落射紫外光源；</w:t>
            </w:r>
          </w:p>
          <w:p w14:paraId="1FC9B968">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5.3 标配双侧落射白光光源，LED反射灯*2；</w:t>
            </w:r>
          </w:p>
          <w:p w14:paraId="10F7F51C">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5.4 标配两侧落射荧光：红625nm、绿525nm、蓝470nm、近红外660nm、740nm；</w:t>
            </w:r>
          </w:p>
          <w:p w14:paraId="7079EF70">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5.5 标配≥7位电动滤光轮，标配535nm、590nm、605nm、700nm、715nm、810nm滤光片；</w:t>
            </w:r>
          </w:p>
          <w:p w14:paraId="51F8392F">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6.图片采集分析软件</w:t>
            </w:r>
          </w:p>
          <w:p w14:paraId="1651AF11">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6.1支持多用户操作，各用户可分别设置用户名及密码，以保护数据安全；</w:t>
            </w:r>
          </w:p>
          <w:p w14:paraId="0068E501">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6.2两种拍摄模式：单张、多张，满足不同用户的使用习惯，可选择是否拍摄Marker，可调节图像显示模式；</w:t>
            </w:r>
          </w:p>
          <w:p w14:paraId="4DA8B220">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6.3 智能条带识别功能，帮助自动识别条带；</w:t>
            </w:r>
          </w:p>
          <w:p w14:paraId="661034BE">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6.4 可一键式成像，无需调整曝光参数，简化成像操作；</w:t>
            </w:r>
          </w:p>
          <w:p w14:paraId="10515CB8">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6.5 自动/手动合并Marker和样品图片；</w:t>
            </w:r>
          </w:p>
          <w:p w14:paraId="6941B3A0">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6.6 多张拍摄时，可选择信号积累和时间累积两种拍摄模式</w:t>
            </w:r>
          </w:p>
          <w:p w14:paraId="0C26CC4B">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6.7 采集图片可自动存档，无需手动保存；</w:t>
            </w:r>
          </w:p>
          <w:p w14:paraId="459AA141">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6.8 可批量导出图片到指定文件夹；</w:t>
            </w:r>
          </w:p>
          <w:p w14:paraId="1C6D8F6A">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6.9 可自动定时清理图像文件，节省空间；</w:t>
            </w:r>
          </w:p>
          <w:p w14:paraId="51856E36">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6.10 支持多种图像格式导入/导出功能；</w:t>
            </w:r>
          </w:p>
          <w:p w14:paraId="77E4000C">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6.11 丰富的图像处理功能：裁切、旋转、缩放、亮度和对比度调节、反色、伪彩、标注、直方图、合并等；</w:t>
            </w:r>
          </w:p>
          <w:p w14:paraId="21A19E7F">
            <w:pPr>
              <w:keepNext w:val="0"/>
              <w:keepLines w:val="0"/>
              <w:suppressLineNumbers w:val="0"/>
              <w:spacing w:before="0" w:beforeAutospacing="0" w:after="0" w:afterAutospacing="0"/>
              <w:ind w:left="0" w:right="0"/>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6.12智能图像分析软件， 满足核酸胶分析、印迹分析等多种应用</w:t>
            </w:r>
          </w:p>
          <w:p w14:paraId="36232274">
            <w:pPr>
              <w:keepNext w:val="0"/>
              <w:keepLines w:val="0"/>
              <w:suppressLineNumbers w:val="0"/>
              <w:spacing w:before="0" w:beforeAutospacing="0" w:after="0" w:afterAutospacing="0"/>
              <w:ind w:left="0" w:right="0"/>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6.13自动泳道、条带和边缘识别，也可手动条带识别</w:t>
            </w:r>
          </w:p>
          <w:p w14:paraId="27D9F86B">
            <w:pPr>
              <w:keepNext w:val="0"/>
              <w:keepLines w:val="0"/>
              <w:suppressLineNumbers w:val="0"/>
              <w:spacing w:before="0" w:beforeAutospacing="0" w:after="0" w:afterAutospacing="0"/>
              <w:ind w:left="0" w:right="0"/>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6.14分子量/bp数、浓度测算</w:t>
            </w:r>
          </w:p>
          <w:p w14:paraId="46432577">
            <w:pPr>
              <w:keepNext w:val="0"/>
              <w:keepLines w:val="0"/>
              <w:suppressLineNumbers w:val="0"/>
              <w:spacing w:before="0" w:beforeAutospacing="0" w:after="0" w:afterAutospacing="0"/>
              <w:ind w:left="0" w:right="0"/>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6.15手动条带定量，可对条带定量分析</w:t>
            </w:r>
          </w:p>
          <w:p w14:paraId="6068B5EF">
            <w:pPr>
              <w:keepNext w:val="0"/>
              <w:keepLines w:val="0"/>
              <w:suppressLineNumbers w:val="0"/>
              <w:spacing w:before="0" w:beforeAutospacing="0" w:after="0" w:afterAutospacing="0"/>
              <w:ind w:left="0" w:right="0"/>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6.16结果可输出到EXCEL、WORD</w:t>
            </w:r>
          </w:p>
          <w:p w14:paraId="28045357">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6.17中/英文任意切换，操作简单，软件终身免费升级。</w:t>
            </w:r>
          </w:p>
          <w:p w14:paraId="3D76E58B">
            <w:pPr>
              <w:keepNext w:val="0"/>
              <w:keepLines w:val="0"/>
              <w:suppressLineNumbers w:val="0"/>
              <w:spacing w:before="0" w:beforeAutospacing="0" w:after="0" w:afterAutospacing="0"/>
              <w:ind w:left="0" w:right="0"/>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7.配置清单</w:t>
            </w:r>
          </w:p>
          <w:p w14:paraId="511AB660">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电源线</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t>3芯x0.75cmx1.5 m</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根</w:t>
            </w:r>
          </w:p>
          <w:p w14:paraId="0A138568">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白光均光板</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t>288x245 mm</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个</w:t>
            </w:r>
          </w:p>
          <w:p w14:paraId="45D39C98">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蓝光均光板</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t>288x245 mm</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个</w:t>
            </w:r>
          </w:p>
          <w:p w14:paraId="3DB6BC0C">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紫外均光板</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t>288x245 mm</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个</w:t>
            </w:r>
          </w:p>
          <w:p w14:paraId="15117E4C">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样品台板</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t>288x245 mm</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个</w:t>
            </w:r>
          </w:p>
          <w:p w14:paraId="043FF250">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置物架</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t>白色五格挡</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个</w:t>
            </w:r>
          </w:p>
          <w:p w14:paraId="3CAEA790">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rPr>
              <w:t>标配</w:t>
            </w:r>
            <w:r>
              <w:rPr>
                <w:rFonts w:hint="eastAsia" w:ascii="宋体" w:hAnsi="宋体" w:eastAsia="宋体" w:cs="宋体"/>
                <w:b w:val="0"/>
                <w:bCs w:val="0"/>
                <w:color w:val="auto"/>
                <w:sz w:val="21"/>
                <w:szCs w:val="21"/>
                <w:highlight w:val="none"/>
                <w:lang w:val="en-US" w:eastAsia="zh-CN"/>
              </w:rPr>
              <w:t>不少于</w:t>
            </w:r>
            <w:r>
              <w:rPr>
                <w:rFonts w:hint="eastAsia" w:ascii="宋体" w:hAnsi="宋体" w:eastAsia="宋体" w:cs="宋体"/>
                <w:b w:val="0"/>
                <w:bCs w:val="0"/>
                <w:color w:val="auto"/>
                <w:sz w:val="21"/>
                <w:szCs w:val="21"/>
                <w:highlight w:val="none"/>
              </w:rPr>
              <w:t>三波段LED透射光源，紫外LED（302nm）/蓝光LED（470nm）/白光LED。</w:t>
            </w:r>
          </w:p>
          <w:p w14:paraId="5D9A0F74">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rPr>
              <w:t>标配254nm和365nm落射紫外光源；标配双侧落射白光光源，LED反射灯*2；</w:t>
            </w:r>
          </w:p>
          <w:p w14:paraId="614C1A12">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（9）</w:t>
            </w:r>
            <w:r>
              <w:rPr>
                <w:rFonts w:hint="eastAsia" w:ascii="宋体" w:hAnsi="宋体" w:eastAsia="宋体" w:cs="宋体"/>
                <w:b w:val="0"/>
                <w:bCs w:val="0"/>
                <w:color w:val="auto"/>
                <w:sz w:val="21"/>
                <w:szCs w:val="21"/>
                <w:highlight w:val="none"/>
              </w:rPr>
              <w:t>标配两侧落射荧光：红625nm、绿525nm、蓝470nm、近红外≥660nm、≥740nm；</w:t>
            </w:r>
          </w:p>
          <w:p w14:paraId="49B44E35">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标配≥7位电动滤光轮，标配535nm、590nm、605nm、700nm、≥715nm、≥810nm滤光片；</w:t>
            </w:r>
          </w:p>
          <w:p w14:paraId="09509C3B">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取胶器</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把</w:t>
            </w:r>
          </w:p>
          <w:p w14:paraId="2983EC0E">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12</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使用说明书</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t>多功能成像分析系统快速说明</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份</w:t>
            </w:r>
          </w:p>
          <w:p w14:paraId="22824196">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13</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出厂检验报告</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份</w:t>
            </w:r>
            <w:r>
              <w:rPr>
                <w:rFonts w:hint="eastAsia" w:ascii="宋体" w:hAnsi="宋体" w:eastAsia="宋体" w:cs="宋体"/>
                <w:b w:val="0"/>
                <w:bCs w:val="0"/>
                <w:color w:val="auto"/>
                <w:sz w:val="21"/>
                <w:szCs w:val="21"/>
                <w:highlight w:val="none"/>
              </w:rPr>
              <w:tab/>
            </w:r>
          </w:p>
          <w:p w14:paraId="4ED84071">
            <w:pPr>
              <w:keepNext w:val="0"/>
              <w:keepLines w:val="0"/>
              <w:suppressLineNumbers w:val="0"/>
              <w:spacing w:before="0" w:beforeAutospacing="0" w:after="0" w:afterAutospacing="0"/>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14</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合格证</w:t>
            </w:r>
            <w:r>
              <w:rPr>
                <w:rFonts w:hint="eastAsia" w:ascii="宋体" w:hAnsi="宋体" w:eastAsia="宋体" w:cs="宋体"/>
                <w:b w:val="0"/>
                <w:bCs w:val="0"/>
                <w:color w:val="auto"/>
                <w:sz w:val="21"/>
                <w:szCs w:val="21"/>
                <w:highlight w:val="none"/>
                <w:lang w:val="en-US" w:eastAsia="zh-CN"/>
              </w:rPr>
              <w:t xml:space="preserve"> 1</w:t>
            </w:r>
            <w:r>
              <w:rPr>
                <w:rFonts w:hint="eastAsia" w:ascii="宋体" w:hAnsi="宋体" w:eastAsia="宋体" w:cs="宋体"/>
                <w:b w:val="0"/>
                <w:bCs w:val="0"/>
                <w:color w:val="auto"/>
                <w:sz w:val="21"/>
                <w:szCs w:val="21"/>
                <w:highlight w:val="none"/>
              </w:rPr>
              <w:t>份</w:t>
            </w:r>
          </w:p>
          <w:p w14:paraId="0A4DDEE2">
            <w:pPr>
              <w:keepNext w:val="0"/>
              <w:keepLines w:val="0"/>
              <w:suppressLineNumbers w:val="0"/>
              <w:spacing w:before="0" w:beforeAutospacing="0" w:after="0" w:afterAutospacing="0"/>
              <w:ind w:left="0" w:right="0"/>
              <w:rPr>
                <w:rFonts w:hint="eastAsia" w:ascii="宋体" w:hAnsi="宋体" w:eastAsia="宋体" w:cs="宋体"/>
                <w:b/>
                <w:bCs/>
                <w:color w:val="auto"/>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保修卡</w:t>
            </w:r>
            <w:r>
              <w:rPr>
                <w:rFonts w:hint="eastAsia" w:ascii="宋体" w:hAnsi="宋体" w:eastAsia="宋体" w:cs="宋体"/>
                <w:color w:val="auto"/>
                <w:lang w:val="en-US" w:eastAsia="zh-CN"/>
              </w:rPr>
              <w:t xml:space="preserve"> </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份</w:t>
            </w:r>
          </w:p>
        </w:tc>
        <w:tc>
          <w:tcPr>
            <w:tcW w:w="701"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74C9A22">
            <w:pPr>
              <w:keepNext w:val="0"/>
              <w:keepLines w:val="0"/>
              <w:suppressLineNumbers w:val="0"/>
              <w:spacing w:before="0" w:beforeAutospacing="0" w:after="0" w:afterAutospacing="0"/>
              <w:ind w:left="0" w:leftChars="0" w:right="0" w:rightChars="0"/>
              <w:jc w:val="center"/>
              <w:rPr>
                <w:rFonts w:hint="eastAsia" w:ascii="宋体" w:hAnsi="宋体" w:eastAsia="宋体" w:cs="宋体"/>
                <w:b/>
                <w:bCs/>
                <w:color w:val="auto"/>
                <w:szCs w:val="21"/>
                <w:highlight w:val="none"/>
              </w:rPr>
            </w:pPr>
            <w:r>
              <w:rPr>
                <w:rFonts w:hint="eastAsia" w:ascii="宋体" w:hAnsi="宋体" w:eastAsia="宋体" w:cs="宋体"/>
                <w:b w:val="0"/>
                <w:bCs w:val="0"/>
                <w:color w:val="auto"/>
                <w:sz w:val="21"/>
                <w:szCs w:val="21"/>
                <w:highlight w:val="none"/>
              </w:rPr>
              <w:t>台</w:t>
            </w:r>
          </w:p>
        </w:tc>
        <w:tc>
          <w:tcPr>
            <w:tcW w:w="668" w:type="dxa"/>
            <w:tcBorders>
              <w:top w:val="single" w:color="auto" w:sz="4" w:space="0"/>
              <w:left w:val="single" w:color="auto" w:sz="4" w:space="0"/>
              <w:bottom w:val="single" w:color="auto" w:sz="4" w:space="0"/>
              <w:right w:val="single" w:color="auto" w:sz="4" w:space="0"/>
            </w:tcBorders>
            <w:vAlign w:val="center"/>
          </w:tcPr>
          <w:p w14:paraId="635D1A4A">
            <w:pPr>
              <w:keepNext w:val="0"/>
              <w:keepLines w:val="0"/>
              <w:suppressLineNumbers w:val="0"/>
              <w:spacing w:before="0" w:beforeAutospacing="0" w:after="0" w:afterAutospacing="0"/>
              <w:ind w:left="0" w:leftChars="0" w:right="0" w:rightChars="0"/>
              <w:jc w:val="center"/>
              <w:rPr>
                <w:rFonts w:hint="eastAsia" w:ascii="宋体" w:hAnsi="宋体" w:eastAsia="宋体" w:cs="宋体"/>
                <w:b/>
                <w:bCs/>
                <w:color w:val="auto"/>
                <w:szCs w:val="21"/>
                <w:highlight w:val="none"/>
              </w:rPr>
            </w:pPr>
            <w:r>
              <w:rPr>
                <w:rFonts w:hint="eastAsia" w:ascii="宋体" w:hAnsi="宋体" w:eastAsia="宋体" w:cs="宋体"/>
                <w:b w:val="0"/>
                <w:bCs w:val="0"/>
                <w:color w:val="auto"/>
                <w:sz w:val="21"/>
                <w:szCs w:val="21"/>
                <w:highlight w:val="none"/>
              </w:rPr>
              <w:t>1</w:t>
            </w:r>
          </w:p>
        </w:tc>
      </w:tr>
      <w:tr w14:paraId="589CD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414"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91ACB31">
            <w:pPr>
              <w:keepNext w:val="0"/>
              <w:keepLines w:val="0"/>
              <w:numPr>
                <w:ilvl w:val="0"/>
                <w:numId w:val="0"/>
              </w:numPr>
              <w:suppressLineNumbers w:val="0"/>
              <w:spacing w:before="0" w:beforeAutospacing="0" w:after="0" w:afterAutospacing="0" w:line="240" w:lineRule="auto"/>
              <w:ind w:left="142" w:leftChars="0" w:right="0" w:rightChars="0" w:firstLine="0" w:firstLineChars="0"/>
              <w:jc w:val="center"/>
              <w:rPr>
                <w:rFonts w:hint="eastAsia" w:ascii="宋体" w:hAnsi="宋体" w:eastAsia="宋体" w:cs="宋体"/>
                <w:b/>
                <w:bCs/>
                <w:color w:val="auto"/>
                <w:szCs w:val="21"/>
              </w:rPr>
            </w:pPr>
            <w:r>
              <w:rPr>
                <w:rFonts w:hint="eastAsia" w:ascii="宋体" w:hAnsi="宋体" w:eastAsia="宋体" w:cs="宋体"/>
                <w:b w:val="0"/>
                <w:bCs w:val="0"/>
                <w:color w:val="auto"/>
                <w:sz w:val="21"/>
                <w:szCs w:val="21"/>
                <w:lang w:val="en-US" w:eastAsia="zh-CN"/>
              </w:rPr>
              <w:t>6</w:t>
            </w:r>
          </w:p>
        </w:tc>
        <w:tc>
          <w:tcPr>
            <w:tcW w:w="883"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89377C7">
            <w:pPr>
              <w:keepNext w:val="0"/>
              <w:keepLines w:val="0"/>
              <w:suppressLineNumbers w:val="0"/>
              <w:spacing w:before="0" w:beforeAutospacing="0" w:after="0" w:afterAutospacing="0"/>
              <w:ind w:left="0" w:leftChars="0" w:right="0" w:rightChars="0"/>
              <w:jc w:val="center"/>
              <w:rPr>
                <w:rFonts w:hint="eastAsia" w:ascii="宋体" w:hAnsi="宋体" w:eastAsia="宋体" w:cs="宋体"/>
                <w:b/>
                <w:bCs/>
                <w:color w:val="auto"/>
                <w:szCs w:val="21"/>
              </w:rPr>
            </w:pPr>
            <w:r>
              <w:rPr>
                <w:rFonts w:hint="eastAsia" w:ascii="宋体" w:hAnsi="宋体" w:eastAsia="宋体" w:cs="宋体"/>
                <w:b w:val="0"/>
                <w:bCs w:val="0"/>
                <w:color w:val="auto"/>
                <w:sz w:val="21"/>
                <w:szCs w:val="21"/>
              </w:rPr>
              <w:t>超声细胞破碎仪</w:t>
            </w:r>
          </w:p>
        </w:tc>
        <w:tc>
          <w:tcPr>
            <w:tcW w:w="6760"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37AC772">
            <w:pPr>
              <w:keepNext w:val="0"/>
              <w:keepLines w:val="0"/>
              <w:suppressLineNumbers w:val="0"/>
              <w:spacing w:before="0" w:beforeAutospacing="0" w:after="0" w:afterAutospacing="0"/>
              <w:ind w:left="0" w:right="0"/>
              <w:jc w:val="left"/>
              <w:rPr>
                <w:rFonts w:hint="eastAsia" w:ascii="宋体" w:hAnsi="宋体" w:eastAsia="宋体" w:cs="宋体"/>
                <w:b w:val="0"/>
                <w:bCs w:val="0"/>
                <w:color w:val="auto"/>
                <w:szCs w:val="21"/>
              </w:rPr>
            </w:pPr>
            <w:r>
              <w:rPr>
                <w:rFonts w:hint="eastAsia" w:ascii="宋体" w:hAnsi="宋体" w:eastAsia="宋体" w:cs="宋体"/>
                <w:b w:val="0"/>
                <w:bCs w:val="0"/>
                <w:color w:val="auto"/>
                <w:szCs w:val="21"/>
              </w:rPr>
              <w:t>1.采用超声电源控制技术，它激式超声电路，可实现连续不间断超声，自动追踪频率及自动谐振点和功率控制，无需频繁手动调节设置，占空比可实现0.1-99.9%调节。</w:t>
            </w:r>
          </w:p>
          <w:p w14:paraId="2D8C67E6">
            <w:pPr>
              <w:keepNext w:val="0"/>
              <w:keepLines w:val="0"/>
              <w:suppressLineNumbers w:val="0"/>
              <w:spacing w:before="0" w:beforeAutospacing="0" w:after="0" w:afterAutospacing="0"/>
              <w:ind w:left="0" w:right="0"/>
              <w:jc w:val="left"/>
              <w:rPr>
                <w:rFonts w:hint="eastAsia" w:ascii="宋体" w:hAnsi="宋体" w:eastAsia="宋体" w:cs="宋体"/>
                <w:b w:val="0"/>
                <w:bCs w:val="0"/>
                <w:color w:val="auto"/>
                <w:szCs w:val="21"/>
              </w:rPr>
            </w:pPr>
            <w:r>
              <w:rPr>
                <w:rFonts w:hint="eastAsia" w:ascii="宋体" w:hAnsi="宋体" w:eastAsia="宋体" w:cs="宋体"/>
                <w:b w:val="0"/>
                <w:bCs w:val="0"/>
                <w:color w:val="auto"/>
                <w:szCs w:val="21"/>
              </w:rPr>
              <w:t>2.高变幅比换能器，最大功率工作状态下，6mm变幅杆振幅不低于80um。</w:t>
            </w:r>
          </w:p>
          <w:p w14:paraId="262E6658">
            <w:pPr>
              <w:keepNext w:val="0"/>
              <w:keepLines w:val="0"/>
              <w:suppressLineNumbers w:val="0"/>
              <w:spacing w:before="0" w:beforeAutospacing="0" w:after="0" w:afterAutospacing="0"/>
              <w:ind w:left="0" w:right="0"/>
              <w:jc w:val="left"/>
              <w:rPr>
                <w:rFonts w:hint="eastAsia" w:ascii="宋体" w:hAnsi="宋体" w:eastAsia="宋体" w:cs="宋体"/>
                <w:b w:val="0"/>
                <w:bCs w:val="0"/>
                <w:color w:val="auto"/>
                <w:szCs w:val="21"/>
              </w:rPr>
            </w:pPr>
            <w:r>
              <w:rPr>
                <w:rFonts w:hint="eastAsia" w:ascii="宋体" w:hAnsi="宋体" w:eastAsia="宋体" w:cs="宋体"/>
                <w:b w:val="0"/>
                <w:bCs w:val="0"/>
                <w:color w:val="auto"/>
                <w:szCs w:val="21"/>
              </w:rPr>
              <w:t>3.采用</w:t>
            </w:r>
            <w:r>
              <w:rPr>
                <w:rFonts w:hint="eastAsia"/>
                <w:color w:val="auto"/>
                <w:lang w:val="en-US" w:eastAsia="zh-CN"/>
              </w:rPr>
              <w:t>不小于</w:t>
            </w:r>
            <w:r>
              <w:rPr>
                <w:rFonts w:hint="eastAsia" w:ascii="宋体" w:hAnsi="宋体" w:eastAsia="宋体" w:cs="宋体"/>
                <w:b w:val="0"/>
                <w:bCs w:val="0"/>
                <w:color w:val="auto"/>
                <w:szCs w:val="21"/>
              </w:rPr>
              <w:t>7英寸TFT触摸屏，可实现时间、温度、功率及连续模式和间隙模式显示，实时显示工作参数，运行状态倒计时显示；</w:t>
            </w:r>
          </w:p>
          <w:p w14:paraId="44A96126">
            <w:pPr>
              <w:keepNext w:val="0"/>
              <w:keepLines w:val="0"/>
              <w:suppressLineNumbers w:val="0"/>
              <w:spacing w:before="0" w:beforeAutospacing="0" w:after="0" w:afterAutospacing="0"/>
              <w:ind w:left="0" w:right="0"/>
              <w:jc w:val="left"/>
              <w:rPr>
                <w:rFonts w:hint="eastAsia" w:ascii="宋体" w:hAnsi="宋体" w:eastAsia="宋体" w:cs="宋体"/>
                <w:b w:val="0"/>
                <w:bCs w:val="0"/>
                <w:color w:val="auto"/>
                <w:szCs w:val="21"/>
              </w:rPr>
            </w:pPr>
            <w:r>
              <w:rPr>
                <w:rFonts w:hint="eastAsia" w:ascii="宋体" w:hAnsi="宋体" w:eastAsia="宋体" w:cs="宋体"/>
                <w:b w:val="0"/>
                <w:bCs w:val="0"/>
                <w:color w:val="auto"/>
                <w:szCs w:val="21"/>
              </w:rPr>
              <w:t>4.可选择连续超声模式以及</w:t>
            </w:r>
            <w:r>
              <w:rPr>
                <w:rFonts w:hint="eastAsia" w:ascii="宋体" w:hAnsi="宋体" w:eastAsia="宋体" w:cs="宋体"/>
                <w:b w:val="0"/>
                <w:bCs w:val="0"/>
                <w:color w:val="auto"/>
                <w:szCs w:val="21"/>
                <w:lang w:val="en-US" w:eastAsia="zh-CN"/>
              </w:rPr>
              <w:t>间歇</w:t>
            </w:r>
            <w:r>
              <w:rPr>
                <w:rFonts w:hint="eastAsia" w:ascii="宋体" w:hAnsi="宋体" w:eastAsia="宋体" w:cs="宋体"/>
                <w:b w:val="0"/>
                <w:bCs w:val="0"/>
                <w:color w:val="auto"/>
                <w:szCs w:val="21"/>
              </w:rPr>
              <w:t>性超声模式两种模式，并带有测试功能，也可空载运行，满足不同强度不同需求的实验场景。</w:t>
            </w:r>
          </w:p>
          <w:p w14:paraId="6B2C6F47">
            <w:pPr>
              <w:keepNext w:val="0"/>
              <w:keepLines w:val="0"/>
              <w:suppressLineNumbers w:val="0"/>
              <w:spacing w:before="0" w:beforeAutospacing="0" w:after="0" w:afterAutospacing="0"/>
              <w:ind w:left="0" w:right="0"/>
              <w:jc w:val="left"/>
              <w:rPr>
                <w:rFonts w:hint="eastAsia" w:ascii="宋体" w:hAnsi="宋体" w:eastAsia="宋体" w:cs="宋体"/>
                <w:b w:val="0"/>
                <w:bCs w:val="0"/>
                <w:color w:val="auto"/>
                <w:szCs w:val="21"/>
              </w:rPr>
            </w:pPr>
            <w:r>
              <w:rPr>
                <w:rFonts w:hint="eastAsia" w:ascii="宋体" w:hAnsi="宋体" w:eastAsia="宋体" w:cs="宋体"/>
                <w:b w:val="0"/>
                <w:bCs w:val="0"/>
                <w:color w:val="auto"/>
                <w:szCs w:val="21"/>
              </w:rPr>
              <w:t>5.连续超声模式下，超声时间不少于999min；间隙模式下，具备开/关秒冲定时器，超声时间可设置0.1-99.9s，间隙时间可设置0.1-99.9s，总时间（间隙+超声）可设置时间不少于999min。</w:t>
            </w:r>
          </w:p>
          <w:p w14:paraId="7D652E78">
            <w:pPr>
              <w:keepNext w:val="0"/>
              <w:keepLines w:val="0"/>
              <w:suppressLineNumbers w:val="0"/>
              <w:spacing w:before="0" w:beforeAutospacing="0" w:after="0" w:afterAutospacing="0"/>
              <w:ind w:left="0" w:right="0"/>
              <w:jc w:val="left"/>
              <w:rPr>
                <w:rFonts w:hint="eastAsia" w:ascii="宋体" w:hAnsi="宋体" w:eastAsia="宋体" w:cs="宋体"/>
                <w:b w:val="0"/>
                <w:bCs w:val="0"/>
                <w:color w:val="auto"/>
                <w:szCs w:val="21"/>
              </w:rPr>
            </w:pPr>
            <w:r>
              <w:rPr>
                <w:rFonts w:hint="eastAsia" w:ascii="宋体" w:hAnsi="宋体" w:eastAsia="宋体" w:cs="宋体"/>
                <w:b w:val="0"/>
                <w:bCs w:val="0"/>
                <w:color w:val="auto"/>
                <w:szCs w:val="21"/>
              </w:rPr>
              <w:t>6.具备智能微处理控制系统，可存储≥20组的工作预设程序，满足不同的实验条件与场景，快速实验。</w:t>
            </w:r>
          </w:p>
          <w:p w14:paraId="01EECE3C">
            <w:pPr>
              <w:keepNext w:val="0"/>
              <w:keepLines w:val="0"/>
              <w:suppressLineNumbers w:val="0"/>
              <w:spacing w:before="0" w:beforeAutospacing="0" w:after="0" w:afterAutospacing="0"/>
              <w:ind w:left="0" w:right="0"/>
              <w:jc w:val="left"/>
              <w:rPr>
                <w:rFonts w:hint="eastAsia" w:ascii="宋体" w:hAnsi="宋体" w:eastAsia="宋体" w:cs="宋体"/>
                <w:b w:val="0"/>
                <w:bCs w:val="0"/>
                <w:color w:val="auto"/>
                <w:szCs w:val="21"/>
              </w:rPr>
            </w:pPr>
            <w:r>
              <w:rPr>
                <w:rFonts w:hint="eastAsia" w:ascii="宋体" w:hAnsi="宋体" w:eastAsia="宋体" w:cs="宋体"/>
                <w:b w:val="0"/>
                <w:bCs w:val="0"/>
                <w:color w:val="auto"/>
                <w:szCs w:val="21"/>
              </w:rPr>
              <w:t>7.超声变频器采用锆钛酸铅晶体压电变频器，密封处理隔离水汽和腐蚀性气体。</w:t>
            </w:r>
          </w:p>
          <w:p w14:paraId="60234A41">
            <w:pPr>
              <w:keepNext w:val="0"/>
              <w:keepLines w:val="0"/>
              <w:suppressLineNumbers w:val="0"/>
              <w:spacing w:before="0" w:beforeAutospacing="0" w:after="0" w:afterAutospacing="0"/>
              <w:ind w:left="0" w:right="0"/>
              <w:jc w:val="left"/>
              <w:rPr>
                <w:rFonts w:hint="eastAsia" w:ascii="宋体" w:hAnsi="宋体" w:eastAsia="宋体" w:cs="宋体"/>
                <w:b w:val="0"/>
                <w:bCs w:val="0"/>
                <w:color w:val="auto"/>
                <w:szCs w:val="21"/>
              </w:rPr>
            </w:pPr>
            <w:r>
              <w:rPr>
                <w:rFonts w:hint="eastAsia" w:ascii="宋体" w:hAnsi="宋体" w:eastAsia="宋体" w:cs="宋体"/>
                <w:b w:val="0"/>
                <w:bCs w:val="0"/>
                <w:color w:val="auto"/>
                <w:szCs w:val="21"/>
              </w:rPr>
              <w:t>8.具有自动振幅和脉冲补偿功能，可维持实验过程超声频率稳定，确保探头振幅不因承载变化而变化。</w:t>
            </w:r>
          </w:p>
          <w:p w14:paraId="1DA608BD">
            <w:pPr>
              <w:keepNext w:val="0"/>
              <w:keepLines w:val="0"/>
              <w:suppressLineNumbers w:val="0"/>
              <w:spacing w:before="0" w:beforeAutospacing="0" w:after="0" w:afterAutospacing="0"/>
              <w:ind w:left="0" w:right="0"/>
              <w:jc w:val="left"/>
              <w:rPr>
                <w:rFonts w:hint="eastAsia" w:ascii="宋体" w:hAnsi="宋体" w:eastAsia="宋体" w:cs="宋体"/>
                <w:b w:val="0"/>
                <w:bCs w:val="0"/>
                <w:color w:val="auto"/>
                <w:szCs w:val="21"/>
              </w:rPr>
            </w:pPr>
            <w:r>
              <w:rPr>
                <w:rFonts w:hint="eastAsia" w:ascii="宋体" w:hAnsi="宋体" w:eastAsia="宋体" w:cs="宋体"/>
                <w:b w:val="0"/>
                <w:bCs w:val="0"/>
                <w:color w:val="auto"/>
                <w:szCs w:val="21"/>
              </w:rPr>
              <w:t>9.超声探头采用TC4钛合金材质，独有的材料锻造工艺，能量转换效率高，探头可靠耐磨。</w:t>
            </w:r>
          </w:p>
          <w:p w14:paraId="0CE8C4EE">
            <w:pPr>
              <w:keepNext w:val="0"/>
              <w:keepLines w:val="0"/>
              <w:suppressLineNumbers w:val="0"/>
              <w:spacing w:before="0" w:beforeAutospacing="0" w:after="0" w:afterAutospacing="0"/>
              <w:ind w:left="0" w:right="0"/>
              <w:jc w:val="left"/>
              <w:rPr>
                <w:rFonts w:hint="eastAsia" w:ascii="宋体" w:hAnsi="宋体" w:eastAsia="宋体" w:cs="宋体"/>
                <w:b w:val="0"/>
                <w:bCs w:val="0"/>
                <w:color w:val="auto"/>
                <w:szCs w:val="21"/>
              </w:rPr>
            </w:pPr>
            <w:r>
              <w:rPr>
                <w:rFonts w:hint="eastAsia" w:ascii="宋体" w:hAnsi="宋体" w:eastAsia="宋体" w:cs="宋体"/>
                <w:b w:val="0"/>
                <w:bCs w:val="0"/>
                <w:color w:val="auto"/>
                <w:szCs w:val="21"/>
              </w:rPr>
              <w:t>10.超声频率：20-25</w:t>
            </w:r>
            <w:r>
              <w:rPr>
                <w:rFonts w:hint="eastAsia" w:ascii="宋体" w:hAnsi="宋体" w:eastAsia="宋体" w:cs="宋体"/>
                <w:b w:val="0"/>
                <w:bCs w:val="0"/>
                <w:color w:val="auto"/>
                <w:szCs w:val="21"/>
                <w:lang w:val="en-US" w:eastAsia="zh-CN"/>
              </w:rPr>
              <w:t>k</w:t>
            </w:r>
            <w:r>
              <w:rPr>
                <w:rFonts w:hint="eastAsia" w:ascii="宋体" w:hAnsi="宋体" w:eastAsia="宋体" w:cs="宋体"/>
                <w:b w:val="0"/>
                <w:bCs w:val="0"/>
                <w:color w:val="auto"/>
                <w:szCs w:val="21"/>
              </w:rPr>
              <w:t>Hz自动追频，自适应。</w:t>
            </w:r>
          </w:p>
          <w:p w14:paraId="1CBD6776">
            <w:pPr>
              <w:keepNext w:val="0"/>
              <w:keepLines w:val="0"/>
              <w:suppressLineNumbers w:val="0"/>
              <w:spacing w:before="0" w:beforeAutospacing="0" w:after="0" w:afterAutospacing="0"/>
              <w:ind w:left="0" w:right="0"/>
              <w:jc w:val="left"/>
              <w:rPr>
                <w:rFonts w:hint="eastAsia" w:ascii="宋体" w:hAnsi="宋体" w:eastAsia="宋体" w:cs="宋体"/>
                <w:b w:val="0"/>
                <w:bCs w:val="0"/>
                <w:color w:val="auto"/>
                <w:szCs w:val="21"/>
              </w:rPr>
            </w:pPr>
            <w:r>
              <w:rPr>
                <w:rFonts w:hint="eastAsia" w:ascii="宋体" w:hAnsi="宋体" w:eastAsia="宋体" w:cs="宋体"/>
                <w:b w:val="0"/>
                <w:bCs w:val="0"/>
                <w:color w:val="auto"/>
                <w:szCs w:val="21"/>
              </w:rPr>
              <w:t>11.超声标称功率：900W（1%-100%），功率可调，调节幅度≥1%。</w:t>
            </w:r>
          </w:p>
          <w:p w14:paraId="2719B685">
            <w:pPr>
              <w:keepNext w:val="0"/>
              <w:keepLines w:val="0"/>
              <w:suppressLineNumbers w:val="0"/>
              <w:spacing w:before="0" w:beforeAutospacing="0" w:after="0" w:afterAutospacing="0"/>
              <w:ind w:left="0" w:right="0"/>
              <w:jc w:val="left"/>
              <w:rPr>
                <w:rFonts w:hint="eastAsia" w:ascii="宋体" w:hAnsi="宋体" w:eastAsia="宋体" w:cs="宋体"/>
                <w:b w:val="0"/>
                <w:bCs w:val="0"/>
                <w:color w:val="auto"/>
                <w:szCs w:val="21"/>
              </w:rPr>
            </w:pPr>
            <w:r>
              <w:rPr>
                <w:rFonts w:hint="eastAsia" w:ascii="宋体" w:hAnsi="宋体" w:eastAsia="宋体" w:cs="宋体"/>
                <w:b w:val="0"/>
                <w:bCs w:val="0"/>
                <w:color w:val="auto"/>
                <w:szCs w:val="21"/>
              </w:rPr>
              <w:t>12.最大处理量≥600mL，最小处理量≤0.1mL，覆盖0.1～600mL处理体积，随机标配6号变幅杆。</w:t>
            </w:r>
          </w:p>
          <w:p w14:paraId="58777AEC">
            <w:pPr>
              <w:keepNext w:val="0"/>
              <w:keepLines w:val="0"/>
              <w:suppressLineNumbers w:val="0"/>
              <w:spacing w:before="0" w:beforeAutospacing="0" w:after="0" w:afterAutospacing="0"/>
              <w:ind w:left="0" w:right="0"/>
              <w:jc w:val="left"/>
              <w:rPr>
                <w:rFonts w:hint="eastAsia" w:ascii="宋体" w:hAnsi="宋体" w:eastAsia="宋体" w:cs="宋体"/>
                <w:b w:val="0"/>
                <w:bCs w:val="0"/>
                <w:color w:val="auto"/>
                <w:szCs w:val="21"/>
              </w:rPr>
            </w:pPr>
            <w:r>
              <w:rPr>
                <w:rFonts w:hint="eastAsia" w:ascii="宋体" w:hAnsi="宋体" w:eastAsia="宋体" w:cs="宋体"/>
                <w:b w:val="0"/>
                <w:bCs w:val="0"/>
                <w:color w:val="auto"/>
                <w:szCs w:val="21"/>
              </w:rPr>
              <w:t>13.仪器具有过载、超温报警功能。</w:t>
            </w:r>
          </w:p>
          <w:p w14:paraId="3C7424B0">
            <w:pPr>
              <w:keepNext w:val="0"/>
              <w:keepLines w:val="0"/>
              <w:suppressLineNumbers w:val="0"/>
              <w:spacing w:before="0" w:beforeAutospacing="0" w:after="0" w:afterAutospacing="0"/>
              <w:ind w:left="0" w:right="0"/>
              <w:jc w:val="left"/>
              <w:rPr>
                <w:rFonts w:hint="eastAsia" w:ascii="宋体" w:hAnsi="宋体" w:eastAsia="宋体" w:cs="宋体"/>
                <w:b w:val="0"/>
                <w:bCs w:val="0"/>
                <w:color w:val="auto"/>
                <w:szCs w:val="21"/>
              </w:rPr>
            </w:pPr>
            <w:r>
              <w:rPr>
                <w:rFonts w:hint="eastAsia" w:ascii="宋体" w:hAnsi="宋体" w:eastAsia="宋体" w:cs="宋体"/>
                <w:b w:val="0"/>
                <w:bCs w:val="0"/>
                <w:color w:val="auto"/>
                <w:szCs w:val="21"/>
              </w:rPr>
              <w:t>14.采用NTC热敏电阻温度传感器，控制样品温度（0～99.9 ℃），防止样品过热；</w:t>
            </w:r>
          </w:p>
          <w:p w14:paraId="5F842CD0">
            <w:pPr>
              <w:keepNext w:val="0"/>
              <w:keepLines w:val="0"/>
              <w:suppressLineNumbers w:val="0"/>
              <w:spacing w:before="0" w:beforeAutospacing="0" w:after="0" w:afterAutospacing="0"/>
              <w:ind w:left="0" w:right="0"/>
              <w:jc w:val="left"/>
              <w:rPr>
                <w:rFonts w:hint="eastAsia" w:ascii="宋体" w:hAnsi="宋体" w:eastAsia="宋体" w:cs="宋体"/>
                <w:b w:val="0"/>
                <w:bCs w:val="0"/>
                <w:color w:val="auto"/>
                <w:szCs w:val="21"/>
              </w:rPr>
            </w:pPr>
            <w:r>
              <w:rPr>
                <w:rFonts w:hint="eastAsia" w:ascii="宋体" w:hAnsi="宋体" w:eastAsia="宋体" w:cs="宋体"/>
                <w:b w:val="0"/>
                <w:bCs w:val="0"/>
                <w:color w:val="auto"/>
                <w:szCs w:val="21"/>
              </w:rPr>
              <w:t>15.仪器分体式构成，两部分分别为电源主机与隔音箱工作台，隔音箱内置隔音棉，配置可视化视窗观察反应过程，同时可紧急开箱处理，易清洁且有效降低工作过程噪音影响。</w:t>
            </w:r>
          </w:p>
          <w:p w14:paraId="08D5424E">
            <w:pPr>
              <w:keepNext w:val="0"/>
              <w:keepLines w:val="0"/>
              <w:suppressLineNumbers w:val="0"/>
              <w:spacing w:before="0" w:beforeAutospacing="0" w:after="0" w:afterAutospacing="0"/>
              <w:ind w:left="0" w:right="0"/>
              <w:jc w:val="left"/>
              <w:rPr>
                <w:rFonts w:hint="eastAsia" w:ascii="宋体" w:hAnsi="宋体" w:eastAsia="宋体" w:cs="宋体"/>
                <w:b w:val="0"/>
                <w:bCs w:val="0"/>
                <w:color w:val="auto"/>
                <w:szCs w:val="21"/>
              </w:rPr>
            </w:pPr>
            <w:r>
              <w:rPr>
                <w:rFonts w:hint="eastAsia" w:ascii="宋体" w:hAnsi="宋体" w:eastAsia="宋体" w:cs="宋体"/>
                <w:b w:val="0"/>
                <w:bCs w:val="0"/>
                <w:color w:val="auto"/>
                <w:szCs w:val="21"/>
              </w:rPr>
              <w:t>16.隔音箱配备照明功能及低温循环功能，可配套夹套杯使用。</w:t>
            </w:r>
          </w:p>
          <w:p w14:paraId="3B51C7DB">
            <w:pPr>
              <w:keepNext w:val="0"/>
              <w:keepLines w:val="0"/>
              <w:suppressLineNumbers w:val="0"/>
              <w:spacing w:before="0" w:beforeAutospacing="0" w:after="0" w:afterAutospacing="0"/>
              <w:ind w:left="0" w:right="0"/>
              <w:jc w:val="left"/>
              <w:rPr>
                <w:rFonts w:hint="eastAsia" w:ascii="宋体" w:hAnsi="宋体" w:eastAsia="宋体" w:cs="宋体"/>
                <w:b w:val="0"/>
                <w:bCs w:val="0"/>
                <w:color w:val="auto"/>
                <w:szCs w:val="21"/>
              </w:rPr>
            </w:pPr>
            <w:r>
              <w:rPr>
                <w:rFonts w:hint="eastAsia" w:ascii="宋体" w:hAnsi="宋体" w:eastAsia="宋体" w:cs="宋体"/>
                <w:b w:val="0"/>
                <w:bCs w:val="0"/>
                <w:color w:val="auto"/>
                <w:szCs w:val="21"/>
              </w:rPr>
              <w:t>17.</w:t>
            </w:r>
            <w:r>
              <w:rPr>
                <w:rFonts w:hint="eastAsia" w:ascii="宋体" w:hAnsi="宋体" w:eastAsia="宋体" w:cs="宋体"/>
                <w:b w:val="0"/>
                <w:bCs w:val="0"/>
                <w:color w:val="auto"/>
                <w:szCs w:val="21"/>
                <w:lang w:bidi="ar"/>
              </w:rPr>
              <w:t>温度范围：-5℃～100℃</w:t>
            </w:r>
          </w:p>
          <w:p w14:paraId="2B7F2513">
            <w:pPr>
              <w:keepNext w:val="0"/>
              <w:keepLines w:val="0"/>
              <w:suppressLineNumbers w:val="0"/>
              <w:spacing w:before="0" w:beforeAutospacing="0" w:after="0" w:afterAutospacing="0"/>
              <w:ind w:left="0" w:right="0"/>
              <w:jc w:val="left"/>
              <w:rPr>
                <w:rFonts w:hint="eastAsia" w:ascii="宋体" w:hAnsi="宋体" w:eastAsia="宋体" w:cs="宋体"/>
                <w:b w:val="0"/>
                <w:bCs w:val="0"/>
                <w:color w:val="auto"/>
                <w:szCs w:val="21"/>
              </w:rPr>
            </w:pPr>
            <w:r>
              <w:rPr>
                <w:rFonts w:hint="eastAsia" w:ascii="宋体" w:hAnsi="宋体" w:eastAsia="宋体" w:cs="宋体"/>
                <w:b w:val="0"/>
                <w:bCs w:val="0"/>
                <w:color w:val="auto"/>
                <w:szCs w:val="21"/>
                <w:lang w:bidi="ar"/>
              </w:rPr>
              <w:t>18.容积：≥7L</w:t>
            </w:r>
          </w:p>
          <w:p w14:paraId="0D6EB124">
            <w:pPr>
              <w:keepNext w:val="0"/>
              <w:keepLines w:val="0"/>
              <w:suppressLineNumbers w:val="0"/>
              <w:spacing w:before="0" w:beforeAutospacing="0" w:after="0" w:afterAutospacing="0"/>
              <w:ind w:left="0" w:right="0"/>
              <w:jc w:val="left"/>
              <w:rPr>
                <w:rFonts w:hint="eastAsia" w:ascii="宋体" w:hAnsi="宋体" w:eastAsia="宋体" w:cs="宋体"/>
                <w:b w:val="0"/>
                <w:bCs w:val="0"/>
                <w:color w:val="auto"/>
                <w:szCs w:val="21"/>
              </w:rPr>
            </w:pPr>
            <w:r>
              <w:rPr>
                <w:rFonts w:hint="eastAsia" w:ascii="宋体" w:hAnsi="宋体" w:eastAsia="宋体" w:cs="宋体"/>
                <w:b w:val="0"/>
                <w:bCs w:val="0"/>
                <w:color w:val="auto"/>
                <w:szCs w:val="21"/>
                <w:lang w:bidi="ar"/>
              </w:rPr>
              <w:t>19.温度波动度：±0.1℃</w:t>
            </w:r>
          </w:p>
          <w:p w14:paraId="6F042345">
            <w:pPr>
              <w:keepNext w:val="0"/>
              <w:keepLines w:val="0"/>
              <w:suppressLineNumbers w:val="0"/>
              <w:spacing w:before="0" w:beforeAutospacing="0" w:after="0" w:afterAutospacing="0"/>
              <w:ind w:left="0" w:right="0"/>
              <w:jc w:val="left"/>
              <w:rPr>
                <w:rFonts w:hint="eastAsia" w:ascii="宋体" w:hAnsi="宋体" w:eastAsia="宋体" w:cs="宋体"/>
                <w:b w:val="0"/>
                <w:bCs w:val="0"/>
                <w:color w:val="auto"/>
                <w:szCs w:val="21"/>
              </w:rPr>
            </w:pPr>
            <w:r>
              <w:rPr>
                <w:rFonts w:hint="eastAsia" w:ascii="宋体" w:hAnsi="宋体" w:eastAsia="宋体" w:cs="宋体"/>
                <w:b w:val="0"/>
                <w:bCs w:val="0"/>
                <w:color w:val="auto"/>
                <w:szCs w:val="21"/>
                <w:lang w:bidi="ar"/>
              </w:rPr>
              <w:t>20.泵流量：0～15L/min</w:t>
            </w:r>
          </w:p>
          <w:p w14:paraId="664B7EB1">
            <w:pPr>
              <w:keepNext w:val="0"/>
              <w:keepLines w:val="0"/>
              <w:widowControl w:val="0"/>
              <w:suppressLineNumbers w:val="0"/>
              <w:spacing w:before="0" w:beforeAutospacing="0" w:after="0" w:afterAutospacing="0"/>
              <w:ind w:left="0" w:right="0"/>
              <w:jc w:val="both"/>
              <w:rPr>
                <w:rFonts w:hint="eastAsia" w:ascii="宋体" w:hAnsi="宋体" w:eastAsia="宋体" w:cs="宋体"/>
                <w:b w:val="0"/>
                <w:bCs w:val="0"/>
                <w:color w:val="auto"/>
                <w:kern w:val="2"/>
                <w:sz w:val="21"/>
                <w:szCs w:val="21"/>
                <w:woUserID w:val="9"/>
              </w:rPr>
            </w:pPr>
            <w:r>
              <w:rPr>
                <w:rFonts w:hint="eastAsia" w:ascii="宋体" w:hAnsi="宋体" w:eastAsia="宋体" w:cs="宋体"/>
                <w:b w:val="0"/>
                <w:bCs w:val="0"/>
                <w:color w:val="auto"/>
                <w:szCs w:val="21"/>
                <w:lang w:bidi="ar"/>
              </w:rPr>
              <w:t>21.泵压：≥0.45bar</w:t>
            </w:r>
          </w:p>
          <w:p w14:paraId="743415EA">
            <w:pPr>
              <w:keepNext w:val="0"/>
              <w:keepLines w:val="0"/>
              <w:widowControl w:val="0"/>
              <w:suppressLineNumbers w:val="0"/>
              <w:spacing w:before="0" w:beforeAutospacing="0" w:after="0" w:afterAutospacing="0"/>
              <w:ind w:left="0" w:right="0"/>
              <w:jc w:val="both"/>
              <w:rPr>
                <w:rFonts w:hint="eastAsia" w:ascii="宋体" w:hAnsi="宋体" w:eastAsia="宋体" w:cs="宋体"/>
                <w:b w:val="0"/>
                <w:bCs w:val="0"/>
                <w:color w:val="auto"/>
                <w:kern w:val="2"/>
                <w:sz w:val="21"/>
                <w:szCs w:val="21"/>
                <w:woUserID w:val="9"/>
              </w:rPr>
            </w:pPr>
            <w:r>
              <w:rPr>
                <w:rFonts w:hint="eastAsia" w:ascii="宋体" w:hAnsi="宋体" w:cs="宋体"/>
                <w:b w:val="0"/>
                <w:bCs w:val="0"/>
                <w:color w:val="auto"/>
                <w:kern w:val="2"/>
                <w:sz w:val="21"/>
                <w:szCs w:val="21"/>
                <w:lang w:val="en-US" w:eastAsia="zh-CN" w:bidi="ar"/>
                <w:woUserID w:val="9"/>
              </w:rPr>
              <w:t>22.</w:t>
            </w:r>
            <w:r>
              <w:rPr>
                <w:rFonts w:hint="eastAsia" w:ascii="宋体" w:hAnsi="宋体" w:eastAsia="宋体" w:cs="宋体"/>
                <w:b w:val="0"/>
                <w:bCs w:val="0"/>
                <w:color w:val="auto"/>
                <w:kern w:val="2"/>
                <w:sz w:val="21"/>
                <w:szCs w:val="21"/>
                <w:lang w:val="en-US" w:eastAsia="zh-CN" w:bidi="ar"/>
                <w:woUserID w:val="9"/>
              </w:rPr>
              <w:t>配置清单：</w:t>
            </w:r>
          </w:p>
          <w:p w14:paraId="62082049">
            <w:pPr>
              <w:keepNext w:val="0"/>
              <w:keepLines w:val="0"/>
              <w:numPr>
                <w:ilvl w:val="1"/>
                <w:numId w:val="0"/>
              </w:numPr>
              <w:suppressLineNumbers w:val="0"/>
              <w:spacing w:before="0" w:beforeAutospacing="0" w:after="0" w:afterAutospacing="0"/>
              <w:ind w:right="0" w:rightChars="0"/>
              <w:jc w:val="left"/>
              <w:rPr>
                <w:rFonts w:hint="eastAsia" w:ascii="宋体" w:hAnsi="宋体" w:eastAsia="宋体" w:cs="宋体"/>
                <w:b w:val="0"/>
                <w:bCs w:val="0"/>
                <w:color w:val="auto"/>
                <w:szCs w:val="21"/>
                <w:lang w:bidi="ar"/>
              </w:rPr>
            </w:pPr>
            <w:r>
              <w:rPr>
                <w:rFonts w:hint="eastAsia" w:ascii="宋体" w:hAnsi="宋体" w:cs="宋体"/>
                <w:b w:val="0"/>
                <w:bCs w:val="0"/>
                <w:color w:val="auto"/>
                <w:kern w:val="2"/>
                <w:sz w:val="21"/>
                <w:szCs w:val="21"/>
                <w:lang w:val="en-US" w:eastAsia="zh-CN" w:bidi="ar"/>
              </w:rPr>
              <w:t>（1）</w:t>
            </w:r>
            <w:r>
              <w:rPr>
                <w:rFonts w:hint="eastAsia" w:ascii="宋体" w:hAnsi="宋体" w:eastAsia="宋体" w:cs="宋体"/>
                <w:b w:val="0"/>
                <w:bCs w:val="0"/>
                <w:color w:val="auto"/>
                <w:szCs w:val="21"/>
                <w:lang w:bidi="ar"/>
              </w:rPr>
              <w:t>主机1台</w:t>
            </w:r>
          </w:p>
          <w:p w14:paraId="64A09AFB">
            <w:pPr>
              <w:keepNext w:val="0"/>
              <w:keepLines w:val="0"/>
              <w:suppressLineNumbers w:val="0"/>
              <w:spacing w:before="0" w:beforeAutospacing="0" w:after="0" w:afterAutospacing="0"/>
              <w:ind w:left="0" w:right="0"/>
              <w:jc w:val="left"/>
              <w:rPr>
                <w:rFonts w:hint="eastAsia" w:ascii="宋体" w:hAnsi="宋体" w:eastAsia="宋体" w:cs="宋体"/>
                <w:b w:val="0"/>
                <w:bCs w:val="0"/>
                <w:color w:val="auto"/>
                <w:szCs w:val="21"/>
              </w:rPr>
            </w:pPr>
            <w:r>
              <w:rPr>
                <w:rFonts w:hint="eastAsia" w:ascii="宋体" w:hAnsi="宋体" w:cs="宋体"/>
                <w:b w:val="0"/>
                <w:bCs w:val="0"/>
                <w:color w:val="auto"/>
                <w:szCs w:val="21"/>
                <w:lang w:eastAsia="zh-CN" w:bidi="ar"/>
              </w:rPr>
              <w:t>（</w:t>
            </w:r>
            <w:r>
              <w:rPr>
                <w:rFonts w:hint="eastAsia" w:ascii="宋体" w:hAnsi="宋体" w:cs="宋体"/>
                <w:b w:val="0"/>
                <w:bCs w:val="0"/>
                <w:color w:val="auto"/>
                <w:szCs w:val="21"/>
                <w:lang w:val="en-US" w:eastAsia="zh-CN" w:bidi="ar"/>
              </w:rPr>
              <w:t>2）</w:t>
            </w:r>
            <w:r>
              <w:rPr>
                <w:rFonts w:hint="eastAsia" w:ascii="宋体" w:hAnsi="宋体" w:eastAsia="宋体" w:cs="宋体"/>
                <w:b w:val="0"/>
                <w:bCs w:val="0"/>
                <w:color w:val="auto"/>
                <w:szCs w:val="21"/>
                <w:lang w:bidi="ar"/>
              </w:rPr>
              <w:t>隔音箱1个；</w:t>
            </w:r>
          </w:p>
          <w:p w14:paraId="01DF4BC2">
            <w:pPr>
              <w:keepNext w:val="0"/>
              <w:keepLines w:val="0"/>
              <w:suppressLineNumbers w:val="0"/>
              <w:spacing w:before="0" w:beforeAutospacing="0" w:after="0" w:afterAutospacing="0"/>
              <w:ind w:left="0" w:right="0"/>
              <w:jc w:val="left"/>
              <w:rPr>
                <w:rFonts w:hint="eastAsia" w:ascii="宋体" w:hAnsi="宋体" w:eastAsia="宋体" w:cs="宋体"/>
                <w:b w:val="0"/>
                <w:bCs w:val="0"/>
                <w:color w:val="auto"/>
                <w:szCs w:val="21"/>
              </w:rPr>
            </w:pPr>
            <w:r>
              <w:rPr>
                <w:rFonts w:hint="eastAsia" w:ascii="宋体" w:hAnsi="宋体" w:cs="宋体"/>
                <w:b w:val="0"/>
                <w:bCs w:val="0"/>
                <w:color w:val="auto"/>
                <w:szCs w:val="21"/>
                <w:lang w:eastAsia="zh-CN" w:bidi="ar"/>
              </w:rPr>
              <w:t>（</w:t>
            </w:r>
            <w:r>
              <w:rPr>
                <w:rFonts w:hint="eastAsia" w:ascii="宋体" w:hAnsi="宋体" w:cs="宋体"/>
                <w:b w:val="0"/>
                <w:bCs w:val="0"/>
                <w:color w:val="auto"/>
                <w:szCs w:val="21"/>
                <w:lang w:val="en-US" w:eastAsia="zh-CN" w:bidi="ar"/>
              </w:rPr>
              <w:t>3）</w:t>
            </w:r>
            <w:r>
              <w:rPr>
                <w:rFonts w:hint="eastAsia" w:ascii="宋体" w:hAnsi="宋体" w:eastAsia="宋体" w:cs="宋体"/>
                <w:b w:val="0"/>
                <w:bCs w:val="0"/>
                <w:color w:val="auto"/>
                <w:szCs w:val="21"/>
                <w:lang w:bidi="ar"/>
              </w:rPr>
              <w:t>换能器1个，6mm变幅杆1根；</w:t>
            </w:r>
          </w:p>
          <w:p w14:paraId="09144F97">
            <w:pPr>
              <w:keepNext w:val="0"/>
              <w:keepLines w:val="0"/>
              <w:suppressLineNumbers w:val="0"/>
              <w:spacing w:before="0" w:beforeAutospacing="0" w:after="0" w:afterAutospacing="0"/>
              <w:ind w:left="0" w:right="0"/>
              <w:jc w:val="left"/>
              <w:rPr>
                <w:rFonts w:hint="eastAsia" w:ascii="宋体" w:hAnsi="宋体" w:eastAsia="宋体" w:cs="宋体"/>
                <w:b w:val="0"/>
                <w:bCs w:val="0"/>
                <w:color w:val="auto"/>
                <w:szCs w:val="21"/>
              </w:rPr>
            </w:pPr>
            <w:r>
              <w:rPr>
                <w:rFonts w:hint="eastAsia" w:ascii="宋体" w:hAnsi="宋体" w:cs="宋体"/>
                <w:b w:val="0"/>
                <w:bCs w:val="0"/>
                <w:color w:val="auto"/>
                <w:szCs w:val="21"/>
                <w:lang w:eastAsia="zh-CN" w:bidi="ar"/>
              </w:rPr>
              <w:t>（</w:t>
            </w:r>
            <w:r>
              <w:rPr>
                <w:rFonts w:hint="eastAsia" w:ascii="宋体" w:hAnsi="宋体" w:cs="宋体"/>
                <w:b w:val="0"/>
                <w:bCs w:val="0"/>
                <w:color w:val="auto"/>
                <w:szCs w:val="21"/>
                <w:lang w:val="en-US" w:eastAsia="zh-CN" w:bidi="ar"/>
              </w:rPr>
              <w:t>4）</w:t>
            </w:r>
            <w:r>
              <w:rPr>
                <w:rFonts w:hint="eastAsia" w:ascii="宋体" w:hAnsi="宋体" w:eastAsia="宋体" w:cs="宋体"/>
                <w:b w:val="0"/>
                <w:bCs w:val="0"/>
                <w:color w:val="auto"/>
                <w:szCs w:val="21"/>
                <w:lang w:bidi="ar"/>
              </w:rPr>
              <w:t>冷水机1台；</w:t>
            </w:r>
          </w:p>
          <w:p w14:paraId="49B134B3">
            <w:pPr>
              <w:keepNext w:val="0"/>
              <w:keepLines w:val="0"/>
              <w:suppressLineNumbers w:val="0"/>
              <w:spacing w:before="0" w:beforeAutospacing="0" w:after="0" w:afterAutospacing="0"/>
              <w:ind w:left="0" w:right="0"/>
              <w:jc w:val="left"/>
              <w:rPr>
                <w:rFonts w:hint="eastAsia" w:ascii="宋体" w:hAnsi="宋体" w:eastAsia="宋体" w:cs="宋体"/>
                <w:b/>
                <w:bCs/>
                <w:color w:val="auto"/>
                <w:szCs w:val="21"/>
              </w:rPr>
            </w:pPr>
            <w:r>
              <w:rPr>
                <w:rFonts w:hint="eastAsia" w:ascii="宋体" w:hAnsi="宋体" w:cs="宋体"/>
                <w:b w:val="0"/>
                <w:bCs w:val="0"/>
                <w:color w:val="auto"/>
                <w:szCs w:val="21"/>
                <w:lang w:eastAsia="zh-CN" w:bidi="ar"/>
              </w:rPr>
              <w:t>（</w:t>
            </w:r>
            <w:r>
              <w:rPr>
                <w:rFonts w:hint="eastAsia" w:ascii="宋体" w:hAnsi="宋体" w:cs="宋体"/>
                <w:b w:val="0"/>
                <w:bCs w:val="0"/>
                <w:color w:val="auto"/>
                <w:szCs w:val="21"/>
                <w:lang w:val="en-US" w:eastAsia="zh-CN" w:bidi="ar"/>
              </w:rPr>
              <w:t>5）</w:t>
            </w:r>
            <w:r>
              <w:rPr>
                <w:rFonts w:hint="eastAsia" w:ascii="宋体" w:hAnsi="宋体" w:eastAsia="宋体" w:cs="宋体"/>
                <w:b w:val="0"/>
                <w:bCs w:val="0"/>
                <w:color w:val="auto"/>
                <w:szCs w:val="21"/>
                <w:lang w:bidi="ar"/>
              </w:rPr>
              <w:t>100ml夹套杯1个。</w:t>
            </w:r>
          </w:p>
        </w:tc>
        <w:tc>
          <w:tcPr>
            <w:tcW w:w="701"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7C52A54">
            <w:pPr>
              <w:keepNext w:val="0"/>
              <w:keepLines w:val="0"/>
              <w:suppressLineNumbers w:val="0"/>
              <w:spacing w:before="0" w:beforeAutospacing="0" w:after="0" w:afterAutospacing="0"/>
              <w:ind w:left="0" w:leftChars="0" w:right="0" w:rightChars="0"/>
              <w:jc w:val="center"/>
              <w:rPr>
                <w:rFonts w:hint="eastAsia" w:ascii="宋体" w:hAnsi="宋体" w:eastAsia="宋体" w:cs="宋体"/>
                <w:b/>
                <w:bCs/>
                <w:color w:val="auto"/>
                <w:szCs w:val="21"/>
              </w:rPr>
            </w:pPr>
            <w:r>
              <w:rPr>
                <w:rFonts w:hint="eastAsia" w:ascii="宋体" w:hAnsi="宋体" w:eastAsia="宋体" w:cs="宋体"/>
                <w:b w:val="0"/>
                <w:bCs w:val="0"/>
                <w:color w:val="auto"/>
                <w:sz w:val="21"/>
                <w:szCs w:val="21"/>
              </w:rPr>
              <w:t>台</w:t>
            </w:r>
          </w:p>
        </w:tc>
        <w:tc>
          <w:tcPr>
            <w:tcW w:w="668" w:type="dxa"/>
            <w:tcBorders>
              <w:top w:val="single" w:color="auto" w:sz="4" w:space="0"/>
              <w:left w:val="single" w:color="auto" w:sz="4" w:space="0"/>
              <w:bottom w:val="single" w:color="auto" w:sz="4" w:space="0"/>
              <w:right w:val="single" w:color="auto" w:sz="4" w:space="0"/>
            </w:tcBorders>
            <w:vAlign w:val="center"/>
          </w:tcPr>
          <w:p w14:paraId="1661ACAA">
            <w:pPr>
              <w:keepNext w:val="0"/>
              <w:keepLines w:val="0"/>
              <w:suppressLineNumbers w:val="0"/>
              <w:spacing w:before="0" w:beforeAutospacing="0" w:after="0" w:afterAutospacing="0"/>
              <w:ind w:left="0" w:leftChars="0" w:right="0" w:rightChars="0"/>
              <w:jc w:val="center"/>
              <w:rPr>
                <w:rFonts w:hint="eastAsia" w:ascii="宋体" w:hAnsi="宋体" w:eastAsia="宋体" w:cs="宋体"/>
                <w:b/>
                <w:bCs/>
                <w:color w:val="auto"/>
                <w:szCs w:val="21"/>
              </w:rPr>
            </w:pPr>
            <w:r>
              <w:rPr>
                <w:rFonts w:hint="eastAsia" w:ascii="宋体" w:hAnsi="宋体" w:eastAsia="宋体" w:cs="宋体"/>
                <w:b w:val="0"/>
                <w:bCs w:val="0"/>
                <w:color w:val="auto"/>
                <w:sz w:val="21"/>
                <w:szCs w:val="21"/>
              </w:rPr>
              <w:t>2</w:t>
            </w:r>
          </w:p>
        </w:tc>
      </w:tr>
      <w:tr w14:paraId="7F801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414"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EA68151">
            <w:pPr>
              <w:keepNext w:val="0"/>
              <w:keepLines w:val="0"/>
              <w:numPr>
                <w:ilvl w:val="0"/>
                <w:numId w:val="0"/>
              </w:numPr>
              <w:suppressLineNumbers w:val="0"/>
              <w:spacing w:before="0" w:beforeAutospacing="0" w:after="0" w:afterAutospacing="0" w:line="240" w:lineRule="auto"/>
              <w:ind w:left="142" w:leftChars="0" w:right="0" w:rightChars="0" w:firstLine="0" w:firstLineChars="0"/>
              <w:jc w:val="center"/>
              <w:rPr>
                <w:rFonts w:hint="eastAsia" w:ascii="宋体" w:hAnsi="宋体" w:eastAsia="宋体" w:cs="宋体"/>
                <w:b/>
                <w:bCs/>
                <w:color w:val="auto"/>
                <w:szCs w:val="21"/>
                <w:highlight w:val="none"/>
              </w:rPr>
            </w:pPr>
            <w:r>
              <w:rPr>
                <w:rFonts w:hint="eastAsia" w:ascii="宋体" w:hAnsi="宋体" w:eastAsia="宋体" w:cs="宋体"/>
                <w:b w:val="0"/>
                <w:bCs w:val="0"/>
                <w:color w:val="auto"/>
                <w:sz w:val="21"/>
                <w:szCs w:val="21"/>
                <w:highlight w:val="none"/>
                <w:lang w:val="en-US" w:eastAsia="zh-CN"/>
              </w:rPr>
              <w:t>7</w:t>
            </w:r>
          </w:p>
        </w:tc>
        <w:tc>
          <w:tcPr>
            <w:tcW w:w="883"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9B3DE99">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bCs/>
                <w:color w:val="auto"/>
                <w:szCs w:val="21"/>
                <w:highlight w:val="none"/>
              </w:rPr>
            </w:pPr>
            <w:r>
              <w:rPr>
                <w:rFonts w:hint="eastAsia" w:ascii="宋体" w:hAnsi="宋体" w:eastAsia="宋体" w:cs="宋体"/>
                <w:b w:val="0"/>
                <w:bCs w:val="0"/>
                <w:color w:val="auto"/>
                <w:sz w:val="21"/>
                <w:szCs w:val="21"/>
                <w:highlight w:val="none"/>
              </w:rPr>
              <w:t>高通量组织研磨器</w:t>
            </w:r>
          </w:p>
        </w:tc>
        <w:tc>
          <w:tcPr>
            <w:tcW w:w="6760"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F702913">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一、技术参数：</w:t>
            </w:r>
          </w:p>
          <w:p w14:paraId="190A946C">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1、支持直接将离心管置于适配器内，支持离心管直接预冷冻。</w:t>
            </w:r>
          </w:p>
          <w:p w14:paraId="139781EE">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2、研磨过程全封闭，样品之间独立运动，避免交叉污染。</w:t>
            </w:r>
          </w:p>
          <w:p w14:paraId="3FCCB956">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3、垂直振荡，研磨更充分，相同样品多次研磨一致性优。</w:t>
            </w:r>
          </w:p>
          <w:p w14:paraId="0BFB5B23">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4、15秒内同时可处理≥48个样品；同时适配12通道和24通道的液氮冷冻适配器。</w:t>
            </w:r>
          </w:p>
          <w:p w14:paraId="340DB160">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5、具备制冷功能，温度控制范围-50℃～25℃，控温精度：±0.5℃，满足生物样品处理需求，处理过程中保持样品活性。</w:t>
            </w:r>
          </w:p>
          <w:p w14:paraId="49E690EC">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6、降温速度快，1min内实现从室温降到-10℃，提升实验效率。</w:t>
            </w:r>
          </w:p>
          <w:p w14:paraId="07C34840">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7、时间设定：1～9999s。</w:t>
            </w:r>
          </w:p>
          <w:p w14:paraId="011C8446">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8、转速/频率设定：600～2100转/分(即20～70Hz)。</w:t>
            </w:r>
          </w:p>
          <w:p w14:paraId="6322695C">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9、夹具行程：≤34mm（垂直）。</w:t>
            </w:r>
          </w:p>
          <w:p w14:paraId="1E50E96F">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10、数据储存：可存储不少于48组数据，便于实验员进行实验回溯和参数摸索；</w:t>
            </w:r>
          </w:p>
          <w:p w14:paraId="299650C3">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11、研磨方式：湿磨、干磨、预冷冻磨</w:t>
            </w:r>
          </w:p>
          <w:p w14:paraId="2EF28187">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12、研磨珠：φ3mm 不锈钢钢球、φ6mm 不锈钢钢球。</w:t>
            </w:r>
          </w:p>
          <w:p w14:paraId="07FB19BA">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13、显示方式：采用不小于7寸TFT触摸屏显示，可编程控制，操作方便直观，支持编程存储。</w:t>
            </w:r>
          </w:p>
          <w:p w14:paraId="318510A3">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14、可编程设置研磨时间、暂停时间、转速及循环数参数，自动循环数≥5，灵活组合设置，无需人工频繁操作，减少人为因素的干扰。</w:t>
            </w:r>
          </w:p>
          <w:p w14:paraId="6CA364B6">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15、具有开盖保护，紧急制动功能；采用集成电机开关,机盖只有处于闭合状态下仪器才能启动。</w:t>
            </w:r>
          </w:p>
          <w:p w14:paraId="77EDE29D">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16、采用垂直上下研磨珠运动方式，保证样品处理的效果。</w:t>
            </w:r>
          </w:p>
          <w:p w14:paraId="19854D4C">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17、最大进料尺寸可通过适配器处理物料尺寸进行调节，最终出料粒度约5µm。</w:t>
            </w:r>
          </w:p>
          <w:p w14:paraId="4C369C05">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18、产品升降速度快，加速过程可在2秒内达到最大速度，减速过程在2秒内达到最低速度，提高实验效率。</w:t>
            </w:r>
          </w:p>
          <w:p w14:paraId="516B2A55">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19、采用“双层减震结构”技术进行仪器整体减震，降低仪器噪音，噪音等级：&lt;55db，延长仪器性能。</w:t>
            </w:r>
          </w:p>
          <w:p w14:paraId="5DE06816">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20、额定功率：≤400W。</w:t>
            </w:r>
          </w:p>
          <w:p w14:paraId="40E53092">
            <w:pPr>
              <w:pStyle w:val="17"/>
              <w:keepNext w:val="0"/>
              <w:keepLines w:val="0"/>
              <w:numPr>
                <w:ilvl w:val="0"/>
                <w:numId w:val="2"/>
              </w:numPr>
              <w:suppressLineNumbers w:val="0"/>
              <w:spacing w:before="0" w:beforeAutospacing="0" w:after="0" w:afterAutospacing="0"/>
              <w:ind w:left="0" w:right="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配置清单</w:t>
            </w:r>
          </w:p>
          <w:p w14:paraId="5932F0ED">
            <w:pPr>
              <w:pStyle w:val="17"/>
              <w:keepNext w:val="0"/>
              <w:keepLines w:val="0"/>
              <w:numPr>
                <w:ilvl w:val="-1"/>
                <w:numId w:val="0"/>
              </w:numPr>
              <w:suppressLineNumbers w:val="0"/>
              <w:spacing w:before="0" w:beforeAutospacing="0" w:after="0" w:afterAutospacing="0"/>
              <w:ind w:left="0" w:right="0"/>
              <w:rPr>
                <w:rFonts w:hint="eastAsia" w:ascii="宋体" w:hAnsi="宋体" w:eastAsia="宋体" w:cs="宋体"/>
                <w:color w:val="auto"/>
                <w:kern w:val="2"/>
                <w:sz w:val="21"/>
                <w:szCs w:val="21"/>
                <w:highlight w:val="none"/>
                <w:lang w:val="en-US" w:eastAsia="zh-CN" w:bidi="ar"/>
                <w:woUserID w:val="9"/>
              </w:rPr>
            </w:pPr>
            <w:r>
              <w:rPr>
                <w:rFonts w:hint="eastAsia" w:ascii="宋体" w:hAnsi="宋体" w:cs="宋体"/>
                <w:color w:val="auto"/>
                <w:kern w:val="2"/>
                <w:sz w:val="21"/>
                <w:szCs w:val="21"/>
                <w:highlight w:val="none"/>
                <w:lang w:val="en-US" w:eastAsia="zh-CN" w:bidi="ar"/>
                <w:woUserID w:val="9"/>
              </w:rPr>
              <w:t>（1）</w:t>
            </w:r>
            <w:r>
              <w:rPr>
                <w:rFonts w:hint="eastAsia" w:ascii="宋体" w:hAnsi="宋体" w:eastAsia="宋体" w:cs="宋体"/>
                <w:color w:val="auto"/>
                <w:kern w:val="2"/>
                <w:sz w:val="21"/>
                <w:szCs w:val="21"/>
                <w:highlight w:val="none"/>
                <w:lang w:val="en-US" w:eastAsia="zh-CN" w:bidi="ar"/>
                <w:woUserID w:val="9"/>
              </w:rPr>
              <w:t>2ml*48孔铝合金适配器1套</w:t>
            </w:r>
          </w:p>
          <w:p w14:paraId="38120A95">
            <w:pPr>
              <w:pStyle w:val="17"/>
              <w:keepNext w:val="0"/>
              <w:keepLines w:val="0"/>
              <w:numPr>
                <w:ilvl w:val="-1"/>
                <w:numId w:val="0"/>
              </w:numPr>
              <w:suppressLineNumbers w:val="0"/>
              <w:spacing w:before="0" w:beforeAutospacing="0" w:after="0" w:afterAutospacing="0"/>
              <w:ind w:left="0" w:right="0"/>
              <w:rPr>
                <w:rFonts w:hint="eastAsia" w:ascii="宋体" w:hAnsi="宋体" w:eastAsia="宋体" w:cs="宋体"/>
                <w:color w:val="auto"/>
                <w:kern w:val="2"/>
                <w:sz w:val="21"/>
                <w:szCs w:val="21"/>
                <w:highlight w:val="none"/>
                <w:lang w:val="en-US" w:eastAsia="zh-CN" w:bidi="ar"/>
                <w:woUserID w:val="9"/>
              </w:rPr>
            </w:pPr>
            <w:r>
              <w:rPr>
                <w:rFonts w:hint="eastAsia" w:ascii="宋体" w:hAnsi="宋体" w:cs="宋体"/>
                <w:color w:val="auto"/>
                <w:kern w:val="2"/>
                <w:sz w:val="21"/>
                <w:szCs w:val="21"/>
                <w:highlight w:val="none"/>
                <w:lang w:val="en-US" w:eastAsia="zh-CN" w:bidi="ar"/>
                <w:woUserID w:val="9"/>
              </w:rPr>
              <w:t>（2）</w:t>
            </w:r>
            <w:r>
              <w:rPr>
                <w:rFonts w:hint="eastAsia" w:ascii="宋体" w:hAnsi="宋体" w:eastAsia="宋体" w:cs="宋体"/>
                <w:color w:val="auto"/>
                <w:kern w:val="2"/>
                <w:sz w:val="21"/>
                <w:szCs w:val="21"/>
                <w:highlight w:val="none"/>
                <w:lang w:val="en-US" w:eastAsia="zh-CN" w:bidi="ar"/>
                <w:woUserID w:val="9"/>
              </w:rPr>
              <w:t>5ml*12孔铝合金适配器1套；</w:t>
            </w:r>
          </w:p>
          <w:p w14:paraId="3EDE1332">
            <w:pPr>
              <w:pStyle w:val="17"/>
              <w:keepNext w:val="0"/>
              <w:keepLines w:val="0"/>
              <w:numPr>
                <w:ilvl w:val="-1"/>
                <w:numId w:val="0"/>
              </w:numPr>
              <w:suppressLineNumbers w:val="0"/>
              <w:spacing w:before="0" w:beforeAutospacing="0" w:after="0" w:afterAutospacing="0"/>
              <w:ind w:left="0" w:right="0"/>
              <w:rPr>
                <w:rFonts w:hint="eastAsia" w:ascii="宋体" w:hAnsi="宋体" w:eastAsia="宋体" w:cs="宋体"/>
                <w:b/>
                <w:bCs/>
                <w:color w:val="auto"/>
                <w:szCs w:val="21"/>
                <w:highlight w:val="none"/>
              </w:rPr>
            </w:pPr>
            <w:r>
              <w:rPr>
                <w:rFonts w:hint="eastAsia" w:ascii="宋体" w:hAnsi="宋体" w:cs="宋体"/>
                <w:color w:val="auto"/>
                <w:kern w:val="2"/>
                <w:sz w:val="21"/>
                <w:szCs w:val="21"/>
                <w:highlight w:val="none"/>
                <w:lang w:val="en-US" w:eastAsia="zh-CN" w:bidi="ar"/>
                <w:woUserID w:val="9"/>
              </w:rPr>
              <w:t>（3）</w:t>
            </w:r>
            <w:r>
              <w:rPr>
                <w:rFonts w:hint="eastAsia" w:ascii="宋体" w:hAnsi="宋体" w:eastAsia="宋体" w:cs="宋体"/>
                <w:color w:val="auto"/>
                <w:kern w:val="2"/>
                <w:sz w:val="21"/>
                <w:szCs w:val="21"/>
                <w:highlight w:val="none"/>
                <w:lang w:val="en-US" w:eastAsia="zh-CN" w:bidi="ar"/>
                <w:woUserID w:val="9"/>
              </w:rPr>
              <w:t>φ3mm不锈钢钢球与φ6mm不锈钢钢球各1000颗</w:t>
            </w:r>
          </w:p>
        </w:tc>
        <w:tc>
          <w:tcPr>
            <w:tcW w:w="701"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B16F477">
            <w:pPr>
              <w:keepNext w:val="0"/>
              <w:keepLines w:val="0"/>
              <w:suppressLineNumbers w:val="0"/>
              <w:spacing w:before="0" w:beforeAutospacing="0" w:after="0" w:afterAutospacing="0"/>
              <w:ind w:left="0" w:leftChars="0" w:right="0" w:rightChars="0"/>
              <w:jc w:val="center"/>
              <w:rPr>
                <w:rFonts w:hint="eastAsia" w:ascii="宋体" w:hAnsi="宋体" w:eastAsia="宋体" w:cs="宋体"/>
                <w:b/>
                <w:bCs/>
                <w:color w:val="auto"/>
                <w:szCs w:val="21"/>
                <w:highlight w:val="none"/>
              </w:rPr>
            </w:pPr>
            <w:r>
              <w:rPr>
                <w:rFonts w:hint="eastAsia" w:ascii="宋体" w:hAnsi="宋体" w:eastAsia="宋体" w:cs="宋体"/>
                <w:b w:val="0"/>
                <w:bCs w:val="0"/>
                <w:color w:val="auto"/>
                <w:sz w:val="21"/>
                <w:szCs w:val="21"/>
                <w:highlight w:val="none"/>
              </w:rPr>
              <w:t>台</w:t>
            </w:r>
          </w:p>
        </w:tc>
        <w:tc>
          <w:tcPr>
            <w:tcW w:w="668" w:type="dxa"/>
            <w:tcBorders>
              <w:top w:val="single" w:color="auto" w:sz="4" w:space="0"/>
              <w:left w:val="single" w:color="auto" w:sz="4" w:space="0"/>
              <w:bottom w:val="single" w:color="auto" w:sz="4" w:space="0"/>
              <w:right w:val="single" w:color="auto" w:sz="4" w:space="0"/>
            </w:tcBorders>
            <w:vAlign w:val="center"/>
          </w:tcPr>
          <w:p w14:paraId="3AEDEF6B">
            <w:pPr>
              <w:keepNext w:val="0"/>
              <w:keepLines w:val="0"/>
              <w:suppressLineNumbers w:val="0"/>
              <w:spacing w:before="0" w:beforeAutospacing="0" w:after="0" w:afterAutospacing="0"/>
              <w:ind w:left="0" w:leftChars="0" w:right="0" w:rightChars="0"/>
              <w:jc w:val="center"/>
              <w:rPr>
                <w:rFonts w:hint="eastAsia" w:ascii="宋体" w:hAnsi="宋体" w:eastAsia="宋体" w:cs="宋体"/>
                <w:b/>
                <w:bCs/>
                <w:color w:val="auto"/>
                <w:szCs w:val="21"/>
                <w:highlight w:val="none"/>
              </w:rPr>
            </w:pPr>
            <w:r>
              <w:rPr>
                <w:rFonts w:hint="eastAsia" w:ascii="宋体" w:hAnsi="宋体" w:eastAsia="宋体" w:cs="宋体"/>
                <w:b w:val="0"/>
                <w:bCs w:val="0"/>
                <w:color w:val="auto"/>
                <w:sz w:val="21"/>
                <w:szCs w:val="21"/>
                <w:highlight w:val="none"/>
              </w:rPr>
              <w:t>1</w:t>
            </w:r>
          </w:p>
        </w:tc>
      </w:tr>
      <w:tr w14:paraId="47FC8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414"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CA707E6">
            <w:pPr>
              <w:keepNext w:val="0"/>
              <w:keepLines w:val="0"/>
              <w:numPr>
                <w:ilvl w:val="0"/>
                <w:numId w:val="0"/>
              </w:numPr>
              <w:suppressLineNumbers w:val="0"/>
              <w:spacing w:before="0" w:beforeAutospacing="0" w:after="0" w:afterAutospacing="0" w:line="240" w:lineRule="auto"/>
              <w:ind w:left="142" w:leftChars="0" w:right="0" w:rightChars="0" w:firstLine="0" w:firstLineChars="0"/>
              <w:jc w:val="center"/>
              <w:rPr>
                <w:rFonts w:hint="eastAsia" w:ascii="宋体" w:hAnsi="宋体" w:eastAsia="宋体" w:cs="宋体"/>
                <w:b/>
                <w:bCs/>
                <w:color w:val="auto"/>
                <w:szCs w:val="21"/>
                <w:highlight w:val="none"/>
              </w:rPr>
            </w:pPr>
            <w:r>
              <w:rPr>
                <w:rFonts w:hint="eastAsia" w:ascii="宋体" w:hAnsi="宋体" w:eastAsia="宋体" w:cs="宋体"/>
                <w:b w:val="0"/>
                <w:bCs w:val="0"/>
                <w:color w:val="auto"/>
                <w:sz w:val="21"/>
                <w:szCs w:val="21"/>
                <w:highlight w:val="none"/>
                <w:lang w:val="en-US" w:eastAsia="zh-CN"/>
              </w:rPr>
              <w:t>8</w:t>
            </w:r>
          </w:p>
        </w:tc>
        <w:tc>
          <w:tcPr>
            <w:tcW w:w="883"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E761857">
            <w:pPr>
              <w:keepNext w:val="0"/>
              <w:keepLines w:val="0"/>
              <w:suppressLineNumbers w:val="0"/>
              <w:spacing w:before="0" w:beforeAutospacing="0" w:after="0" w:afterAutospacing="0"/>
              <w:ind w:left="0" w:leftChars="0" w:right="0" w:rightChars="0"/>
              <w:jc w:val="center"/>
              <w:rPr>
                <w:rFonts w:hint="eastAsia" w:ascii="宋体" w:hAnsi="宋体" w:eastAsia="宋体" w:cs="宋体"/>
                <w:b/>
                <w:bCs/>
                <w:color w:val="auto"/>
                <w:szCs w:val="21"/>
                <w:highlight w:val="none"/>
              </w:rPr>
            </w:pPr>
            <w:r>
              <w:rPr>
                <w:rFonts w:hint="eastAsia" w:ascii="宋体" w:hAnsi="宋体" w:eastAsia="宋体" w:cs="宋体"/>
                <w:b w:val="0"/>
                <w:bCs w:val="0"/>
                <w:color w:val="auto"/>
                <w:sz w:val="21"/>
                <w:szCs w:val="21"/>
                <w:highlight w:val="none"/>
              </w:rPr>
              <w:t>全波长酶标仪</w:t>
            </w:r>
          </w:p>
        </w:tc>
        <w:tc>
          <w:tcPr>
            <w:tcW w:w="6760"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823ED1B">
            <w:pPr>
              <w:keepNext w:val="0"/>
              <w:keepLines w:val="0"/>
              <w:widowControl w:val="0"/>
              <w:suppressLineNumbers w:val="0"/>
              <w:autoSpaceDE w:val="0"/>
              <w:autoSpaceDN w:val="0"/>
              <w:adjustRightInd w:val="0"/>
              <w:spacing w:before="0" w:beforeAutospacing="0" w:after="0" w:afterAutospacing="0" w:line="240" w:lineRule="auto"/>
              <w:ind w:left="0" w:right="0"/>
              <w:jc w:val="left"/>
              <w:rPr>
                <w:rFonts w:hint="eastAsia" w:ascii="宋体" w:hAnsi="宋体" w:eastAsia="宋体" w:cs="宋体"/>
                <w:bCs/>
                <w:color w:val="auto"/>
                <w:kern w:val="0"/>
                <w:sz w:val="21"/>
                <w:szCs w:val="21"/>
                <w:highlight w:val="none"/>
                <w:woUserID w:val="9"/>
              </w:rPr>
            </w:pPr>
            <w:r>
              <w:rPr>
                <w:rFonts w:hint="eastAsia" w:ascii="宋体" w:hAnsi="宋体" w:cs="宋体"/>
                <w:b/>
                <w:bCs w:val="0"/>
                <w:color w:val="auto"/>
                <w:kern w:val="0"/>
                <w:sz w:val="21"/>
                <w:szCs w:val="21"/>
                <w:highlight w:val="none"/>
                <w:lang w:val="en-US" w:eastAsia="zh-CN" w:bidi="ar"/>
                <w:woUserID w:val="9"/>
              </w:rPr>
              <w:t>一、</w:t>
            </w:r>
            <w:r>
              <w:rPr>
                <w:rFonts w:hint="eastAsia" w:ascii="宋体" w:hAnsi="宋体" w:eastAsia="宋体" w:cs="宋体"/>
                <w:b/>
                <w:bCs w:val="0"/>
                <w:color w:val="auto"/>
                <w:kern w:val="0"/>
                <w:sz w:val="21"/>
                <w:szCs w:val="21"/>
                <w:highlight w:val="none"/>
                <w:lang w:val="en-US" w:eastAsia="zh-CN" w:bidi="ar"/>
                <w:woUserID w:val="9"/>
              </w:rPr>
              <w:t>技术参数:</w:t>
            </w:r>
          </w:p>
          <w:p w14:paraId="48325E85">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bCs/>
                <w:color w:val="auto"/>
                <w:kern w:val="0"/>
                <w:sz w:val="21"/>
                <w:szCs w:val="21"/>
                <w:highlight w:val="none"/>
                <w:lang w:val="en-US" w:eastAsia="zh-CN" w:bidi="ar"/>
                <w:woUserID w:val="9"/>
              </w:rPr>
            </w:pPr>
            <w:r>
              <w:rPr>
                <w:rFonts w:hint="eastAsia" w:ascii="宋体" w:hAnsi="宋体" w:eastAsia="宋体" w:cs="宋体"/>
                <w:bCs/>
                <w:color w:val="auto"/>
                <w:kern w:val="0"/>
                <w:sz w:val="21"/>
                <w:szCs w:val="21"/>
                <w:highlight w:val="none"/>
                <w:lang w:val="en-US" w:eastAsia="zh-CN" w:bidi="ar"/>
                <w:woUserID w:val="9"/>
              </w:rPr>
              <w:t>1.检测类型：96或384孔微孔板，标准1cm立式比色皿，12x75mm试管，24孔或64孔超微量检测板（2μl或4μl）</w:t>
            </w:r>
          </w:p>
          <w:p w14:paraId="426F29EF">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bCs/>
                <w:color w:val="auto"/>
                <w:kern w:val="0"/>
                <w:sz w:val="21"/>
                <w:szCs w:val="21"/>
                <w:highlight w:val="none"/>
                <w:lang w:val="en-US" w:eastAsia="zh-CN" w:bidi="ar"/>
                <w:woUserID w:val="9"/>
              </w:rPr>
            </w:pPr>
            <w:r>
              <w:rPr>
                <w:rFonts w:hint="eastAsia" w:ascii="宋体" w:hAnsi="宋体" w:eastAsia="宋体" w:cs="宋体"/>
                <w:bCs/>
                <w:color w:val="auto"/>
                <w:kern w:val="0"/>
                <w:sz w:val="21"/>
                <w:szCs w:val="21"/>
                <w:highlight w:val="none"/>
                <w:lang w:val="en-US" w:eastAsia="zh-CN" w:bidi="ar"/>
                <w:woUserID w:val="9"/>
              </w:rPr>
              <w:t>2.吸收光：波长范围：190nm-1000nm，1nm可调，带宽：≤2nm，波长准确度：&lt;±1nm</w:t>
            </w:r>
          </w:p>
          <w:p w14:paraId="2D8F1FE0">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bCs/>
                <w:color w:val="auto"/>
                <w:kern w:val="0"/>
                <w:sz w:val="21"/>
                <w:szCs w:val="21"/>
                <w:highlight w:val="none"/>
                <w:lang w:val="en-US" w:eastAsia="zh-CN" w:bidi="ar"/>
                <w:woUserID w:val="9"/>
              </w:rPr>
            </w:pPr>
            <w:r>
              <w:rPr>
                <w:rFonts w:hint="eastAsia" w:ascii="宋体" w:hAnsi="宋体" w:eastAsia="宋体" w:cs="宋体"/>
                <w:bCs/>
                <w:color w:val="auto"/>
                <w:kern w:val="0"/>
                <w:sz w:val="21"/>
                <w:szCs w:val="21"/>
                <w:highlight w:val="none"/>
                <w:lang w:val="en-US" w:eastAsia="zh-CN" w:bidi="ar"/>
                <w:woUserID w:val="9"/>
              </w:rPr>
              <w:t>波长重复性：±0.2nm，光度量范围：0-4.000(OD)，分光检测分辨率：0.001OD，测定准确度(微孔板)：＜±0.006OD±1.0%, 0-2.0 OD，测定准确度(比色皿)：＜±0.005OD±1.0%, 0-2.0 OD，测定精确度：＜±0.003OD±1.0%,0-2.0 OD，杂散光：&lt; 0.05% at 230 nm ；</w:t>
            </w:r>
          </w:p>
          <w:p w14:paraId="78ECAA57">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bCs/>
                <w:color w:val="auto"/>
                <w:kern w:val="0"/>
                <w:sz w:val="21"/>
                <w:szCs w:val="21"/>
                <w:highlight w:val="none"/>
                <w:lang w:val="en-US" w:eastAsia="zh-CN" w:bidi="ar"/>
                <w:woUserID w:val="9"/>
              </w:rPr>
            </w:pPr>
            <w:r>
              <w:rPr>
                <w:rFonts w:hint="eastAsia" w:ascii="宋体" w:hAnsi="宋体" w:eastAsia="宋体" w:cs="宋体"/>
                <w:bCs/>
                <w:color w:val="auto"/>
                <w:kern w:val="0"/>
                <w:sz w:val="21"/>
                <w:szCs w:val="21"/>
                <w:highlight w:val="none"/>
                <w:lang w:val="en-US" w:eastAsia="zh-CN" w:bidi="ar"/>
                <w:woUserID w:val="9"/>
              </w:rPr>
              <w:t>3.温度控制：室温+5°C-45°C</w:t>
            </w:r>
          </w:p>
          <w:p w14:paraId="7FBD55B6">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bCs/>
                <w:color w:val="auto"/>
                <w:kern w:val="0"/>
                <w:sz w:val="21"/>
                <w:szCs w:val="21"/>
                <w:highlight w:val="none"/>
                <w:lang w:val="en-US" w:eastAsia="zh-CN" w:bidi="ar"/>
                <w:woUserID w:val="9"/>
              </w:rPr>
            </w:pPr>
            <w:r>
              <w:rPr>
                <w:rFonts w:hint="eastAsia" w:ascii="宋体" w:hAnsi="宋体" w:eastAsia="宋体" w:cs="宋体"/>
                <w:bCs/>
                <w:color w:val="auto"/>
                <w:kern w:val="0"/>
                <w:sz w:val="21"/>
                <w:szCs w:val="21"/>
                <w:highlight w:val="none"/>
                <w:lang w:val="en-US" w:eastAsia="zh-CN" w:bidi="ar"/>
                <w:woUserID w:val="9"/>
              </w:rPr>
              <w:t>4.温度均一性(微孔板)：37°C±0.5°C</w:t>
            </w:r>
          </w:p>
          <w:p w14:paraId="5A87D346">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bCs/>
                <w:color w:val="auto"/>
                <w:kern w:val="0"/>
                <w:sz w:val="21"/>
                <w:szCs w:val="21"/>
                <w:highlight w:val="none"/>
                <w:lang w:val="en-US" w:eastAsia="zh-CN" w:bidi="ar"/>
                <w:woUserID w:val="9"/>
              </w:rPr>
            </w:pPr>
            <w:r>
              <w:rPr>
                <w:rFonts w:hint="eastAsia" w:ascii="宋体" w:hAnsi="宋体" w:eastAsia="宋体" w:cs="宋体"/>
                <w:bCs/>
                <w:color w:val="auto"/>
                <w:kern w:val="0"/>
                <w:sz w:val="21"/>
                <w:szCs w:val="21"/>
                <w:highlight w:val="none"/>
                <w:lang w:val="en-US" w:eastAsia="zh-CN" w:bidi="ar"/>
                <w:woUserID w:val="9"/>
              </w:rPr>
              <w:t>5.震荡方式：线性，0-999秒</w:t>
            </w:r>
          </w:p>
          <w:p w14:paraId="7DCA6804">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bCs/>
                <w:color w:val="auto"/>
                <w:kern w:val="0"/>
                <w:sz w:val="21"/>
                <w:szCs w:val="21"/>
                <w:highlight w:val="none"/>
                <w:lang w:val="en-US" w:eastAsia="zh-CN" w:bidi="ar"/>
                <w:woUserID w:val="9"/>
              </w:rPr>
            </w:pPr>
            <w:r>
              <w:rPr>
                <w:rFonts w:hint="eastAsia" w:ascii="宋体" w:hAnsi="宋体" w:eastAsia="宋体" w:cs="宋体"/>
                <w:bCs/>
                <w:color w:val="auto"/>
                <w:kern w:val="0"/>
                <w:sz w:val="21"/>
                <w:szCs w:val="21"/>
                <w:highlight w:val="none"/>
                <w:lang w:val="en-US" w:eastAsia="zh-CN" w:bidi="ar"/>
                <w:woUserID w:val="9"/>
              </w:rPr>
              <w:t>6.光源：高能氙闪灯（10亿次闪烁）</w:t>
            </w:r>
          </w:p>
          <w:p w14:paraId="1C043E6C">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bCs/>
                <w:color w:val="auto"/>
                <w:kern w:val="0"/>
                <w:sz w:val="21"/>
                <w:szCs w:val="21"/>
                <w:highlight w:val="none"/>
                <w:lang w:val="en-US" w:eastAsia="zh-CN" w:bidi="ar"/>
                <w:woUserID w:val="9"/>
              </w:rPr>
            </w:pPr>
            <w:r>
              <w:rPr>
                <w:rFonts w:hint="eastAsia" w:ascii="宋体" w:hAnsi="宋体" w:eastAsia="宋体" w:cs="宋体"/>
                <w:bCs/>
                <w:color w:val="auto"/>
                <w:kern w:val="0"/>
                <w:sz w:val="21"/>
                <w:szCs w:val="21"/>
                <w:highlight w:val="none"/>
                <w:lang w:val="en-US" w:eastAsia="zh-CN" w:bidi="ar"/>
                <w:woUserID w:val="9"/>
              </w:rPr>
              <w:t>7.检测模式：终点法、动力学法、光谱扫描</w:t>
            </w:r>
          </w:p>
          <w:p w14:paraId="122D2FBD">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bCs/>
                <w:color w:val="auto"/>
                <w:kern w:val="0"/>
                <w:sz w:val="21"/>
                <w:szCs w:val="21"/>
                <w:highlight w:val="none"/>
                <w:lang w:val="en-US" w:eastAsia="zh-CN" w:bidi="ar"/>
                <w:woUserID w:val="9"/>
              </w:rPr>
            </w:pPr>
            <w:r>
              <w:rPr>
                <w:rFonts w:hint="eastAsia" w:ascii="宋体" w:hAnsi="宋体" w:eastAsia="宋体" w:cs="宋体"/>
                <w:bCs/>
                <w:color w:val="auto"/>
                <w:kern w:val="0"/>
                <w:sz w:val="21"/>
                <w:szCs w:val="21"/>
                <w:highlight w:val="none"/>
                <w:lang w:val="en-US" w:eastAsia="zh-CN" w:bidi="ar"/>
                <w:woUserID w:val="9"/>
              </w:rPr>
              <w:t>8.微孔板测度时间：96孔：＜5秒；384孔：＜16秒</w:t>
            </w:r>
          </w:p>
          <w:p w14:paraId="005D162B">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bCs/>
                <w:color w:val="auto"/>
                <w:kern w:val="0"/>
                <w:sz w:val="21"/>
                <w:szCs w:val="21"/>
                <w:highlight w:val="none"/>
                <w:lang w:val="en-US" w:eastAsia="zh-CN" w:bidi="ar"/>
                <w:woUserID w:val="9"/>
              </w:rPr>
            </w:pPr>
            <w:r>
              <w:rPr>
                <w:rFonts w:hint="eastAsia" w:ascii="宋体" w:hAnsi="宋体" w:cs="宋体"/>
                <w:szCs w:val="21"/>
                <w:lang w:bidi="ar"/>
              </w:rPr>
              <w:t>■</w:t>
            </w:r>
            <w:r>
              <w:rPr>
                <w:rFonts w:hint="eastAsia" w:ascii="宋体" w:hAnsi="宋体" w:eastAsia="宋体" w:cs="宋体"/>
                <w:bCs/>
                <w:color w:val="auto"/>
                <w:kern w:val="0"/>
                <w:sz w:val="21"/>
                <w:szCs w:val="21"/>
                <w:highlight w:val="none"/>
                <w:lang w:val="en-US" w:eastAsia="zh-CN" w:bidi="ar"/>
                <w:woUserID w:val="9"/>
              </w:rPr>
              <w:t>9.配有光径传感器技术，可以将实测的光密度值校正为1cm光径下的吸光度值，使对微孔板的测读达到分光光度计的精度，校正结果不随温度变化而变化</w:t>
            </w:r>
          </w:p>
          <w:p w14:paraId="29D1C16B">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bCs/>
                <w:color w:val="auto"/>
                <w:kern w:val="0"/>
                <w:sz w:val="21"/>
                <w:szCs w:val="21"/>
                <w:highlight w:val="none"/>
                <w:lang w:val="en-US" w:eastAsia="zh-CN" w:bidi="ar"/>
                <w:woUserID w:val="9"/>
              </w:rPr>
            </w:pPr>
            <w:r>
              <w:rPr>
                <w:rFonts w:hint="eastAsia" w:ascii="宋体" w:hAnsi="宋体" w:eastAsia="宋体" w:cs="宋体"/>
                <w:bCs/>
                <w:color w:val="auto"/>
                <w:kern w:val="0"/>
                <w:sz w:val="21"/>
                <w:szCs w:val="21"/>
                <w:highlight w:val="none"/>
                <w:lang w:val="en-US" w:eastAsia="zh-CN" w:bidi="ar"/>
                <w:woUserID w:val="9"/>
              </w:rPr>
              <w:t>10.光学系统由9个配备独立样品检测器和参照检测的通道组成，极大提高检测速度和检测的精度</w:t>
            </w:r>
          </w:p>
          <w:p w14:paraId="4706A816">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bCs/>
                <w:color w:val="auto"/>
                <w:kern w:val="0"/>
                <w:sz w:val="21"/>
                <w:szCs w:val="21"/>
                <w:highlight w:val="none"/>
                <w:lang w:val="en-US" w:eastAsia="zh-CN" w:bidi="ar"/>
                <w:woUserID w:val="9"/>
              </w:rPr>
            </w:pPr>
            <w:r>
              <w:rPr>
                <w:rFonts w:hint="eastAsia" w:ascii="宋体" w:hAnsi="宋体" w:eastAsia="宋体" w:cs="宋体"/>
                <w:bCs/>
                <w:color w:val="auto"/>
                <w:kern w:val="0"/>
                <w:sz w:val="21"/>
                <w:szCs w:val="21"/>
                <w:highlight w:val="none"/>
                <w:lang w:val="en-US" w:eastAsia="zh-CN" w:bidi="ar"/>
                <w:woUserID w:val="9"/>
              </w:rPr>
              <w:t>11.软件</w:t>
            </w:r>
          </w:p>
          <w:p w14:paraId="08AE98DD">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bCs/>
                <w:color w:val="auto"/>
                <w:kern w:val="0"/>
                <w:sz w:val="21"/>
                <w:szCs w:val="21"/>
                <w:highlight w:val="none"/>
                <w:lang w:val="en-US" w:eastAsia="zh-CN" w:bidi="ar"/>
                <w:woUserID w:val="9"/>
              </w:rPr>
            </w:pPr>
            <w:r>
              <w:rPr>
                <w:rFonts w:hint="eastAsia" w:ascii="宋体" w:hAnsi="宋体" w:eastAsia="宋体" w:cs="宋体"/>
                <w:bCs/>
                <w:color w:val="auto"/>
                <w:kern w:val="0"/>
                <w:sz w:val="21"/>
                <w:szCs w:val="21"/>
                <w:highlight w:val="none"/>
                <w:lang w:val="en-US" w:eastAsia="zh-CN" w:bidi="ar"/>
                <w:woUserID w:val="9"/>
              </w:rPr>
              <w:t>数据分析软件可自动进行数据的运算及存储；可完成图表曲线制作，并可完成坐标轴的自由定义和转换，21种曲线拟合方式；完成自编公式和程序的存储及运行；仪器的各种功能均可通过计算机控制完成；软件符合GLP《药物非临床研究质量管理标准》规范要求，数据不得修改，兼容Windows 10专业版或企业版系统。数据导入支持：Excel，支持模板分组导入功能、支持多种模式（ABS\FI）检测导入到同一程序；支持多种数据导出格式：Excel、TXT、XML和PDF。</w:t>
            </w:r>
          </w:p>
          <w:p w14:paraId="4B0AB465">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bCs/>
                <w:color w:val="auto"/>
                <w:kern w:val="0"/>
                <w:sz w:val="21"/>
                <w:szCs w:val="21"/>
                <w:highlight w:val="none"/>
                <w:lang w:val="en-US" w:eastAsia="zh-CN" w:bidi="ar"/>
                <w:woUserID w:val="9"/>
              </w:rPr>
            </w:pPr>
            <w:r>
              <w:rPr>
                <w:rFonts w:hint="eastAsia" w:ascii="宋体" w:hAnsi="宋体" w:eastAsia="宋体" w:cs="宋体"/>
                <w:bCs/>
                <w:color w:val="auto"/>
                <w:kern w:val="0"/>
                <w:sz w:val="21"/>
                <w:szCs w:val="21"/>
                <w:highlight w:val="none"/>
                <w:lang w:val="en-US" w:eastAsia="zh-CN" w:bidi="ar"/>
                <w:woUserID w:val="9"/>
              </w:rPr>
              <w:t>二、配置清单：</w:t>
            </w:r>
          </w:p>
          <w:p w14:paraId="16DBF0BE">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bCs/>
                <w:color w:val="auto"/>
                <w:kern w:val="0"/>
                <w:sz w:val="21"/>
                <w:szCs w:val="21"/>
                <w:highlight w:val="none"/>
                <w:lang w:val="en-US" w:eastAsia="zh-CN" w:bidi="ar"/>
                <w:woUserID w:val="9"/>
              </w:rPr>
            </w:pPr>
            <w:r>
              <w:rPr>
                <w:rFonts w:hint="eastAsia" w:ascii="宋体" w:hAnsi="宋体" w:eastAsia="宋体" w:cs="宋体"/>
                <w:bCs/>
                <w:color w:val="auto"/>
                <w:kern w:val="0"/>
                <w:sz w:val="21"/>
                <w:szCs w:val="21"/>
                <w:highlight w:val="none"/>
                <w:lang w:val="en-US" w:eastAsia="zh-CN" w:bidi="ar"/>
                <w:woUserID w:val="9"/>
              </w:rPr>
              <w:t>1.主机一套：含光吸收模块</w:t>
            </w:r>
          </w:p>
          <w:p w14:paraId="5692013B">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bCs/>
                <w:color w:val="auto"/>
                <w:kern w:val="0"/>
                <w:sz w:val="21"/>
                <w:szCs w:val="21"/>
                <w:highlight w:val="none"/>
                <w:lang w:val="en-US" w:eastAsia="zh-CN" w:bidi="ar"/>
                <w:woUserID w:val="9"/>
              </w:rPr>
            </w:pPr>
            <w:r>
              <w:rPr>
                <w:rFonts w:hint="eastAsia" w:ascii="宋体" w:hAnsi="宋体" w:eastAsia="宋体" w:cs="宋体"/>
                <w:bCs/>
                <w:color w:val="auto"/>
                <w:kern w:val="0"/>
                <w:sz w:val="21"/>
                <w:szCs w:val="21"/>
                <w:highlight w:val="none"/>
                <w:lang w:val="en-US" w:eastAsia="zh-CN" w:bidi="ar"/>
                <w:woUserID w:val="9"/>
              </w:rPr>
              <w:t>2.专业分析和控制软件一套</w:t>
            </w:r>
          </w:p>
          <w:p w14:paraId="392E00C7">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bCs/>
                <w:color w:val="auto"/>
                <w:kern w:val="0"/>
                <w:sz w:val="21"/>
                <w:szCs w:val="21"/>
                <w:highlight w:val="none"/>
                <w:lang w:val="en-US" w:eastAsia="zh-CN" w:bidi="ar"/>
                <w:woUserID w:val="9"/>
              </w:rPr>
            </w:pPr>
            <w:r>
              <w:rPr>
                <w:rFonts w:hint="eastAsia" w:ascii="宋体" w:hAnsi="宋体" w:eastAsia="宋体" w:cs="宋体"/>
                <w:bCs/>
                <w:color w:val="auto"/>
                <w:kern w:val="0"/>
                <w:sz w:val="21"/>
                <w:szCs w:val="21"/>
                <w:highlight w:val="none"/>
                <w:lang w:val="en-US" w:eastAsia="zh-CN" w:bidi="ar"/>
                <w:woUserID w:val="9"/>
              </w:rPr>
              <w:t>3.防尘罩、使用手册、鼠标垫</w:t>
            </w:r>
          </w:p>
          <w:p w14:paraId="0C88AD57">
            <w:pPr>
              <w:keepNext w:val="0"/>
              <w:keepLines w:val="0"/>
              <w:widowControl/>
              <w:numPr>
                <w:ilvl w:val="0"/>
                <w:numId w:val="0"/>
              </w:numPr>
              <w:suppressLineNumbers w:val="0"/>
              <w:spacing w:before="0" w:beforeAutospacing="0" w:after="0" w:afterAutospacing="0" w:line="240" w:lineRule="auto"/>
              <w:ind w:left="0" w:right="0" w:rightChars="0"/>
              <w:jc w:val="both"/>
              <w:rPr>
                <w:rFonts w:hint="eastAsia" w:ascii="宋体" w:hAnsi="宋体" w:eastAsia="宋体" w:cs="宋体"/>
                <w:bCs/>
                <w:color w:val="auto"/>
                <w:kern w:val="0"/>
                <w:sz w:val="21"/>
                <w:szCs w:val="21"/>
                <w:highlight w:val="none"/>
                <w:lang w:val="en-US" w:eastAsia="zh-CN" w:bidi="ar"/>
                <w:woUserID w:val="9"/>
              </w:rPr>
            </w:pPr>
            <w:r>
              <w:rPr>
                <w:rFonts w:hint="eastAsia" w:ascii="宋体" w:hAnsi="宋体" w:eastAsia="宋体" w:cs="宋体"/>
                <w:bCs/>
                <w:color w:val="auto"/>
                <w:kern w:val="0"/>
                <w:sz w:val="21"/>
                <w:szCs w:val="21"/>
                <w:highlight w:val="none"/>
                <w:lang w:val="en-US" w:eastAsia="zh-CN" w:bidi="ar"/>
                <w:woUserID w:val="9"/>
              </w:rPr>
              <w:t>4.控制装置不低于以下配置：显卡类型：集成显卡；核心数：:12核；CPU:I7-12700；内存容量：16G；硬盘容量： 1TB SSD ； USB接口数：6个；显示器规格：23寸。</w:t>
            </w:r>
          </w:p>
          <w:p w14:paraId="2FE9E7D5">
            <w:pPr>
              <w:keepNext w:val="0"/>
              <w:keepLines w:val="0"/>
              <w:suppressLineNumbers w:val="0"/>
              <w:spacing w:before="0" w:beforeAutospacing="0" w:after="0" w:afterAutospacing="0"/>
              <w:ind w:left="0" w:leftChars="0" w:right="0" w:rightChars="0"/>
              <w:jc w:val="center"/>
              <w:rPr>
                <w:rFonts w:hint="eastAsia" w:ascii="宋体" w:hAnsi="宋体" w:eastAsia="宋体" w:cs="宋体"/>
                <w:b/>
                <w:bCs/>
                <w:color w:val="auto"/>
                <w:szCs w:val="21"/>
                <w:highlight w:val="none"/>
              </w:rPr>
            </w:pPr>
          </w:p>
        </w:tc>
        <w:tc>
          <w:tcPr>
            <w:tcW w:w="701"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F82B527">
            <w:pPr>
              <w:keepNext w:val="0"/>
              <w:keepLines w:val="0"/>
              <w:suppressLineNumbers w:val="0"/>
              <w:spacing w:before="0" w:beforeAutospacing="0" w:after="0" w:afterAutospacing="0"/>
              <w:ind w:left="0" w:leftChars="0" w:right="0" w:rightChars="0"/>
              <w:jc w:val="center"/>
              <w:rPr>
                <w:rFonts w:hint="eastAsia" w:ascii="宋体" w:hAnsi="宋体" w:eastAsia="宋体" w:cs="宋体"/>
                <w:b/>
                <w:bCs/>
                <w:color w:val="auto"/>
                <w:szCs w:val="21"/>
                <w:highlight w:val="none"/>
              </w:rPr>
            </w:pPr>
            <w:r>
              <w:rPr>
                <w:rFonts w:hint="eastAsia" w:ascii="宋体" w:hAnsi="宋体" w:eastAsia="宋体" w:cs="宋体"/>
                <w:b w:val="0"/>
                <w:bCs w:val="0"/>
                <w:color w:val="auto"/>
                <w:sz w:val="21"/>
                <w:szCs w:val="21"/>
                <w:highlight w:val="none"/>
              </w:rPr>
              <w:t>套</w:t>
            </w:r>
          </w:p>
        </w:tc>
        <w:tc>
          <w:tcPr>
            <w:tcW w:w="668" w:type="dxa"/>
            <w:tcBorders>
              <w:top w:val="single" w:color="auto" w:sz="4" w:space="0"/>
              <w:left w:val="single" w:color="auto" w:sz="4" w:space="0"/>
              <w:bottom w:val="single" w:color="auto" w:sz="4" w:space="0"/>
              <w:right w:val="single" w:color="auto" w:sz="4" w:space="0"/>
            </w:tcBorders>
            <w:vAlign w:val="center"/>
          </w:tcPr>
          <w:p w14:paraId="59A43D7E">
            <w:pPr>
              <w:keepNext w:val="0"/>
              <w:keepLines w:val="0"/>
              <w:suppressLineNumbers w:val="0"/>
              <w:spacing w:before="0" w:beforeAutospacing="0" w:after="0" w:afterAutospacing="0"/>
              <w:ind w:left="0" w:leftChars="0" w:right="0" w:rightChars="0"/>
              <w:jc w:val="center"/>
              <w:rPr>
                <w:rFonts w:hint="eastAsia" w:ascii="宋体" w:hAnsi="宋体" w:eastAsia="宋体" w:cs="宋体"/>
                <w:b/>
                <w:bCs/>
                <w:color w:val="auto"/>
                <w:szCs w:val="21"/>
                <w:highlight w:val="none"/>
              </w:rPr>
            </w:pPr>
            <w:r>
              <w:rPr>
                <w:rFonts w:hint="eastAsia" w:ascii="宋体" w:hAnsi="宋体" w:eastAsia="宋体" w:cs="宋体"/>
                <w:b w:val="0"/>
                <w:bCs w:val="0"/>
                <w:color w:val="auto"/>
                <w:sz w:val="21"/>
                <w:szCs w:val="21"/>
                <w:highlight w:val="none"/>
              </w:rPr>
              <w:t>1</w:t>
            </w:r>
          </w:p>
        </w:tc>
      </w:tr>
      <w:tr w14:paraId="13223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414"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5C480FB">
            <w:pPr>
              <w:pStyle w:val="148"/>
              <w:keepNext w:val="0"/>
              <w:keepLines w:val="0"/>
              <w:widowControl/>
              <w:numPr>
                <w:ilvl w:val="0"/>
                <w:numId w:val="0"/>
              </w:numPr>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bCs/>
                <w:color w:val="auto"/>
                <w:szCs w:val="21"/>
                <w:highlight w:val="none"/>
              </w:rPr>
            </w:pPr>
            <w:r>
              <w:rPr>
                <w:rFonts w:hint="eastAsia" w:ascii="宋体" w:hAnsi="宋体" w:eastAsia="宋体" w:cs="宋体"/>
                <w:b w:val="0"/>
                <w:bCs w:val="0"/>
                <w:color w:val="auto"/>
                <w:sz w:val="21"/>
                <w:szCs w:val="21"/>
                <w:highlight w:val="none"/>
                <w:lang w:val="en-US" w:eastAsia="zh-CN"/>
              </w:rPr>
              <w:t>9</w:t>
            </w:r>
          </w:p>
        </w:tc>
        <w:tc>
          <w:tcPr>
            <w:tcW w:w="883"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29C2784">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bCs/>
                <w:color w:val="auto"/>
                <w:szCs w:val="21"/>
                <w:highlight w:val="none"/>
              </w:rPr>
            </w:pPr>
            <w:r>
              <w:rPr>
                <w:rFonts w:hint="eastAsia" w:ascii="宋体" w:hAnsi="宋体" w:eastAsia="宋体" w:cs="宋体"/>
                <w:b w:val="0"/>
                <w:bCs w:val="0"/>
                <w:color w:val="auto"/>
                <w:sz w:val="21"/>
                <w:szCs w:val="21"/>
                <w:highlight w:val="none"/>
              </w:rPr>
              <w:t>制冰机</w:t>
            </w:r>
          </w:p>
        </w:tc>
        <w:tc>
          <w:tcPr>
            <w:tcW w:w="6760"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26090CE">
            <w:pPr>
              <w:keepNext w:val="0"/>
              <w:keepLines w:val="0"/>
              <w:widowControl w:val="0"/>
              <w:numPr>
                <w:ilvl w:val="-1"/>
                <w:numId w:val="0"/>
              </w:numPr>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i w:val="0"/>
                <w:iCs w:val="0"/>
                <w:caps w:val="0"/>
                <w:color w:val="auto"/>
                <w:spacing w:val="0"/>
                <w:sz w:val="21"/>
                <w:szCs w:val="21"/>
                <w:highlight w:val="none"/>
                <w:lang w:val="en-US" w:eastAsia="zh-CN"/>
              </w:rPr>
              <w:t>1.</w:t>
            </w:r>
            <w:r>
              <w:rPr>
                <w:rFonts w:hint="eastAsia" w:ascii="宋体" w:hAnsi="宋体" w:eastAsia="宋体" w:cs="宋体"/>
                <w:i w:val="0"/>
                <w:iCs w:val="0"/>
                <w:caps w:val="0"/>
                <w:color w:val="auto"/>
                <w:spacing w:val="0"/>
                <w:sz w:val="21"/>
                <w:szCs w:val="21"/>
                <w:highlight w:val="none"/>
              </w:rPr>
              <w:t xml:space="preserve"> 箱体隔热层为无氟发泡，内胆为无氟抑菌型。</w:t>
            </w:r>
            <w:r>
              <w:rPr>
                <w:rFonts w:hint="eastAsia" w:ascii="宋体" w:hAnsi="宋体" w:eastAsia="宋体" w:cs="宋体"/>
                <w:i w:val="0"/>
                <w:iCs w:val="0"/>
                <w:caps w:val="0"/>
                <w:color w:val="auto"/>
                <w:spacing w:val="0"/>
                <w:sz w:val="21"/>
                <w:szCs w:val="21"/>
                <w:highlight w:val="none"/>
              </w:rPr>
              <w:br w:type="textWrapping"/>
            </w:r>
            <w:r>
              <w:rPr>
                <w:rFonts w:hint="eastAsia" w:ascii="宋体" w:hAnsi="宋体" w:eastAsia="宋体" w:cs="宋体"/>
                <w:i w:val="0"/>
                <w:iCs w:val="0"/>
                <w:caps w:val="0"/>
                <w:color w:val="auto"/>
                <w:spacing w:val="0"/>
                <w:sz w:val="21"/>
                <w:szCs w:val="21"/>
                <w:highlight w:val="none"/>
                <w:lang w:val="en-US" w:eastAsia="zh-CN"/>
              </w:rPr>
              <w:t>2.</w:t>
            </w:r>
            <w:r>
              <w:rPr>
                <w:rFonts w:hint="eastAsia" w:ascii="宋体" w:hAnsi="宋体" w:eastAsia="宋体" w:cs="宋体"/>
                <w:i w:val="0"/>
                <w:iCs w:val="0"/>
                <w:caps w:val="0"/>
                <w:color w:val="auto"/>
                <w:spacing w:val="0"/>
                <w:sz w:val="21"/>
                <w:szCs w:val="21"/>
                <w:highlight w:val="none"/>
              </w:rPr>
              <w:t xml:space="preserve"> 采用R134a无氟压缩机</w:t>
            </w:r>
            <w:r>
              <w:rPr>
                <w:rFonts w:hint="eastAsia" w:ascii="宋体" w:hAnsi="宋体" w:eastAsia="宋体" w:cs="宋体"/>
                <w:i w:val="0"/>
                <w:iCs w:val="0"/>
                <w:caps w:val="0"/>
                <w:color w:val="auto"/>
                <w:spacing w:val="0"/>
                <w:sz w:val="21"/>
                <w:szCs w:val="21"/>
                <w:highlight w:val="none"/>
              </w:rPr>
              <w:br w:type="textWrapping"/>
            </w:r>
            <w:r>
              <w:rPr>
                <w:rFonts w:hint="eastAsia" w:ascii="宋体" w:hAnsi="宋体" w:eastAsia="宋体" w:cs="宋体"/>
                <w:i w:val="0"/>
                <w:iCs w:val="0"/>
                <w:caps w:val="0"/>
                <w:color w:val="auto"/>
                <w:spacing w:val="0"/>
                <w:sz w:val="21"/>
                <w:szCs w:val="21"/>
                <w:highlight w:val="none"/>
                <w:lang w:val="en-US" w:eastAsia="zh-CN"/>
              </w:rPr>
              <w:t>3.</w:t>
            </w:r>
            <w:r>
              <w:rPr>
                <w:rFonts w:hint="eastAsia" w:ascii="宋体" w:hAnsi="宋体" w:eastAsia="宋体" w:cs="宋体"/>
                <w:i w:val="0"/>
                <w:iCs w:val="0"/>
                <w:caps w:val="0"/>
                <w:color w:val="auto"/>
                <w:spacing w:val="0"/>
                <w:sz w:val="21"/>
                <w:szCs w:val="21"/>
                <w:highlight w:val="none"/>
              </w:rPr>
              <w:t xml:space="preserve"> 制冰过程采用全电脑程序控制，运行平稳。</w:t>
            </w:r>
            <w:r>
              <w:rPr>
                <w:rFonts w:hint="eastAsia" w:ascii="宋体" w:hAnsi="宋体" w:eastAsia="宋体" w:cs="宋体"/>
                <w:i w:val="0"/>
                <w:iCs w:val="0"/>
                <w:caps w:val="0"/>
                <w:color w:val="auto"/>
                <w:spacing w:val="0"/>
                <w:sz w:val="21"/>
                <w:szCs w:val="21"/>
                <w:highlight w:val="none"/>
              </w:rPr>
              <w:br w:type="textWrapping"/>
            </w:r>
            <w:r>
              <w:rPr>
                <w:rFonts w:hint="eastAsia" w:ascii="宋体" w:hAnsi="宋体" w:eastAsia="宋体" w:cs="宋体"/>
                <w:i w:val="0"/>
                <w:iCs w:val="0"/>
                <w:caps w:val="0"/>
                <w:color w:val="auto"/>
                <w:spacing w:val="0"/>
                <w:sz w:val="21"/>
                <w:szCs w:val="21"/>
                <w:highlight w:val="none"/>
                <w:lang w:val="en-US" w:eastAsia="zh-CN"/>
              </w:rPr>
              <w:t>4.</w:t>
            </w:r>
            <w:r>
              <w:rPr>
                <w:rFonts w:hint="eastAsia" w:ascii="宋体" w:hAnsi="宋体" w:eastAsia="宋体" w:cs="宋体"/>
                <w:i w:val="0"/>
                <w:iCs w:val="0"/>
                <w:caps w:val="0"/>
                <w:color w:val="auto"/>
                <w:spacing w:val="0"/>
                <w:sz w:val="21"/>
                <w:szCs w:val="21"/>
                <w:highlight w:val="none"/>
              </w:rPr>
              <w:t xml:space="preserve"> 水箱浮球式进水系统，保证无残水余水，无除冰过程、无水损耗，无</w:t>
            </w:r>
            <w:r>
              <w:rPr>
                <w:rFonts w:hint="eastAsia" w:ascii="宋体" w:hAnsi="宋体" w:eastAsia="宋体" w:cs="宋体"/>
                <w:i w:val="0"/>
                <w:iCs w:val="0"/>
                <w:caps w:val="0"/>
                <w:color w:val="auto"/>
                <w:spacing w:val="0"/>
                <w:sz w:val="21"/>
                <w:szCs w:val="21"/>
                <w:highlight w:val="none"/>
                <w:lang w:eastAsia="zh-CN"/>
              </w:rPr>
              <w:t>残</w:t>
            </w:r>
            <w:r>
              <w:rPr>
                <w:rFonts w:hint="eastAsia" w:ascii="宋体" w:hAnsi="宋体" w:eastAsia="宋体" w:cs="宋体"/>
                <w:i w:val="0"/>
                <w:iCs w:val="0"/>
                <w:caps w:val="0"/>
                <w:color w:val="auto"/>
                <w:spacing w:val="0"/>
                <w:sz w:val="21"/>
                <w:szCs w:val="21"/>
                <w:highlight w:val="none"/>
              </w:rPr>
              <w:t>水、节水节能。</w:t>
            </w:r>
            <w:r>
              <w:rPr>
                <w:rFonts w:hint="eastAsia" w:ascii="宋体" w:hAnsi="宋体" w:eastAsia="宋体" w:cs="宋体"/>
                <w:i w:val="0"/>
                <w:iCs w:val="0"/>
                <w:caps w:val="0"/>
                <w:color w:val="auto"/>
                <w:spacing w:val="0"/>
                <w:sz w:val="21"/>
                <w:szCs w:val="21"/>
                <w:highlight w:val="none"/>
              </w:rPr>
              <w:br w:type="textWrapping"/>
            </w:r>
            <w:r>
              <w:rPr>
                <w:rFonts w:hint="eastAsia" w:ascii="宋体" w:hAnsi="宋体" w:eastAsia="宋体" w:cs="宋体"/>
                <w:i w:val="0"/>
                <w:iCs w:val="0"/>
                <w:caps w:val="0"/>
                <w:color w:val="auto"/>
                <w:spacing w:val="0"/>
                <w:sz w:val="21"/>
                <w:szCs w:val="21"/>
                <w:highlight w:val="none"/>
                <w:lang w:val="en-US" w:eastAsia="zh-CN"/>
              </w:rPr>
              <w:t>5.</w:t>
            </w:r>
            <w:r>
              <w:rPr>
                <w:rFonts w:hint="eastAsia" w:ascii="宋体" w:hAnsi="宋体" w:eastAsia="宋体" w:cs="宋体"/>
                <w:i w:val="0"/>
                <w:iCs w:val="0"/>
                <w:caps w:val="0"/>
                <w:color w:val="auto"/>
                <w:spacing w:val="0"/>
                <w:sz w:val="21"/>
                <w:szCs w:val="21"/>
                <w:highlight w:val="none"/>
              </w:rPr>
              <w:t xml:space="preserve"> 有冰满显示，缺水显示，过冷保护显示，故障警告显示等保护性停机功能。制冰机冰满缺水时会自动停机，当来电来水时会自动开机，具有自动记忆恢复功能。</w:t>
            </w:r>
            <w:r>
              <w:rPr>
                <w:rFonts w:hint="eastAsia" w:ascii="宋体" w:hAnsi="宋体" w:eastAsia="宋体" w:cs="宋体"/>
                <w:i w:val="0"/>
                <w:iCs w:val="0"/>
                <w:caps w:val="0"/>
                <w:color w:val="auto"/>
                <w:spacing w:val="0"/>
                <w:sz w:val="21"/>
                <w:szCs w:val="21"/>
                <w:highlight w:val="none"/>
              </w:rPr>
              <w:br w:type="textWrapping"/>
            </w:r>
            <w:r>
              <w:rPr>
                <w:rFonts w:hint="eastAsia" w:ascii="宋体" w:hAnsi="宋体" w:eastAsia="宋体" w:cs="宋体"/>
                <w:i w:val="0"/>
                <w:iCs w:val="0"/>
                <w:caps w:val="0"/>
                <w:color w:val="auto"/>
                <w:spacing w:val="0"/>
                <w:sz w:val="21"/>
                <w:szCs w:val="21"/>
                <w:highlight w:val="none"/>
                <w:lang w:val="en-US" w:eastAsia="zh-CN"/>
              </w:rPr>
              <w:t>6.</w:t>
            </w:r>
            <w:r>
              <w:rPr>
                <w:rFonts w:hint="eastAsia" w:ascii="宋体" w:hAnsi="宋体" w:eastAsia="宋体" w:cs="宋体"/>
                <w:i w:val="0"/>
                <w:iCs w:val="0"/>
                <w:caps w:val="0"/>
                <w:color w:val="auto"/>
                <w:spacing w:val="0"/>
                <w:sz w:val="21"/>
                <w:szCs w:val="21"/>
                <w:highlight w:val="none"/>
              </w:rPr>
              <w:t xml:space="preserve"> 所制冰形为不定形的细小颗粒状雪花碎冰，冰形小，能渗入较窄间隙， 冷却速度快，冰浴效果好。</w:t>
            </w:r>
            <w:r>
              <w:rPr>
                <w:rFonts w:hint="eastAsia" w:ascii="宋体" w:hAnsi="宋体" w:eastAsia="宋体" w:cs="宋体"/>
                <w:i w:val="0"/>
                <w:iCs w:val="0"/>
                <w:caps w:val="0"/>
                <w:color w:val="auto"/>
                <w:spacing w:val="0"/>
                <w:sz w:val="21"/>
                <w:szCs w:val="21"/>
                <w:highlight w:val="none"/>
              </w:rPr>
              <w:br w:type="textWrapping"/>
            </w:r>
            <w:r>
              <w:rPr>
                <w:rFonts w:hint="eastAsia" w:ascii="宋体" w:hAnsi="宋体" w:eastAsia="宋体" w:cs="宋体"/>
                <w:i w:val="0"/>
                <w:iCs w:val="0"/>
                <w:caps w:val="0"/>
                <w:color w:val="auto"/>
                <w:spacing w:val="0"/>
                <w:sz w:val="21"/>
                <w:szCs w:val="21"/>
                <w:highlight w:val="none"/>
                <w:lang w:val="en-US" w:eastAsia="zh-CN"/>
              </w:rPr>
              <w:t>7.</w:t>
            </w:r>
            <w:r>
              <w:rPr>
                <w:rFonts w:hint="eastAsia" w:ascii="宋体" w:hAnsi="宋体" w:eastAsia="宋体" w:cs="宋体"/>
                <w:i w:val="0"/>
                <w:iCs w:val="0"/>
                <w:caps w:val="0"/>
                <w:color w:val="auto"/>
                <w:spacing w:val="0"/>
                <w:sz w:val="21"/>
                <w:szCs w:val="21"/>
                <w:highlight w:val="none"/>
              </w:rPr>
              <w:t xml:space="preserve"> 前部设有电源开关和功能指示灯，周到详细的操作说明，各项安全指标均经电性能测试通过。</w:t>
            </w:r>
          </w:p>
          <w:p w14:paraId="045BD565">
            <w:pPr>
              <w:keepNext w:val="0"/>
              <w:keepLines w:val="0"/>
              <w:widowControl w:val="0"/>
              <w:numPr>
                <w:ilvl w:val="-1"/>
                <w:numId w:val="0"/>
              </w:numPr>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i w:val="0"/>
                <w:iCs w:val="0"/>
                <w:caps w:val="0"/>
                <w:color w:val="auto"/>
                <w:spacing w:val="0"/>
                <w:sz w:val="21"/>
                <w:szCs w:val="21"/>
                <w:highlight w:val="none"/>
                <w:lang w:val="en-US" w:eastAsia="zh-CN"/>
              </w:rPr>
              <w:t>8.</w:t>
            </w:r>
            <w:r>
              <w:rPr>
                <w:rFonts w:hint="eastAsia" w:ascii="宋体" w:hAnsi="宋体" w:eastAsia="宋体" w:cs="宋体"/>
                <w:color w:val="auto"/>
                <w:kern w:val="2"/>
                <w:sz w:val="21"/>
                <w:szCs w:val="21"/>
                <w:highlight w:val="none"/>
                <w:lang w:val="en-US" w:eastAsia="zh-CN" w:bidi="ar"/>
                <w:woUserID w:val="9"/>
              </w:rPr>
              <w:t>制冰量≥50kg/24h</w:t>
            </w:r>
          </w:p>
          <w:p w14:paraId="03D8D6F8">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9.储冰量≥15kg</w:t>
            </w:r>
          </w:p>
          <w:p w14:paraId="08DB0C37">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10.冷凝方式</w:t>
            </w:r>
            <w:r>
              <w:rPr>
                <w:rFonts w:hint="eastAsia" w:ascii="宋体" w:hAnsi="宋体" w:eastAsia="宋体" w:cs="宋体"/>
                <w:color w:val="auto"/>
                <w:lang w:eastAsia="zh-CN"/>
              </w:rPr>
              <w:t>：</w:t>
            </w:r>
            <w:r>
              <w:rPr>
                <w:rFonts w:hint="eastAsia" w:ascii="宋体" w:hAnsi="宋体" w:eastAsia="宋体" w:cs="宋体"/>
                <w:color w:val="auto"/>
                <w:kern w:val="2"/>
                <w:sz w:val="21"/>
                <w:szCs w:val="21"/>
                <w:highlight w:val="none"/>
                <w:lang w:val="en-US" w:eastAsia="zh-CN" w:bidi="ar"/>
                <w:woUserID w:val="9"/>
              </w:rPr>
              <w:t>风冷</w:t>
            </w:r>
          </w:p>
          <w:p w14:paraId="7C775FA4">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11.耗水量≤2.0 L/H</w:t>
            </w:r>
          </w:p>
          <w:p w14:paraId="7560FECE">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12.压缩机/制冷剂：高效无氟/R134a</w:t>
            </w:r>
          </w:p>
          <w:p w14:paraId="589EEBAD">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13. 304不锈钢箱体外壳</w:t>
            </w:r>
          </w:p>
          <w:p w14:paraId="2E9B6F97">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lang w:val="en-US" w:eastAsia="zh-CN" w:bidi="ar"/>
                <w:woUserID w:val="9"/>
              </w:rPr>
            </w:pPr>
            <w:r>
              <w:rPr>
                <w:rFonts w:hint="eastAsia" w:ascii="宋体" w:hAnsi="宋体" w:eastAsia="宋体" w:cs="宋体"/>
                <w:color w:val="auto"/>
                <w:kern w:val="2"/>
                <w:sz w:val="21"/>
                <w:szCs w:val="21"/>
                <w:highlight w:val="none"/>
                <w:lang w:val="en-US" w:eastAsia="zh-CN" w:bidi="ar"/>
                <w:woUserID w:val="9"/>
              </w:rPr>
              <w:t>14.冰型为不规则的细小颗粒状的雪花碎冰.</w:t>
            </w:r>
          </w:p>
          <w:p w14:paraId="0AE9CC4E">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lang w:val="en-US" w:eastAsia="zh-CN" w:bidi="ar"/>
                <w:woUserID w:val="9"/>
              </w:rPr>
            </w:pPr>
            <w:r>
              <w:rPr>
                <w:rFonts w:hint="eastAsia" w:ascii="宋体" w:hAnsi="宋体" w:eastAsia="宋体" w:cs="宋体"/>
                <w:color w:val="auto"/>
                <w:kern w:val="2"/>
                <w:sz w:val="21"/>
                <w:szCs w:val="21"/>
                <w:highlight w:val="none"/>
                <w:lang w:val="en-US" w:eastAsia="zh-CN" w:bidi="ar"/>
                <w:woUserID w:val="9"/>
              </w:rPr>
              <w:t>15.配置：电源线1根、说明书1份、合格证1份</w:t>
            </w:r>
          </w:p>
          <w:p w14:paraId="32195E1C">
            <w:pPr>
              <w:keepNext w:val="0"/>
              <w:keepLines w:val="0"/>
              <w:suppressLineNumbers w:val="0"/>
              <w:spacing w:before="0" w:beforeAutospacing="0" w:after="0" w:afterAutospacing="0"/>
              <w:ind w:left="0" w:leftChars="0" w:right="0" w:rightChars="0"/>
              <w:jc w:val="center"/>
              <w:rPr>
                <w:rFonts w:hint="eastAsia" w:ascii="宋体" w:hAnsi="宋体" w:eastAsia="宋体" w:cs="宋体"/>
                <w:b/>
                <w:bCs/>
                <w:color w:val="auto"/>
                <w:szCs w:val="21"/>
                <w:highlight w:val="none"/>
              </w:rPr>
            </w:pPr>
          </w:p>
        </w:tc>
        <w:tc>
          <w:tcPr>
            <w:tcW w:w="701"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A5B2B42">
            <w:pPr>
              <w:keepNext w:val="0"/>
              <w:keepLines w:val="0"/>
              <w:suppressLineNumbers w:val="0"/>
              <w:spacing w:before="0" w:beforeAutospacing="0" w:after="0" w:afterAutospacing="0"/>
              <w:ind w:left="0" w:leftChars="0" w:right="0" w:rightChars="0"/>
              <w:jc w:val="center"/>
              <w:rPr>
                <w:rFonts w:hint="eastAsia" w:ascii="宋体" w:hAnsi="宋体" w:eastAsia="宋体" w:cs="宋体"/>
                <w:b/>
                <w:bCs/>
                <w:color w:val="auto"/>
                <w:szCs w:val="21"/>
                <w:highlight w:val="none"/>
              </w:rPr>
            </w:pPr>
            <w:r>
              <w:rPr>
                <w:rFonts w:hint="eastAsia" w:ascii="宋体" w:hAnsi="宋体" w:eastAsia="宋体" w:cs="宋体"/>
                <w:b w:val="0"/>
                <w:bCs w:val="0"/>
                <w:color w:val="auto"/>
                <w:sz w:val="21"/>
                <w:szCs w:val="21"/>
                <w:highlight w:val="none"/>
              </w:rPr>
              <w:t>台</w:t>
            </w:r>
          </w:p>
        </w:tc>
        <w:tc>
          <w:tcPr>
            <w:tcW w:w="668" w:type="dxa"/>
            <w:tcBorders>
              <w:top w:val="single" w:color="auto" w:sz="4" w:space="0"/>
              <w:left w:val="single" w:color="auto" w:sz="4" w:space="0"/>
              <w:bottom w:val="single" w:color="auto" w:sz="4" w:space="0"/>
              <w:right w:val="single" w:color="auto" w:sz="4" w:space="0"/>
            </w:tcBorders>
            <w:vAlign w:val="center"/>
          </w:tcPr>
          <w:p w14:paraId="10971B9E">
            <w:pPr>
              <w:keepNext w:val="0"/>
              <w:keepLines w:val="0"/>
              <w:suppressLineNumbers w:val="0"/>
              <w:spacing w:before="0" w:beforeAutospacing="0" w:after="0" w:afterAutospacing="0"/>
              <w:ind w:left="0" w:leftChars="0" w:right="0" w:rightChars="0"/>
              <w:jc w:val="center"/>
              <w:rPr>
                <w:rFonts w:hint="eastAsia" w:ascii="宋体" w:hAnsi="宋体" w:eastAsia="宋体" w:cs="宋体"/>
                <w:b/>
                <w:bCs/>
                <w:color w:val="auto"/>
                <w:szCs w:val="21"/>
                <w:highlight w:val="none"/>
              </w:rPr>
            </w:pPr>
            <w:r>
              <w:rPr>
                <w:rFonts w:hint="eastAsia" w:ascii="宋体" w:hAnsi="宋体" w:eastAsia="宋体" w:cs="宋体"/>
                <w:b w:val="0"/>
                <w:bCs w:val="0"/>
                <w:color w:val="auto"/>
                <w:sz w:val="21"/>
                <w:szCs w:val="21"/>
                <w:highlight w:val="none"/>
              </w:rPr>
              <w:t>2</w:t>
            </w:r>
          </w:p>
        </w:tc>
      </w:tr>
      <w:tr w14:paraId="541F7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414"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406C073">
            <w:pPr>
              <w:pStyle w:val="148"/>
              <w:keepNext w:val="0"/>
              <w:keepLines w:val="0"/>
              <w:widowControl/>
              <w:numPr>
                <w:ilvl w:val="0"/>
                <w:numId w:val="0"/>
              </w:numPr>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bCs/>
                <w:color w:val="auto"/>
                <w:szCs w:val="21"/>
                <w:highlight w:val="none"/>
              </w:rPr>
            </w:pPr>
            <w:r>
              <w:rPr>
                <w:rFonts w:hint="eastAsia" w:ascii="宋体" w:hAnsi="宋体" w:eastAsia="宋体" w:cs="宋体"/>
                <w:b w:val="0"/>
                <w:bCs w:val="0"/>
                <w:color w:val="auto"/>
                <w:sz w:val="21"/>
                <w:szCs w:val="21"/>
                <w:highlight w:val="none"/>
                <w:lang w:val="en-US" w:eastAsia="zh-CN"/>
              </w:rPr>
              <w:t>10</w:t>
            </w:r>
          </w:p>
        </w:tc>
        <w:tc>
          <w:tcPr>
            <w:tcW w:w="883"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279DF4A">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bCs/>
                <w:color w:val="auto"/>
                <w:szCs w:val="21"/>
                <w:highlight w:val="none"/>
              </w:rPr>
            </w:pPr>
            <w:r>
              <w:rPr>
                <w:rFonts w:hint="eastAsia" w:ascii="宋体" w:hAnsi="宋体" w:eastAsia="宋体" w:cs="宋体"/>
                <w:b w:val="0"/>
                <w:bCs w:val="0"/>
                <w:color w:val="auto"/>
                <w:sz w:val="21"/>
                <w:szCs w:val="21"/>
                <w:highlight w:val="none"/>
              </w:rPr>
              <w:t>超纯水机</w:t>
            </w:r>
          </w:p>
        </w:tc>
        <w:tc>
          <w:tcPr>
            <w:tcW w:w="6760"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CC75503">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1.进水要求：城市自来水</w:t>
            </w:r>
          </w:p>
          <w:p w14:paraId="26B6E520">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2．纯水水质：（三级水）：电导率：≤进水电导率x2%，有机物去除率：&gt;99%，当分子量&gt;200道尔顿时，</w:t>
            </w:r>
          </w:p>
          <w:p w14:paraId="5B3E01CE">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
                <w:woUserID w:val="9"/>
              </w:rPr>
              <w:t>颗粒和微生物去除率：&gt;99%，产水量（25℃）：≥15升/小时，瞬间产水量：2.0升/分钟（储水桶有水时）</w:t>
            </w:r>
          </w:p>
          <w:p w14:paraId="1405773A">
            <w:pPr>
              <w:pStyle w:val="31"/>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p w14:paraId="045D7408">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3.超纯水水质：（一级水）：电阻率：18.25MΩ.cm@25℃重金属离子：＜0.01ppb细菌：＜0.01cfu/ml； 颗粒物（＞0.22μm）：＜1/ml； 总有机碳(TOC)：＜10ppb；</w:t>
            </w:r>
          </w:p>
          <w:p w14:paraId="48C155D9">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lang w:val="en-US" w:eastAsia="zh-CN" w:bidi="ar"/>
                <w:woUserID w:val="9"/>
              </w:rPr>
            </w:pPr>
            <w:r>
              <w:rPr>
                <w:rFonts w:hint="eastAsia" w:ascii="宋体" w:hAnsi="宋体" w:eastAsia="宋体" w:cs="宋体"/>
                <w:color w:val="auto"/>
                <w:kern w:val="2"/>
                <w:sz w:val="21"/>
                <w:szCs w:val="21"/>
                <w:highlight w:val="none"/>
                <w:lang w:val="en-US" w:eastAsia="zh-CN" w:bidi="ar"/>
                <w:woUserID w:val="9"/>
              </w:rPr>
              <w:t>4.性能特点: 具有手动取水及定时取水两种取水方式，定时取水功能，可从1-60min任意设定，从1-18.25 MΩ.cm任意设定，在线二路水质监控，实时监测纯水电导率、超纯水电阻率以及温度，二路水质监测异常时自动报警并显示(参数可设定)；</w:t>
            </w:r>
          </w:p>
          <w:p w14:paraId="5CFF7E37">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lang w:val="en-US" w:eastAsia="zh-CN" w:bidi="ar"/>
                <w:woUserID w:val="9"/>
              </w:rPr>
            </w:pPr>
            <w:r>
              <w:rPr>
                <w:rFonts w:hint="eastAsia" w:ascii="宋体" w:hAnsi="宋体" w:eastAsia="宋体" w:cs="宋体"/>
                <w:color w:val="auto"/>
                <w:kern w:val="2"/>
                <w:sz w:val="21"/>
                <w:szCs w:val="21"/>
                <w:highlight w:val="none"/>
                <w:lang w:val="en-US" w:eastAsia="zh-CN" w:bidi="ar"/>
                <w:woUserID w:val="9"/>
              </w:rPr>
              <w:t>5.高精度电导和电阻率监测仪，电导电极常数达到1.0cm</w:t>
            </w:r>
            <w:r>
              <w:rPr>
                <w:rFonts w:hint="eastAsia" w:ascii="宋体" w:hAnsi="宋体" w:eastAsia="宋体" w:cs="宋体"/>
                <w:color w:val="auto"/>
                <w:kern w:val="2"/>
                <w:sz w:val="21"/>
                <w:szCs w:val="21"/>
                <w:highlight w:val="none"/>
                <w:vertAlign w:val="superscript"/>
                <w:lang w:val="en-US" w:eastAsia="zh-CN" w:bidi="ar"/>
                <w:woUserID w:val="9"/>
              </w:rPr>
              <w:t>-1</w:t>
            </w:r>
            <w:r>
              <w:rPr>
                <w:rFonts w:hint="eastAsia" w:ascii="宋体" w:hAnsi="宋体" w:eastAsia="宋体" w:cs="宋体"/>
                <w:color w:val="auto"/>
                <w:kern w:val="2"/>
                <w:sz w:val="21"/>
                <w:szCs w:val="21"/>
                <w:highlight w:val="none"/>
                <w:lang w:val="en-US" w:eastAsia="zh-CN" w:bidi="ar"/>
                <w:woUserID w:val="9"/>
              </w:rPr>
              <w:t>，电阻电极常数达到0.02cm</w:t>
            </w:r>
            <w:r>
              <w:rPr>
                <w:rFonts w:hint="eastAsia" w:ascii="宋体" w:hAnsi="宋体" w:eastAsia="宋体" w:cs="宋体"/>
                <w:color w:val="auto"/>
                <w:kern w:val="2"/>
                <w:sz w:val="21"/>
                <w:szCs w:val="21"/>
                <w:highlight w:val="none"/>
                <w:vertAlign w:val="superscript"/>
                <w:lang w:val="en-US" w:eastAsia="zh-CN" w:bidi="ar"/>
                <w:woUserID w:val="9"/>
              </w:rPr>
              <w:t>-1</w:t>
            </w:r>
            <w:r>
              <w:rPr>
                <w:rFonts w:hint="eastAsia" w:ascii="宋体" w:hAnsi="宋体" w:eastAsia="宋体" w:cs="宋体"/>
                <w:color w:val="auto"/>
                <w:kern w:val="2"/>
                <w:sz w:val="21"/>
                <w:szCs w:val="21"/>
                <w:highlight w:val="none"/>
                <w:lang w:val="en-US" w:eastAsia="zh-CN" w:bidi="ar"/>
                <w:woUserID w:val="9"/>
              </w:rPr>
              <w:t>，带温度自动补偿功能，温度灵敏度达到0.1℃，确保水质监测的准确性，PP预处理柱、RO反渗透柱、UP纯化柱的使用寿命均可自行判断（参数可设定），并可查询耗材已经使用时长；</w:t>
            </w:r>
          </w:p>
          <w:p w14:paraId="47144F14">
            <w:pPr>
              <w:keepNext w:val="0"/>
              <w:keepLines w:val="0"/>
              <w:widowControl w:val="0"/>
              <w:numPr>
                <w:ilvl w:val="0"/>
                <w:numId w:val="3"/>
              </w:numPr>
              <w:suppressLineNumbers w:val="0"/>
              <w:spacing w:before="0" w:beforeAutospacing="0" w:after="0" w:afterAutospacing="0"/>
              <w:ind w:left="0" w:right="0"/>
              <w:jc w:val="both"/>
              <w:rPr>
                <w:rFonts w:hint="eastAsia" w:ascii="宋体" w:hAnsi="宋体" w:eastAsia="宋体" w:cs="宋体"/>
                <w:color w:val="auto"/>
                <w:kern w:val="2"/>
                <w:sz w:val="21"/>
                <w:szCs w:val="21"/>
                <w:highlight w:val="none"/>
                <w:lang w:val="en-US" w:eastAsia="zh-CN" w:bidi="ar"/>
                <w:woUserID w:val="9"/>
              </w:rPr>
            </w:pPr>
            <w:r>
              <w:rPr>
                <w:rFonts w:hint="eastAsia" w:ascii="宋体" w:hAnsi="宋体" w:eastAsia="宋体" w:cs="宋体"/>
                <w:color w:val="auto"/>
                <w:kern w:val="2"/>
                <w:sz w:val="21"/>
                <w:szCs w:val="21"/>
                <w:highlight w:val="none"/>
                <w:lang w:val="en-US" w:eastAsia="zh-CN" w:bidi="ar"/>
                <w:woUserID w:val="9"/>
              </w:rPr>
              <w:t>系统具有警管理功能，主要管理纯水及超纯水水质、进水压力和耗材的寿命等报警，报警发生时，自动弹出报警界面，显示当前报警信息；</w:t>
            </w:r>
          </w:p>
          <w:p w14:paraId="32BFD0C7">
            <w:pPr>
              <w:keepNext w:val="0"/>
              <w:keepLines w:val="0"/>
              <w:widowControl w:val="0"/>
              <w:numPr>
                <w:ilvl w:val="0"/>
                <w:numId w:val="3"/>
              </w:numPr>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系统设有手动和自动冲洗两种模式，自动冲洗间隔时间为2小时，系统设有工厂、用户二级密码，系统设置均有密码保护，系统时间设定：（年/月/日/时/分/秒），状态指示：运行状态指示灯、报警指示灯、水箱水满指示灯。</w:t>
            </w:r>
          </w:p>
          <w:p w14:paraId="1748AA83">
            <w:pPr>
              <w:pStyle w:val="17"/>
              <w:keepNext w:val="0"/>
              <w:keepLines w:val="0"/>
              <w:suppressLineNumbers w:val="0"/>
              <w:spacing w:before="0" w:beforeAutospacing="0" w:after="0" w:afterAutospacing="0"/>
              <w:ind w:left="0" w:right="0"/>
              <w:rPr>
                <w:rFonts w:hint="eastAsia" w:ascii="宋体" w:hAnsi="宋体" w:eastAsia="宋体" w:cs="宋体"/>
                <w:color w:val="auto"/>
                <w:szCs w:val="21"/>
                <w:highlight w:val="none"/>
                <w:lang w:val="en-US" w:eastAsia="zh-CN"/>
              </w:rPr>
            </w:pPr>
            <w:r>
              <w:rPr>
                <w:rFonts w:hint="eastAsia" w:ascii="宋体" w:hAnsi="宋体" w:eastAsia="宋体" w:cs="宋体"/>
                <w:color w:val="auto"/>
                <w:kern w:val="2"/>
                <w:sz w:val="21"/>
                <w:szCs w:val="21"/>
                <w:highlight w:val="none"/>
                <w:lang w:val="en-US" w:eastAsia="zh-CN" w:bidi="ar"/>
                <w:woUserID w:val="9"/>
              </w:rPr>
              <w:t>8.废液管道快接头为防止实验过程中产生静电，全部核心材料均为防静电材质，且体积电阻率＞2.2×10的3次方Ω.m，</w:t>
            </w:r>
            <w:r>
              <w:rPr>
                <w:rFonts w:hint="eastAsia" w:ascii="宋体" w:hAnsi="宋体" w:eastAsia="宋体" w:cs="宋体"/>
                <w:b/>
                <w:bCs/>
                <w:color w:val="auto"/>
                <w:szCs w:val="21"/>
                <w:highlight w:val="none"/>
                <w:lang w:val="en-US" w:eastAsia="zh-CN"/>
              </w:rPr>
              <w:t>供货时提供</w:t>
            </w:r>
            <w:r>
              <w:rPr>
                <w:rFonts w:hint="eastAsia" w:ascii="宋体" w:hAnsi="宋体" w:eastAsia="宋体" w:cs="宋体"/>
                <w:b/>
                <w:bCs/>
                <w:color w:val="auto"/>
                <w:kern w:val="2"/>
                <w:sz w:val="21"/>
                <w:szCs w:val="21"/>
                <w:highlight w:val="none"/>
                <w:lang w:val="en-US" w:eastAsia="zh-CN" w:bidi="ar"/>
                <w:woUserID w:val="9"/>
              </w:rPr>
              <w:t>具备国家认可的第三方检测机构出具报告复印件</w:t>
            </w:r>
          </w:p>
          <w:p w14:paraId="2570FC53">
            <w:pPr>
              <w:pStyle w:val="17"/>
              <w:keepNext w:val="0"/>
              <w:keepLines w:val="0"/>
              <w:suppressLineNumbers w:val="0"/>
              <w:spacing w:before="0" w:beforeAutospacing="0" w:after="0" w:afterAutospacing="0"/>
              <w:ind w:left="0" w:right="0"/>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9.液体托盘材质：绝缘防腐层板材质一次冲压成型压力测试承重≥400kg/块（相当于4KN以上）、绝缘材料涂层（根据WJ2146-2016静电敏感环境区分标准，电阻率高于10的12次方以上为绝缘体），</w:t>
            </w:r>
            <w:r>
              <w:rPr>
                <w:rFonts w:hint="eastAsia" w:ascii="宋体" w:hAnsi="宋体" w:eastAsia="宋体" w:cs="宋体"/>
                <w:b/>
                <w:bCs/>
                <w:color w:val="auto"/>
                <w:szCs w:val="21"/>
                <w:highlight w:val="none"/>
                <w:lang w:val="en-US" w:eastAsia="zh-CN"/>
              </w:rPr>
              <w:t>供货时提供</w:t>
            </w:r>
            <w:r>
              <w:rPr>
                <w:rFonts w:hint="eastAsia" w:ascii="宋体" w:hAnsi="宋体" w:eastAsia="宋体" w:cs="宋体"/>
                <w:b/>
                <w:bCs/>
                <w:color w:val="auto"/>
                <w:kern w:val="2"/>
                <w:sz w:val="21"/>
                <w:szCs w:val="21"/>
                <w:highlight w:val="none"/>
                <w:lang w:val="en-US" w:eastAsia="zh-CN" w:bidi="ar"/>
                <w:woUserID w:val="9"/>
              </w:rPr>
              <w:t>具备国家认可的第三方的检测机构出具报告复印件</w:t>
            </w:r>
          </w:p>
          <w:p w14:paraId="69C38C57">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woUserID w:val="9"/>
              </w:rPr>
            </w:pPr>
            <w:r>
              <w:rPr>
                <w:rFonts w:hint="eastAsia" w:ascii="宋体" w:hAnsi="宋体" w:eastAsia="宋体" w:cs="宋体"/>
                <w:color w:val="auto"/>
                <w:kern w:val="2"/>
                <w:sz w:val="21"/>
                <w:szCs w:val="21"/>
                <w:highlight w:val="none"/>
                <w:lang w:val="en-US" w:eastAsia="zh-CN" w:bidi="ar"/>
                <w:woUserID w:val="9"/>
              </w:rPr>
              <w:t>10. 基本配置：超纯水主机1 台；预处理纯化柱1根；颗粒活性炭纯化柱1根；活性炭棒纯化柱1根；RO反渗透膜1根；双连体超纯化柱1组；0.2μm终端过滤器1个；储水箱1个 ；附件包、说明书等辅助工具 1 套；液体托盘1个，5年质保保修卡一张</w:t>
            </w:r>
          </w:p>
          <w:p w14:paraId="3A3A2D73">
            <w:pPr>
              <w:keepNext w:val="0"/>
              <w:keepLines w:val="0"/>
              <w:suppressLineNumbers w:val="0"/>
              <w:spacing w:before="0" w:beforeAutospacing="0" w:after="0" w:afterAutospacing="0"/>
              <w:ind w:left="0" w:leftChars="0" w:right="0" w:rightChars="0"/>
              <w:jc w:val="both"/>
              <w:rPr>
                <w:rFonts w:hint="eastAsia" w:ascii="宋体" w:hAnsi="宋体" w:eastAsia="宋体" w:cs="宋体"/>
                <w:b/>
                <w:bCs/>
                <w:color w:val="auto"/>
                <w:szCs w:val="21"/>
                <w:highlight w:val="none"/>
              </w:rPr>
            </w:pPr>
            <w:r>
              <w:rPr>
                <w:rFonts w:hint="eastAsia" w:ascii="宋体" w:hAnsi="宋体" w:eastAsia="宋体" w:cs="宋体"/>
                <w:b w:val="0"/>
                <w:bCs w:val="0"/>
                <w:color w:val="auto"/>
                <w:kern w:val="2"/>
                <w:sz w:val="21"/>
                <w:szCs w:val="21"/>
                <w:highlight w:val="none"/>
                <w:lang w:val="en-US" w:eastAsia="zh-CN" w:bidi="ar-SA"/>
              </w:rPr>
              <w:t>11.</w:t>
            </w:r>
            <w:r>
              <w:rPr>
                <w:rFonts w:hint="eastAsia"/>
                <w:color w:val="auto"/>
                <w:lang w:val="en-US" w:eastAsia="zh-CN"/>
              </w:rPr>
              <w:t>提供4年质保（含免费更换预处理柱、颗粒活性炭纯化柱、活性炭棒纯化柱耗材服务，主机免费上门维修维护。）</w:t>
            </w:r>
          </w:p>
        </w:tc>
        <w:tc>
          <w:tcPr>
            <w:tcW w:w="701"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64F198F">
            <w:pPr>
              <w:keepNext w:val="0"/>
              <w:keepLines w:val="0"/>
              <w:suppressLineNumbers w:val="0"/>
              <w:spacing w:before="0" w:beforeAutospacing="0" w:after="0" w:afterAutospacing="0"/>
              <w:ind w:left="0" w:leftChars="0" w:right="0" w:rightChars="0"/>
              <w:jc w:val="center"/>
              <w:rPr>
                <w:rFonts w:hint="eastAsia" w:ascii="宋体" w:hAnsi="宋体" w:eastAsia="宋体" w:cs="宋体"/>
                <w:b/>
                <w:bCs/>
                <w:color w:val="auto"/>
                <w:szCs w:val="21"/>
                <w:highlight w:val="none"/>
              </w:rPr>
            </w:pPr>
            <w:r>
              <w:rPr>
                <w:rFonts w:hint="eastAsia" w:ascii="宋体" w:hAnsi="宋体" w:eastAsia="宋体" w:cs="宋体"/>
                <w:b w:val="0"/>
                <w:bCs w:val="0"/>
                <w:color w:val="auto"/>
                <w:sz w:val="21"/>
                <w:szCs w:val="21"/>
                <w:highlight w:val="none"/>
              </w:rPr>
              <w:t>台</w:t>
            </w:r>
          </w:p>
        </w:tc>
        <w:tc>
          <w:tcPr>
            <w:tcW w:w="668" w:type="dxa"/>
            <w:tcBorders>
              <w:top w:val="single" w:color="auto" w:sz="4" w:space="0"/>
              <w:left w:val="single" w:color="auto" w:sz="4" w:space="0"/>
              <w:bottom w:val="single" w:color="auto" w:sz="4" w:space="0"/>
              <w:right w:val="single" w:color="auto" w:sz="4" w:space="0"/>
            </w:tcBorders>
            <w:vAlign w:val="center"/>
          </w:tcPr>
          <w:p w14:paraId="551EAD47">
            <w:pPr>
              <w:keepNext w:val="0"/>
              <w:keepLines w:val="0"/>
              <w:suppressLineNumbers w:val="0"/>
              <w:spacing w:before="0" w:beforeAutospacing="0" w:after="0" w:afterAutospacing="0"/>
              <w:ind w:left="0" w:leftChars="0" w:right="0" w:rightChars="0"/>
              <w:jc w:val="center"/>
              <w:rPr>
                <w:rFonts w:hint="eastAsia" w:ascii="宋体" w:hAnsi="宋体" w:eastAsia="宋体" w:cs="宋体"/>
                <w:b/>
                <w:bCs/>
                <w:color w:val="auto"/>
                <w:szCs w:val="21"/>
                <w:highlight w:val="none"/>
              </w:rPr>
            </w:pPr>
            <w:r>
              <w:rPr>
                <w:rFonts w:hint="eastAsia" w:ascii="宋体" w:hAnsi="宋体" w:eastAsia="宋体" w:cs="宋体"/>
                <w:b w:val="0"/>
                <w:bCs w:val="0"/>
                <w:color w:val="auto"/>
                <w:sz w:val="21"/>
                <w:szCs w:val="21"/>
                <w:highlight w:val="none"/>
              </w:rPr>
              <w:t>1</w:t>
            </w:r>
          </w:p>
        </w:tc>
      </w:tr>
      <w:tr w14:paraId="38089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414"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84E0723">
            <w:pPr>
              <w:pStyle w:val="148"/>
              <w:keepNext w:val="0"/>
              <w:keepLines w:val="0"/>
              <w:widowControl/>
              <w:numPr>
                <w:ilvl w:val="0"/>
                <w:numId w:val="0"/>
              </w:numPr>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bCs/>
                <w:color w:val="auto"/>
                <w:szCs w:val="21"/>
                <w:highlight w:val="none"/>
              </w:rPr>
            </w:pPr>
            <w:r>
              <w:rPr>
                <w:rFonts w:hint="eastAsia" w:ascii="宋体" w:hAnsi="宋体" w:eastAsia="宋体" w:cs="宋体"/>
                <w:b w:val="0"/>
                <w:bCs w:val="0"/>
                <w:color w:val="auto"/>
                <w:sz w:val="21"/>
                <w:szCs w:val="21"/>
                <w:highlight w:val="none"/>
                <w:lang w:val="en-US" w:eastAsia="zh-CN"/>
              </w:rPr>
              <w:t>11</w:t>
            </w:r>
          </w:p>
        </w:tc>
        <w:tc>
          <w:tcPr>
            <w:tcW w:w="883"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EE2B343">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bCs/>
                <w:color w:val="auto"/>
                <w:szCs w:val="21"/>
                <w:highlight w:val="none"/>
              </w:rPr>
            </w:pPr>
            <w:r>
              <w:rPr>
                <w:rFonts w:hint="eastAsia" w:ascii="宋体" w:hAnsi="宋体" w:eastAsia="宋体" w:cs="宋体"/>
                <w:b w:val="0"/>
                <w:bCs w:val="0"/>
                <w:color w:val="auto"/>
                <w:sz w:val="21"/>
                <w:szCs w:val="21"/>
                <w:highlight w:val="none"/>
              </w:rPr>
              <w:t>电转化仪</w:t>
            </w:r>
          </w:p>
        </w:tc>
        <w:tc>
          <w:tcPr>
            <w:tcW w:w="6760"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E1598AA">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性能指标：</w:t>
            </w:r>
          </w:p>
          <w:p w14:paraId="51DC9538">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1．输出波形：方波和指数衰减波两种波形独立输出，互不干扰，多样化的波形输出模式，</w:t>
            </w:r>
            <w:r>
              <w:rPr>
                <w:rFonts w:hint="eastAsia" w:ascii="宋体" w:hAnsi="宋体" w:eastAsia="宋体" w:cs="宋体"/>
                <w:color w:val="auto"/>
                <w:szCs w:val="21"/>
                <w:highlight w:val="none"/>
                <w:lang w:val="en-US" w:eastAsia="zh-CN"/>
              </w:rPr>
              <w:t>可</w:t>
            </w:r>
            <w:r>
              <w:rPr>
                <w:rFonts w:hint="eastAsia" w:ascii="宋体" w:hAnsi="宋体" w:eastAsia="宋体" w:cs="宋体"/>
                <w:color w:val="auto"/>
                <w:szCs w:val="21"/>
                <w:highlight w:val="none"/>
              </w:rPr>
              <w:t>拓展仪器的应用范围</w:t>
            </w:r>
          </w:p>
          <w:p w14:paraId="199F321A">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2．适用细胞类型：适用于动、植物细胞，细菌 / 酵母菌，干细胞，原生质细胞，核移植，哺乳动物细胞等所有细胞类型。</w:t>
            </w:r>
          </w:p>
          <w:p w14:paraId="1C0C97BD">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3．电路与电弧保护：当脉冲或者电路出现中断情况时，仪器可自动安全放电，防止因残留电荷对操作人员和后续实验造成潜在风险</w:t>
            </w:r>
            <w:r>
              <w:rPr>
                <w:rFonts w:hint="eastAsia" w:ascii="宋体" w:hAnsi="宋体" w:eastAsia="宋体" w:cs="宋体"/>
                <w:color w:val="auto"/>
                <w:szCs w:val="21"/>
                <w:highlight w:val="none"/>
                <w:lang w:eastAsia="zh-CN"/>
              </w:rPr>
              <w:t>。</w:t>
            </w:r>
          </w:p>
          <w:p w14:paraId="7F765D44">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4．操作界面：不小于10寸触摸屏，具有直观的编程以控制所有参数，实时显示电穿孔后实验参数以及脉冲波形，包括实际电压、时间常数，脉冲时间、脉冲间隔</w:t>
            </w:r>
          </w:p>
          <w:p w14:paraId="67432DC5">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5．程序优化：</w:t>
            </w:r>
            <w:r>
              <w:rPr>
                <w:rFonts w:hint="eastAsia" w:ascii="宋体" w:hAnsi="宋体" w:eastAsia="宋体" w:cs="宋体"/>
                <w:color w:val="auto"/>
                <w:szCs w:val="21"/>
                <w:highlight w:val="none"/>
                <w:lang w:val="en-US" w:eastAsia="zh-CN"/>
              </w:rPr>
              <w:t>使用</w:t>
            </w:r>
            <w:r>
              <w:rPr>
                <w:rFonts w:hint="eastAsia" w:ascii="宋体" w:hAnsi="宋体" w:eastAsia="宋体" w:cs="宋体"/>
                <w:color w:val="auto"/>
                <w:szCs w:val="21"/>
                <w:highlight w:val="none"/>
              </w:rPr>
              <w:t>的电压与脉冲次数预优化程序供</w:t>
            </w:r>
            <w:r>
              <w:rPr>
                <w:rFonts w:hint="eastAsia" w:ascii="宋体" w:hAnsi="宋体" w:eastAsia="宋体" w:cs="宋体"/>
                <w:color w:val="auto"/>
                <w:szCs w:val="21"/>
                <w:highlight w:val="none"/>
                <w:lang w:val="en-US" w:eastAsia="zh-CN"/>
              </w:rPr>
              <w:t>用户</w:t>
            </w:r>
            <w:r>
              <w:rPr>
                <w:rFonts w:hint="eastAsia" w:ascii="宋体" w:hAnsi="宋体" w:eastAsia="宋体" w:cs="宋体"/>
                <w:color w:val="auto"/>
                <w:szCs w:val="21"/>
                <w:highlight w:val="none"/>
              </w:rPr>
              <w:t>选择，预存常见细菌、真菌、哺乳动物细胞实验程序，提高转化效率</w:t>
            </w:r>
          </w:p>
          <w:p w14:paraId="02EA6CC0">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6．样品电阻精确测量功能</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此功能可在实验前对样品电阻进行精确测量。通过测量样品电阻，仪器能够自动调整后续的电穿孔参数，确保在不同样品条件下都能实现最佳的电穿孔效果，保证实验重复性与一致性。</w:t>
            </w:r>
          </w:p>
          <w:p w14:paraId="2ACCBA89">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7．自定义手动编程时可进入或修改所有参数或直接编辑所需的脉冲时间常数，仪器自动匹配对应参数，用户可存储不小于200组用户自定义程序</w:t>
            </w:r>
          </w:p>
          <w:p w14:paraId="26459276">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8．支持脚控开关，大批量电转情况下方便用户高效率操作</w:t>
            </w:r>
          </w:p>
          <w:p w14:paraId="7E0F2854">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．一体化设计电转座，将电穿孔所需的各项组件集成在一起，减少了外接设备的繁琐连接，方便用户操作。</w:t>
            </w:r>
          </w:p>
          <w:p w14:paraId="4DE90DAE">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高压电路中电压200-3000VDC（精度±2v），低压电路中电压5-500VDC（精度±1v）</w:t>
            </w:r>
          </w:p>
          <w:p w14:paraId="1FCACA7B">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．电容：指数波：高压 10、15、25 ，35，40，50uf可选，低压 25-3275uF，</w:t>
            </w:r>
            <w:r>
              <w:rPr>
                <w:rFonts w:hint="eastAsia" w:ascii="宋体" w:hAnsi="宋体" w:eastAsia="宋体" w:cs="宋体"/>
                <w:color w:val="auto"/>
                <w:szCs w:val="21"/>
                <w:highlight w:val="none"/>
                <w:lang w:eastAsia="zh-CN"/>
              </w:rPr>
              <w:t>步</w:t>
            </w:r>
            <w:r>
              <w:rPr>
                <w:rFonts w:hint="eastAsia" w:ascii="宋体" w:hAnsi="宋体" w:eastAsia="宋体" w:cs="宋体"/>
                <w:color w:val="auto"/>
                <w:szCs w:val="21"/>
                <w:highlight w:val="none"/>
              </w:rPr>
              <w:t>阶25uF</w:t>
            </w:r>
          </w:p>
          <w:p w14:paraId="023E4568">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方波：高压 10、15、25、35、40、50 uF自动匹配，低压 25-3275uF，</w:t>
            </w:r>
            <w:r>
              <w:rPr>
                <w:rFonts w:hint="eastAsia" w:ascii="宋体" w:hAnsi="宋体" w:eastAsia="宋体" w:cs="宋体"/>
                <w:color w:val="auto"/>
                <w:szCs w:val="21"/>
                <w:highlight w:val="none"/>
                <w:lang w:eastAsia="zh-CN"/>
              </w:rPr>
              <w:t>步</w:t>
            </w:r>
            <w:r>
              <w:rPr>
                <w:rFonts w:hint="eastAsia" w:ascii="宋体" w:hAnsi="宋体" w:eastAsia="宋体" w:cs="宋体"/>
                <w:color w:val="auto"/>
                <w:szCs w:val="21"/>
                <w:highlight w:val="none"/>
              </w:rPr>
              <w:t>阶25uF自动匹配</w:t>
            </w:r>
          </w:p>
          <w:p w14:paraId="4429FC6D">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．并联电阻：50-2000Ω，</w:t>
            </w:r>
            <w:r>
              <w:rPr>
                <w:rFonts w:hint="eastAsia" w:ascii="宋体" w:hAnsi="宋体" w:eastAsia="宋体" w:cs="宋体"/>
                <w:color w:val="auto"/>
                <w:szCs w:val="21"/>
                <w:highlight w:val="none"/>
                <w:lang w:eastAsia="zh-CN"/>
              </w:rPr>
              <w:t>步</w:t>
            </w:r>
            <w:r>
              <w:rPr>
                <w:rFonts w:hint="eastAsia" w:ascii="宋体" w:hAnsi="宋体" w:eastAsia="宋体" w:cs="宋体"/>
                <w:color w:val="auto"/>
                <w:szCs w:val="21"/>
                <w:highlight w:val="none"/>
              </w:rPr>
              <w:t>阶50Ω，或者无穷大，并联电阻范围为 50 - 2000Ω，步阶 50Ω，或者可设置为无穷大。通过调整并联电阻值，可改变电路中的电流分布，进而影响电穿孔过程中的电场特性。</w:t>
            </w:r>
          </w:p>
          <w:p w14:paraId="0C6E87F0">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．指数衰减波时间常数：HV：0.5 ms—50ms 、LV：1.25ms- 6.55s</w:t>
            </w:r>
          </w:p>
          <w:p w14:paraId="7D77057E">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．方波脉冲时间（脉冲下垂＜5%）：高压有效总脉冲长度：0.005-10ms，低压有效总脉冲长度：0.005- 100ms</w:t>
            </w:r>
          </w:p>
          <w:p w14:paraId="7C47C0CF">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.脉冲时间精度：0.001--100ms（精度1us）、100-1000ms（精度10us）、1-100s（精度1ms）</w:t>
            </w:r>
          </w:p>
          <w:p w14:paraId="600B6254">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 脉冲间隔</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0.001-10s</w:t>
            </w:r>
          </w:p>
          <w:p w14:paraId="5C9D8058">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．脉冲个数：支持1-99个不同脉冲时间和脉冲间隔的不同脉冲波形</w:t>
            </w:r>
          </w:p>
          <w:p w14:paraId="09C81D74">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．充电时长： 高压：0.5-5s、低压：0.5-10s</w:t>
            </w:r>
          </w:p>
          <w:p w14:paraId="7705D59B">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19</w:t>
            </w:r>
            <w:r>
              <w:rPr>
                <w:rFonts w:hint="eastAsia" w:ascii="宋体" w:hAnsi="宋体" w:eastAsia="宋体" w:cs="宋体"/>
                <w:color w:val="auto"/>
                <w:szCs w:val="21"/>
                <w:highlight w:val="none"/>
              </w:rPr>
              <w:t>. 可配置卵母细胞电极、贴壁细胞电极、可达≥10ml的大容量融合电极</w:t>
            </w:r>
          </w:p>
          <w:p w14:paraId="3442009B">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 供电模式：单次实验2秒后可继续进行实验</w:t>
            </w:r>
          </w:p>
          <w:p w14:paraId="3EFF6DC2">
            <w:pPr>
              <w:keepNext w:val="0"/>
              <w:keepLines w:val="0"/>
              <w:suppressLineNumbers w:val="0"/>
              <w:spacing w:before="0" w:beforeAutospacing="0" w:after="0" w:afterAutospacing="0"/>
              <w:ind w:left="0" w:right="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、配置</w:t>
            </w:r>
            <w:r>
              <w:rPr>
                <w:rFonts w:hint="eastAsia" w:ascii="宋体" w:hAnsi="宋体" w:eastAsia="宋体" w:cs="宋体"/>
                <w:color w:val="auto"/>
                <w:szCs w:val="21"/>
                <w:highlight w:val="none"/>
                <w:lang w:val="en-US" w:eastAsia="zh-CN"/>
              </w:rPr>
              <w:t>清单</w:t>
            </w:r>
            <w:r>
              <w:rPr>
                <w:rFonts w:hint="eastAsia" w:ascii="宋体" w:hAnsi="宋体" w:eastAsia="宋体" w:cs="宋体"/>
                <w:color w:val="auto"/>
                <w:szCs w:val="21"/>
                <w:highlight w:val="none"/>
              </w:rPr>
              <w:t>：一体化主机一台、1mm、2mm、4mm电极杯各3个、说明书一份、保修卡一份</w:t>
            </w:r>
          </w:p>
        </w:tc>
        <w:tc>
          <w:tcPr>
            <w:tcW w:w="701"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A55EAC7">
            <w:pPr>
              <w:keepNext w:val="0"/>
              <w:keepLines w:val="0"/>
              <w:suppressLineNumbers w:val="0"/>
              <w:spacing w:before="0" w:beforeAutospacing="0" w:after="0" w:afterAutospacing="0"/>
              <w:ind w:left="0" w:leftChars="0" w:right="0" w:rightChars="0"/>
              <w:jc w:val="center"/>
              <w:rPr>
                <w:rFonts w:hint="eastAsia" w:ascii="宋体" w:hAnsi="宋体" w:eastAsia="宋体" w:cs="宋体"/>
                <w:b/>
                <w:bCs/>
                <w:color w:val="auto"/>
                <w:szCs w:val="21"/>
                <w:highlight w:val="none"/>
              </w:rPr>
            </w:pPr>
            <w:r>
              <w:rPr>
                <w:rFonts w:hint="eastAsia" w:ascii="宋体" w:hAnsi="宋体" w:eastAsia="宋体" w:cs="宋体"/>
                <w:b w:val="0"/>
                <w:bCs w:val="0"/>
                <w:color w:val="auto"/>
                <w:sz w:val="21"/>
                <w:szCs w:val="21"/>
                <w:highlight w:val="none"/>
              </w:rPr>
              <w:t>台</w:t>
            </w:r>
          </w:p>
        </w:tc>
        <w:tc>
          <w:tcPr>
            <w:tcW w:w="668" w:type="dxa"/>
            <w:tcBorders>
              <w:top w:val="single" w:color="auto" w:sz="4" w:space="0"/>
              <w:left w:val="single" w:color="auto" w:sz="4" w:space="0"/>
              <w:bottom w:val="single" w:color="auto" w:sz="4" w:space="0"/>
              <w:right w:val="single" w:color="auto" w:sz="4" w:space="0"/>
            </w:tcBorders>
            <w:vAlign w:val="center"/>
          </w:tcPr>
          <w:p w14:paraId="36646AE3">
            <w:pPr>
              <w:keepNext w:val="0"/>
              <w:keepLines w:val="0"/>
              <w:suppressLineNumbers w:val="0"/>
              <w:spacing w:before="0" w:beforeAutospacing="0" w:after="0" w:afterAutospacing="0"/>
              <w:ind w:left="0" w:leftChars="0" w:right="0" w:rightChars="0"/>
              <w:jc w:val="center"/>
              <w:rPr>
                <w:rFonts w:hint="eastAsia" w:ascii="宋体" w:hAnsi="宋体" w:eastAsia="宋体" w:cs="宋体"/>
                <w:b/>
                <w:bCs/>
                <w:color w:val="auto"/>
                <w:szCs w:val="21"/>
                <w:highlight w:val="none"/>
              </w:rPr>
            </w:pPr>
            <w:r>
              <w:rPr>
                <w:rFonts w:hint="eastAsia" w:ascii="宋体" w:hAnsi="宋体" w:eastAsia="宋体" w:cs="宋体"/>
                <w:b w:val="0"/>
                <w:bCs w:val="0"/>
                <w:color w:val="auto"/>
                <w:sz w:val="21"/>
                <w:szCs w:val="21"/>
                <w:highlight w:val="none"/>
              </w:rPr>
              <w:t>1</w:t>
            </w:r>
          </w:p>
        </w:tc>
      </w:tr>
      <w:tr w14:paraId="1FA75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414"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0BBAF88">
            <w:pPr>
              <w:pStyle w:val="148"/>
              <w:keepNext w:val="0"/>
              <w:keepLines w:val="0"/>
              <w:widowControl/>
              <w:numPr>
                <w:ilvl w:val="0"/>
                <w:numId w:val="0"/>
              </w:numPr>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bCs/>
                <w:color w:val="auto"/>
                <w:szCs w:val="21"/>
                <w:highlight w:val="none"/>
              </w:rPr>
            </w:pPr>
            <w:r>
              <w:rPr>
                <w:rFonts w:hint="eastAsia" w:ascii="宋体" w:hAnsi="宋体" w:eastAsia="宋体" w:cs="宋体"/>
                <w:b w:val="0"/>
                <w:bCs w:val="0"/>
                <w:color w:val="auto"/>
                <w:sz w:val="21"/>
                <w:szCs w:val="21"/>
                <w:highlight w:val="none"/>
                <w:lang w:val="en-US" w:eastAsia="zh-CN"/>
              </w:rPr>
              <w:t>12</w:t>
            </w:r>
          </w:p>
        </w:tc>
        <w:tc>
          <w:tcPr>
            <w:tcW w:w="883"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F132927">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sz w:val="21"/>
                <w:szCs w:val="21"/>
                <w:highlight w:val="none"/>
              </w:rPr>
              <w:t>微型离心机</w:t>
            </w:r>
          </w:p>
          <w:p w14:paraId="7113496E">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bCs/>
                <w:color w:val="auto"/>
                <w:szCs w:val="21"/>
                <w:highlight w:val="none"/>
              </w:rPr>
            </w:pPr>
          </w:p>
        </w:tc>
        <w:tc>
          <w:tcPr>
            <w:tcW w:w="6760"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4EC82EC">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1、大半径8孔位转子设计，同转速下离心力比普通转子提高1.5倍；</w:t>
            </w:r>
          </w:p>
          <w:p w14:paraId="01343EFB">
            <w:pPr>
              <w:keepNext w:val="0"/>
              <w:keepLines w:val="0"/>
              <w:widowControl w:val="0"/>
              <w:suppressLineNumbers w:val="0"/>
              <w:spacing w:before="0" w:beforeAutospacing="0" w:after="0" w:afterAutospacing="0"/>
              <w:ind w:left="0" w:right="0"/>
              <w:jc w:val="both"/>
              <w:rPr>
                <w:rFonts w:hint="eastAsia" w:ascii="宋体" w:hAnsi="宋体" w:eastAsia="宋体" w:cs="宋体"/>
                <w:strike/>
                <w:dstrike w:val="0"/>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2、上盖开关外凸设计，按下开关，上盖自动弹开，方便单手操作；</w:t>
            </w:r>
          </w:p>
          <w:p w14:paraId="39371C95">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lang w:val="en-US" w:eastAsia="zh-CN" w:bidi="ar"/>
                <w:woUserID w:val="9"/>
              </w:rPr>
            </w:pPr>
            <w:r>
              <w:rPr>
                <w:rFonts w:hint="eastAsia" w:ascii="宋体" w:hAnsi="宋体" w:eastAsia="宋体" w:cs="宋体"/>
                <w:color w:val="auto"/>
                <w:kern w:val="2"/>
                <w:sz w:val="21"/>
                <w:szCs w:val="21"/>
                <w:highlight w:val="none"/>
                <w:lang w:val="en-US" w:eastAsia="zh-CN" w:bidi="ar"/>
                <w:woUserID w:val="9"/>
              </w:rPr>
              <w:t>3、转速：6000转/分</w:t>
            </w:r>
          </w:p>
          <w:p w14:paraId="4D774FED">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4、相对离心力：2000xg</w:t>
            </w:r>
          </w:p>
          <w:p w14:paraId="5792C4C0">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lang w:val="en-US" w:eastAsia="zh-CN" w:bidi="ar"/>
                <w:woUserID w:val="9"/>
              </w:rPr>
            </w:pPr>
            <w:r>
              <w:rPr>
                <w:rFonts w:hint="eastAsia" w:ascii="宋体" w:hAnsi="宋体" w:cs="宋体"/>
                <w:color w:val="auto"/>
                <w:kern w:val="2"/>
                <w:sz w:val="21"/>
                <w:szCs w:val="21"/>
                <w:highlight w:val="none"/>
                <w:lang w:val="en-US" w:eastAsia="zh-CN" w:bidi="ar"/>
                <w:woUserID w:val="9"/>
              </w:rPr>
              <w:t>5</w:t>
            </w:r>
            <w:r>
              <w:rPr>
                <w:rFonts w:hint="eastAsia" w:ascii="宋体" w:hAnsi="宋体" w:eastAsia="宋体" w:cs="宋体"/>
                <w:color w:val="auto"/>
                <w:kern w:val="2"/>
                <w:sz w:val="21"/>
                <w:szCs w:val="21"/>
                <w:highlight w:val="none"/>
                <w:lang w:val="en-US" w:eastAsia="zh-CN" w:bidi="ar"/>
                <w:woUserID w:val="9"/>
              </w:rPr>
              <w:t>、2.0ml/1.5ml/0.5ml/0.2ml*8离心管</w:t>
            </w:r>
            <w:r>
              <w:rPr>
                <w:rFonts w:hint="eastAsia" w:ascii="宋体" w:hAnsi="宋体" w:eastAsia="宋体" w:cs="宋体"/>
                <w:color w:val="auto"/>
                <w:szCs w:val="21"/>
                <w:highlight w:val="none"/>
                <w:lang w:val="en-US" w:eastAsia="zh-CN"/>
              </w:rPr>
              <w:t>均可以使用</w:t>
            </w:r>
          </w:p>
          <w:p w14:paraId="1FEF7CAF">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二、标准配置</w:t>
            </w:r>
          </w:p>
          <w:p w14:paraId="3C078349">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lang w:val="en-US" w:eastAsia="zh-CN" w:bidi="ar"/>
                <w:woUserID w:val="9"/>
              </w:rPr>
            </w:pPr>
            <w:r>
              <w:rPr>
                <w:rFonts w:hint="eastAsia" w:ascii="宋体" w:hAnsi="宋体" w:eastAsia="宋体" w:cs="宋体"/>
                <w:color w:val="auto"/>
                <w:kern w:val="2"/>
                <w:sz w:val="21"/>
                <w:szCs w:val="21"/>
                <w:highlight w:val="none"/>
                <w:lang w:val="en-US" w:eastAsia="zh-CN" w:bidi="ar"/>
                <w:woUserID w:val="9"/>
              </w:rPr>
              <w:t>1、掌上离心机主机：1台</w:t>
            </w:r>
          </w:p>
          <w:p w14:paraId="07A96212">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lang w:val="en-US" w:eastAsia="zh-CN" w:bidi="ar"/>
                <w:woUserID w:val="9"/>
              </w:rPr>
            </w:pPr>
            <w:r>
              <w:rPr>
                <w:rFonts w:hint="eastAsia" w:ascii="宋体" w:hAnsi="宋体" w:eastAsia="宋体" w:cs="宋体"/>
                <w:color w:val="auto"/>
                <w:kern w:val="2"/>
                <w:sz w:val="21"/>
                <w:szCs w:val="21"/>
                <w:highlight w:val="none"/>
                <w:lang w:val="en-US" w:eastAsia="zh-CN" w:bidi="ar"/>
                <w:woUserID w:val="9"/>
              </w:rPr>
              <w:t>2、配0.5ml和0.2ml离心套管，2*8*0.2ml PCR离心排管</w:t>
            </w:r>
          </w:p>
          <w:p w14:paraId="34FB4B20">
            <w:pPr>
              <w:keepNext w:val="0"/>
              <w:keepLines w:val="0"/>
              <w:widowControl w:val="0"/>
              <w:suppressLineNumbers w:val="0"/>
              <w:spacing w:before="0" w:beforeAutospacing="0" w:after="0" w:afterAutospacing="0"/>
              <w:ind w:left="0" w:right="0"/>
              <w:jc w:val="both"/>
              <w:rPr>
                <w:rFonts w:hint="eastAsia" w:ascii="宋体" w:hAnsi="宋体" w:eastAsia="宋体" w:cs="宋体"/>
                <w:b/>
                <w:bCs/>
                <w:color w:val="auto"/>
                <w:szCs w:val="21"/>
                <w:highlight w:val="none"/>
              </w:rPr>
            </w:pPr>
            <w:r>
              <w:rPr>
                <w:rFonts w:hint="eastAsia" w:ascii="宋体" w:hAnsi="宋体" w:eastAsia="宋体" w:cs="宋体"/>
                <w:color w:val="auto"/>
                <w:kern w:val="2"/>
                <w:sz w:val="21"/>
                <w:szCs w:val="21"/>
                <w:highlight w:val="none"/>
                <w:lang w:val="en-US" w:eastAsia="zh-CN" w:bidi="ar"/>
                <w:woUserID w:val="9"/>
              </w:rPr>
              <w:t>3、2*8*0.2ml PCR离心排管转子</w:t>
            </w:r>
          </w:p>
        </w:tc>
        <w:tc>
          <w:tcPr>
            <w:tcW w:w="701"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83F2C4D">
            <w:pPr>
              <w:keepNext w:val="0"/>
              <w:keepLines w:val="0"/>
              <w:suppressLineNumbers w:val="0"/>
              <w:spacing w:before="0" w:beforeAutospacing="0" w:after="0" w:afterAutospacing="0"/>
              <w:ind w:left="0" w:leftChars="0" w:right="0" w:rightChars="0"/>
              <w:jc w:val="center"/>
              <w:rPr>
                <w:rFonts w:hint="eastAsia" w:ascii="宋体" w:hAnsi="宋体" w:eastAsia="宋体" w:cs="宋体"/>
                <w:b/>
                <w:bCs/>
                <w:color w:val="auto"/>
                <w:szCs w:val="21"/>
                <w:highlight w:val="none"/>
              </w:rPr>
            </w:pPr>
            <w:r>
              <w:rPr>
                <w:rFonts w:hint="eastAsia" w:ascii="宋体" w:hAnsi="宋体" w:eastAsia="宋体" w:cs="宋体"/>
                <w:b w:val="0"/>
                <w:bCs w:val="0"/>
                <w:color w:val="auto"/>
                <w:sz w:val="21"/>
                <w:szCs w:val="21"/>
                <w:highlight w:val="none"/>
              </w:rPr>
              <w:t>台</w:t>
            </w:r>
          </w:p>
        </w:tc>
        <w:tc>
          <w:tcPr>
            <w:tcW w:w="668" w:type="dxa"/>
            <w:tcBorders>
              <w:top w:val="single" w:color="auto" w:sz="4" w:space="0"/>
              <w:left w:val="single" w:color="auto" w:sz="4" w:space="0"/>
              <w:bottom w:val="single" w:color="auto" w:sz="4" w:space="0"/>
              <w:right w:val="single" w:color="auto" w:sz="4" w:space="0"/>
            </w:tcBorders>
            <w:vAlign w:val="center"/>
          </w:tcPr>
          <w:p w14:paraId="5C5E94A2">
            <w:pPr>
              <w:keepNext w:val="0"/>
              <w:keepLines w:val="0"/>
              <w:suppressLineNumbers w:val="0"/>
              <w:spacing w:before="0" w:beforeAutospacing="0" w:after="0" w:afterAutospacing="0"/>
              <w:ind w:left="0" w:leftChars="0" w:right="0" w:rightChars="0"/>
              <w:jc w:val="center"/>
              <w:rPr>
                <w:rFonts w:hint="eastAsia" w:ascii="宋体" w:hAnsi="宋体" w:eastAsia="宋体" w:cs="宋体"/>
                <w:b/>
                <w:bCs/>
                <w:color w:val="auto"/>
                <w:szCs w:val="21"/>
                <w:highlight w:val="none"/>
              </w:rPr>
            </w:pPr>
            <w:r>
              <w:rPr>
                <w:rFonts w:hint="eastAsia" w:ascii="宋体" w:hAnsi="宋体" w:eastAsia="宋体" w:cs="宋体"/>
                <w:b w:val="0"/>
                <w:bCs w:val="0"/>
                <w:color w:val="auto"/>
                <w:sz w:val="21"/>
                <w:szCs w:val="21"/>
                <w:highlight w:val="none"/>
              </w:rPr>
              <w:t>1</w:t>
            </w:r>
          </w:p>
        </w:tc>
      </w:tr>
      <w:tr w14:paraId="5476C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8" w:hRule="atLeast"/>
        </w:trPr>
        <w:tc>
          <w:tcPr>
            <w:tcW w:w="414"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8177237">
            <w:pPr>
              <w:pStyle w:val="148"/>
              <w:keepNext w:val="0"/>
              <w:keepLines w:val="0"/>
              <w:widowControl/>
              <w:numPr>
                <w:ilvl w:val="0"/>
                <w:numId w:val="0"/>
              </w:numPr>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bCs/>
                <w:color w:val="auto"/>
                <w:szCs w:val="21"/>
                <w:highlight w:val="none"/>
              </w:rPr>
            </w:pPr>
            <w:r>
              <w:rPr>
                <w:rFonts w:hint="eastAsia" w:ascii="宋体" w:hAnsi="宋体" w:eastAsia="宋体" w:cs="宋体"/>
                <w:b w:val="0"/>
                <w:bCs w:val="0"/>
                <w:color w:val="auto"/>
                <w:sz w:val="21"/>
                <w:szCs w:val="21"/>
                <w:highlight w:val="none"/>
                <w:lang w:val="en-US" w:eastAsia="zh-CN"/>
              </w:rPr>
              <w:t>13</w:t>
            </w:r>
          </w:p>
        </w:tc>
        <w:tc>
          <w:tcPr>
            <w:tcW w:w="883"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A77FB2B">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bCs/>
                <w:color w:val="auto"/>
                <w:szCs w:val="21"/>
                <w:highlight w:val="none"/>
              </w:rPr>
            </w:pPr>
            <w:r>
              <w:rPr>
                <w:rFonts w:hint="eastAsia" w:ascii="宋体" w:hAnsi="宋体" w:eastAsia="宋体" w:cs="宋体"/>
                <w:b w:val="0"/>
                <w:bCs w:val="0"/>
                <w:color w:val="auto"/>
                <w:sz w:val="21"/>
                <w:szCs w:val="21"/>
                <w:highlight w:val="none"/>
              </w:rPr>
              <w:t>触摸屏酸度计</w:t>
            </w:r>
          </w:p>
        </w:tc>
        <w:tc>
          <w:tcPr>
            <w:tcW w:w="6760"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1C64DA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主机参数</w:t>
            </w:r>
          </w:p>
          <w:p w14:paraId="3FE97086">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1.显示屏：</w:t>
            </w:r>
            <w:r>
              <w:rPr>
                <w:rFonts w:hint="eastAsia" w:ascii="宋体" w:hAnsi="宋体" w:cs="宋体"/>
                <w:color w:val="auto"/>
                <w:kern w:val="2"/>
                <w:sz w:val="21"/>
                <w:szCs w:val="21"/>
                <w:highlight w:val="none"/>
                <w:lang w:val="en-US" w:eastAsia="zh-CN" w:bidi="ar"/>
                <w:woUserID w:val="9"/>
              </w:rPr>
              <w:t>不小于</w:t>
            </w:r>
            <w:r>
              <w:rPr>
                <w:rFonts w:hint="eastAsia" w:ascii="宋体" w:hAnsi="宋体" w:eastAsia="宋体" w:cs="宋体"/>
                <w:color w:val="auto"/>
                <w:kern w:val="2"/>
                <w:sz w:val="21"/>
                <w:szCs w:val="21"/>
                <w:highlight w:val="none"/>
                <w:lang w:val="en-US" w:eastAsia="zh-CN" w:bidi="ar"/>
                <w:woUserID w:val="9"/>
              </w:rPr>
              <w:t>7英寸彩色高分辨率(</w:t>
            </w:r>
            <w:r>
              <w:rPr>
                <w:rFonts w:hint="eastAsia" w:ascii="宋体" w:hAnsi="宋体" w:cs="宋体"/>
                <w:color w:val="auto"/>
                <w:kern w:val="2"/>
                <w:sz w:val="21"/>
                <w:szCs w:val="21"/>
                <w:highlight w:val="none"/>
                <w:lang w:val="en-US" w:eastAsia="zh-CN" w:bidi="ar"/>
                <w:woUserID w:val="9"/>
              </w:rPr>
              <w:t>不小于</w:t>
            </w:r>
            <w:r>
              <w:rPr>
                <w:rFonts w:hint="eastAsia" w:ascii="宋体" w:hAnsi="宋体" w:eastAsia="宋体" w:cs="宋体"/>
                <w:color w:val="auto"/>
                <w:kern w:val="2"/>
                <w:sz w:val="21"/>
                <w:szCs w:val="21"/>
                <w:highlight w:val="none"/>
                <w:lang w:val="en-US" w:eastAsia="zh-CN" w:bidi="ar"/>
                <w:woUserID w:val="9"/>
              </w:rPr>
              <w:t>1024*600)电容触摸屏</w:t>
            </w:r>
          </w:p>
          <w:p w14:paraId="15321134">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2.pH显示范围：-2.000至19.999 pH</w:t>
            </w:r>
          </w:p>
          <w:p w14:paraId="1418FB02">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3.pH分辨率：0.001 / 0.01pH</w:t>
            </w:r>
          </w:p>
          <w:p w14:paraId="0DC98492">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4.pH相对精度：±0.002pH</w:t>
            </w:r>
          </w:p>
          <w:p w14:paraId="20E2E284">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5.输入电流：≤2×10-12 A</w:t>
            </w:r>
          </w:p>
          <w:p w14:paraId="4E46BDD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6.输入阻抗：≥1×1012 Ω</w:t>
            </w:r>
          </w:p>
          <w:p w14:paraId="58578AFD">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7.mV测量范围：-1999.9～1999.9mV</w:t>
            </w:r>
          </w:p>
          <w:p w14:paraId="350D07B5">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8.mV分辨率：0.1mV</w:t>
            </w:r>
          </w:p>
          <w:p w14:paraId="5C89CCF0">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9.mV相对精度：±0.03%FS</w:t>
            </w:r>
          </w:p>
          <w:p w14:paraId="64187658">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10.温度测量范围：（0～100）℃</w:t>
            </w:r>
          </w:p>
          <w:p w14:paraId="5A921EE9">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11.温度分辨率：0.1℃</w:t>
            </w:r>
          </w:p>
          <w:p w14:paraId="62A96CA9">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12.温度相对精度：±0.5℃</w:t>
            </w:r>
          </w:p>
          <w:p w14:paraId="22BC1C81">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13.温度补偿：手动/自动（0～100）℃</w:t>
            </w:r>
          </w:p>
          <w:p w14:paraId="5BF70A84">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14.校准：自动（3点校准)</w:t>
            </w:r>
          </w:p>
          <w:p w14:paraId="5792E4BC">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lang w:eastAsia="zh-CN"/>
                <w:woUserID w:val="9"/>
              </w:rPr>
            </w:pPr>
            <w:r>
              <w:rPr>
                <w:rFonts w:hint="eastAsia" w:ascii="宋体" w:hAnsi="宋体" w:eastAsia="宋体" w:cs="宋体"/>
                <w:color w:val="auto"/>
                <w:kern w:val="2"/>
                <w:sz w:val="21"/>
                <w:szCs w:val="21"/>
                <w:highlight w:val="none"/>
                <w:lang w:val="en-US" w:eastAsia="zh-CN" w:bidi="ar"/>
                <w:woUserID w:val="9"/>
              </w:rPr>
              <w:t>15.缓冲液：</w:t>
            </w:r>
            <w:r>
              <w:rPr>
                <w:rFonts w:hint="eastAsia" w:ascii="宋体" w:hAnsi="宋体" w:eastAsia="宋体" w:cs="宋体"/>
                <w:color w:val="auto"/>
              </w:rPr>
              <w:t>NIST</w:t>
            </w:r>
          </w:p>
          <w:p w14:paraId="4362FB62">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16.数据存储：</w:t>
            </w:r>
            <w:r>
              <w:rPr>
                <w:rFonts w:hint="eastAsia"/>
                <w:color w:val="auto"/>
                <w:lang w:val="en-US" w:eastAsia="zh-CN"/>
              </w:rPr>
              <w:t>不小于</w:t>
            </w:r>
            <w:r>
              <w:rPr>
                <w:rFonts w:hint="eastAsia" w:ascii="宋体" w:hAnsi="宋体" w:eastAsia="宋体" w:cs="宋体"/>
                <w:color w:val="auto"/>
                <w:kern w:val="2"/>
                <w:sz w:val="21"/>
                <w:szCs w:val="21"/>
                <w:highlight w:val="none"/>
                <w:lang w:val="en-US" w:eastAsia="zh-CN" w:bidi="ar"/>
                <w:woUserID w:val="9"/>
              </w:rPr>
              <w:t>2000组</w:t>
            </w:r>
          </w:p>
          <w:p w14:paraId="05DCF770">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17.通讯接口：USB2.0，USB微型接口</w:t>
            </w:r>
          </w:p>
          <w:p w14:paraId="4BA6CA7F">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18.工作条件：温度：5-40度湿度：5-85%</w:t>
            </w:r>
          </w:p>
          <w:p w14:paraId="256A5E85">
            <w:pPr>
              <w:keepNext w:val="0"/>
              <w:keepLines w:val="0"/>
              <w:widowControl w:val="0"/>
              <w:suppressLineNumbers w:val="0"/>
              <w:spacing w:before="0" w:beforeAutospacing="0" w:after="0" w:afterAutospacing="0"/>
              <w:ind w:left="0" w:right="0"/>
              <w:jc w:val="both"/>
              <w:rPr>
                <w:rFonts w:hint="eastAsia" w:ascii="宋体" w:hAnsi="宋体" w:eastAsia="宋体" w:cs="宋体"/>
                <w:b/>
                <w:bCs/>
                <w:color w:val="auto"/>
                <w:szCs w:val="21"/>
                <w:highlight w:val="none"/>
              </w:rPr>
            </w:pPr>
            <w:r>
              <w:rPr>
                <w:rFonts w:hint="eastAsia" w:ascii="宋体" w:hAnsi="宋体" w:eastAsia="宋体" w:cs="宋体"/>
                <w:color w:val="auto"/>
                <w:kern w:val="2"/>
                <w:sz w:val="21"/>
                <w:szCs w:val="21"/>
                <w:highlight w:val="none"/>
                <w:lang w:val="en-US" w:eastAsia="zh-CN" w:bidi="ar"/>
                <w:woUserID w:val="9"/>
              </w:rPr>
              <w:t>19.电源：12V1A（110-220,50Hz-60Hz适配器）</w:t>
            </w:r>
          </w:p>
        </w:tc>
        <w:tc>
          <w:tcPr>
            <w:tcW w:w="701"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E64ED8D">
            <w:pPr>
              <w:keepNext w:val="0"/>
              <w:keepLines w:val="0"/>
              <w:suppressLineNumbers w:val="0"/>
              <w:spacing w:before="0" w:beforeAutospacing="0" w:after="0" w:afterAutospacing="0"/>
              <w:ind w:left="0" w:leftChars="0" w:right="0" w:rightChars="0"/>
              <w:jc w:val="center"/>
              <w:rPr>
                <w:rFonts w:hint="eastAsia" w:ascii="宋体" w:hAnsi="宋体" w:eastAsia="宋体" w:cs="宋体"/>
                <w:b/>
                <w:bCs/>
                <w:color w:val="auto"/>
                <w:szCs w:val="21"/>
                <w:highlight w:val="none"/>
              </w:rPr>
            </w:pPr>
            <w:r>
              <w:rPr>
                <w:rFonts w:hint="eastAsia" w:ascii="宋体" w:hAnsi="宋体" w:eastAsia="宋体" w:cs="宋体"/>
                <w:b w:val="0"/>
                <w:bCs w:val="0"/>
                <w:color w:val="auto"/>
                <w:sz w:val="21"/>
                <w:szCs w:val="21"/>
                <w:highlight w:val="none"/>
              </w:rPr>
              <w:t>台</w:t>
            </w:r>
          </w:p>
        </w:tc>
        <w:tc>
          <w:tcPr>
            <w:tcW w:w="668" w:type="dxa"/>
            <w:tcBorders>
              <w:top w:val="single" w:color="auto" w:sz="4" w:space="0"/>
              <w:left w:val="single" w:color="auto" w:sz="4" w:space="0"/>
              <w:bottom w:val="single" w:color="auto" w:sz="4" w:space="0"/>
              <w:right w:val="single" w:color="auto" w:sz="4" w:space="0"/>
            </w:tcBorders>
            <w:vAlign w:val="center"/>
          </w:tcPr>
          <w:p w14:paraId="04C91C5D">
            <w:pPr>
              <w:keepNext w:val="0"/>
              <w:keepLines w:val="0"/>
              <w:suppressLineNumbers w:val="0"/>
              <w:spacing w:before="0" w:beforeAutospacing="0" w:after="0" w:afterAutospacing="0"/>
              <w:ind w:left="0" w:leftChars="0" w:right="0" w:rightChars="0"/>
              <w:jc w:val="center"/>
              <w:rPr>
                <w:rFonts w:hint="eastAsia" w:ascii="宋体" w:hAnsi="宋体" w:eastAsia="宋体" w:cs="宋体"/>
                <w:b/>
                <w:bCs/>
                <w:color w:val="auto"/>
                <w:szCs w:val="21"/>
                <w:highlight w:val="none"/>
              </w:rPr>
            </w:pPr>
            <w:r>
              <w:rPr>
                <w:rFonts w:hint="eastAsia" w:ascii="宋体" w:hAnsi="宋体" w:eastAsia="宋体" w:cs="宋体"/>
                <w:b w:val="0"/>
                <w:bCs w:val="0"/>
                <w:color w:val="auto"/>
                <w:sz w:val="21"/>
                <w:szCs w:val="21"/>
                <w:highlight w:val="none"/>
              </w:rPr>
              <w:t>1</w:t>
            </w:r>
          </w:p>
        </w:tc>
      </w:tr>
      <w:tr w14:paraId="3617B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414"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66069D6">
            <w:pPr>
              <w:pStyle w:val="148"/>
              <w:keepNext w:val="0"/>
              <w:keepLines w:val="0"/>
              <w:widowControl/>
              <w:numPr>
                <w:ilvl w:val="0"/>
                <w:numId w:val="0"/>
              </w:numPr>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bCs/>
                <w:color w:val="auto"/>
                <w:szCs w:val="21"/>
                <w:highlight w:val="none"/>
              </w:rPr>
            </w:pPr>
            <w:r>
              <w:rPr>
                <w:rFonts w:hint="eastAsia" w:ascii="宋体" w:hAnsi="宋体" w:eastAsia="宋体" w:cs="宋体"/>
                <w:b w:val="0"/>
                <w:bCs w:val="0"/>
                <w:color w:val="auto"/>
                <w:kern w:val="0"/>
                <w:sz w:val="21"/>
                <w:szCs w:val="21"/>
                <w:highlight w:val="none"/>
                <w:lang w:val="en-US" w:eastAsia="zh-CN" w:bidi="zh-CN"/>
              </w:rPr>
              <w:t>14</w:t>
            </w:r>
          </w:p>
        </w:tc>
        <w:tc>
          <w:tcPr>
            <w:tcW w:w="883"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B67CA49">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bCs/>
                <w:color w:val="auto"/>
                <w:szCs w:val="21"/>
                <w:highlight w:val="none"/>
              </w:rPr>
            </w:pPr>
            <w:r>
              <w:rPr>
                <w:rFonts w:hint="eastAsia" w:ascii="宋体" w:hAnsi="宋体" w:eastAsia="宋体" w:cs="宋体"/>
                <w:b w:val="0"/>
                <w:bCs w:val="0"/>
                <w:color w:val="auto"/>
                <w:sz w:val="21"/>
                <w:szCs w:val="21"/>
                <w:highlight w:val="none"/>
              </w:rPr>
              <w:t>叠加式振荡培养箱</w:t>
            </w:r>
          </w:p>
        </w:tc>
        <w:tc>
          <w:tcPr>
            <w:tcW w:w="6760"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1C7289F">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1、振荡频率:10-350rpm(上面一层10-300rpm)</w:t>
            </w:r>
          </w:p>
          <w:p w14:paraId="37397A5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2、振荡频率精度:±1rpm</w:t>
            </w:r>
          </w:p>
          <w:p w14:paraId="374115D7">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3、摇板振幅:Ф26mm</w:t>
            </w:r>
          </w:p>
          <w:p w14:paraId="0D7FCB7C">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4、温控范围:4～60℃（低温型，室温下15℃）</w:t>
            </w:r>
          </w:p>
          <w:p w14:paraId="2D85C536">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5、温度调节精度:±0.1℃</w:t>
            </w:r>
          </w:p>
          <w:p w14:paraId="1A5B7D35">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6、温度均匀度:±0.5℃（at37℃）</w:t>
            </w:r>
          </w:p>
          <w:p w14:paraId="02587C28">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7、显示方式:LCD（触摸屏）</w:t>
            </w:r>
          </w:p>
          <w:p w14:paraId="09745C3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8、对流方式:强制对流</w:t>
            </w:r>
          </w:p>
          <w:p w14:paraId="5EF5483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9、控制方式</w:t>
            </w:r>
            <w:r>
              <w:rPr>
                <w:rFonts w:hint="eastAsia" w:ascii="宋体" w:hAnsi="宋体" w:eastAsia="宋体" w:cs="宋体"/>
                <w:color w:val="auto"/>
                <w:kern w:val="2"/>
                <w:sz w:val="21"/>
                <w:szCs w:val="21"/>
                <w:highlight w:val="none"/>
                <w:lang w:val="en-US" w:eastAsia="zh-CN" w:bidi="ar"/>
                <w:woUserID w:val="9"/>
              </w:rPr>
              <w:tab/>
            </w:r>
            <w:r>
              <w:rPr>
                <w:rFonts w:hint="eastAsia" w:ascii="宋体" w:hAnsi="宋体" w:eastAsia="宋体" w:cs="宋体"/>
                <w:color w:val="auto"/>
                <w:kern w:val="2"/>
                <w:sz w:val="21"/>
                <w:szCs w:val="21"/>
                <w:highlight w:val="none"/>
                <w:lang w:val="en-US" w:eastAsia="zh-CN" w:bidi="ar"/>
                <w:woUserID w:val="9"/>
              </w:rPr>
              <w:t>:PLC微电脑智能控制</w:t>
            </w:r>
          </w:p>
          <w:p w14:paraId="6299352C">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cs="宋体"/>
                <w:szCs w:val="21"/>
                <w:lang w:bidi="ar"/>
              </w:rPr>
              <w:t>■</w:t>
            </w:r>
            <w:r>
              <w:rPr>
                <w:rFonts w:hint="eastAsia" w:ascii="宋体" w:hAnsi="宋体" w:eastAsia="宋体" w:cs="宋体"/>
                <w:color w:val="auto"/>
                <w:kern w:val="2"/>
                <w:sz w:val="21"/>
                <w:szCs w:val="21"/>
                <w:highlight w:val="none"/>
                <w:lang w:val="en-US" w:eastAsia="zh-CN" w:bidi="ar"/>
                <w:woUserID w:val="9"/>
              </w:rPr>
              <w:t>10、</w:t>
            </w:r>
            <w:r>
              <w:rPr>
                <w:rFonts w:hint="eastAsia" w:ascii="宋体" w:hAnsi="宋体" w:cs="宋体"/>
                <w:color w:val="auto"/>
                <w:kern w:val="2"/>
                <w:sz w:val="21"/>
                <w:szCs w:val="21"/>
                <w:highlight w:val="none"/>
                <w:lang w:val="en-US" w:eastAsia="zh-CN" w:bidi="ar"/>
                <w:woUserID w:val="9"/>
              </w:rPr>
              <w:t>每层</w:t>
            </w:r>
            <w:r>
              <w:rPr>
                <w:rFonts w:hint="eastAsia" w:ascii="宋体" w:hAnsi="宋体" w:eastAsia="宋体" w:cs="宋体"/>
                <w:color w:val="auto"/>
                <w:kern w:val="2"/>
                <w:sz w:val="21"/>
                <w:szCs w:val="21"/>
                <w:highlight w:val="none"/>
                <w:lang w:val="en-US" w:eastAsia="zh-CN" w:bidi="ar"/>
                <w:woUserID w:val="9"/>
              </w:rPr>
              <w:t>最大容量:</w:t>
            </w:r>
            <w:r>
              <w:rPr>
                <w:rFonts w:hint="eastAsia" w:ascii="宋体" w:hAnsi="宋体" w:cs="宋体"/>
                <w:color w:val="auto"/>
                <w:kern w:val="2"/>
                <w:sz w:val="21"/>
                <w:szCs w:val="21"/>
                <w:highlight w:val="none"/>
                <w:lang w:val="en-US" w:eastAsia="zh-CN" w:bidi="ar"/>
                <w:woUserID w:val="9"/>
              </w:rPr>
              <w:t>第三层</w:t>
            </w:r>
            <w:r>
              <w:rPr>
                <w:rFonts w:hint="eastAsia" w:ascii="宋体" w:hAnsi="宋体" w:eastAsia="宋体" w:cs="宋体"/>
                <w:color w:val="auto"/>
                <w:kern w:val="2"/>
                <w:sz w:val="21"/>
                <w:szCs w:val="21"/>
                <w:highlight w:val="none"/>
                <w:lang w:val="en-US" w:eastAsia="zh-CN" w:bidi="ar"/>
                <w:woUserID w:val="9"/>
              </w:rPr>
              <w:t>不小于250ml×36</w:t>
            </w:r>
            <w:r>
              <w:rPr>
                <w:rFonts w:hint="eastAsia" w:ascii="宋体" w:hAnsi="宋体" w:cs="宋体"/>
                <w:color w:val="auto"/>
                <w:kern w:val="2"/>
                <w:sz w:val="21"/>
                <w:szCs w:val="21"/>
                <w:highlight w:val="none"/>
                <w:lang w:val="en-US" w:eastAsia="zh-CN" w:bidi="ar"/>
                <w:woUserID w:val="9"/>
              </w:rPr>
              <w:t>，第二层</w:t>
            </w:r>
            <w:r>
              <w:rPr>
                <w:rFonts w:hint="eastAsia" w:ascii="宋体" w:hAnsi="宋体" w:eastAsia="宋体" w:cs="宋体"/>
                <w:color w:val="auto"/>
                <w:kern w:val="2"/>
                <w:sz w:val="21"/>
                <w:szCs w:val="21"/>
                <w:highlight w:val="none"/>
                <w:lang w:val="en-US" w:eastAsia="zh-CN" w:bidi="ar"/>
                <w:woUserID w:val="9"/>
              </w:rPr>
              <w:t>不小于500ml×25</w:t>
            </w:r>
            <w:r>
              <w:rPr>
                <w:rFonts w:hint="eastAsia" w:ascii="宋体" w:hAnsi="宋体" w:cs="宋体"/>
                <w:color w:val="auto"/>
                <w:kern w:val="2"/>
                <w:sz w:val="21"/>
                <w:szCs w:val="21"/>
                <w:highlight w:val="none"/>
                <w:lang w:val="en-US" w:eastAsia="zh-CN" w:bidi="ar"/>
                <w:woUserID w:val="9"/>
              </w:rPr>
              <w:t>，第一层</w:t>
            </w:r>
            <w:r>
              <w:rPr>
                <w:rFonts w:hint="eastAsia" w:ascii="宋体" w:hAnsi="宋体" w:eastAsia="宋体" w:cs="宋体"/>
                <w:color w:val="auto"/>
                <w:kern w:val="2"/>
                <w:sz w:val="21"/>
                <w:szCs w:val="21"/>
                <w:highlight w:val="none"/>
                <w:lang w:val="en-US" w:eastAsia="zh-CN" w:bidi="ar"/>
                <w:woUserID w:val="9"/>
              </w:rPr>
              <w:t>不小于2000ml×9</w:t>
            </w:r>
            <w:r>
              <w:rPr>
                <w:rFonts w:hint="eastAsia" w:ascii="宋体" w:hAnsi="宋体" w:cs="宋体"/>
                <w:color w:val="auto"/>
                <w:kern w:val="2"/>
                <w:sz w:val="21"/>
                <w:szCs w:val="21"/>
                <w:highlight w:val="none"/>
                <w:lang w:val="en-US" w:eastAsia="zh-CN" w:bidi="ar"/>
                <w:woUserID w:val="9"/>
              </w:rPr>
              <w:t>，第一层最低</w:t>
            </w:r>
          </w:p>
          <w:p w14:paraId="52F60CD2">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11、定时范围</w:t>
            </w:r>
            <w:r>
              <w:rPr>
                <w:rFonts w:hint="eastAsia" w:ascii="宋体" w:hAnsi="宋体" w:eastAsia="宋体" w:cs="宋体"/>
                <w:color w:val="auto"/>
                <w:kern w:val="2"/>
                <w:sz w:val="21"/>
                <w:szCs w:val="21"/>
                <w:highlight w:val="none"/>
                <w:lang w:val="en-US" w:eastAsia="zh-CN" w:bidi="ar"/>
                <w:woUserID w:val="9"/>
              </w:rPr>
              <w:tab/>
            </w:r>
            <w:r>
              <w:rPr>
                <w:rFonts w:hint="eastAsia" w:ascii="宋体" w:hAnsi="宋体" w:eastAsia="宋体" w:cs="宋体"/>
                <w:color w:val="auto"/>
                <w:kern w:val="2"/>
                <w:sz w:val="21"/>
                <w:szCs w:val="21"/>
                <w:highlight w:val="none"/>
                <w:lang w:val="en-US" w:eastAsia="zh-CN" w:bidi="ar"/>
                <w:woUserID w:val="9"/>
              </w:rPr>
              <w:t>:0-999.9小时</w:t>
            </w:r>
          </w:p>
          <w:p w14:paraId="2A5C0A25">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 xml:space="preserve">12、摇板尺寸（长×宽）:单层不小于544mm×520mm </w:t>
            </w:r>
          </w:p>
          <w:p w14:paraId="6DDB588A">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13、标准配置:万能夹具、固定夹具、粘板或试管夹具</w:t>
            </w:r>
          </w:p>
          <w:p w14:paraId="4D92F1A2">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14、电源:AC220</w:t>
            </w:r>
          </w:p>
          <w:p w14:paraId="116E3932">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15、</w:t>
            </w:r>
            <w:r>
              <w:rPr>
                <w:rFonts w:hint="eastAsia" w:ascii="宋体" w:hAnsi="宋体" w:eastAsia="宋体" w:cs="宋体"/>
                <w:color w:val="FF0000"/>
                <w:kern w:val="2"/>
                <w:sz w:val="21"/>
                <w:szCs w:val="21"/>
                <w:highlight w:val="none"/>
                <w:lang w:val="en-US" w:eastAsia="zh-CN" w:bidi="ar"/>
                <w:woUserID w:val="9"/>
              </w:rPr>
              <w:t>三层</w:t>
            </w:r>
            <w:r>
              <w:rPr>
                <w:rFonts w:hint="eastAsia" w:ascii="宋体" w:hAnsi="宋体" w:eastAsia="宋体" w:cs="宋体"/>
                <w:color w:val="auto"/>
                <w:kern w:val="2"/>
                <w:sz w:val="21"/>
                <w:szCs w:val="21"/>
                <w:highlight w:val="none"/>
                <w:lang w:val="en-US" w:eastAsia="zh-CN" w:bidi="ar"/>
                <w:woUserID w:val="9"/>
              </w:rPr>
              <w:t>叠加组合，每层可独立控制温度及转速，可根据需要任意设置不同温度、转速</w:t>
            </w:r>
          </w:p>
          <w:p w14:paraId="56251DB7">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16、中空钢化玻璃门，</w:t>
            </w:r>
            <w:r>
              <w:rPr>
                <w:rFonts w:hint="eastAsia" w:ascii="宋体" w:hAnsi="宋体" w:cs="宋体"/>
                <w:color w:val="auto"/>
                <w:kern w:val="2"/>
                <w:sz w:val="21"/>
                <w:szCs w:val="21"/>
                <w:highlight w:val="none"/>
                <w:lang w:val="en-US" w:eastAsia="zh-CN" w:bidi="ar"/>
                <w:woUserID w:val="9"/>
              </w:rPr>
              <w:t>可</w:t>
            </w:r>
            <w:r>
              <w:rPr>
                <w:rFonts w:hint="eastAsia" w:ascii="宋体" w:hAnsi="宋体" w:eastAsia="宋体" w:cs="宋体"/>
                <w:color w:val="auto"/>
                <w:kern w:val="2"/>
                <w:sz w:val="21"/>
                <w:szCs w:val="21"/>
                <w:highlight w:val="none"/>
                <w:lang w:val="en-US" w:eastAsia="zh-CN" w:bidi="ar"/>
                <w:woUserID w:val="9"/>
              </w:rPr>
              <w:t>随时在不开门情况下在各个角度观察箱体内部情况</w:t>
            </w:r>
          </w:p>
          <w:p w14:paraId="026B23B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lang w:val="en-US" w:eastAsia="zh-CN" w:bidi="ar"/>
                <w:woUserID w:val="9"/>
              </w:rPr>
            </w:pPr>
            <w:r>
              <w:rPr>
                <w:rFonts w:hint="eastAsia" w:ascii="宋体" w:hAnsi="宋体" w:eastAsia="宋体" w:cs="宋体"/>
                <w:color w:val="auto"/>
                <w:kern w:val="2"/>
                <w:sz w:val="21"/>
                <w:szCs w:val="21"/>
                <w:highlight w:val="none"/>
                <w:lang w:val="en-US" w:eastAsia="zh-CN" w:bidi="ar"/>
                <w:woUserID w:val="9"/>
              </w:rPr>
              <w:t>17、 三维一体的偏三轮驱动，运转平滑、稳定</w:t>
            </w:r>
          </w:p>
          <w:p w14:paraId="0BE84F58">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18、具有超温报警功能及异常情况自动断电功能；具有断电恢复功能，避免因停电、死机而造成的数据丢失问题</w:t>
            </w:r>
          </w:p>
          <w:p w14:paraId="0FCE92DE">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19、内衬采用304拉丝防腐不锈钢</w:t>
            </w:r>
            <w:r>
              <w:rPr>
                <w:rFonts w:hint="eastAsia" w:ascii="宋体" w:hAnsi="宋体" w:cs="宋体"/>
                <w:color w:val="auto"/>
                <w:kern w:val="2"/>
                <w:sz w:val="21"/>
                <w:szCs w:val="21"/>
                <w:highlight w:val="none"/>
                <w:lang w:val="en-US" w:eastAsia="zh-CN" w:bidi="ar"/>
                <w:woUserID w:val="9"/>
              </w:rPr>
              <w:t>；</w:t>
            </w:r>
            <w:r>
              <w:rPr>
                <w:rFonts w:hint="eastAsia" w:ascii="宋体" w:hAnsi="宋体" w:eastAsia="宋体" w:cs="宋体"/>
                <w:color w:val="auto"/>
                <w:kern w:val="2"/>
                <w:sz w:val="21"/>
                <w:szCs w:val="21"/>
                <w:highlight w:val="none"/>
                <w:lang w:val="en-US" w:eastAsia="zh-CN" w:bidi="ar"/>
                <w:woUserID w:val="9"/>
              </w:rPr>
              <w:t>外壳采用静电喷塑</w:t>
            </w:r>
            <w:r>
              <w:rPr>
                <w:rFonts w:hint="eastAsia" w:ascii="宋体" w:hAnsi="宋体" w:cs="宋体"/>
                <w:color w:val="auto"/>
                <w:kern w:val="2"/>
                <w:sz w:val="21"/>
                <w:szCs w:val="21"/>
                <w:highlight w:val="none"/>
                <w:lang w:val="en-US" w:eastAsia="zh-CN" w:bidi="ar"/>
                <w:woUserID w:val="9"/>
              </w:rPr>
              <w:t>。</w:t>
            </w:r>
          </w:p>
          <w:p w14:paraId="5DBC417F">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20、操作界面加密锁定功能，杜绝重复操作和人为误操；具有定时功能：0-999.9小时内任意设定培养时间</w:t>
            </w:r>
          </w:p>
          <w:p w14:paraId="5A2A0B2F">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lang w:val="en-US" w:eastAsia="zh-CN" w:bidi="ar"/>
                <w:woUserID w:val="9"/>
              </w:rPr>
            </w:pPr>
            <w:r>
              <w:rPr>
                <w:rFonts w:hint="eastAsia" w:ascii="宋体" w:hAnsi="宋体" w:eastAsia="宋体" w:cs="宋体"/>
                <w:color w:val="auto"/>
                <w:kern w:val="2"/>
                <w:sz w:val="21"/>
                <w:szCs w:val="21"/>
                <w:highlight w:val="none"/>
                <w:lang w:val="en-US" w:eastAsia="zh-CN" w:bidi="ar"/>
                <w:woUserID w:val="9"/>
              </w:rPr>
              <w:t>21、侧面配有调试孔，满足无需开门样品对氧气的需求</w:t>
            </w:r>
          </w:p>
          <w:p w14:paraId="634CA2AD">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22、具有照明和紫外灭菌功能</w:t>
            </w:r>
          </w:p>
          <w:p w14:paraId="08DD047F">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23、LCD触摸屏，设置温度、转速、时间，实际温度、转速、剩余时间在同一界面显示；可自由设定摇板正转或反转；自由设定强制对流的风扇常开、自动或关闭</w:t>
            </w:r>
          </w:p>
          <w:p w14:paraId="78E6FFD8">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24、拥有数据记忆功能，可以实时记录每分钟温度、转速数据，形成历史数据和实时曲线图，方便观察、分析实验过程中温度和转速对实验的影响，数据可储存12个月，并配有USB接口，方便信息的导入与导出</w:t>
            </w:r>
          </w:p>
          <w:p w14:paraId="78B65731">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25、采用PLC微电脑智能控制，能随时添加程序。</w:t>
            </w:r>
          </w:p>
          <w:p w14:paraId="33E3BB8D">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26、三通道气体冷热混匀循环风道设计，确保整个箱体的温度均匀性</w:t>
            </w:r>
          </w:p>
          <w:p w14:paraId="71893F5E">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27、内置自平衡系统和导流式防水系统；配备高质伺服电机，控制速度；内置滤波器磁环，屏蔽外界对机器的干扰。</w:t>
            </w:r>
          </w:p>
          <w:p w14:paraId="1EDB1BB1">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28、具有开盖即停或开盖缓停功能</w:t>
            </w:r>
            <w:r>
              <w:rPr>
                <w:rFonts w:hint="eastAsia" w:ascii="宋体" w:hAnsi="宋体" w:cs="宋体"/>
                <w:color w:val="auto"/>
                <w:kern w:val="2"/>
                <w:sz w:val="21"/>
                <w:szCs w:val="21"/>
                <w:highlight w:val="none"/>
                <w:lang w:val="en-US" w:eastAsia="zh-CN" w:bidi="ar"/>
                <w:woUserID w:val="9"/>
              </w:rPr>
              <w:t>。</w:t>
            </w:r>
          </w:p>
          <w:p w14:paraId="3D4B863F">
            <w:pPr>
              <w:keepNext w:val="0"/>
              <w:keepLines w:val="0"/>
              <w:widowControl w:val="0"/>
              <w:suppressLineNumbers w:val="0"/>
              <w:spacing w:before="0" w:beforeAutospacing="0" w:after="0" w:afterAutospacing="0"/>
              <w:ind w:left="0" w:right="0"/>
              <w:jc w:val="both"/>
              <w:rPr>
                <w:rFonts w:hint="eastAsia" w:ascii="宋体" w:hAnsi="宋体" w:eastAsia="宋体" w:cs="宋体"/>
                <w:b/>
                <w:bCs/>
                <w:color w:val="auto"/>
                <w:szCs w:val="21"/>
                <w:highlight w:val="none"/>
              </w:rPr>
            </w:pPr>
            <w:r>
              <w:rPr>
                <w:rFonts w:hint="eastAsia" w:ascii="宋体" w:hAnsi="宋体" w:eastAsia="宋体" w:cs="宋体"/>
                <w:color w:val="auto"/>
                <w:kern w:val="2"/>
                <w:sz w:val="21"/>
                <w:szCs w:val="21"/>
                <w:highlight w:val="none"/>
                <w:lang w:val="en-US" w:eastAsia="zh-CN" w:bidi="ar"/>
                <w:woUserID w:val="9"/>
              </w:rPr>
              <w:t>29、配备外置环境温度探头，环境温度在面板上实时显示，便于控制箱体内温度。</w:t>
            </w:r>
          </w:p>
        </w:tc>
        <w:tc>
          <w:tcPr>
            <w:tcW w:w="701"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0A25F2B">
            <w:pPr>
              <w:keepNext w:val="0"/>
              <w:keepLines w:val="0"/>
              <w:suppressLineNumbers w:val="0"/>
              <w:spacing w:before="0" w:beforeAutospacing="0" w:after="0" w:afterAutospacing="0"/>
              <w:ind w:left="0" w:leftChars="0" w:right="0" w:rightChars="0"/>
              <w:jc w:val="center"/>
              <w:rPr>
                <w:rFonts w:hint="eastAsia" w:ascii="宋体" w:hAnsi="宋体" w:eastAsia="宋体" w:cs="宋体"/>
                <w:b/>
                <w:bCs/>
                <w:color w:val="auto"/>
                <w:szCs w:val="21"/>
                <w:highlight w:val="none"/>
              </w:rPr>
            </w:pPr>
            <w:r>
              <w:rPr>
                <w:rFonts w:hint="eastAsia" w:ascii="宋体" w:hAnsi="宋体" w:eastAsia="宋体" w:cs="宋体"/>
                <w:b w:val="0"/>
                <w:bCs w:val="0"/>
                <w:color w:val="auto"/>
                <w:sz w:val="21"/>
                <w:szCs w:val="21"/>
                <w:highlight w:val="none"/>
              </w:rPr>
              <w:t>台</w:t>
            </w:r>
          </w:p>
        </w:tc>
        <w:tc>
          <w:tcPr>
            <w:tcW w:w="668" w:type="dxa"/>
            <w:tcBorders>
              <w:top w:val="single" w:color="auto" w:sz="4" w:space="0"/>
              <w:left w:val="single" w:color="auto" w:sz="4" w:space="0"/>
              <w:bottom w:val="single" w:color="auto" w:sz="4" w:space="0"/>
              <w:right w:val="single" w:color="auto" w:sz="4" w:space="0"/>
            </w:tcBorders>
            <w:vAlign w:val="center"/>
          </w:tcPr>
          <w:p w14:paraId="343B71B6">
            <w:pPr>
              <w:keepNext w:val="0"/>
              <w:keepLines w:val="0"/>
              <w:suppressLineNumbers w:val="0"/>
              <w:spacing w:before="0" w:beforeAutospacing="0" w:after="0" w:afterAutospacing="0"/>
              <w:ind w:left="0" w:leftChars="0" w:right="0" w:rightChars="0"/>
              <w:jc w:val="center"/>
              <w:rPr>
                <w:rFonts w:hint="eastAsia" w:ascii="宋体" w:hAnsi="宋体" w:eastAsia="宋体" w:cs="宋体"/>
                <w:b/>
                <w:bCs/>
                <w:color w:val="auto"/>
                <w:szCs w:val="21"/>
                <w:highlight w:val="none"/>
              </w:rPr>
            </w:pPr>
            <w:r>
              <w:rPr>
                <w:rFonts w:hint="eastAsia" w:ascii="宋体" w:hAnsi="宋体" w:eastAsia="宋体" w:cs="宋体"/>
                <w:b w:val="0"/>
                <w:bCs w:val="0"/>
                <w:color w:val="auto"/>
                <w:sz w:val="21"/>
                <w:szCs w:val="21"/>
                <w:highlight w:val="none"/>
              </w:rPr>
              <w:t>1</w:t>
            </w:r>
          </w:p>
        </w:tc>
      </w:tr>
      <w:tr w14:paraId="204F6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414"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C4AC843">
            <w:pPr>
              <w:pStyle w:val="148"/>
              <w:keepNext w:val="0"/>
              <w:keepLines w:val="0"/>
              <w:widowControl/>
              <w:numPr>
                <w:ilvl w:val="0"/>
                <w:numId w:val="0"/>
              </w:numPr>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bCs/>
                <w:color w:val="auto"/>
                <w:szCs w:val="21"/>
                <w:highlight w:val="none"/>
              </w:rPr>
            </w:pPr>
            <w:r>
              <w:rPr>
                <w:rFonts w:hint="eastAsia" w:ascii="宋体" w:hAnsi="宋体" w:eastAsia="宋体" w:cs="宋体"/>
                <w:b w:val="0"/>
                <w:bCs w:val="0"/>
                <w:color w:val="auto"/>
                <w:kern w:val="0"/>
                <w:sz w:val="21"/>
                <w:szCs w:val="21"/>
                <w:highlight w:val="none"/>
                <w:lang w:val="en-US" w:eastAsia="zh-CN" w:bidi="zh-CN"/>
              </w:rPr>
              <w:t>15</w:t>
            </w:r>
          </w:p>
        </w:tc>
        <w:tc>
          <w:tcPr>
            <w:tcW w:w="883"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777AD59">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bCs/>
                <w:color w:val="auto"/>
                <w:szCs w:val="21"/>
                <w:highlight w:val="none"/>
              </w:rPr>
            </w:pPr>
            <w:r>
              <w:rPr>
                <w:rFonts w:hint="eastAsia" w:ascii="宋体" w:hAnsi="宋体" w:eastAsia="宋体" w:cs="宋体"/>
                <w:b w:val="0"/>
                <w:bCs w:val="0"/>
                <w:color w:val="auto"/>
                <w:sz w:val="21"/>
                <w:szCs w:val="21"/>
                <w:highlight w:val="none"/>
              </w:rPr>
              <w:t>数显恒温水浴锅</w:t>
            </w:r>
          </w:p>
        </w:tc>
        <w:tc>
          <w:tcPr>
            <w:tcW w:w="6760"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405D2CA">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 xml:space="preserve">1、容积： </w:t>
            </w:r>
            <w:r>
              <w:rPr>
                <w:rFonts w:hint="eastAsia" w:ascii="宋体" w:hAnsi="宋体" w:eastAsia="宋体" w:cs="宋体"/>
                <w:color w:val="auto"/>
                <w:lang w:eastAsia="zh-CN"/>
              </w:rPr>
              <w:t>≥</w:t>
            </w:r>
            <w:r>
              <w:rPr>
                <w:rFonts w:hint="eastAsia" w:ascii="宋体" w:hAnsi="宋体" w:eastAsia="宋体" w:cs="宋体"/>
                <w:color w:val="auto"/>
                <w:kern w:val="2"/>
                <w:sz w:val="21"/>
                <w:szCs w:val="21"/>
                <w:highlight w:val="none"/>
                <w:lang w:val="en-US" w:eastAsia="zh-CN" w:bidi="ar"/>
                <w:woUserID w:val="9"/>
              </w:rPr>
              <w:t xml:space="preserve">20L </w:t>
            </w:r>
          </w:p>
          <w:p w14:paraId="02724DD8">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 xml:space="preserve">2、孔数 ： </w:t>
            </w:r>
            <w:r>
              <w:rPr>
                <w:rFonts w:hint="eastAsia" w:ascii="宋体" w:hAnsi="宋体" w:eastAsia="宋体" w:cs="宋体"/>
                <w:color w:val="auto"/>
                <w:lang w:eastAsia="zh-CN"/>
              </w:rPr>
              <w:t>≥</w:t>
            </w:r>
            <w:r>
              <w:rPr>
                <w:rFonts w:hint="eastAsia" w:ascii="宋体" w:hAnsi="宋体" w:eastAsia="宋体" w:cs="宋体"/>
                <w:color w:val="auto"/>
                <w:kern w:val="2"/>
                <w:sz w:val="21"/>
                <w:szCs w:val="21"/>
                <w:highlight w:val="none"/>
                <w:lang w:val="en-US" w:eastAsia="zh-CN" w:bidi="ar"/>
                <w:woUserID w:val="9"/>
              </w:rPr>
              <w:t xml:space="preserve">6 </w:t>
            </w:r>
          </w:p>
          <w:p w14:paraId="4E45F2F6">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 xml:space="preserve">3、加热功率 ： 1000W </w:t>
            </w:r>
          </w:p>
          <w:p w14:paraId="64AACB87">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 xml:space="preserve">4、温控范围： 室温~100℃ </w:t>
            </w:r>
          </w:p>
          <w:p w14:paraId="2F3C25BC">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 xml:space="preserve">5、恒温分辨度： 0.1℃ </w:t>
            </w:r>
          </w:p>
          <w:p w14:paraId="31EC6783">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 xml:space="preserve">6、温控精度： ±0.5℃ </w:t>
            </w:r>
          </w:p>
          <w:p w14:paraId="7D5637D4">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 xml:space="preserve">7、升温速度： 1℃/min </w:t>
            </w:r>
          </w:p>
          <w:p w14:paraId="120E9D24">
            <w:pPr>
              <w:keepNext w:val="0"/>
              <w:keepLines w:val="0"/>
              <w:widowControl w:val="0"/>
              <w:suppressLineNumbers w:val="0"/>
              <w:spacing w:before="0" w:beforeAutospacing="0" w:after="0" w:afterAutospacing="0"/>
              <w:ind w:left="0" w:right="0"/>
              <w:jc w:val="both"/>
              <w:rPr>
                <w:rFonts w:hint="eastAsia" w:ascii="宋体" w:hAnsi="宋体" w:eastAsia="宋体" w:cs="宋体"/>
                <w:b/>
                <w:bCs/>
                <w:color w:val="auto"/>
                <w:szCs w:val="21"/>
                <w:highlight w:val="none"/>
              </w:rPr>
            </w:pPr>
            <w:r>
              <w:rPr>
                <w:rFonts w:hint="eastAsia" w:ascii="宋体" w:hAnsi="宋体" w:eastAsia="宋体" w:cs="宋体"/>
                <w:color w:val="auto"/>
                <w:kern w:val="2"/>
                <w:sz w:val="21"/>
                <w:szCs w:val="21"/>
                <w:highlight w:val="none"/>
                <w:lang w:val="en-US" w:eastAsia="zh-CN" w:bidi="ar"/>
                <w:woUserID w:val="9"/>
              </w:rPr>
              <w:t xml:space="preserve">8、电源： AC220V 50HZ  </w:t>
            </w:r>
          </w:p>
        </w:tc>
        <w:tc>
          <w:tcPr>
            <w:tcW w:w="701"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D74B1AE">
            <w:pPr>
              <w:keepNext w:val="0"/>
              <w:keepLines w:val="0"/>
              <w:suppressLineNumbers w:val="0"/>
              <w:spacing w:before="0" w:beforeAutospacing="0" w:after="0" w:afterAutospacing="0"/>
              <w:ind w:left="0" w:leftChars="0" w:right="0" w:rightChars="0"/>
              <w:jc w:val="center"/>
              <w:rPr>
                <w:rFonts w:hint="eastAsia" w:ascii="宋体" w:hAnsi="宋体" w:eastAsia="宋体" w:cs="宋体"/>
                <w:b/>
                <w:bCs/>
                <w:color w:val="auto"/>
                <w:szCs w:val="21"/>
                <w:highlight w:val="none"/>
              </w:rPr>
            </w:pPr>
            <w:r>
              <w:rPr>
                <w:rFonts w:hint="eastAsia" w:ascii="宋体" w:hAnsi="宋体" w:eastAsia="宋体" w:cs="宋体"/>
                <w:b w:val="0"/>
                <w:bCs w:val="0"/>
                <w:color w:val="auto"/>
                <w:sz w:val="21"/>
                <w:szCs w:val="21"/>
                <w:highlight w:val="none"/>
              </w:rPr>
              <w:t>台</w:t>
            </w:r>
          </w:p>
        </w:tc>
        <w:tc>
          <w:tcPr>
            <w:tcW w:w="668" w:type="dxa"/>
            <w:tcBorders>
              <w:top w:val="single" w:color="auto" w:sz="4" w:space="0"/>
              <w:left w:val="single" w:color="auto" w:sz="4" w:space="0"/>
              <w:bottom w:val="single" w:color="auto" w:sz="4" w:space="0"/>
              <w:right w:val="single" w:color="auto" w:sz="4" w:space="0"/>
            </w:tcBorders>
            <w:vAlign w:val="center"/>
          </w:tcPr>
          <w:p w14:paraId="65006931">
            <w:pPr>
              <w:keepNext w:val="0"/>
              <w:keepLines w:val="0"/>
              <w:suppressLineNumbers w:val="0"/>
              <w:spacing w:before="0" w:beforeAutospacing="0" w:after="0" w:afterAutospacing="0"/>
              <w:ind w:left="0" w:leftChars="0" w:right="0" w:rightChars="0"/>
              <w:jc w:val="center"/>
              <w:rPr>
                <w:rFonts w:hint="eastAsia" w:ascii="宋体" w:hAnsi="宋体" w:eastAsia="宋体" w:cs="宋体"/>
                <w:b/>
                <w:bCs/>
                <w:color w:val="auto"/>
                <w:szCs w:val="21"/>
                <w:highlight w:val="none"/>
              </w:rPr>
            </w:pPr>
            <w:r>
              <w:rPr>
                <w:rFonts w:hint="eastAsia" w:ascii="宋体" w:hAnsi="宋体" w:eastAsia="宋体" w:cs="宋体"/>
                <w:b w:val="0"/>
                <w:bCs w:val="0"/>
                <w:color w:val="auto"/>
                <w:sz w:val="21"/>
                <w:szCs w:val="21"/>
                <w:highlight w:val="none"/>
              </w:rPr>
              <w:t>5</w:t>
            </w:r>
          </w:p>
        </w:tc>
      </w:tr>
      <w:tr w14:paraId="17EA5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414"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1E477AD">
            <w:pPr>
              <w:keepNext w:val="0"/>
              <w:keepLines w:val="0"/>
              <w:widowControl/>
              <w:numPr>
                <w:ilvl w:val="0"/>
                <w:numId w:val="0"/>
              </w:numPr>
              <w:suppressLineNumbers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bCs/>
                <w:color w:val="auto"/>
                <w:szCs w:val="21"/>
                <w:highlight w:val="none"/>
              </w:rPr>
            </w:pPr>
            <w:r>
              <w:rPr>
                <w:rFonts w:hint="eastAsia" w:ascii="宋体" w:hAnsi="宋体" w:eastAsia="宋体" w:cs="宋体"/>
                <w:b w:val="0"/>
                <w:bCs w:val="0"/>
                <w:color w:val="auto"/>
                <w:sz w:val="21"/>
                <w:szCs w:val="21"/>
                <w:highlight w:val="none"/>
                <w:lang w:val="en-US" w:eastAsia="zh-CN"/>
              </w:rPr>
              <w:t>16</w:t>
            </w:r>
          </w:p>
        </w:tc>
        <w:tc>
          <w:tcPr>
            <w:tcW w:w="883"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223E443">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bCs/>
                <w:color w:val="auto"/>
                <w:szCs w:val="21"/>
                <w:highlight w:val="none"/>
              </w:rPr>
            </w:pPr>
            <w:r>
              <w:rPr>
                <w:rFonts w:hint="eastAsia" w:ascii="宋体" w:hAnsi="宋体" w:eastAsia="宋体" w:cs="宋体"/>
                <w:b w:val="0"/>
                <w:bCs w:val="0"/>
                <w:color w:val="auto"/>
                <w:sz w:val="21"/>
                <w:szCs w:val="21"/>
                <w:highlight w:val="none"/>
              </w:rPr>
              <w:t>高通量微升级液滴培养组学系统</w:t>
            </w:r>
          </w:p>
        </w:tc>
        <w:tc>
          <w:tcPr>
            <w:tcW w:w="6760"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C7E8B4C">
            <w:pPr>
              <w:keepNext w:val="0"/>
              <w:keepLines w:val="0"/>
              <w:widowControl w:val="0"/>
              <w:suppressLineNumbers w:val="0"/>
              <w:spacing w:before="0" w:beforeAutospacing="0" w:after="0" w:afterAutospacing="0"/>
              <w:ind w:left="0" w:right="0"/>
              <w:jc w:val="both"/>
              <w:rPr>
                <w:rFonts w:hint="default" w:ascii="宋体" w:hAnsi="宋体" w:eastAsia="宋体" w:cs="宋体"/>
                <w:color w:val="auto"/>
                <w:kern w:val="2"/>
                <w:sz w:val="21"/>
                <w:szCs w:val="21"/>
                <w:highlight w:val="none"/>
                <w:lang w:val="en-US" w:eastAsia="zh-CN" w:bidi="ar"/>
                <w:woUserID w:val="9"/>
              </w:rPr>
            </w:pPr>
            <w:r>
              <w:rPr>
                <w:rFonts w:hint="eastAsia" w:ascii="宋体" w:hAnsi="宋体" w:cs="宋体"/>
                <w:color w:val="auto"/>
                <w:kern w:val="2"/>
                <w:sz w:val="21"/>
                <w:szCs w:val="21"/>
                <w:highlight w:val="none"/>
                <w:lang w:val="en-US" w:eastAsia="zh-CN" w:bidi="ar"/>
                <w:woUserID w:val="9"/>
              </w:rPr>
              <w:t>一、技术参数</w:t>
            </w:r>
          </w:p>
          <w:p w14:paraId="222A587E">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1. 微流控芯片：生物兼容性芯片</w:t>
            </w:r>
          </w:p>
          <w:p w14:paraId="10B6527E">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cs="宋体"/>
                <w:szCs w:val="21"/>
                <w:lang w:bidi="ar"/>
              </w:rPr>
              <w:t>■</w:t>
            </w:r>
            <w:r>
              <w:rPr>
                <w:rFonts w:hint="eastAsia" w:ascii="宋体" w:hAnsi="宋体" w:eastAsia="宋体" w:cs="宋体"/>
                <w:color w:val="auto"/>
                <w:kern w:val="2"/>
                <w:sz w:val="21"/>
                <w:szCs w:val="21"/>
                <w:highlight w:val="none"/>
                <w:lang w:val="en-US" w:eastAsia="zh-CN" w:bidi="ar"/>
                <w:woUserID w:val="9"/>
              </w:rPr>
              <w:t>2. 液滴体积：2-3微升 单批次生成液滴大小均一性：CV值≤5%</w:t>
            </w:r>
          </w:p>
          <w:p w14:paraId="077978EA">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3. 液滴存储容器：高透气性管路，Kla=87.5±9.7h-1</w:t>
            </w:r>
          </w:p>
          <w:p w14:paraId="5306AA63">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 xml:space="preserve">4. 液滴生成通量≥5000个/批 </w:t>
            </w:r>
          </w:p>
          <w:p w14:paraId="6C3090D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5. 液滴检测速度：≥50个/min</w:t>
            </w:r>
          </w:p>
          <w:p w14:paraId="21D39D41">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6. 液滴分选通量：≥50个/min</w:t>
            </w:r>
          </w:p>
          <w:p w14:paraId="7F3E0ABE">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cs="宋体"/>
                <w:szCs w:val="21"/>
                <w:lang w:bidi="ar"/>
              </w:rPr>
              <w:t>■</w:t>
            </w:r>
            <w:r>
              <w:rPr>
                <w:rFonts w:hint="eastAsia" w:ascii="宋体" w:hAnsi="宋体" w:eastAsia="宋体" w:cs="宋体"/>
                <w:color w:val="auto"/>
                <w:kern w:val="2"/>
                <w:sz w:val="21"/>
                <w:szCs w:val="21"/>
                <w:highlight w:val="none"/>
                <w:lang w:val="en-US" w:eastAsia="zh-CN" w:bidi="ar"/>
                <w:woUserID w:val="9"/>
              </w:rPr>
              <w:t xml:space="preserve">7. OD检测模块：450-800nm检测范围，光谱分辨率≤2nm，线性范围0-15，误差±0.1 </w:t>
            </w:r>
          </w:p>
          <w:p w14:paraId="3CB444A0">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8. 温控：室温+5-50℃，波动±1℃</w:t>
            </w:r>
          </w:p>
          <w:p w14:paraId="04C232B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9. 全自动孔板分选模块：目标液滴分选至96孔板，单批次支持10块孔板自动切换和收集，并自动记录液滴检测数据、收集孔位及孔板编号</w:t>
            </w:r>
          </w:p>
          <w:p w14:paraId="298FFEFA">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10.移液系统：</w:t>
            </w:r>
          </w:p>
          <w:p w14:paraId="1F686207">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10.1可调量程单通道电动移液器，电动自适应退吸头，支持全工作流程电动化。</w:t>
            </w:r>
          </w:p>
          <w:p w14:paraId="55BB3CED">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10.2量程分为0.5-10ul、5-100ul、30-300ul、50-1000ul4个量程；</w:t>
            </w:r>
          </w:p>
          <w:p w14:paraId="55B3FBA1">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 xml:space="preserve">10.3 </w:t>
            </w:r>
            <w:r>
              <w:rPr>
                <w:rFonts w:hint="eastAsia" w:ascii="宋体" w:hAnsi="宋体" w:cs="宋体"/>
                <w:color w:val="auto"/>
                <w:kern w:val="2"/>
                <w:sz w:val="21"/>
                <w:szCs w:val="21"/>
                <w:highlight w:val="none"/>
                <w:lang w:val="en-US" w:eastAsia="zh-CN" w:bidi="ar"/>
                <w:woUserID w:val="9"/>
              </w:rPr>
              <w:t>不小于</w:t>
            </w:r>
            <w:r>
              <w:rPr>
                <w:rFonts w:hint="eastAsia" w:ascii="宋体" w:hAnsi="宋体" w:eastAsia="宋体" w:cs="宋体"/>
                <w:color w:val="auto"/>
                <w:kern w:val="2"/>
                <w:sz w:val="21"/>
                <w:szCs w:val="21"/>
                <w:highlight w:val="none"/>
                <w:lang w:val="en-US" w:eastAsia="zh-CN" w:bidi="ar"/>
                <w:woUserID w:val="9"/>
              </w:rPr>
              <w:t>1.3英寸全彩触摸屏</w:t>
            </w:r>
            <w:r>
              <w:rPr>
                <w:rFonts w:hint="eastAsia" w:ascii="宋体" w:hAnsi="宋体" w:cs="宋体"/>
                <w:color w:val="auto"/>
                <w:kern w:val="2"/>
                <w:sz w:val="21"/>
                <w:szCs w:val="21"/>
                <w:highlight w:val="none"/>
                <w:lang w:val="en-US" w:eastAsia="zh-CN" w:bidi="ar"/>
                <w:woUserID w:val="9"/>
              </w:rPr>
              <w:t>，</w:t>
            </w:r>
            <w:r>
              <w:rPr>
                <w:rFonts w:hint="eastAsia" w:ascii="宋体" w:hAnsi="宋体" w:eastAsia="宋体" w:cs="宋体"/>
                <w:color w:val="auto"/>
                <w:kern w:val="2"/>
                <w:sz w:val="21"/>
                <w:szCs w:val="21"/>
                <w:highlight w:val="none"/>
                <w:lang w:val="en-US" w:eastAsia="zh-CN" w:bidi="ar"/>
                <w:woUserID w:val="9"/>
              </w:rPr>
              <w:t>可戴手套操作，可用2种语言快速量程调整及模式切换，扳机式吸排液控制。</w:t>
            </w:r>
          </w:p>
          <w:p w14:paraId="553D4765">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10.4整机外壳抗菌防水材质，支持移液器下半支可使用121℃高压蒸汽灭菌处理；</w:t>
            </w:r>
          </w:p>
          <w:p w14:paraId="1AD3A6EA">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10.</w:t>
            </w:r>
            <w:r>
              <w:rPr>
                <w:rFonts w:hint="eastAsia" w:ascii="宋体" w:hAnsi="宋体" w:cs="宋体"/>
                <w:color w:val="auto"/>
                <w:kern w:val="2"/>
                <w:sz w:val="21"/>
                <w:szCs w:val="21"/>
                <w:highlight w:val="none"/>
                <w:lang w:val="en-US" w:eastAsia="zh-CN" w:bidi="ar"/>
                <w:woUserID w:val="9"/>
              </w:rPr>
              <w:t>5</w:t>
            </w:r>
            <w:r>
              <w:rPr>
                <w:rFonts w:hint="eastAsia" w:ascii="宋体" w:hAnsi="宋体" w:eastAsia="宋体" w:cs="宋体"/>
                <w:color w:val="auto"/>
                <w:kern w:val="2"/>
                <w:sz w:val="21"/>
                <w:szCs w:val="21"/>
                <w:highlight w:val="none"/>
                <w:lang w:val="en-US" w:eastAsia="zh-CN" w:bidi="ar"/>
                <w:woUserID w:val="9"/>
              </w:rPr>
              <w:t>内置多种移液模式，有正向移液，反向移液，等量分液，连续分液，稀释，手动，自动混匀等模式，满足各种移液需要，适合普通液体、易挥发、易起气泡、高粘度液体等各类液体移取；</w:t>
            </w:r>
          </w:p>
          <w:p w14:paraId="4BD8BC19">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10.</w:t>
            </w:r>
            <w:r>
              <w:rPr>
                <w:rFonts w:hint="eastAsia" w:ascii="宋体" w:hAnsi="宋体" w:cs="宋体"/>
                <w:color w:val="auto"/>
                <w:kern w:val="2"/>
                <w:sz w:val="21"/>
                <w:szCs w:val="21"/>
                <w:highlight w:val="none"/>
                <w:lang w:val="en-US" w:eastAsia="zh-CN" w:bidi="ar"/>
                <w:woUserID w:val="9"/>
              </w:rPr>
              <w:t>6</w:t>
            </w:r>
            <w:r>
              <w:rPr>
                <w:rFonts w:hint="eastAsia" w:ascii="宋体" w:hAnsi="宋体" w:eastAsia="宋体" w:cs="宋体"/>
                <w:color w:val="auto"/>
                <w:kern w:val="2"/>
                <w:sz w:val="21"/>
                <w:szCs w:val="21"/>
                <w:highlight w:val="none"/>
                <w:lang w:val="en-US" w:eastAsia="zh-CN" w:bidi="ar"/>
                <w:woUserID w:val="9"/>
              </w:rPr>
              <w:t>速度分为1-9档，极慢流速可满足特殊移液需求；</w:t>
            </w:r>
          </w:p>
          <w:p w14:paraId="4C07C675">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10.</w:t>
            </w:r>
            <w:r>
              <w:rPr>
                <w:rFonts w:hint="eastAsia" w:ascii="宋体" w:hAnsi="宋体" w:cs="宋体"/>
                <w:color w:val="auto"/>
                <w:kern w:val="2"/>
                <w:sz w:val="21"/>
                <w:szCs w:val="21"/>
                <w:highlight w:val="none"/>
                <w:lang w:val="en-US" w:eastAsia="zh-CN" w:bidi="ar"/>
                <w:woUserID w:val="9"/>
              </w:rPr>
              <w:t>7</w:t>
            </w:r>
            <w:r>
              <w:rPr>
                <w:rFonts w:hint="eastAsia" w:ascii="宋体" w:hAnsi="宋体" w:eastAsia="宋体" w:cs="宋体"/>
                <w:color w:val="auto"/>
                <w:kern w:val="2"/>
                <w:sz w:val="21"/>
                <w:szCs w:val="21"/>
                <w:highlight w:val="none"/>
                <w:lang w:val="en-US" w:eastAsia="zh-CN" w:bidi="ar"/>
                <w:woUserID w:val="9"/>
              </w:rPr>
              <w:t>内置两种校准方法；</w:t>
            </w:r>
          </w:p>
          <w:p w14:paraId="463176E5">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10.</w:t>
            </w:r>
            <w:r>
              <w:rPr>
                <w:rFonts w:hint="eastAsia" w:ascii="宋体" w:hAnsi="宋体" w:cs="宋体"/>
                <w:color w:val="auto"/>
                <w:kern w:val="2"/>
                <w:sz w:val="21"/>
                <w:szCs w:val="21"/>
                <w:highlight w:val="none"/>
                <w:lang w:val="en-US" w:eastAsia="zh-CN" w:bidi="ar"/>
                <w:woUserID w:val="9"/>
              </w:rPr>
              <w:t>8</w:t>
            </w:r>
            <w:r>
              <w:rPr>
                <w:rFonts w:hint="eastAsia" w:ascii="宋体" w:hAnsi="宋体" w:eastAsia="宋体" w:cs="宋体"/>
                <w:color w:val="auto"/>
                <w:kern w:val="2"/>
                <w:sz w:val="21"/>
                <w:szCs w:val="21"/>
                <w:highlight w:val="none"/>
                <w:lang w:val="en-US" w:eastAsia="zh-CN" w:bidi="ar"/>
                <w:woUserID w:val="9"/>
              </w:rPr>
              <w:t>支持无线连接，无需付费，微信小程序可调节移液器参数、可语音控制参数调节，支持OTA在线升级、可查看操作日志及校准记录；可通过NFC读取序列号做资产快速盘点、支持导出使用数据、校准记录；</w:t>
            </w:r>
          </w:p>
          <w:p w14:paraId="46698AAD">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10.</w:t>
            </w:r>
            <w:r>
              <w:rPr>
                <w:rFonts w:hint="eastAsia" w:ascii="宋体" w:hAnsi="宋体" w:cs="宋体"/>
                <w:color w:val="auto"/>
                <w:kern w:val="2"/>
                <w:sz w:val="21"/>
                <w:szCs w:val="21"/>
                <w:highlight w:val="none"/>
                <w:lang w:val="en-US" w:eastAsia="zh-CN" w:bidi="ar"/>
                <w:woUserID w:val="9"/>
              </w:rPr>
              <w:t>9</w:t>
            </w:r>
            <w:r>
              <w:rPr>
                <w:rFonts w:hint="eastAsia" w:ascii="宋体" w:hAnsi="宋体" w:eastAsia="宋体" w:cs="宋体"/>
                <w:color w:val="auto"/>
                <w:kern w:val="2"/>
                <w:sz w:val="21"/>
                <w:szCs w:val="21"/>
                <w:highlight w:val="none"/>
                <w:lang w:val="en-US" w:eastAsia="zh-CN" w:bidi="ar"/>
                <w:woUserID w:val="9"/>
              </w:rPr>
              <w:t>支持第三方工作站接入；</w:t>
            </w:r>
          </w:p>
          <w:p w14:paraId="6BB0756D">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10.1</w:t>
            </w:r>
            <w:r>
              <w:rPr>
                <w:rFonts w:hint="eastAsia" w:ascii="宋体" w:hAnsi="宋体" w:cs="宋体"/>
                <w:color w:val="auto"/>
                <w:kern w:val="2"/>
                <w:sz w:val="21"/>
                <w:szCs w:val="21"/>
                <w:highlight w:val="none"/>
                <w:lang w:val="en-US" w:eastAsia="zh-CN" w:bidi="ar"/>
                <w:woUserID w:val="9"/>
              </w:rPr>
              <w:t>0</w:t>
            </w:r>
            <w:r>
              <w:rPr>
                <w:rFonts w:hint="eastAsia" w:ascii="宋体" w:hAnsi="宋体" w:eastAsia="宋体" w:cs="宋体"/>
                <w:color w:val="auto"/>
                <w:kern w:val="2"/>
                <w:sz w:val="21"/>
                <w:szCs w:val="21"/>
                <w:highlight w:val="none"/>
                <w:lang w:val="en-US" w:eastAsia="zh-CN" w:bidi="ar"/>
                <w:woUserID w:val="9"/>
              </w:rPr>
              <w:t>具备开机密码保护，满足个性化使用需求；</w:t>
            </w:r>
          </w:p>
          <w:p w14:paraId="66AB331F">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10.1</w:t>
            </w:r>
            <w:r>
              <w:rPr>
                <w:rFonts w:hint="eastAsia" w:ascii="宋体" w:hAnsi="宋体" w:cs="宋体"/>
                <w:color w:val="auto"/>
                <w:kern w:val="2"/>
                <w:sz w:val="21"/>
                <w:szCs w:val="21"/>
                <w:highlight w:val="none"/>
                <w:lang w:val="en-US" w:eastAsia="zh-CN" w:bidi="ar"/>
                <w:woUserID w:val="9"/>
              </w:rPr>
              <w:t>1</w:t>
            </w:r>
            <w:r>
              <w:rPr>
                <w:rFonts w:hint="eastAsia" w:ascii="宋体" w:hAnsi="宋体" w:eastAsia="宋体" w:cs="宋体"/>
                <w:color w:val="auto"/>
                <w:kern w:val="2"/>
                <w:sz w:val="21"/>
                <w:szCs w:val="21"/>
                <w:highlight w:val="none"/>
                <w:lang w:val="en-US" w:eastAsia="zh-CN" w:bidi="ar"/>
                <w:woUserID w:val="9"/>
              </w:rPr>
              <w:t>软件搭载在不小于11英寸的安卓系统的平板设备中,可同时和不少于8台智能移液器连接，工作时通过可语音提示选择相应移液器；</w:t>
            </w:r>
          </w:p>
          <w:p w14:paraId="056F850A">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10.1</w:t>
            </w:r>
            <w:r>
              <w:rPr>
                <w:rFonts w:hint="eastAsia" w:ascii="宋体" w:hAnsi="宋体" w:cs="宋体"/>
                <w:color w:val="auto"/>
                <w:kern w:val="2"/>
                <w:sz w:val="21"/>
                <w:szCs w:val="21"/>
                <w:highlight w:val="none"/>
                <w:lang w:val="en-US" w:eastAsia="zh-CN" w:bidi="ar"/>
                <w:woUserID w:val="9"/>
              </w:rPr>
              <w:t>2</w:t>
            </w:r>
            <w:r>
              <w:rPr>
                <w:rFonts w:hint="eastAsia" w:ascii="宋体" w:hAnsi="宋体" w:eastAsia="宋体" w:cs="宋体"/>
                <w:color w:val="auto"/>
                <w:kern w:val="2"/>
                <w:sz w:val="21"/>
                <w:szCs w:val="21"/>
                <w:highlight w:val="none"/>
                <w:lang w:val="en-US" w:eastAsia="zh-CN" w:bidi="ar"/>
                <w:woUserID w:val="9"/>
              </w:rPr>
              <w:t>支持移液方案制定及导入，用户可在平板端和PC端自定义移液规格、设定移液器参数、管理液体信息与液体填充位置，平板端和PC端支持数据互通，支持pooling、浓度均一化等方案模板表导入自动生成移液方案；</w:t>
            </w:r>
          </w:p>
          <w:p w14:paraId="0AA4D1B7">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10.1</w:t>
            </w:r>
            <w:r>
              <w:rPr>
                <w:rFonts w:hint="eastAsia" w:ascii="宋体" w:hAnsi="宋体" w:cs="宋体"/>
                <w:color w:val="auto"/>
                <w:kern w:val="2"/>
                <w:sz w:val="21"/>
                <w:szCs w:val="21"/>
                <w:highlight w:val="none"/>
                <w:lang w:val="en-US" w:eastAsia="zh-CN" w:bidi="ar"/>
                <w:woUserID w:val="9"/>
              </w:rPr>
              <w:t>3</w:t>
            </w:r>
            <w:r>
              <w:rPr>
                <w:rFonts w:hint="eastAsia" w:ascii="宋体" w:hAnsi="宋体" w:eastAsia="宋体" w:cs="宋体"/>
                <w:color w:val="auto"/>
                <w:kern w:val="2"/>
                <w:sz w:val="21"/>
                <w:szCs w:val="21"/>
                <w:highlight w:val="none"/>
                <w:lang w:val="en-US" w:eastAsia="zh-CN" w:bidi="ar"/>
                <w:woUserID w:val="9"/>
              </w:rPr>
              <w:t>辅助移液器操作，设备适配96、384微孔板、EP管架的向导装置，设备可支持蓝牙自动调节移液器参数，通过光点引导移液位置，实现光点全程引导下的辅助移液及语音提示，支持手动调节实验步骤；</w:t>
            </w:r>
          </w:p>
          <w:p w14:paraId="251276A0">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10.1</w:t>
            </w:r>
            <w:r>
              <w:rPr>
                <w:rFonts w:hint="eastAsia" w:ascii="宋体" w:hAnsi="宋体" w:cs="宋体"/>
                <w:color w:val="auto"/>
                <w:kern w:val="2"/>
                <w:sz w:val="21"/>
                <w:szCs w:val="21"/>
                <w:highlight w:val="none"/>
                <w:lang w:val="en-US" w:eastAsia="zh-CN" w:bidi="ar"/>
                <w:woUserID w:val="9"/>
              </w:rPr>
              <w:t>4</w:t>
            </w:r>
            <w:r>
              <w:rPr>
                <w:rFonts w:hint="eastAsia" w:ascii="宋体" w:hAnsi="宋体" w:eastAsia="宋体" w:cs="宋体"/>
                <w:color w:val="auto"/>
                <w:kern w:val="2"/>
                <w:sz w:val="21"/>
                <w:szCs w:val="21"/>
                <w:highlight w:val="none"/>
                <w:lang w:val="en-US" w:eastAsia="zh-CN" w:bidi="ar"/>
                <w:woUserID w:val="9"/>
              </w:rPr>
              <w:t>数据追溯与互通：可通过蓝牙与智能移液器快速配对，自动同步移液参数与操作记录，实验结束后可立即生成报告，追溯详细的历史移液记录，包括试剂信息、移液操作等，移液方案与报告支持多终端互联互通；</w:t>
            </w:r>
          </w:p>
          <w:p w14:paraId="747A0880">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color w:val="auto"/>
                <w:lang w:val="en-US" w:eastAsia="zh-CN"/>
              </w:rPr>
              <w:t>10.15</w:t>
            </w:r>
            <w:r>
              <w:rPr>
                <w:rFonts w:hint="eastAsia" w:ascii="宋体" w:hAnsi="宋体" w:eastAsia="宋体" w:cs="宋体"/>
                <w:color w:val="auto"/>
                <w:kern w:val="2"/>
                <w:sz w:val="21"/>
                <w:szCs w:val="21"/>
                <w:highlight w:val="none"/>
                <w:lang w:val="en-US" w:eastAsia="zh-CN" w:bidi="ar"/>
                <w:woUserID w:val="9"/>
              </w:rPr>
              <w:t>提供账号管理体系，允许用户进行多设备登录、数据储存与互通。</w:t>
            </w:r>
          </w:p>
          <w:p w14:paraId="128BF5F8">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cs="宋体"/>
                <w:color w:val="auto"/>
                <w:kern w:val="2"/>
                <w:sz w:val="21"/>
                <w:szCs w:val="21"/>
                <w:highlight w:val="none"/>
                <w:lang w:val="en-US" w:eastAsia="zh-CN" w:bidi="ar"/>
                <w:woUserID w:val="9"/>
              </w:rPr>
              <w:t>二、</w:t>
            </w:r>
            <w:r>
              <w:rPr>
                <w:rFonts w:hint="eastAsia" w:ascii="宋体" w:hAnsi="宋体" w:eastAsia="宋体" w:cs="宋体"/>
                <w:color w:val="auto"/>
                <w:kern w:val="2"/>
                <w:sz w:val="21"/>
                <w:szCs w:val="21"/>
                <w:highlight w:val="none"/>
                <w:lang w:val="en-US" w:eastAsia="zh-CN" w:bidi="ar"/>
                <w:woUserID w:val="9"/>
              </w:rPr>
              <w:t>配置清单及参数：</w:t>
            </w:r>
          </w:p>
          <w:p w14:paraId="3BC7D020">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1.动力模块：三通道高精度微流体专用注射泵模块，可连续稳定驱动流体，液滴大小均一性CV值≤5%</w:t>
            </w:r>
          </w:p>
          <w:p w14:paraId="24939677">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lang w:eastAsia="zh-CN"/>
                <w:woUserID w:val="9"/>
              </w:rPr>
            </w:pPr>
            <w:r>
              <w:rPr>
                <w:rFonts w:hint="eastAsia" w:ascii="宋体" w:hAnsi="宋体" w:eastAsia="宋体" w:cs="宋体"/>
                <w:color w:val="auto"/>
                <w:kern w:val="2"/>
                <w:sz w:val="21"/>
                <w:szCs w:val="21"/>
                <w:highlight w:val="none"/>
                <w:lang w:val="en-US" w:eastAsia="zh-CN" w:bidi="ar"/>
                <w:woUserID w:val="9"/>
              </w:rPr>
              <w:t>2.OD检测模块：全波段卤素光源，450-800nm范围检测光纤光谱仪，分辨率≤3nm，线性范围0-15A</w:t>
            </w:r>
          </w:p>
          <w:p w14:paraId="2E8E768A">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3.高精度自动孔板分选模块：电控二维高精度平移台，单孔单液滴收集</w:t>
            </w:r>
          </w:p>
          <w:p w14:paraId="46F4A8B6">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woUserID w:val="9"/>
              </w:rPr>
            </w:pPr>
            <w:r>
              <w:rPr>
                <w:rFonts w:hint="eastAsia" w:ascii="宋体" w:hAnsi="宋体" w:eastAsia="宋体" w:cs="宋体"/>
                <w:color w:val="auto"/>
                <w:kern w:val="2"/>
                <w:sz w:val="21"/>
                <w:szCs w:val="21"/>
                <w:highlight w:val="none"/>
                <w:lang w:val="en-US" w:eastAsia="zh-CN" w:bidi="ar"/>
                <w:woUserID w:val="9"/>
              </w:rPr>
              <w:t>4.原位温控培养：室温+5~50℃</w:t>
            </w:r>
          </w:p>
          <w:p w14:paraId="2403E255">
            <w:pPr>
              <w:keepNext w:val="0"/>
              <w:keepLines w:val="0"/>
              <w:widowControl w:val="0"/>
              <w:suppressLineNumbers w:val="0"/>
              <w:spacing w:before="0" w:beforeAutospacing="0" w:after="0" w:afterAutospacing="0"/>
              <w:ind w:left="0" w:right="0"/>
              <w:jc w:val="both"/>
              <w:rPr>
                <w:rFonts w:hint="eastAsia" w:ascii="宋体" w:hAnsi="宋体" w:eastAsia="宋体" w:cs="宋体"/>
                <w:b/>
                <w:bCs/>
                <w:color w:val="auto"/>
                <w:szCs w:val="21"/>
                <w:highlight w:val="none"/>
              </w:rPr>
            </w:pPr>
            <w:r>
              <w:rPr>
                <w:rFonts w:hint="eastAsia" w:ascii="宋体" w:hAnsi="宋体" w:eastAsia="宋体" w:cs="宋体"/>
                <w:color w:val="auto"/>
                <w:kern w:val="2"/>
                <w:sz w:val="21"/>
                <w:szCs w:val="21"/>
                <w:highlight w:val="none"/>
                <w:lang w:val="en-US" w:eastAsia="zh-CN" w:bidi="ar"/>
                <w:woUserID w:val="9"/>
              </w:rPr>
              <w:t>5.移液系统一套：量程为0.5-10ul、5-100ul、30-300ul、50-1000ul移液器各一个。</w:t>
            </w:r>
          </w:p>
        </w:tc>
        <w:tc>
          <w:tcPr>
            <w:tcW w:w="701"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ACFDA82">
            <w:pPr>
              <w:keepNext w:val="0"/>
              <w:keepLines w:val="0"/>
              <w:suppressLineNumbers w:val="0"/>
              <w:spacing w:before="0" w:beforeAutospacing="0" w:after="0" w:afterAutospacing="0"/>
              <w:ind w:left="0" w:leftChars="0" w:right="0" w:rightChars="0"/>
              <w:jc w:val="center"/>
              <w:rPr>
                <w:rFonts w:hint="eastAsia" w:ascii="宋体" w:hAnsi="宋体" w:eastAsia="宋体" w:cs="宋体"/>
                <w:b/>
                <w:bCs/>
                <w:color w:val="auto"/>
                <w:szCs w:val="21"/>
                <w:highlight w:val="none"/>
              </w:rPr>
            </w:pPr>
            <w:r>
              <w:rPr>
                <w:rFonts w:hint="eastAsia" w:ascii="宋体" w:hAnsi="宋体" w:eastAsia="宋体" w:cs="宋体"/>
                <w:b w:val="0"/>
                <w:bCs w:val="0"/>
                <w:color w:val="auto"/>
                <w:sz w:val="21"/>
                <w:szCs w:val="21"/>
                <w:highlight w:val="none"/>
              </w:rPr>
              <w:t>台</w:t>
            </w:r>
          </w:p>
        </w:tc>
        <w:tc>
          <w:tcPr>
            <w:tcW w:w="668" w:type="dxa"/>
            <w:tcBorders>
              <w:top w:val="single" w:color="auto" w:sz="4" w:space="0"/>
              <w:left w:val="single" w:color="auto" w:sz="4" w:space="0"/>
              <w:bottom w:val="single" w:color="auto" w:sz="4" w:space="0"/>
              <w:right w:val="single" w:color="auto" w:sz="4" w:space="0"/>
            </w:tcBorders>
            <w:vAlign w:val="center"/>
          </w:tcPr>
          <w:p w14:paraId="75A865A0">
            <w:pPr>
              <w:keepNext w:val="0"/>
              <w:keepLines w:val="0"/>
              <w:suppressLineNumbers w:val="0"/>
              <w:spacing w:before="0" w:beforeAutospacing="0" w:after="0" w:afterAutospacing="0"/>
              <w:ind w:left="0" w:leftChars="0" w:right="0" w:rightChars="0"/>
              <w:jc w:val="center"/>
              <w:rPr>
                <w:rFonts w:hint="eastAsia" w:ascii="宋体" w:hAnsi="宋体" w:eastAsia="宋体" w:cs="宋体"/>
                <w:b/>
                <w:bCs/>
                <w:color w:val="auto"/>
                <w:szCs w:val="21"/>
                <w:highlight w:val="none"/>
              </w:rPr>
            </w:pPr>
            <w:r>
              <w:rPr>
                <w:rFonts w:hint="eastAsia" w:ascii="宋体" w:hAnsi="宋体" w:eastAsia="宋体" w:cs="宋体"/>
                <w:b w:val="0"/>
                <w:bCs w:val="0"/>
                <w:color w:val="auto"/>
                <w:sz w:val="21"/>
                <w:szCs w:val="21"/>
                <w:highlight w:val="none"/>
              </w:rPr>
              <w:t>1</w:t>
            </w:r>
          </w:p>
        </w:tc>
      </w:tr>
      <w:tr w14:paraId="5AD2C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414"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43C22E9">
            <w:pPr>
              <w:keepNext w:val="0"/>
              <w:keepLines w:val="0"/>
              <w:widowControl/>
              <w:numPr>
                <w:ilvl w:val="0"/>
                <w:numId w:val="0"/>
              </w:numPr>
              <w:suppressLineNumbers w:val="0"/>
              <w:spacing w:before="0" w:beforeAutospacing="0" w:after="0" w:afterAutospacing="0" w:line="570" w:lineRule="exact"/>
              <w:ind w:left="0" w:leftChars="0" w:right="0" w:rightChars="0" w:firstLine="0" w:firstLineChars="0"/>
              <w:jc w:val="center"/>
              <w:textAlignment w:val="center"/>
              <w:rPr>
                <w:rFonts w:hint="eastAsia" w:ascii="宋体" w:hAnsi="宋体" w:eastAsia="宋体" w:cs="宋体"/>
                <w:b/>
                <w:bCs/>
                <w:color w:val="auto"/>
                <w:szCs w:val="21"/>
                <w:highlight w:val="none"/>
              </w:rPr>
            </w:pPr>
            <w:r>
              <w:rPr>
                <w:rFonts w:hint="eastAsia" w:ascii="宋体" w:hAnsi="宋体" w:eastAsia="宋体" w:cs="宋体"/>
                <w:b w:val="0"/>
                <w:bCs w:val="0"/>
                <w:color w:val="auto"/>
                <w:sz w:val="21"/>
                <w:szCs w:val="21"/>
                <w:highlight w:val="none"/>
                <w:lang w:val="en-US" w:eastAsia="zh-CN"/>
              </w:rPr>
              <w:t>17</w:t>
            </w:r>
          </w:p>
        </w:tc>
        <w:tc>
          <w:tcPr>
            <w:tcW w:w="883"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E1FD8A0">
            <w:pPr>
              <w:keepNext w:val="0"/>
              <w:keepLines w:val="0"/>
              <w:suppressLineNumbers w:val="0"/>
              <w:snapToGrid w:val="0"/>
              <w:spacing w:before="0" w:beforeAutospacing="0" w:after="0" w:afterAutospacing="0"/>
              <w:ind w:left="0" w:leftChars="0" w:right="0" w:rightChars="0"/>
              <w:jc w:val="center"/>
              <w:rPr>
                <w:rFonts w:hint="eastAsia" w:ascii="宋体" w:hAnsi="宋体" w:eastAsia="宋体" w:cs="宋体"/>
                <w:b/>
                <w:bCs/>
                <w:color w:val="auto"/>
                <w:szCs w:val="21"/>
                <w:highlight w:val="none"/>
              </w:rPr>
            </w:pPr>
            <w:r>
              <w:rPr>
                <w:rFonts w:hint="eastAsia" w:ascii="宋体" w:hAnsi="宋体" w:eastAsia="宋体" w:cs="宋体"/>
                <w:b w:val="0"/>
                <w:bCs w:val="0"/>
                <w:color w:val="auto"/>
                <w:sz w:val="21"/>
                <w:szCs w:val="21"/>
                <w:highlight w:val="none"/>
              </w:rPr>
              <w:t>拟南芥培养箱</w:t>
            </w:r>
          </w:p>
        </w:tc>
        <w:tc>
          <w:tcPr>
            <w:tcW w:w="6760"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A4A1607">
            <w:pPr>
              <w:keepNext w:val="0"/>
              <w:keepLines w:val="0"/>
              <w:numPr>
                <w:ilvl w:val="0"/>
                <w:numId w:val="4"/>
              </w:numPr>
              <w:suppressLineNumbers w:val="0"/>
              <w:spacing w:before="0" w:beforeAutospacing="0" w:after="0" w:afterAutospacing="0" w:line="380" w:lineRule="exact"/>
              <w:ind w:left="0" w:right="0"/>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
              </w:rPr>
              <w:t>控温系统热气旁路技术，实现温湿度稳定控制，应用曲轴箱压力调节系统，热气比例阀与高低压电子传感器</w:t>
            </w:r>
          </w:p>
          <w:p w14:paraId="73C80CDC">
            <w:pPr>
              <w:keepNext w:val="0"/>
              <w:keepLines w:val="0"/>
              <w:widowControl w:val="0"/>
              <w:suppressLineNumbers w:val="0"/>
              <w:spacing w:before="0" w:beforeAutospacing="0" w:after="0" w:afterAutospacing="0" w:line="38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2．微电脑全自动液晶屏显示;可编程控制方式，每组（白天、黑夜）均可单独设置温度、光照度、运行时间等参数而自动循环运行。</w:t>
            </w:r>
          </w:p>
          <w:p w14:paraId="20E22796">
            <w:pPr>
              <w:keepNext w:val="0"/>
              <w:keepLines w:val="0"/>
              <w:widowControl w:val="0"/>
              <w:suppressLineNumbers w:val="0"/>
              <w:spacing w:before="0" w:beforeAutospacing="0" w:after="0" w:afterAutospacing="0" w:line="38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3．智能化低温制冷调节方式,</w:t>
            </w:r>
            <w:r>
              <w:rPr>
                <w:rFonts w:hint="eastAsia" w:ascii="宋体" w:hAnsi="宋体" w:cs="宋体"/>
                <w:color w:val="auto"/>
                <w:kern w:val="2"/>
                <w:sz w:val="21"/>
                <w:szCs w:val="21"/>
                <w:highlight w:val="none"/>
                <w:lang w:val="en-US" w:eastAsia="zh-CN" w:bidi="ar"/>
              </w:rPr>
              <w:t>可</w:t>
            </w:r>
            <w:r>
              <w:rPr>
                <w:rFonts w:hint="eastAsia" w:ascii="宋体" w:hAnsi="宋体" w:eastAsia="宋体" w:cs="宋体"/>
                <w:color w:val="auto"/>
                <w:kern w:val="2"/>
                <w:sz w:val="21"/>
                <w:szCs w:val="21"/>
                <w:highlight w:val="none"/>
                <w:lang w:val="en-US" w:eastAsia="zh-CN" w:bidi="ar"/>
              </w:rPr>
              <w:t>自动识别环境气候变化，调节制冷上下差值，兼顾控温精确性和用电节能性。</w:t>
            </w:r>
          </w:p>
          <w:p w14:paraId="2642FACF">
            <w:pPr>
              <w:keepNext w:val="0"/>
              <w:keepLines w:val="0"/>
              <w:widowControl w:val="0"/>
              <w:suppressLineNumbers w:val="0"/>
              <w:spacing w:before="0" w:beforeAutospacing="0" w:after="0" w:afterAutospacing="0" w:line="38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4．风道式通风，采用4公分聚氨酯发泡实心门。</w:t>
            </w:r>
          </w:p>
          <w:p w14:paraId="4E5CA7DE">
            <w:pPr>
              <w:keepNext w:val="0"/>
              <w:keepLines w:val="0"/>
              <w:widowControl w:val="0"/>
              <w:suppressLineNumbers w:val="0"/>
              <w:spacing w:before="0" w:beforeAutospacing="0" w:after="0" w:afterAutospacing="0" w:line="38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5．具有掉电记忆、掉电时间自动补偿功能;恒温控制系统，</w:t>
            </w:r>
            <w:r>
              <w:rPr>
                <w:rFonts w:hint="eastAsia" w:ascii="宋体" w:hAnsi="宋体" w:eastAsia="宋体" w:cs="宋体"/>
                <w:color w:val="auto"/>
                <w:szCs w:val="21"/>
                <w:highlight w:val="none"/>
                <w:lang w:val="en-US" w:eastAsia="zh-CN"/>
              </w:rPr>
              <w:t>304</w:t>
            </w:r>
            <w:r>
              <w:rPr>
                <w:rFonts w:hint="eastAsia" w:ascii="宋体" w:hAnsi="宋体" w:eastAsia="宋体" w:cs="宋体"/>
                <w:color w:val="auto"/>
                <w:kern w:val="2"/>
                <w:sz w:val="21"/>
                <w:szCs w:val="21"/>
                <w:highlight w:val="none"/>
                <w:lang w:val="en-US" w:eastAsia="zh-CN" w:bidi="ar"/>
              </w:rPr>
              <w:t>不锈钢内胆。</w:t>
            </w:r>
          </w:p>
          <w:p w14:paraId="4A0D468E">
            <w:pPr>
              <w:keepNext w:val="0"/>
              <w:keepLines w:val="0"/>
              <w:widowControl w:val="0"/>
              <w:suppressLineNumbers w:val="0"/>
              <w:spacing w:before="0" w:beforeAutospacing="0" w:after="0" w:afterAutospacing="0" w:line="38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6.控温范围：15-35℃，精度:0.1℃波动度:±0.5~1℃</w:t>
            </w:r>
          </w:p>
          <w:p w14:paraId="6955EF00">
            <w:pPr>
              <w:keepNext w:val="0"/>
              <w:keepLines w:val="0"/>
              <w:widowControl w:val="0"/>
              <w:suppressLineNumbers w:val="0"/>
              <w:spacing w:before="0" w:beforeAutospacing="0" w:after="0" w:afterAutospacing="0" w:line="380" w:lineRule="exact"/>
              <w:ind w:left="0" w:right="0"/>
              <w:jc w:val="both"/>
              <w:rPr>
                <w:rFonts w:hint="eastAsia" w:ascii="宋体" w:hAnsi="宋体" w:eastAsia="宋体" w:cs="宋体"/>
                <w:color w:val="auto"/>
                <w:kern w:val="2"/>
                <w:sz w:val="21"/>
                <w:szCs w:val="21"/>
                <w:highlight w:val="none"/>
              </w:rPr>
            </w:pPr>
            <w:r>
              <w:rPr>
                <w:rFonts w:hint="eastAsia" w:ascii="宋体" w:hAnsi="宋体" w:cs="宋体"/>
                <w:szCs w:val="21"/>
                <w:lang w:bidi="ar"/>
              </w:rPr>
              <w:t>■</w:t>
            </w:r>
            <w:r>
              <w:rPr>
                <w:rFonts w:hint="eastAsia" w:ascii="宋体" w:hAnsi="宋体" w:eastAsia="宋体" w:cs="宋体"/>
                <w:color w:val="auto"/>
                <w:kern w:val="2"/>
                <w:sz w:val="21"/>
                <w:szCs w:val="21"/>
                <w:highlight w:val="none"/>
                <w:lang w:val="en-US" w:eastAsia="zh-CN" w:bidi="ar"/>
              </w:rPr>
              <w:t>7.最大光照度：</w:t>
            </w:r>
          </w:p>
          <w:p w14:paraId="7399CCC8">
            <w:pPr>
              <w:keepNext w:val="0"/>
              <w:keepLines w:val="0"/>
              <w:suppressLineNumbers w:val="0"/>
              <w:spacing w:before="0" w:beforeAutospacing="0" w:after="0" w:afterAutospacing="0" w:line="380" w:lineRule="exact"/>
              <w:ind w:left="0" w:right="0"/>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
              </w:rPr>
              <w:t>0-320 μmol.m</w:t>
            </w:r>
            <w:r>
              <w:rPr>
                <w:rFonts w:hint="eastAsia" w:ascii="宋体" w:hAnsi="宋体" w:eastAsia="宋体" w:cs="宋体"/>
                <w:color w:val="auto"/>
                <w:kern w:val="2"/>
                <w:sz w:val="21"/>
                <w:szCs w:val="21"/>
                <w:highlight w:val="none"/>
                <w:vertAlign w:val="superscript"/>
                <w:lang w:val="en-US" w:eastAsia="zh-CN" w:bidi="ar"/>
              </w:rPr>
              <w:t>-2</w:t>
            </w:r>
            <w:r>
              <w:rPr>
                <w:rFonts w:hint="eastAsia" w:ascii="宋体" w:hAnsi="宋体" w:eastAsia="宋体" w:cs="宋体"/>
                <w:color w:val="auto"/>
                <w:kern w:val="2"/>
                <w:sz w:val="21"/>
                <w:szCs w:val="21"/>
                <w:highlight w:val="none"/>
                <w:lang w:val="en-US" w:eastAsia="zh-CN" w:bidi="ar"/>
              </w:rPr>
              <w:t>.s</w:t>
            </w:r>
            <w:r>
              <w:rPr>
                <w:rFonts w:hint="eastAsia" w:ascii="宋体" w:hAnsi="宋体" w:eastAsia="宋体" w:cs="宋体"/>
                <w:color w:val="auto"/>
                <w:kern w:val="2"/>
                <w:sz w:val="21"/>
                <w:szCs w:val="21"/>
                <w:highlight w:val="none"/>
                <w:vertAlign w:val="superscript"/>
                <w:lang w:val="en-US" w:eastAsia="zh-CN" w:bidi="ar"/>
              </w:rPr>
              <w:t>-1</w:t>
            </w:r>
            <w:r>
              <w:rPr>
                <w:rFonts w:hint="eastAsia" w:ascii="宋体" w:hAnsi="宋体" w:eastAsia="宋体" w:cs="宋体"/>
                <w:color w:val="auto"/>
                <w:kern w:val="2"/>
                <w:sz w:val="21"/>
                <w:szCs w:val="21"/>
                <w:highlight w:val="none"/>
                <w:lang w:val="en-US" w:eastAsia="zh-CN" w:bidi="ar"/>
              </w:rPr>
              <w:t>(24000Lux)</w:t>
            </w:r>
          </w:p>
          <w:p w14:paraId="4F200FA3">
            <w:pPr>
              <w:keepNext w:val="0"/>
              <w:keepLines w:val="0"/>
              <w:widowControl w:val="0"/>
              <w:suppressLineNumbers w:val="0"/>
              <w:spacing w:before="0" w:beforeAutospacing="0" w:after="0" w:afterAutospacing="0" w:line="38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8.控湿范围:50%~95%RH精度：1%RH</w:t>
            </w:r>
          </w:p>
          <w:p w14:paraId="2CE1A34F">
            <w:pPr>
              <w:keepNext w:val="0"/>
              <w:keepLines w:val="0"/>
              <w:widowControl w:val="0"/>
              <w:suppressLineNumbers w:val="0"/>
              <w:spacing w:before="0" w:beforeAutospacing="0" w:after="0" w:afterAutospacing="0" w:line="380" w:lineRule="exact"/>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波动度：:+4%~7%RH</w:t>
            </w:r>
          </w:p>
          <w:p w14:paraId="32546C32">
            <w:pPr>
              <w:keepNext w:val="0"/>
              <w:keepLines w:val="0"/>
              <w:widowControl w:val="0"/>
              <w:suppressLineNumbers w:val="0"/>
              <w:spacing w:before="0" w:beforeAutospacing="0" w:after="0" w:afterAutospacing="0" w:line="380" w:lineRule="exact"/>
              <w:ind w:left="0" w:right="0"/>
              <w:jc w:val="both"/>
              <w:rPr>
                <w:rFonts w:hint="eastAsia" w:ascii="宋体" w:hAnsi="宋体" w:eastAsia="宋体" w:cs="宋体"/>
                <w:color w:val="auto"/>
                <w:szCs w:val="21"/>
                <w:highlight w:val="none"/>
                <w:lang w:bidi="ar"/>
              </w:rPr>
            </w:pPr>
            <w:r>
              <w:rPr>
                <w:rFonts w:hint="eastAsia" w:ascii="宋体" w:hAnsi="宋体" w:cs="宋体"/>
                <w:szCs w:val="21"/>
                <w:lang w:bidi="ar"/>
              </w:rPr>
              <w:t>■</w:t>
            </w:r>
            <w:r>
              <w:rPr>
                <w:rFonts w:hint="eastAsia" w:ascii="宋体" w:hAnsi="宋体" w:eastAsia="宋体" w:cs="宋体"/>
                <w:color w:val="auto"/>
                <w:szCs w:val="21"/>
                <w:highlight w:val="none"/>
                <w:lang w:val="en-US" w:eastAsia="zh-CN" w:bidi="ar"/>
              </w:rPr>
              <w:t>9.</w:t>
            </w:r>
            <w:r>
              <w:rPr>
                <w:rFonts w:hint="eastAsia" w:ascii="宋体" w:hAnsi="宋体" w:eastAsia="宋体" w:cs="宋体"/>
                <w:color w:val="auto"/>
                <w:szCs w:val="21"/>
                <w:highlight w:val="none"/>
                <w:lang w:bidi="ar"/>
              </w:rPr>
              <w:t>容积</w:t>
            </w: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bidi="ar"/>
              </w:rPr>
              <w:t>≥808升</w:t>
            </w:r>
          </w:p>
          <w:p w14:paraId="10D5C254">
            <w:pPr>
              <w:keepNext w:val="0"/>
              <w:keepLines w:val="0"/>
              <w:widowControl w:val="0"/>
              <w:suppressLineNumbers w:val="0"/>
              <w:spacing w:before="0" w:beforeAutospacing="0" w:after="0" w:afterAutospacing="0" w:line="380" w:lineRule="exact"/>
              <w:ind w:left="0" w:right="0"/>
              <w:jc w:val="both"/>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val="en-US" w:eastAsia="zh-CN" w:bidi="ar"/>
              </w:rPr>
              <w:t>10.</w:t>
            </w:r>
            <w:r>
              <w:rPr>
                <w:rFonts w:hint="eastAsia" w:ascii="宋体" w:hAnsi="宋体" w:eastAsia="宋体" w:cs="宋体"/>
                <w:color w:val="auto"/>
                <w:szCs w:val="21"/>
                <w:highlight w:val="none"/>
                <w:lang w:bidi="ar"/>
              </w:rPr>
              <w:t>光照层数：≥2层</w:t>
            </w:r>
          </w:p>
          <w:p w14:paraId="6A3EC6C2">
            <w:pPr>
              <w:keepNext w:val="0"/>
              <w:keepLines w:val="0"/>
              <w:widowControl w:val="0"/>
              <w:suppressLineNumbers w:val="0"/>
              <w:spacing w:before="0" w:beforeAutospacing="0" w:after="0" w:afterAutospacing="0" w:line="380" w:lineRule="exact"/>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Cs w:val="21"/>
                <w:highlight w:val="none"/>
                <w:lang w:val="en-US" w:eastAsia="zh-CN" w:bidi="ar"/>
              </w:rPr>
              <w:t>11.</w:t>
            </w:r>
            <w:r>
              <w:rPr>
                <w:rFonts w:hint="eastAsia" w:ascii="宋体" w:hAnsi="宋体" w:eastAsia="宋体" w:cs="宋体"/>
                <w:color w:val="auto"/>
                <w:szCs w:val="21"/>
                <w:highlight w:val="none"/>
                <w:lang w:bidi="ar"/>
              </w:rPr>
              <w:t>光照可调级数≥：100级可调</w:t>
            </w:r>
          </w:p>
          <w:p w14:paraId="64F0A8C1">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b/>
                <w:bCs/>
                <w:color w:val="auto"/>
                <w:szCs w:val="21"/>
                <w:highlight w:val="none"/>
              </w:rPr>
            </w:pPr>
            <w:r>
              <w:rPr>
                <w:rFonts w:hint="eastAsia" w:ascii="宋体" w:hAnsi="宋体" w:eastAsia="宋体" w:cs="宋体"/>
                <w:color w:val="auto"/>
                <w:kern w:val="2"/>
                <w:sz w:val="21"/>
                <w:szCs w:val="21"/>
                <w:highlight w:val="none"/>
                <w:lang w:val="en-US" w:eastAsia="zh-CN" w:bidi="ar"/>
              </w:rPr>
              <w:t>12.拟南芥最佳组合光源*预留自动化霜功能接口</w:t>
            </w:r>
            <w:r>
              <w:rPr>
                <w:rFonts w:hint="eastAsia" w:ascii="宋体" w:hAnsi="宋体" w:eastAsia="宋体" w:cs="宋体"/>
                <w:color w:val="auto"/>
                <w:szCs w:val="21"/>
                <w:highlight w:val="none"/>
                <w:lang w:eastAsia="zh-CN"/>
              </w:rPr>
              <w:t>，</w:t>
            </w:r>
            <w:r>
              <w:rPr>
                <w:rFonts w:hint="eastAsia" w:ascii="宋体" w:hAnsi="宋体" w:eastAsia="宋体" w:cs="宋体"/>
                <w:color w:val="auto"/>
                <w:kern w:val="2"/>
                <w:sz w:val="21"/>
                <w:szCs w:val="21"/>
                <w:highlight w:val="none"/>
                <w:lang w:val="en-US" w:eastAsia="zh-CN" w:bidi="ar"/>
              </w:rPr>
              <w:t xml:space="preserve">预留CO,功能接口。 </w:t>
            </w:r>
          </w:p>
        </w:tc>
        <w:tc>
          <w:tcPr>
            <w:tcW w:w="701"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4446F80">
            <w:pPr>
              <w:keepNext w:val="0"/>
              <w:keepLines w:val="0"/>
              <w:suppressLineNumbers w:val="0"/>
              <w:spacing w:before="0" w:beforeAutospacing="0" w:after="0" w:afterAutospacing="0" w:line="380" w:lineRule="exact"/>
              <w:ind w:left="0" w:leftChars="0" w:right="0" w:rightChars="0"/>
              <w:jc w:val="center"/>
              <w:rPr>
                <w:rFonts w:hint="eastAsia" w:ascii="宋体" w:hAnsi="宋体" w:eastAsia="宋体" w:cs="宋体"/>
                <w:b/>
                <w:bCs/>
                <w:color w:val="auto"/>
                <w:szCs w:val="21"/>
                <w:highlight w:val="none"/>
              </w:rPr>
            </w:pPr>
            <w:r>
              <w:rPr>
                <w:rFonts w:hint="eastAsia" w:ascii="宋体" w:hAnsi="宋体" w:eastAsia="宋体" w:cs="宋体"/>
                <w:b w:val="0"/>
                <w:bCs w:val="0"/>
                <w:color w:val="auto"/>
                <w:sz w:val="21"/>
                <w:szCs w:val="21"/>
                <w:highlight w:val="none"/>
              </w:rPr>
              <w:t>台</w:t>
            </w:r>
          </w:p>
        </w:tc>
        <w:tc>
          <w:tcPr>
            <w:tcW w:w="668" w:type="dxa"/>
            <w:tcBorders>
              <w:top w:val="single" w:color="auto" w:sz="4" w:space="0"/>
              <w:left w:val="single" w:color="auto" w:sz="4" w:space="0"/>
              <w:bottom w:val="single" w:color="auto" w:sz="4" w:space="0"/>
              <w:right w:val="single" w:color="auto" w:sz="4" w:space="0"/>
            </w:tcBorders>
            <w:vAlign w:val="center"/>
          </w:tcPr>
          <w:p w14:paraId="4C25C694">
            <w:pPr>
              <w:keepNext w:val="0"/>
              <w:keepLines w:val="0"/>
              <w:suppressLineNumbers w:val="0"/>
              <w:spacing w:before="0" w:beforeAutospacing="0" w:after="0" w:afterAutospacing="0" w:line="380" w:lineRule="exact"/>
              <w:ind w:left="0" w:leftChars="0" w:right="0" w:rightChars="0"/>
              <w:jc w:val="center"/>
              <w:rPr>
                <w:rFonts w:hint="eastAsia" w:ascii="宋体" w:hAnsi="宋体" w:eastAsia="宋体" w:cs="宋体"/>
                <w:b/>
                <w:bCs/>
                <w:color w:val="auto"/>
                <w:szCs w:val="21"/>
                <w:highlight w:val="none"/>
              </w:rPr>
            </w:pPr>
            <w:r>
              <w:rPr>
                <w:rFonts w:hint="eastAsia" w:ascii="宋体" w:hAnsi="宋体" w:eastAsia="宋体" w:cs="宋体"/>
                <w:b w:val="0"/>
                <w:bCs w:val="0"/>
                <w:color w:val="auto"/>
                <w:sz w:val="21"/>
                <w:szCs w:val="21"/>
                <w:highlight w:val="none"/>
              </w:rPr>
              <w:t>1</w:t>
            </w:r>
          </w:p>
        </w:tc>
      </w:tr>
      <w:tr w14:paraId="1C8C0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414"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DCD78DD">
            <w:pPr>
              <w:pStyle w:val="148"/>
              <w:keepNext w:val="0"/>
              <w:keepLines w:val="0"/>
              <w:widowControl/>
              <w:numPr>
                <w:ilvl w:val="0"/>
                <w:numId w:val="0"/>
              </w:numPr>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Cs w:val="21"/>
                <w:highlight w:val="none"/>
                <w:lang w:val="en-US" w:eastAsia="zh-CN"/>
              </w:rPr>
              <w:t>18</w:t>
            </w:r>
          </w:p>
        </w:tc>
        <w:tc>
          <w:tcPr>
            <w:tcW w:w="883"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E1A8CFF">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0"/>
                <w:szCs w:val="20"/>
                <w:highlight w:val="none"/>
                <w:lang w:val="en-US" w:eastAsia="zh-CN"/>
              </w:rPr>
              <w:t>小型</w:t>
            </w:r>
            <w:r>
              <w:rPr>
                <w:rFonts w:hint="eastAsia" w:ascii="宋体" w:hAnsi="宋体" w:eastAsia="宋体" w:cs="宋体"/>
                <w:b w:val="0"/>
                <w:bCs w:val="0"/>
                <w:color w:val="auto"/>
                <w:sz w:val="20"/>
                <w:szCs w:val="20"/>
                <w:highlight w:val="none"/>
              </w:rPr>
              <w:t>离心机</w:t>
            </w:r>
          </w:p>
        </w:tc>
        <w:tc>
          <w:tcPr>
            <w:tcW w:w="6760"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B98D514">
            <w:pPr>
              <w:keepNext w:val="0"/>
              <w:keepLines w:val="0"/>
              <w:widowControl w:val="0"/>
              <w:numPr>
                <w:ilvl w:val="-1"/>
                <w:numId w:val="0"/>
              </w:numPr>
              <w:suppressLineNumbers w:val="0"/>
              <w:spacing w:before="0" w:beforeAutospacing="0" w:after="0" w:afterAutospacing="0"/>
              <w:ind w:left="0" w:right="0"/>
              <w:jc w:val="left"/>
              <w:rPr>
                <w:rFonts w:hint="eastAsia" w:ascii="宋体" w:hAnsi="宋体" w:eastAsia="宋体" w:cs="宋体"/>
                <w:color w:val="auto"/>
                <w:kern w:val="2"/>
                <w:sz w:val="21"/>
                <w:szCs w:val="21"/>
                <w:highlight w:val="none"/>
                <w:lang w:val="en-US" w:eastAsia="zh-CN" w:bidi="ar"/>
                <w:woUserID w:val="4"/>
              </w:rPr>
            </w:pPr>
            <w:r>
              <w:rPr>
                <w:rFonts w:hint="eastAsia" w:ascii="宋体" w:hAnsi="宋体" w:eastAsia="宋体" w:cs="宋体"/>
                <w:color w:val="auto"/>
                <w:kern w:val="2"/>
                <w:sz w:val="21"/>
                <w:szCs w:val="21"/>
                <w:highlight w:val="none"/>
                <w:lang w:val="en-US" w:eastAsia="zh-CN" w:bidi="ar"/>
                <w:woUserID w:val="4"/>
              </w:rPr>
              <w:t>一、性能特点：</w:t>
            </w:r>
          </w:p>
          <w:p w14:paraId="3356A519">
            <w:pPr>
              <w:keepNext w:val="0"/>
              <w:keepLines w:val="0"/>
              <w:widowControl w:val="0"/>
              <w:numPr>
                <w:ilvl w:val="-1"/>
                <w:numId w:val="0"/>
              </w:numPr>
              <w:suppressLineNumbers w:val="0"/>
              <w:spacing w:before="0" w:beforeAutospacing="0" w:after="0" w:afterAutospacing="0"/>
              <w:ind w:left="0" w:right="0"/>
              <w:jc w:val="left"/>
              <w:rPr>
                <w:rFonts w:hint="eastAsia" w:ascii="宋体" w:hAnsi="宋体" w:eastAsia="宋体" w:cs="宋体"/>
                <w:color w:val="auto"/>
                <w:kern w:val="2"/>
                <w:sz w:val="21"/>
                <w:szCs w:val="21"/>
                <w:highlight w:val="none"/>
                <w:lang w:val="en-US" w:eastAsia="zh-CN" w:bidi="ar"/>
                <w:woUserID w:val="4"/>
              </w:rPr>
            </w:pPr>
            <w:r>
              <w:rPr>
                <w:rFonts w:hint="eastAsia" w:ascii="宋体" w:hAnsi="宋体" w:eastAsia="宋体" w:cs="宋体"/>
                <w:color w:val="auto"/>
                <w:kern w:val="2"/>
                <w:sz w:val="21"/>
                <w:szCs w:val="21"/>
                <w:highlight w:val="none"/>
                <w:lang w:val="en-US" w:eastAsia="zh-CN" w:bidi="ar"/>
                <w:woUserID w:val="4"/>
              </w:rPr>
              <w:t>1、微机控制旋钮和触摸面板，LCD数码显示，交流变频无刷电机，免维护，无碳粉污染；</w:t>
            </w:r>
          </w:p>
          <w:p w14:paraId="218B8F42">
            <w:pPr>
              <w:keepNext w:val="0"/>
              <w:keepLines w:val="0"/>
              <w:widowControl w:val="0"/>
              <w:numPr>
                <w:ilvl w:val="-1"/>
                <w:numId w:val="0"/>
              </w:numPr>
              <w:suppressLineNumbers w:val="0"/>
              <w:spacing w:before="0" w:beforeAutospacing="0" w:after="0" w:afterAutospacing="0"/>
              <w:ind w:left="0" w:right="0"/>
              <w:jc w:val="left"/>
              <w:rPr>
                <w:rFonts w:hint="eastAsia" w:ascii="宋体" w:hAnsi="宋体" w:eastAsia="宋体" w:cs="宋体"/>
                <w:color w:val="auto"/>
                <w:kern w:val="2"/>
                <w:sz w:val="21"/>
                <w:szCs w:val="21"/>
                <w:highlight w:val="none"/>
                <w:lang w:val="en-US" w:eastAsia="zh-CN" w:bidi="ar"/>
                <w:woUserID w:val="4"/>
              </w:rPr>
            </w:pPr>
            <w:r>
              <w:rPr>
                <w:rFonts w:hint="eastAsia" w:ascii="宋体" w:hAnsi="宋体" w:eastAsia="宋体" w:cs="宋体"/>
                <w:color w:val="auto"/>
                <w:kern w:val="2"/>
                <w:sz w:val="21"/>
                <w:szCs w:val="21"/>
                <w:highlight w:val="none"/>
                <w:lang w:val="en-US" w:eastAsia="zh-CN" w:bidi="ar"/>
                <w:woUserID w:val="4"/>
              </w:rPr>
              <w:t>2、转子自动识别，并进行限速控制；</w:t>
            </w:r>
          </w:p>
          <w:p w14:paraId="5A021EE7">
            <w:pPr>
              <w:keepNext w:val="0"/>
              <w:keepLines w:val="0"/>
              <w:widowControl w:val="0"/>
              <w:numPr>
                <w:ilvl w:val="-1"/>
                <w:numId w:val="0"/>
              </w:numPr>
              <w:suppressLineNumbers w:val="0"/>
              <w:spacing w:before="0" w:beforeAutospacing="0" w:after="0" w:afterAutospacing="0"/>
              <w:ind w:left="0" w:right="0"/>
              <w:jc w:val="left"/>
              <w:rPr>
                <w:rFonts w:hint="eastAsia" w:ascii="宋体" w:hAnsi="宋体" w:eastAsia="宋体" w:cs="宋体"/>
                <w:color w:val="auto"/>
                <w:kern w:val="2"/>
                <w:sz w:val="21"/>
                <w:szCs w:val="21"/>
                <w:highlight w:val="none"/>
                <w:lang w:val="en-US" w:eastAsia="zh-CN" w:bidi="ar"/>
                <w:woUserID w:val="4"/>
              </w:rPr>
            </w:pPr>
            <w:r>
              <w:rPr>
                <w:rFonts w:hint="eastAsia" w:ascii="宋体" w:hAnsi="宋体" w:eastAsia="宋体" w:cs="宋体"/>
                <w:color w:val="auto"/>
                <w:kern w:val="2"/>
                <w:sz w:val="21"/>
                <w:szCs w:val="21"/>
                <w:highlight w:val="none"/>
                <w:lang w:val="en-US" w:eastAsia="zh-CN" w:bidi="ar"/>
                <w:woUserID w:val="4"/>
              </w:rPr>
              <w:t>3、门锁开关状态显示及纠错功能，超速显示及停机功能；</w:t>
            </w:r>
          </w:p>
          <w:p w14:paraId="7EC050E9">
            <w:pPr>
              <w:keepNext w:val="0"/>
              <w:keepLines w:val="0"/>
              <w:widowControl w:val="0"/>
              <w:numPr>
                <w:ilvl w:val="-1"/>
                <w:numId w:val="0"/>
              </w:numPr>
              <w:suppressLineNumbers w:val="0"/>
              <w:spacing w:before="0" w:beforeAutospacing="0" w:after="0" w:afterAutospacing="0"/>
              <w:ind w:left="0" w:right="0"/>
              <w:jc w:val="left"/>
              <w:rPr>
                <w:rFonts w:hint="eastAsia" w:ascii="宋体" w:hAnsi="宋体" w:eastAsia="宋体" w:cs="宋体"/>
                <w:color w:val="auto"/>
                <w:kern w:val="2"/>
                <w:sz w:val="21"/>
                <w:szCs w:val="21"/>
                <w:highlight w:val="none"/>
                <w:lang w:val="en-US" w:eastAsia="zh-CN" w:bidi="ar"/>
                <w:woUserID w:val="4"/>
              </w:rPr>
            </w:pPr>
            <w:r>
              <w:rPr>
                <w:rFonts w:hint="eastAsia" w:ascii="宋体" w:hAnsi="宋体" w:eastAsia="宋体" w:cs="宋体"/>
                <w:color w:val="auto"/>
                <w:kern w:val="2"/>
                <w:sz w:val="21"/>
                <w:szCs w:val="21"/>
                <w:highlight w:val="none"/>
                <w:lang w:val="en-US" w:eastAsia="zh-CN" w:bidi="ar"/>
                <w:woUserID w:val="4"/>
              </w:rPr>
              <w:t>4、具有快速升速，快速降速功能，最快升速时间为20秒，最快降速时间为20秒，可以选择10组升降速曲线；</w:t>
            </w:r>
          </w:p>
          <w:p w14:paraId="666631DD">
            <w:pPr>
              <w:keepNext w:val="0"/>
              <w:keepLines w:val="0"/>
              <w:widowControl w:val="0"/>
              <w:numPr>
                <w:ilvl w:val="-1"/>
                <w:numId w:val="0"/>
              </w:numPr>
              <w:suppressLineNumbers w:val="0"/>
              <w:spacing w:before="0" w:beforeAutospacing="0" w:after="0" w:afterAutospacing="0"/>
              <w:ind w:left="0" w:right="0"/>
              <w:jc w:val="left"/>
              <w:rPr>
                <w:rFonts w:hint="eastAsia" w:ascii="宋体" w:hAnsi="宋体" w:eastAsia="宋体" w:cs="宋体"/>
                <w:color w:val="auto"/>
                <w:kern w:val="2"/>
                <w:sz w:val="21"/>
                <w:szCs w:val="21"/>
                <w:highlight w:val="none"/>
                <w:lang w:val="en-US" w:eastAsia="zh-CN" w:bidi="ar"/>
                <w:woUserID w:val="4"/>
              </w:rPr>
            </w:pPr>
            <w:r>
              <w:rPr>
                <w:rFonts w:hint="eastAsia" w:ascii="宋体" w:hAnsi="宋体" w:eastAsia="宋体" w:cs="宋体"/>
                <w:color w:val="auto"/>
                <w:kern w:val="2"/>
                <w:sz w:val="21"/>
                <w:szCs w:val="21"/>
                <w:highlight w:val="none"/>
                <w:lang w:val="en-US" w:eastAsia="zh-CN" w:bidi="ar"/>
                <w:woUserID w:val="4"/>
              </w:rPr>
              <w:t>5、可以适配5种不同转子；</w:t>
            </w:r>
          </w:p>
          <w:p w14:paraId="1FAA157A">
            <w:pPr>
              <w:keepNext w:val="0"/>
              <w:keepLines w:val="0"/>
              <w:widowControl w:val="0"/>
              <w:numPr>
                <w:ilvl w:val="-1"/>
                <w:numId w:val="0"/>
              </w:numPr>
              <w:suppressLineNumbers w:val="0"/>
              <w:spacing w:before="0" w:beforeAutospacing="0" w:after="0" w:afterAutospacing="0"/>
              <w:ind w:left="0" w:right="0"/>
              <w:jc w:val="left"/>
              <w:rPr>
                <w:rFonts w:hint="eastAsia" w:ascii="宋体" w:hAnsi="宋体" w:eastAsia="宋体" w:cs="宋体"/>
                <w:color w:val="auto"/>
                <w:kern w:val="2"/>
                <w:sz w:val="21"/>
                <w:szCs w:val="21"/>
                <w:highlight w:val="none"/>
                <w:lang w:val="en-US" w:eastAsia="zh-CN" w:bidi="ar"/>
                <w:woUserID w:val="4"/>
              </w:rPr>
            </w:pPr>
            <w:r>
              <w:rPr>
                <w:rFonts w:hint="eastAsia" w:ascii="宋体" w:hAnsi="宋体" w:eastAsia="宋体" w:cs="宋体"/>
                <w:color w:val="auto"/>
                <w:kern w:val="2"/>
                <w:sz w:val="21"/>
                <w:szCs w:val="21"/>
                <w:highlight w:val="none"/>
                <w:lang w:val="en-US" w:eastAsia="zh-CN" w:bidi="ar"/>
                <w:woUserID w:val="4"/>
              </w:rPr>
              <w:t>6、转子的盖子</w:t>
            </w:r>
            <w:r>
              <w:rPr>
                <w:rFonts w:hint="eastAsia" w:ascii="宋体" w:hAnsi="宋体" w:cs="宋体"/>
                <w:color w:val="auto"/>
                <w:kern w:val="2"/>
                <w:sz w:val="21"/>
                <w:szCs w:val="21"/>
                <w:highlight w:val="none"/>
                <w:lang w:val="en-US" w:eastAsia="zh-CN" w:bidi="ar"/>
                <w:woUserID w:val="4"/>
              </w:rPr>
              <w:t>具有</w:t>
            </w:r>
            <w:r>
              <w:rPr>
                <w:rFonts w:hint="eastAsia" w:ascii="宋体" w:hAnsi="宋体" w:eastAsia="宋体" w:cs="宋体"/>
                <w:color w:val="auto"/>
                <w:kern w:val="2"/>
                <w:sz w:val="21"/>
                <w:szCs w:val="21"/>
                <w:highlight w:val="none"/>
                <w:lang w:val="en-US" w:eastAsia="zh-CN" w:bidi="ar"/>
                <w:woUserID w:val="4"/>
              </w:rPr>
              <w:t>快速锁紧技术，旋转1/4圆周，可快速、轻松的开盖和锁紧；</w:t>
            </w:r>
          </w:p>
          <w:p w14:paraId="06B4BC5E">
            <w:pPr>
              <w:keepNext w:val="0"/>
              <w:keepLines w:val="0"/>
              <w:widowControl w:val="0"/>
              <w:numPr>
                <w:ilvl w:val="-1"/>
                <w:numId w:val="0"/>
              </w:numPr>
              <w:suppressLineNumbers w:val="0"/>
              <w:spacing w:before="0" w:beforeAutospacing="0" w:after="0" w:afterAutospacing="0"/>
              <w:ind w:left="0" w:right="0"/>
              <w:jc w:val="left"/>
              <w:rPr>
                <w:rFonts w:hint="eastAsia" w:ascii="宋体" w:hAnsi="宋体" w:eastAsia="宋体" w:cs="宋体"/>
                <w:color w:val="auto"/>
                <w:kern w:val="2"/>
                <w:sz w:val="21"/>
                <w:szCs w:val="21"/>
                <w:highlight w:val="none"/>
                <w:lang w:val="en-US" w:eastAsia="zh-CN" w:bidi="ar"/>
                <w:woUserID w:val="4"/>
              </w:rPr>
            </w:pPr>
            <w:r>
              <w:rPr>
                <w:rFonts w:hint="eastAsia" w:ascii="宋体" w:hAnsi="宋体" w:eastAsia="宋体" w:cs="宋体"/>
                <w:color w:val="auto"/>
                <w:kern w:val="2"/>
                <w:sz w:val="21"/>
                <w:szCs w:val="21"/>
                <w:highlight w:val="none"/>
                <w:lang w:val="en-US" w:eastAsia="zh-CN" w:bidi="ar"/>
                <w:woUserID w:val="4"/>
              </w:rPr>
              <w:t>7、瞬时离心按键，一键式启动，可以快速完成离心；</w:t>
            </w:r>
          </w:p>
          <w:p w14:paraId="1B4E24F3">
            <w:pPr>
              <w:keepNext w:val="0"/>
              <w:keepLines w:val="0"/>
              <w:widowControl w:val="0"/>
              <w:numPr>
                <w:ilvl w:val="-1"/>
                <w:numId w:val="0"/>
              </w:numPr>
              <w:suppressLineNumbers w:val="0"/>
              <w:spacing w:before="0" w:beforeAutospacing="0" w:after="0" w:afterAutospacing="0"/>
              <w:ind w:left="0" w:right="0"/>
              <w:jc w:val="left"/>
              <w:rPr>
                <w:rFonts w:hint="eastAsia" w:ascii="宋体" w:hAnsi="宋体" w:eastAsia="宋体" w:cs="宋体"/>
                <w:color w:val="auto"/>
                <w:kern w:val="2"/>
                <w:sz w:val="21"/>
                <w:szCs w:val="21"/>
                <w:highlight w:val="none"/>
                <w:lang w:val="en-US" w:eastAsia="zh-CN" w:bidi="ar"/>
                <w:woUserID w:val="4"/>
              </w:rPr>
            </w:pPr>
            <w:r>
              <w:rPr>
                <w:rFonts w:hint="eastAsia" w:ascii="宋体" w:hAnsi="宋体" w:eastAsia="宋体" w:cs="宋体"/>
                <w:color w:val="auto"/>
                <w:kern w:val="2"/>
                <w:sz w:val="21"/>
                <w:szCs w:val="21"/>
                <w:highlight w:val="none"/>
                <w:lang w:val="en-US" w:eastAsia="zh-CN" w:bidi="ar"/>
                <w:woUserID w:val="4"/>
              </w:rPr>
              <w:t>8、2个记忆功能快捷按键，快速调取常用的8组程序；</w:t>
            </w:r>
          </w:p>
          <w:p w14:paraId="3D813F40">
            <w:pPr>
              <w:keepNext w:val="0"/>
              <w:keepLines w:val="0"/>
              <w:widowControl w:val="0"/>
              <w:numPr>
                <w:ilvl w:val="-1"/>
                <w:numId w:val="0"/>
              </w:numPr>
              <w:suppressLineNumbers w:val="0"/>
              <w:spacing w:before="0" w:beforeAutospacing="0" w:after="0" w:afterAutospacing="0"/>
              <w:ind w:left="0" w:right="0"/>
              <w:jc w:val="left"/>
              <w:rPr>
                <w:rFonts w:hint="eastAsia" w:ascii="宋体" w:hAnsi="宋体" w:eastAsia="宋体" w:cs="宋体"/>
                <w:color w:val="auto"/>
                <w:kern w:val="2"/>
                <w:sz w:val="21"/>
                <w:szCs w:val="21"/>
                <w:highlight w:val="none"/>
                <w:lang w:val="en-US" w:eastAsia="zh-CN" w:bidi="ar"/>
                <w:woUserID w:val="4"/>
              </w:rPr>
            </w:pPr>
            <w:r>
              <w:rPr>
                <w:rFonts w:hint="eastAsia" w:ascii="宋体" w:hAnsi="宋体" w:eastAsia="宋体" w:cs="宋体"/>
                <w:color w:val="auto"/>
                <w:kern w:val="2"/>
                <w:sz w:val="21"/>
                <w:szCs w:val="21"/>
                <w:highlight w:val="none"/>
                <w:lang w:val="en-US" w:eastAsia="zh-CN" w:bidi="ar"/>
                <w:woUserID w:val="4"/>
              </w:rPr>
              <w:t>9、三种定时功能：定时开启，定时关闭和计时；</w:t>
            </w:r>
          </w:p>
          <w:p w14:paraId="19D5748F">
            <w:pPr>
              <w:keepNext w:val="0"/>
              <w:keepLines w:val="0"/>
              <w:widowControl w:val="0"/>
              <w:numPr>
                <w:ilvl w:val="-1"/>
                <w:numId w:val="0"/>
              </w:numPr>
              <w:suppressLineNumbers w:val="0"/>
              <w:spacing w:before="0" w:beforeAutospacing="0" w:after="0" w:afterAutospacing="0"/>
              <w:ind w:left="0" w:right="0"/>
              <w:jc w:val="left"/>
              <w:rPr>
                <w:rFonts w:hint="eastAsia" w:ascii="宋体" w:hAnsi="宋体" w:eastAsia="宋体" w:cs="宋体"/>
                <w:color w:val="auto"/>
                <w:kern w:val="2"/>
                <w:sz w:val="21"/>
                <w:szCs w:val="21"/>
                <w:highlight w:val="none"/>
                <w:lang w:val="en-US" w:eastAsia="zh-CN" w:bidi="ar"/>
                <w:woUserID w:val="4"/>
              </w:rPr>
            </w:pPr>
            <w:r>
              <w:rPr>
                <w:rFonts w:hint="eastAsia" w:ascii="宋体" w:hAnsi="宋体" w:eastAsia="宋体" w:cs="宋体"/>
                <w:color w:val="auto"/>
                <w:kern w:val="2"/>
                <w:sz w:val="21"/>
                <w:szCs w:val="21"/>
                <w:highlight w:val="none"/>
                <w:lang w:val="en-US" w:eastAsia="zh-CN" w:bidi="ar"/>
                <w:woUserID w:val="4"/>
              </w:rPr>
              <w:t>10、自动转子失衡识别；</w:t>
            </w:r>
          </w:p>
          <w:p w14:paraId="2CC9CAC2">
            <w:pPr>
              <w:keepNext w:val="0"/>
              <w:keepLines w:val="0"/>
              <w:widowControl w:val="0"/>
              <w:numPr>
                <w:ilvl w:val="-1"/>
                <w:numId w:val="0"/>
              </w:numPr>
              <w:suppressLineNumbers w:val="0"/>
              <w:spacing w:before="0" w:beforeAutospacing="0" w:after="0" w:afterAutospacing="0"/>
              <w:ind w:left="0" w:right="0"/>
              <w:jc w:val="left"/>
              <w:rPr>
                <w:rFonts w:hint="eastAsia" w:ascii="宋体" w:hAnsi="宋体" w:eastAsia="宋体" w:cs="宋体"/>
                <w:color w:val="auto"/>
                <w:kern w:val="2"/>
                <w:sz w:val="21"/>
                <w:szCs w:val="21"/>
                <w:highlight w:val="none"/>
                <w:lang w:val="en-US" w:eastAsia="zh-CN" w:bidi="ar"/>
                <w:woUserID w:val="4"/>
              </w:rPr>
            </w:pPr>
            <w:r>
              <w:rPr>
                <w:rFonts w:hint="eastAsia" w:ascii="宋体" w:hAnsi="宋体" w:eastAsia="宋体" w:cs="宋体"/>
                <w:color w:val="auto"/>
                <w:kern w:val="2"/>
                <w:sz w:val="21"/>
                <w:szCs w:val="21"/>
                <w:highlight w:val="none"/>
                <w:lang w:val="en-US" w:eastAsia="zh-CN" w:bidi="ar"/>
                <w:woUserID w:val="4"/>
              </w:rPr>
              <w:t>11、机盖电子锁紧，可快速轻松开关；</w:t>
            </w:r>
          </w:p>
          <w:p w14:paraId="2A3D8C43">
            <w:pPr>
              <w:keepNext w:val="0"/>
              <w:keepLines w:val="0"/>
              <w:widowControl w:val="0"/>
              <w:numPr>
                <w:ilvl w:val="-1"/>
                <w:numId w:val="0"/>
              </w:numPr>
              <w:suppressLineNumbers w:val="0"/>
              <w:spacing w:before="0" w:beforeAutospacing="0" w:after="0" w:afterAutospacing="0"/>
              <w:ind w:left="0" w:right="0"/>
              <w:jc w:val="left"/>
              <w:rPr>
                <w:rFonts w:hint="eastAsia" w:ascii="宋体" w:hAnsi="宋体" w:eastAsia="宋体" w:cs="宋体"/>
                <w:color w:val="auto"/>
                <w:kern w:val="2"/>
                <w:sz w:val="21"/>
                <w:szCs w:val="21"/>
                <w:highlight w:val="none"/>
                <w:lang w:val="en-US" w:eastAsia="zh-CN" w:bidi="ar"/>
                <w:woUserID w:val="4"/>
              </w:rPr>
            </w:pPr>
            <w:r>
              <w:rPr>
                <w:rFonts w:hint="eastAsia" w:ascii="宋体" w:hAnsi="宋体" w:eastAsia="宋体" w:cs="宋体"/>
                <w:color w:val="auto"/>
                <w:kern w:val="2"/>
                <w:sz w:val="21"/>
                <w:szCs w:val="21"/>
                <w:highlight w:val="none"/>
                <w:lang w:val="en-US" w:eastAsia="zh-CN" w:bidi="ar"/>
                <w:woUserID w:val="4"/>
              </w:rPr>
              <w:t>12、离心结束盖子自动开启，防止样品过热，方便取放样品；</w:t>
            </w:r>
          </w:p>
          <w:p w14:paraId="1D782AEB">
            <w:pPr>
              <w:keepNext w:val="0"/>
              <w:keepLines w:val="0"/>
              <w:widowControl w:val="0"/>
              <w:numPr>
                <w:ilvl w:val="-1"/>
                <w:numId w:val="0"/>
              </w:numPr>
              <w:suppressLineNumbers w:val="0"/>
              <w:spacing w:before="0" w:beforeAutospacing="0" w:after="0" w:afterAutospacing="0"/>
              <w:ind w:left="0" w:right="0"/>
              <w:jc w:val="left"/>
              <w:rPr>
                <w:rFonts w:hint="eastAsia" w:ascii="宋体" w:hAnsi="宋体" w:eastAsia="宋体" w:cs="宋体"/>
                <w:color w:val="auto"/>
                <w:kern w:val="2"/>
                <w:sz w:val="21"/>
                <w:szCs w:val="21"/>
                <w:highlight w:val="none"/>
                <w:lang w:val="en-US" w:eastAsia="zh-CN" w:bidi="ar"/>
                <w:woUserID w:val="4"/>
              </w:rPr>
            </w:pPr>
            <w:r>
              <w:rPr>
                <w:rFonts w:hint="eastAsia" w:ascii="宋体" w:hAnsi="宋体" w:eastAsia="宋体" w:cs="宋体"/>
                <w:color w:val="auto"/>
                <w:kern w:val="2"/>
                <w:sz w:val="21"/>
                <w:szCs w:val="21"/>
                <w:highlight w:val="none"/>
                <w:lang w:val="en-US" w:eastAsia="zh-CN" w:bidi="ar"/>
                <w:woUserID w:val="4"/>
              </w:rPr>
              <w:t>13、软刹车功能，防止离心重悬发生；</w:t>
            </w:r>
          </w:p>
          <w:p w14:paraId="14C77549">
            <w:pPr>
              <w:keepNext w:val="0"/>
              <w:keepLines w:val="0"/>
              <w:widowControl w:val="0"/>
              <w:numPr>
                <w:ilvl w:val="-1"/>
                <w:numId w:val="0"/>
              </w:numPr>
              <w:suppressLineNumbers w:val="0"/>
              <w:spacing w:before="0" w:beforeAutospacing="0" w:after="0" w:afterAutospacing="0"/>
              <w:ind w:left="0" w:right="0"/>
              <w:jc w:val="left"/>
              <w:rPr>
                <w:rFonts w:hint="eastAsia" w:ascii="宋体" w:hAnsi="宋体" w:eastAsia="宋体" w:cs="宋体"/>
                <w:color w:val="auto"/>
                <w:kern w:val="2"/>
                <w:sz w:val="21"/>
                <w:szCs w:val="21"/>
                <w:highlight w:val="none"/>
                <w:lang w:val="en-US" w:eastAsia="zh-CN" w:bidi="ar"/>
                <w:woUserID w:val="4"/>
              </w:rPr>
            </w:pPr>
            <w:r>
              <w:rPr>
                <w:rFonts w:hint="eastAsia" w:ascii="宋体" w:hAnsi="宋体" w:eastAsia="宋体" w:cs="宋体"/>
                <w:color w:val="auto"/>
                <w:kern w:val="2"/>
                <w:sz w:val="21"/>
                <w:szCs w:val="21"/>
                <w:highlight w:val="none"/>
                <w:lang w:val="en-US" w:eastAsia="zh-CN" w:bidi="ar"/>
                <w:woUserID w:val="4"/>
              </w:rPr>
              <w:t>14、转子寿命记录，可记录每款转子使用次数，安全提醒；</w:t>
            </w:r>
          </w:p>
          <w:p w14:paraId="4D06EFB5">
            <w:pPr>
              <w:keepNext w:val="0"/>
              <w:keepLines w:val="0"/>
              <w:widowControl w:val="0"/>
              <w:numPr>
                <w:ilvl w:val="-1"/>
                <w:numId w:val="0"/>
              </w:numPr>
              <w:suppressLineNumbers w:val="0"/>
              <w:spacing w:before="0" w:beforeAutospacing="0" w:after="0" w:afterAutospacing="0"/>
              <w:ind w:left="0" w:right="0"/>
              <w:jc w:val="left"/>
              <w:rPr>
                <w:rFonts w:hint="eastAsia" w:ascii="宋体" w:hAnsi="宋体" w:eastAsia="宋体" w:cs="宋体"/>
                <w:color w:val="auto"/>
                <w:kern w:val="2"/>
                <w:sz w:val="21"/>
                <w:szCs w:val="21"/>
                <w:highlight w:val="none"/>
                <w:lang w:val="en-US" w:eastAsia="zh-CN" w:bidi="ar"/>
                <w:woUserID w:val="4"/>
              </w:rPr>
            </w:pPr>
            <w:r>
              <w:rPr>
                <w:rFonts w:hint="eastAsia" w:ascii="宋体" w:hAnsi="宋体" w:eastAsia="宋体" w:cs="宋体"/>
                <w:color w:val="auto"/>
                <w:kern w:val="2"/>
                <w:sz w:val="21"/>
                <w:szCs w:val="21"/>
                <w:highlight w:val="none"/>
                <w:lang w:val="en-US" w:eastAsia="zh-CN" w:bidi="ar"/>
                <w:woUserID w:val="4"/>
              </w:rPr>
              <w:t>15、可存储50个常用程序，支持快速预览程序参数；</w:t>
            </w:r>
          </w:p>
          <w:p w14:paraId="04D5D039">
            <w:pPr>
              <w:keepNext w:val="0"/>
              <w:keepLines w:val="0"/>
              <w:widowControl w:val="0"/>
              <w:numPr>
                <w:ilvl w:val="-1"/>
                <w:numId w:val="0"/>
              </w:numPr>
              <w:suppressLineNumbers w:val="0"/>
              <w:spacing w:before="0" w:beforeAutospacing="0" w:after="0" w:afterAutospacing="0"/>
              <w:ind w:left="0" w:right="0"/>
              <w:jc w:val="left"/>
              <w:rPr>
                <w:rFonts w:hint="eastAsia" w:ascii="宋体" w:hAnsi="宋体" w:eastAsia="宋体" w:cs="宋体"/>
                <w:color w:val="auto"/>
                <w:kern w:val="2"/>
                <w:sz w:val="21"/>
                <w:szCs w:val="21"/>
                <w:highlight w:val="none"/>
                <w:lang w:val="en-US" w:eastAsia="zh-CN" w:bidi="ar"/>
                <w:woUserID w:val="4"/>
              </w:rPr>
            </w:pPr>
            <w:r>
              <w:rPr>
                <w:rFonts w:hint="eastAsia" w:ascii="宋体" w:hAnsi="宋体" w:eastAsia="宋体" w:cs="宋体"/>
                <w:color w:val="auto"/>
                <w:kern w:val="2"/>
                <w:sz w:val="21"/>
                <w:szCs w:val="21"/>
                <w:highlight w:val="none"/>
                <w:lang w:val="en-US" w:eastAsia="zh-CN" w:bidi="ar"/>
                <w:woUserID w:val="4"/>
              </w:rPr>
              <w:t>16、紧急开盖功能，适用断电等突发实验情况；</w:t>
            </w:r>
          </w:p>
          <w:p w14:paraId="182E8C75">
            <w:pPr>
              <w:keepNext w:val="0"/>
              <w:keepLines w:val="0"/>
              <w:widowControl w:val="0"/>
              <w:numPr>
                <w:ilvl w:val="-1"/>
                <w:numId w:val="0"/>
              </w:numPr>
              <w:suppressLineNumbers w:val="0"/>
              <w:spacing w:before="0" w:beforeAutospacing="0" w:after="0" w:afterAutospacing="0"/>
              <w:ind w:left="0" w:right="0"/>
              <w:jc w:val="left"/>
              <w:rPr>
                <w:rFonts w:hint="eastAsia" w:ascii="宋体" w:hAnsi="宋体" w:eastAsia="宋体" w:cs="宋体"/>
                <w:color w:val="auto"/>
                <w:kern w:val="2"/>
                <w:sz w:val="21"/>
                <w:szCs w:val="21"/>
                <w:highlight w:val="none"/>
                <w:lang w:val="en-US" w:eastAsia="zh-CN" w:bidi="ar"/>
                <w:woUserID w:val="4"/>
              </w:rPr>
            </w:pPr>
            <w:r>
              <w:rPr>
                <w:rFonts w:hint="eastAsia" w:ascii="宋体" w:hAnsi="宋体" w:cs="宋体"/>
                <w:color w:val="auto"/>
                <w:kern w:val="2"/>
                <w:sz w:val="21"/>
                <w:szCs w:val="21"/>
                <w:highlight w:val="none"/>
                <w:lang w:val="en-US" w:eastAsia="zh-CN" w:bidi="ar"/>
                <w:woUserID w:val="4"/>
              </w:rPr>
              <w:t>二</w:t>
            </w:r>
            <w:r>
              <w:rPr>
                <w:rFonts w:hint="eastAsia" w:ascii="宋体" w:hAnsi="宋体" w:eastAsia="宋体" w:cs="宋体"/>
                <w:color w:val="auto"/>
                <w:kern w:val="2"/>
                <w:sz w:val="21"/>
                <w:szCs w:val="21"/>
                <w:highlight w:val="none"/>
                <w:lang w:val="en-US" w:eastAsia="zh-CN" w:bidi="ar"/>
                <w:woUserID w:val="4"/>
              </w:rPr>
              <w:t>、参数</w:t>
            </w:r>
          </w:p>
          <w:p w14:paraId="3349D02C">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2"/>
                <w:sz w:val="21"/>
                <w:szCs w:val="21"/>
                <w:highlight w:val="none"/>
                <w:woUserID w:val="4"/>
              </w:rPr>
            </w:pPr>
            <w:r>
              <w:rPr>
                <w:rFonts w:hint="eastAsia" w:ascii="宋体" w:hAnsi="宋体" w:eastAsia="宋体" w:cs="宋体"/>
                <w:color w:val="auto"/>
                <w:kern w:val="2"/>
                <w:sz w:val="21"/>
                <w:szCs w:val="21"/>
                <w:highlight w:val="none"/>
                <w:lang w:val="en-US" w:eastAsia="zh-CN" w:bidi="ar"/>
                <w:woUserID w:val="4"/>
              </w:rPr>
              <w:t>1.最高转速:≥15060 rpm</w:t>
            </w:r>
          </w:p>
          <w:p w14:paraId="6851A4EA">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2"/>
                <w:sz w:val="21"/>
                <w:szCs w:val="21"/>
                <w:highlight w:val="none"/>
                <w:woUserID w:val="4"/>
              </w:rPr>
            </w:pPr>
            <w:r>
              <w:rPr>
                <w:rFonts w:hint="eastAsia" w:ascii="宋体" w:hAnsi="宋体" w:eastAsia="宋体" w:cs="宋体"/>
                <w:color w:val="auto"/>
                <w:kern w:val="2"/>
                <w:sz w:val="21"/>
                <w:szCs w:val="21"/>
                <w:highlight w:val="none"/>
                <w:lang w:val="en-US" w:eastAsia="zh-CN" w:bidi="ar"/>
                <w:woUserID w:val="4"/>
              </w:rPr>
              <w:t xml:space="preserve">2.最大相对离心力:≥21300xg </w:t>
            </w:r>
          </w:p>
          <w:p w14:paraId="542B414D">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2"/>
                <w:sz w:val="21"/>
                <w:szCs w:val="21"/>
                <w:highlight w:val="none"/>
                <w:lang w:val="en-US" w:eastAsia="zh-CN" w:bidi="ar"/>
                <w:woUserID w:val="4"/>
              </w:rPr>
            </w:pPr>
            <w:r>
              <w:rPr>
                <w:rFonts w:hint="eastAsia" w:ascii="宋体" w:hAnsi="宋体" w:eastAsia="宋体" w:cs="宋体"/>
                <w:color w:val="auto"/>
                <w:kern w:val="2"/>
                <w:sz w:val="21"/>
                <w:szCs w:val="21"/>
                <w:highlight w:val="none"/>
                <w:lang w:val="en-US" w:eastAsia="zh-CN" w:bidi="ar"/>
                <w:woUserID w:val="4"/>
              </w:rPr>
              <w:t>3.最大容量:24*1.5 /2.0ml角转子</w:t>
            </w:r>
          </w:p>
          <w:p w14:paraId="2B11DC4C">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2"/>
                <w:sz w:val="21"/>
                <w:szCs w:val="21"/>
                <w:highlight w:val="none"/>
                <w:woUserID w:val="4"/>
              </w:rPr>
            </w:pPr>
            <w:r>
              <w:rPr>
                <w:rFonts w:hint="eastAsia" w:ascii="宋体" w:hAnsi="宋体" w:eastAsia="宋体" w:cs="宋体"/>
                <w:color w:val="auto"/>
                <w:kern w:val="2"/>
                <w:sz w:val="21"/>
                <w:szCs w:val="21"/>
                <w:highlight w:val="none"/>
                <w:lang w:val="en-US" w:eastAsia="zh-CN" w:bidi="ar"/>
                <w:woUserID w:val="4"/>
              </w:rPr>
              <w:t>4.转速精度:±2r/min</w:t>
            </w:r>
          </w:p>
          <w:p w14:paraId="4E63DD69">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2"/>
                <w:sz w:val="21"/>
                <w:szCs w:val="21"/>
                <w:highlight w:val="none"/>
                <w:woUserID w:val="4"/>
              </w:rPr>
            </w:pPr>
            <w:r>
              <w:rPr>
                <w:rFonts w:hint="eastAsia" w:ascii="宋体" w:hAnsi="宋体" w:eastAsia="宋体" w:cs="宋体"/>
                <w:color w:val="auto"/>
                <w:kern w:val="2"/>
                <w:sz w:val="21"/>
                <w:szCs w:val="21"/>
                <w:highlight w:val="none"/>
                <w:lang w:val="en-US" w:eastAsia="zh-CN" w:bidi="ar"/>
                <w:woUserID w:val="4"/>
              </w:rPr>
              <w:t>5.定时范围: 30秒-99小时59分</w:t>
            </w:r>
          </w:p>
          <w:p w14:paraId="56E68EF5">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2"/>
                <w:sz w:val="21"/>
                <w:szCs w:val="21"/>
                <w:highlight w:val="none"/>
                <w:woUserID w:val="4"/>
              </w:rPr>
            </w:pPr>
            <w:r>
              <w:rPr>
                <w:rFonts w:hint="eastAsia" w:ascii="宋体" w:hAnsi="宋体" w:eastAsia="宋体" w:cs="宋体"/>
                <w:color w:val="auto"/>
                <w:kern w:val="2"/>
                <w:sz w:val="21"/>
                <w:szCs w:val="21"/>
                <w:highlight w:val="none"/>
                <w:lang w:val="en-US" w:eastAsia="zh-CN" w:bidi="ar"/>
                <w:woUserID w:val="4"/>
              </w:rPr>
              <w:t xml:space="preserve">6.整机噪声:&lt;60dB(A) </w:t>
            </w:r>
          </w:p>
          <w:p w14:paraId="046D38FB">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2"/>
                <w:sz w:val="21"/>
                <w:szCs w:val="21"/>
                <w:highlight w:val="none"/>
                <w:woUserID w:val="4"/>
              </w:rPr>
            </w:pPr>
            <w:r>
              <w:rPr>
                <w:rFonts w:hint="eastAsia" w:ascii="宋体" w:hAnsi="宋体" w:eastAsia="宋体" w:cs="宋体"/>
                <w:color w:val="auto"/>
                <w:kern w:val="2"/>
                <w:sz w:val="21"/>
                <w:szCs w:val="21"/>
                <w:highlight w:val="none"/>
                <w:lang w:val="en-US" w:eastAsia="zh-CN" w:bidi="ar"/>
                <w:woUserID w:val="4"/>
              </w:rPr>
              <w:t xml:space="preserve">7.电机: 交流变频电机 </w:t>
            </w:r>
          </w:p>
          <w:p w14:paraId="17DD9F0B">
            <w:pPr>
              <w:keepNext w:val="0"/>
              <w:keepLines w:val="0"/>
              <w:widowControl w:val="0"/>
              <w:suppressLineNumbers w:val="0"/>
              <w:spacing w:before="0" w:beforeAutospacing="0" w:after="0" w:afterAutospacing="0"/>
              <w:ind w:left="0" w:leftChars="0" w:right="0" w:rightChars="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woUserID w:val="4"/>
              </w:rPr>
              <w:t>8.电源:220V，50Hz</w:t>
            </w:r>
          </w:p>
        </w:tc>
        <w:tc>
          <w:tcPr>
            <w:tcW w:w="701"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F8E50F0">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台</w:t>
            </w:r>
          </w:p>
        </w:tc>
        <w:tc>
          <w:tcPr>
            <w:tcW w:w="668" w:type="dxa"/>
            <w:tcBorders>
              <w:top w:val="single" w:color="auto" w:sz="4" w:space="0"/>
              <w:left w:val="single" w:color="auto" w:sz="4" w:space="0"/>
              <w:bottom w:val="single" w:color="auto" w:sz="4" w:space="0"/>
              <w:right w:val="single" w:color="auto" w:sz="4" w:space="0"/>
            </w:tcBorders>
            <w:vAlign w:val="center"/>
          </w:tcPr>
          <w:p w14:paraId="71103A20">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p>
        </w:tc>
      </w:tr>
      <w:tr w14:paraId="012FC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414"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2402141">
            <w:pPr>
              <w:pStyle w:val="148"/>
              <w:keepNext w:val="0"/>
              <w:keepLines w:val="0"/>
              <w:widowControl/>
              <w:numPr>
                <w:ilvl w:val="0"/>
                <w:numId w:val="0"/>
              </w:numPr>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Cs w:val="21"/>
                <w:highlight w:val="none"/>
                <w:lang w:val="en-US" w:eastAsia="zh-CN"/>
              </w:rPr>
              <w:t>19</w:t>
            </w:r>
          </w:p>
        </w:tc>
        <w:tc>
          <w:tcPr>
            <w:tcW w:w="883"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0B53D1C">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0"/>
                <w:szCs w:val="20"/>
                <w:highlight w:val="none"/>
                <w:lang w:val="en-US" w:eastAsia="zh-CN"/>
              </w:rPr>
              <w:t>大型</w:t>
            </w:r>
            <w:r>
              <w:rPr>
                <w:rFonts w:hint="eastAsia" w:ascii="宋体" w:hAnsi="宋体" w:eastAsia="宋体" w:cs="宋体"/>
                <w:b w:val="0"/>
                <w:bCs w:val="0"/>
                <w:color w:val="auto"/>
                <w:sz w:val="20"/>
                <w:szCs w:val="20"/>
                <w:highlight w:val="none"/>
              </w:rPr>
              <w:t>离心机</w:t>
            </w:r>
          </w:p>
        </w:tc>
        <w:tc>
          <w:tcPr>
            <w:tcW w:w="6760"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DC948EF">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2"/>
                <w:sz w:val="21"/>
                <w:szCs w:val="21"/>
                <w:highlight w:val="none"/>
                <w:woUserID w:val="4"/>
              </w:rPr>
            </w:pPr>
            <w:r>
              <w:rPr>
                <w:rFonts w:hint="eastAsia" w:ascii="宋体" w:hAnsi="宋体" w:eastAsia="宋体" w:cs="宋体"/>
                <w:color w:val="auto"/>
                <w:kern w:val="2"/>
                <w:sz w:val="21"/>
                <w:szCs w:val="21"/>
                <w:highlight w:val="none"/>
                <w:lang w:val="en-US" w:eastAsia="zh-CN" w:bidi="ar"/>
                <w:woUserID w:val="4"/>
              </w:rPr>
              <w:t xml:space="preserve">一、性能特点： </w:t>
            </w:r>
          </w:p>
          <w:p w14:paraId="7CDF282E">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2"/>
                <w:sz w:val="21"/>
                <w:szCs w:val="21"/>
                <w:highlight w:val="none"/>
                <w:woUserID w:val="4"/>
              </w:rPr>
            </w:pPr>
            <w:r>
              <w:rPr>
                <w:rFonts w:hint="eastAsia" w:ascii="宋体" w:hAnsi="宋体" w:eastAsia="宋体" w:cs="宋体"/>
                <w:color w:val="auto"/>
                <w:kern w:val="2"/>
                <w:sz w:val="21"/>
                <w:szCs w:val="21"/>
                <w:highlight w:val="none"/>
                <w:lang w:val="en-US" w:eastAsia="zh-CN" w:bidi="ar"/>
                <w:woUserID w:val="4"/>
              </w:rPr>
              <w:t xml:space="preserve">1.水平吊篮和适配器选择，适用于0.2ml-400ml离心管和试剂瓶 ；    </w:t>
            </w:r>
          </w:p>
          <w:p w14:paraId="5A92F94D">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2"/>
                <w:sz w:val="21"/>
                <w:szCs w:val="21"/>
                <w:highlight w:val="none"/>
                <w:woUserID w:val="4"/>
              </w:rPr>
            </w:pPr>
            <w:r>
              <w:rPr>
                <w:rFonts w:hint="eastAsia" w:ascii="宋体" w:hAnsi="宋体" w:eastAsia="宋体" w:cs="宋体"/>
                <w:color w:val="auto"/>
                <w:kern w:val="2"/>
                <w:sz w:val="21"/>
                <w:szCs w:val="21"/>
                <w:highlight w:val="none"/>
                <w:lang w:val="en-US" w:eastAsia="zh-CN" w:bidi="ar"/>
                <w:woUserID w:val="4"/>
              </w:rPr>
              <w:t xml:space="preserve">2.最大相对离心力达≥15000rpm ；      </w:t>
            </w:r>
          </w:p>
          <w:p w14:paraId="53D661CE">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2"/>
                <w:sz w:val="21"/>
                <w:szCs w:val="21"/>
                <w:highlight w:val="none"/>
                <w:woUserID w:val="4"/>
              </w:rPr>
            </w:pPr>
            <w:r>
              <w:rPr>
                <w:rFonts w:hint="eastAsia" w:ascii="宋体" w:hAnsi="宋体" w:eastAsia="宋体" w:cs="宋体"/>
                <w:color w:val="auto"/>
                <w:kern w:val="2"/>
                <w:sz w:val="21"/>
                <w:szCs w:val="21"/>
                <w:highlight w:val="none"/>
                <w:lang w:val="en-US" w:eastAsia="zh-CN" w:bidi="ar"/>
                <w:woUserID w:val="4"/>
              </w:rPr>
              <w:t>3.软刹车防止重悬保护敏感样品；</w:t>
            </w:r>
          </w:p>
          <w:p w14:paraId="7928D5C2">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2"/>
                <w:sz w:val="21"/>
                <w:szCs w:val="21"/>
                <w:highlight w:val="none"/>
                <w:woUserID w:val="4"/>
              </w:rPr>
            </w:pPr>
            <w:r>
              <w:rPr>
                <w:rFonts w:hint="eastAsia" w:ascii="宋体" w:hAnsi="宋体" w:eastAsia="宋体" w:cs="宋体"/>
                <w:color w:val="auto"/>
                <w:kern w:val="2"/>
                <w:sz w:val="21"/>
                <w:szCs w:val="21"/>
                <w:highlight w:val="none"/>
                <w:lang w:val="en-US" w:eastAsia="zh-CN" w:bidi="ar"/>
                <w:woUserID w:val="4"/>
              </w:rPr>
              <w:t>4.自动识别转子并进行限速控制；</w:t>
            </w:r>
          </w:p>
          <w:p w14:paraId="31A93D36">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2"/>
                <w:sz w:val="21"/>
                <w:szCs w:val="21"/>
                <w:highlight w:val="none"/>
                <w:woUserID w:val="4"/>
              </w:rPr>
            </w:pPr>
            <w:r>
              <w:rPr>
                <w:rFonts w:hint="eastAsia" w:ascii="宋体" w:hAnsi="宋体" w:eastAsia="宋体" w:cs="宋体"/>
                <w:color w:val="auto"/>
                <w:kern w:val="2"/>
                <w:sz w:val="21"/>
                <w:szCs w:val="21"/>
                <w:highlight w:val="none"/>
                <w:lang w:val="en-US" w:eastAsia="zh-CN" w:bidi="ar"/>
                <w:woUserID w:val="4"/>
              </w:rPr>
              <w:t xml:space="preserve">5.可存储≥50个常用程序，支持快速预览程序参数 ；         </w:t>
            </w:r>
          </w:p>
          <w:p w14:paraId="451A6D5D">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2"/>
                <w:sz w:val="21"/>
                <w:szCs w:val="21"/>
                <w:highlight w:val="none"/>
                <w:woUserID w:val="4"/>
              </w:rPr>
            </w:pPr>
            <w:r>
              <w:rPr>
                <w:rFonts w:hint="eastAsia" w:ascii="宋体" w:hAnsi="宋体" w:eastAsia="宋体" w:cs="宋体"/>
                <w:color w:val="auto"/>
                <w:kern w:val="2"/>
                <w:sz w:val="21"/>
                <w:szCs w:val="21"/>
                <w:highlight w:val="none"/>
                <w:lang w:val="en-US" w:eastAsia="zh-CN" w:bidi="ar"/>
                <w:woUserID w:val="4"/>
              </w:rPr>
              <w:t>6.工作板转子可离心各类MTP微孔板、PCR板、细胞培养板和深孔板；</w:t>
            </w:r>
          </w:p>
          <w:p w14:paraId="16FECA06">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2"/>
                <w:sz w:val="21"/>
                <w:szCs w:val="21"/>
                <w:highlight w:val="none"/>
                <w:woUserID w:val="4"/>
              </w:rPr>
            </w:pPr>
            <w:r>
              <w:rPr>
                <w:rFonts w:hint="eastAsia" w:ascii="宋体" w:hAnsi="宋体" w:eastAsia="宋体" w:cs="宋体"/>
                <w:color w:val="auto"/>
                <w:kern w:val="2"/>
                <w:sz w:val="21"/>
                <w:szCs w:val="21"/>
                <w:highlight w:val="none"/>
                <w:lang w:val="en-US" w:eastAsia="zh-CN" w:bidi="ar"/>
                <w:woUserID w:val="4"/>
              </w:rPr>
              <w:t xml:space="preserve">7.旋钮加触摸式调节参数；                   </w:t>
            </w:r>
          </w:p>
          <w:p w14:paraId="6D4C2D65">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2"/>
                <w:sz w:val="21"/>
                <w:szCs w:val="21"/>
                <w:highlight w:val="none"/>
                <w:woUserID w:val="4"/>
              </w:rPr>
            </w:pPr>
            <w:r>
              <w:rPr>
                <w:rFonts w:hint="eastAsia" w:ascii="宋体" w:hAnsi="宋体" w:eastAsia="宋体" w:cs="宋体"/>
                <w:color w:val="auto"/>
                <w:kern w:val="2"/>
                <w:sz w:val="21"/>
                <w:szCs w:val="21"/>
                <w:highlight w:val="none"/>
                <w:lang w:val="en-US" w:eastAsia="zh-CN" w:bidi="ar"/>
                <w:woUserID w:val="4"/>
              </w:rPr>
              <w:t>8.定速计时功能，可在达到预定转速后再倒计时确保离心效果；</w:t>
            </w:r>
          </w:p>
          <w:p w14:paraId="4DD4E98D">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2"/>
                <w:sz w:val="21"/>
                <w:szCs w:val="21"/>
                <w:highlight w:val="none"/>
                <w:woUserID w:val="4"/>
              </w:rPr>
            </w:pPr>
            <w:r>
              <w:rPr>
                <w:rFonts w:hint="eastAsia" w:ascii="宋体" w:hAnsi="宋体" w:eastAsia="宋体" w:cs="宋体"/>
                <w:color w:val="auto"/>
                <w:kern w:val="2"/>
                <w:sz w:val="21"/>
                <w:szCs w:val="21"/>
                <w:highlight w:val="none"/>
                <w:lang w:val="en-US" w:eastAsia="zh-CN" w:bidi="ar"/>
                <w:woUserID w:val="4"/>
              </w:rPr>
              <w:t>9.转子寿命记录可记录每款转子使用次数安全提醒；</w:t>
            </w:r>
          </w:p>
          <w:p w14:paraId="1EF645CA">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2"/>
                <w:sz w:val="21"/>
                <w:szCs w:val="21"/>
                <w:highlight w:val="none"/>
                <w:woUserID w:val="4"/>
              </w:rPr>
            </w:pPr>
            <w:r>
              <w:rPr>
                <w:rFonts w:hint="eastAsia" w:ascii="宋体" w:hAnsi="宋体" w:eastAsia="宋体" w:cs="宋体"/>
                <w:color w:val="auto"/>
                <w:kern w:val="2"/>
                <w:sz w:val="21"/>
                <w:szCs w:val="21"/>
                <w:highlight w:val="none"/>
                <w:lang w:val="en-US" w:eastAsia="zh-CN" w:bidi="ar"/>
                <w:woUserID w:val="4"/>
              </w:rPr>
              <w:t xml:space="preserve">10.8个带记忆功能的快速按键，程序按键 ；                      </w:t>
            </w:r>
          </w:p>
          <w:p w14:paraId="1EE69BE4">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2"/>
                <w:sz w:val="21"/>
                <w:szCs w:val="21"/>
                <w:highlight w:val="none"/>
                <w:woUserID w:val="4"/>
              </w:rPr>
            </w:pPr>
            <w:r>
              <w:rPr>
                <w:rFonts w:hint="eastAsia" w:ascii="宋体" w:hAnsi="宋体" w:eastAsia="宋体" w:cs="宋体"/>
                <w:color w:val="auto"/>
                <w:kern w:val="2"/>
                <w:sz w:val="21"/>
                <w:szCs w:val="21"/>
                <w:highlight w:val="none"/>
                <w:lang w:val="en-US" w:eastAsia="zh-CN" w:bidi="ar"/>
                <w:woUserID w:val="4"/>
              </w:rPr>
              <w:t>11.可选气密性转子盖，用于离心危险样品；</w:t>
            </w:r>
          </w:p>
          <w:p w14:paraId="65966BF6">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2"/>
                <w:sz w:val="21"/>
                <w:szCs w:val="21"/>
                <w:highlight w:val="none"/>
                <w:woUserID w:val="4"/>
              </w:rPr>
            </w:pPr>
            <w:r>
              <w:rPr>
                <w:rFonts w:hint="eastAsia" w:ascii="宋体" w:hAnsi="宋体" w:eastAsia="宋体" w:cs="宋体"/>
                <w:color w:val="auto"/>
                <w:kern w:val="2"/>
                <w:sz w:val="21"/>
                <w:szCs w:val="21"/>
                <w:highlight w:val="none"/>
                <w:lang w:val="en-US" w:eastAsia="zh-CN" w:bidi="ar"/>
                <w:woUserID w:val="4"/>
              </w:rPr>
              <w:t>12.固定角转子，适用于需要高离心力的应用</w:t>
            </w:r>
          </w:p>
          <w:p w14:paraId="5F14C72C">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2"/>
                <w:sz w:val="21"/>
                <w:szCs w:val="21"/>
                <w:highlight w:val="none"/>
                <w:woUserID w:val="4"/>
              </w:rPr>
            </w:pPr>
            <w:r>
              <w:rPr>
                <w:rFonts w:hint="eastAsia" w:ascii="宋体" w:hAnsi="宋体" w:eastAsia="宋体" w:cs="宋体"/>
                <w:color w:val="auto"/>
                <w:kern w:val="2"/>
                <w:sz w:val="21"/>
                <w:szCs w:val="21"/>
                <w:highlight w:val="none"/>
                <w:lang w:val="en-US" w:eastAsia="zh-CN" w:bidi="ar"/>
                <w:woUserID w:val="4"/>
              </w:rPr>
              <w:t>13.瞬时离心功能，一键式启动；</w:t>
            </w:r>
          </w:p>
          <w:p w14:paraId="44A2068C">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2"/>
                <w:sz w:val="21"/>
                <w:szCs w:val="21"/>
                <w:highlight w:val="none"/>
                <w:woUserID w:val="4"/>
              </w:rPr>
            </w:pPr>
            <w:r>
              <w:rPr>
                <w:rFonts w:hint="eastAsia" w:ascii="宋体" w:hAnsi="宋体" w:eastAsia="宋体" w:cs="宋体"/>
                <w:color w:val="auto"/>
                <w:kern w:val="2"/>
                <w:sz w:val="21"/>
                <w:szCs w:val="21"/>
                <w:highlight w:val="none"/>
                <w:lang w:val="en-US" w:eastAsia="zh-CN" w:bidi="ar"/>
                <w:woUserID w:val="4"/>
              </w:rPr>
              <w:t xml:space="preserve">14.自动转子失衡识别，离心更安全；                             </w:t>
            </w:r>
          </w:p>
          <w:p w14:paraId="34D0F7A6">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2"/>
                <w:sz w:val="21"/>
                <w:szCs w:val="21"/>
                <w:highlight w:val="none"/>
                <w:woUserID w:val="4"/>
              </w:rPr>
            </w:pPr>
            <w:r>
              <w:rPr>
                <w:rFonts w:hint="eastAsia" w:ascii="宋体" w:hAnsi="宋体" w:eastAsia="宋体" w:cs="宋体"/>
                <w:color w:val="auto"/>
                <w:kern w:val="2"/>
                <w:sz w:val="21"/>
                <w:szCs w:val="21"/>
                <w:highlight w:val="none"/>
                <w:lang w:val="en-US" w:eastAsia="zh-CN" w:bidi="ar"/>
                <w:woUserID w:val="4"/>
              </w:rPr>
              <w:t xml:space="preserve">15.不锈钢转子腔，坚固耐用，便于清洁；         </w:t>
            </w:r>
          </w:p>
          <w:p w14:paraId="3A609092">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2"/>
                <w:sz w:val="21"/>
                <w:szCs w:val="21"/>
                <w:highlight w:val="none"/>
                <w:woUserID w:val="4"/>
              </w:rPr>
            </w:pPr>
            <w:r>
              <w:rPr>
                <w:rFonts w:hint="eastAsia" w:ascii="宋体" w:hAnsi="宋体" w:eastAsia="宋体" w:cs="宋体"/>
                <w:color w:val="auto"/>
                <w:kern w:val="2"/>
                <w:sz w:val="21"/>
                <w:szCs w:val="21"/>
                <w:highlight w:val="none"/>
                <w:lang w:val="en-US" w:eastAsia="zh-CN" w:bidi="ar"/>
                <w:woUserID w:val="4"/>
              </w:rPr>
              <w:t xml:space="preserve">紧急开盖功能，适用断电等突发实验事故；                  </w:t>
            </w:r>
          </w:p>
          <w:p w14:paraId="6959ACE1">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2"/>
                <w:sz w:val="21"/>
                <w:szCs w:val="21"/>
                <w:highlight w:val="none"/>
                <w:woUserID w:val="4"/>
              </w:rPr>
            </w:pPr>
            <w:r>
              <w:rPr>
                <w:rFonts w:hint="eastAsia" w:ascii="宋体" w:hAnsi="宋体" w:eastAsia="宋体" w:cs="宋体"/>
                <w:color w:val="auto"/>
                <w:kern w:val="2"/>
                <w:sz w:val="21"/>
                <w:szCs w:val="21"/>
                <w:highlight w:val="none"/>
                <w:lang w:val="en-US" w:eastAsia="zh-CN" w:bidi="ar"/>
                <w:woUserID w:val="4"/>
              </w:rPr>
              <w:t>16.中英文界面，方便客户使用。</w:t>
            </w:r>
          </w:p>
          <w:p w14:paraId="437AE995">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2"/>
                <w:sz w:val="21"/>
                <w:szCs w:val="21"/>
                <w:highlight w:val="none"/>
                <w:woUserID w:val="4"/>
              </w:rPr>
            </w:pPr>
            <w:r>
              <w:rPr>
                <w:rFonts w:hint="eastAsia" w:ascii="宋体" w:hAnsi="宋体" w:eastAsia="宋体" w:cs="宋体"/>
                <w:color w:val="auto"/>
                <w:kern w:val="2"/>
                <w:sz w:val="21"/>
                <w:szCs w:val="21"/>
                <w:highlight w:val="none"/>
                <w:lang w:val="en-US" w:eastAsia="zh-CN" w:bidi="ar"/>
                <w:woUserID w:val="4"/>
              </w:rPr>
              <w:t>17.具备自动校正功能：可以随时开启或者关闭自动校正功能，校正转速和时间，确保实验结果的重复性；</w:t>
            </w:r>
          </w:p>
          <w:p w14:paraId="74863A3E">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2"/>
                <w:sz w:val="21"/>
                <w:szCs w:val="21"/>
                <w:highlight w:val="none"/>
                <w:woUserID w:val="4"/>
              </w:rPr>
            </w:pPr>
            <w:r>
              <w:rPr>
                <w:rFonts w:hint="eastAsia" w:ascii="宋体" w:hAnsi="宋体" w:eastAsia="宋体" w:cs="宋体"/>
                <w:color w:val="auto"/>
                <w:kern w:val="2"/>
                <w:sz w:val="21"/>
                <w:szCs w:val="21"/>
                <w:highlight w:val="none"/>
                <w:lang w:val="en-US" w:eastAsia="zh-CN" w:bidi="ar"/>
                <w:woUserID w:val="4"/>
              </w:rPr>
              <w:t>二、技术参数</w:t>
            </w:r>
          </w:p>
          <w:p w14:paraId="553045AF">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2"/>
                <w:sz w:val="21"/>
                <w:szCs w:val="21"/>
                <w:highlight w:val="none"/>
                <w:woUserID w:val="4"/>
              </w:rPr>
            </w:pPr>
            <w:r>
              <w:rPr>
                <w:rFonts w:hint="eastAsia" w:ascii="宋体" w:hAnsi="宋体" w:cs="宋体"/>
                <w:szCs w:val="21"/>
                <w:lang w:bidi="ar"/>
              </w:rPr>
              <w:t>■</w:t>
            </w:r>
            <w:r>
              <w:rPr>
                <w:rFonts w:hint="eastAsia" w:ascii="宋体" w:hAnsi="宋体" w:eastAsia="宋体" w:cs="宋体"/>
                <w:color w:val="auto"/>
                <w:kern w:val="2"/>
                <w:sz w:val="21"/>
                <w:szCs w:val="21"/>
                <w:highlight w:val="none"/>
                <w:lang w:val="en-US" w:eastAsia="zh-CN" w:bidi="ar"/>
                <w:woUserID w:val="4"/>
              </w:rPr>
              <w:t>1.相对离心力：23897xg</w:t>
            </w:r>
          </w:p>
          <w:p w14:paraId="09B063BE">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2"/>
                <w:sz w:val="21"/>
                <w:szCs w:val="21"/>
                <w:highlight w:val="none"/>
                <w:woUserID w:val="4"/>
              </w:rPr>
            </w:pPr>
            <w:r>
              <w:rPr>
                <w:rFonts w:hint="eastAsia" w:ascii="宋体" w:hAnsi="宋体" w:eastAsia="宋体" w:cs="宋体"/>
                <w:color w:val="auto"/>
                <w:kern w:val="2"/>
                <w:sz w:val="21"/>
                <w:szCs w:val="21"/>
                <w:highlight w:val="none"/>
                <w:lang w:val="en-US" w:eastAsia="zh-CN" w:bidi="ar"/>
                <w:woUserID w:val="4"/>
              </w:rPr>
              <w:t>转速：≥15000rpm</w:t>
            </w:r>
          </w:p>
          <w:p w14:paraId="74F30B61">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2"/>
                <w:sz w:val="21"/>
                <w:szCs w:val="21"/>
                <w:highlight w:val="none"/>
                <w:woUserID w:val="4"/>
              </w:rPr>
            </w:pPr>
            <w:r>
              <w:rPr>
                <w:rFonts w:hint="eastAsia" w:ascii="宋体" w:hAnsi="宋体" w:eastAsia="宋体" w:cs="宋体"/>
                <w:color w:val="auto"/>
                <w:kern w:val="2"/>
                <w:sz w:val="21"/>
                <w:szCs w:val="21"/>
                <w:highlight w:val="none"/>
                <w:lang w:val="en-US" w:eastAsia="zh" w:bidi="ar"/>
                <w:woUserID w:val="4"/>
              </w:rPr>
              <w:t>2.</w:t>
            </w:r>
            <w:r>
              <w:rPr>
                <w:rFonts w:hint="eastAsia" w:ascii="宋体" w:hAnsi="宋体" w:eastAsia="宋体" w:cs="宋体"/>
                <w:color w:val="auto"/>
                <w:kern w:val="2"/>
                <w:sz w:val="21"/>
                <w:szCs w:val="21"/>
                <w:highlight w:val="none"/>
                <w:lang w:val="en-US" w:eastAsia="zh-CN" w:bidi="ar"/>
                <w:woUserID w:val="4"/>
              </w:rPr>
              <w:t>从零加速至最高转速所需时间：≤20秒</w:t>
            </w:r>
          </w:p>
          <w:p w14:paraId="3190A101">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2"/>
                <w:sz w:val="21"/>
                <w:szCs w:val="21"/>
                <w:highlight w:val="none"/>
                <w:woUserID w:val="4"/>
              </w:rPr>
            </w:pPr>
            <w:r>
              <w:rPr>
                <w:rFonts w:hint="eastAsia" w:ascii="宋体" w:hAnsi="宋体" w:eastAsia="宋体" w:cs="宋体"/>
                <w:color w:val="auto"/>
                <w:kern w:val="2"/>
                <w:sz w:val="21"/>
                <w:szCs w:val="21"/>
                <w:highlight w:val="none"/>
                <w:lang w:val="en-US" w:eastAsia="zh" w:bidi="ar"/>
                <w:woUserID w:val="4"/>
              </w:rPr>
              <w:t>3.</w:t>
            </w:r>
            <w:r>
              <w:rPr>
                <w:rFonts w:hint="eastAsia" w:ascii="宋体" w:hAnsi="宋体" w:eastAsia="宋体" w:cs="宋体"/>
                <w:color w:val="auto"/>
                <w:kern w:val="2"/>
                <w:sz w:val="21"/>
                <w:szCs w:val="21"/>
                <w:highlight w:val="none"/>
                <w:lang w:val="en-US" w:eastAsia="zh-CN" w:bidi="ar"/>
                <w:woUserID w:val="4"/>
              </w:rPr>
              <w:t>从最高转速降速至零所需时间：≤20秒</w:t>
            </w:r>
          </w:p>
          <w:p w14:paraId="408DEA34">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2"/>
                <w:sz w:val="21"/>
                <w:szCs w:val="21"/>
                <w:highlight w:val="none"/>
                <w:woUserID w:val="4"/>
              </w:rPr>
            </w:pPr>
            <w:r>
              <w:rPr>
                <w:rFonts w:hint="eastAsia" w:ascii="宋体" w:hAnsi="宋体" w:eastAsia="宋体" w:cs="宋体"/>
                <w:color w:val="auto"/>
                <w:kern w:val="2"/>
                <w:sz w:val="21"/>
                <w:szCs w:val="21"/>
                <w:highlight w:val="none"/>
                <w:lang w:val="en-US" w:eastAsia="zh" w:bidi="ar"/>
                <w:woUserID w:val="4"/>
              </w:rPr>
              <w:t>4.</w:t>
            </w:r>
            <w:r>
              <w:rPr>
                <w:rFonts w:hint="eastAsia" w:ascii="宋体" w:hAnsi="宋体" w:eastAsia="宋体" w:cs="宋体"/>
                <w:color w:val="auto"/>
                <w:kern w:val="2"/>
                <w:sz w:val="21"/>
                <w:szCs w:val="21"/>
                <w:highlight w:val="none"/>
                <w:lang w:val="en-US" w:eastAsia="zh-CN" w:bidi="ar"/>
                <w:woUserID w:val="4"/>
              </w:rPr>
              <w:t>离心机计时：30秒至99小时59分</w:t>
            </w:r>
          </w:p>
          <w:p w14:paraId="69440651">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2"/>
                <w:sz w:val="21"/>
                <w:szCs w:val="21"/>
                <w:highlight w:val="none"/>
                <w:woUserID w:val="4"/>
              </w:rPr>
            </w:pPr>
            <w:r>
              <w:rPr>
                <w:rFonts w:hint="eastAsia" w:ascii="宋体" w:hAnsi="宋体" w:eastAsia="宋体" w:cs="宋体"/>
                <w:color w:val="auto"/>
                <w:kern w:val="2"/>
                <w:sz w:val="21"/>
                <w:szCs w:val="21"/>
                <w:highlight w:val="none"/>
                <w:lang w:val="en-US" w:eastAsia="zh" w:bidi="ar"/>
                <w:woUserID w:val="4"/>
              </w:rPr>
              <w:t>5.</w:t>
            </w:r>
            <w:r>
              <w:rPr>
                <w:rFonts w:hint="eastAsia" w:ascii="宋体" w:hAnsi="宋体" w:eastAsia="宋体" w:cs="宋体"/>
                <w:color w:val="auto"/>
                <w:kern w:val="2"/>
                <w:sz w:val="21"/>
                <w:szCs w:val="21"/>
                <w:highlight w:val="none"/>
                <w:lang w:val="en-US" w:eastAsia="zh-CN" w:bidi="ar"/>
                <w:woUserID w:val="4"/>
              </w:rPr>
              <w:t>噪音：≤62dB</w:t>
            </w:r>
          </w:p>
          <w:p w14:paraId="2D21B774">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2"/>
                <w:sz w:val="21"/>
                <w:szCs w:val="21"/>
                <w:highlight w:val="none"/>
                <w:woUserID w:val="4"/>
              </w:rPr>
            </w:pPr>
            <w:r>
              <w:rPr>
                <w:rFonts w:hint="eastAsia" w:ascii="宋体" w:hAnsi="宋体" w:eastAsia="宋体" w:cs="宋体"/>
                <w:color w:val="auto"/>
                <w:kern w:val="2"/>
                <w:sz w:val="21"/>
                <w:szCs w:val="21"/>
                <w:highlight w:val="none"/>
                <w:lang w:val="en-US" w:eastAsia="zh" w:bidi="ar"/>
                <w:woUserID w:val="4"/>
              </w:rPr>
              <w:t>6.</w:t>
            </w:r>
            <w:r>
              <w:rPr>
                <w:rFonts w:hint="eastAsia" w:ascii="宋体" w:hAnsi="宋体" w:eastAsia="宋体" w:cs="宋体"/>
                <w:color w:val="auto"/>
                <w:kern w:val="2"/>
                <w:sz w:val="21"/>
                <w:szCs w:val="21"/>
                <w:highlight w:val="none"/>
                <w:lang w:val="en-US" w:eastAsia="zh-CN" w:bidi="ar"/>
                <w:woUserID w:val="4"/>
              </w:rPr>
              <w:t>最大容量：4x400ml/ 2x5MTP</w:t>
            </w:r>
          </w:p>
          <w:p w14:paraId="423B3632">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三、</w:t>
            </w:r>
            <w:r>
              <w:rPr>
                <w:rFonts w:hint="eastAsia" w:ascii="宋体" w:hAnsi="宋体" w:eastAsia="宋体" w:cs="宋体"/>
                <w:b/>
                <w:bCs/>
                <w:color w:val="auto"/>
                <w:szCs w:val="21"/>
                <w:highlight w:val="none"/>
              </w:rPr>
              <w:t>配置</w:t>
            </w:r>
          </w:p>
          <w:p w14:paraId="2A3E7536">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1、主机1台</w:t>
            </w:r>
          </w:p>
          <w:p w14:paraId="7EA4996C">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2、4*250ml转子1个，4*400ml转子1个</w:t>
            </w:r>
          </w:p>
          <w:p w14:paraId="0830A982">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woUserID w:val="4"/>
              </w:rPr>
              <w:t>3、</w:t>
            </w:r>
            <w:r>
              <w:rPr>
                <w:rFonts w:hint="eastAsia" w:ascii="宋体" w:hAnsi="宋体" w:eastAsia="宋体" w:cs="宋体"/>
                <w:color w:val="auto"/>
                <w:szCs w:val="21"/>
                <w:highlight w:val="none"/>
                <w:lang w:val="en-US" w:eastAsia="zh-CN"/>
              </w:rPr>
              <w:t>250ml和400ml离心管各4个。</w:t>
            </w:r>
          </w:p>
        </w:tc>
        <w:tc>
          <w:tcPr>
            <w:tcW w:w="701"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7AF16C6">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台</w:t>
            </w:r>
          </w:p>
        </w:tc>
        <w:tc>
          <w:tcPr>
            <w:tcW w:w="668" w:type="dxa"/>
            <w:tcBorders>
              <w:top w:val="single" w:color="auto" w:sz="4" w:space="0"/>
              <w:left w:val="single" w:color="auto" w:sz="4" w:space="0"/>
              <w:bottom w:val="single" w:color="auto" w:sz="4" w:space="0"/>
              <w:right w:val="single" w:color="auto" w:sz="4" w:space="0"/>
            </w:tcBorders>
            <w:vAlign w:val="center"/>
          </w:tcPr>
          <w:p w14:paraId="141565F7">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p>
        </w:tc>
      </w:tr>
      <w:tr w14:paraId="0E4A2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414"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A799612">
            <w:pPr>
              <w:keepNext w:val="0"/>
              <w:keepLines w:val="0"/>
              <w:widowControl/>
              <w:numPr>
                <w:ilvl w:val="0"/>
                <w:numId w:val="0"/>
              </w:numPr>
              <w:suppressLineNumbers w:val="0"/>
              <w:spacing w:before="0" w:beforeAutospacing="0" w:after="0" w:afterAutospacing="0" w:line="570" w:lineRule="exact"/>
              <w:ind w:left="0" w:leftChars="0" w:right="0" w:rightChars="0" w:firstLine="0" w:firstLineChars="0"/>
              <w:jc w:val="center"/>
              <w:textAlignment w:val="center"/>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 w:val="21"/>
                <w:szCs w:val="21"/>
                <w:lang w:val="en-US" w:eastAsia="zh-CN"/>
              </w:rPr>
              <w:t>20</w:t>
            </w:r>
          </w:p>
        </w:tc>
        <w:tc>
          <w:tcPr>
            <w:tcW w:w="883"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FD8AA64">
            <w:pPr>
              <w:keepNext w:val="0"/>
              <w:keepLines w:val="0"/>
              <w:suppressLineNumbers w:val="0"/>
              <w:snapToGrid w:val="0"/>
              <w:spacing w:before="0" w:beforeAutospacing="0" w:after="0" w:afterAutospacing="0"/>
              <w:ind w:left="0" w:leftChars="0" w:right="0" w:rightChars="0"/>
              <w:jc w:val="center"/>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val="0"/>
                <w:bCs w:val="0"/>
                <w:color w:val="auto"/>
                <w:sz w:val="21"/>
                <w:szCs w:val="21"/>
              </w:rPr>
              <w:t>人工气候箱</w:t>
            </w:r>
          </w:p>
        </w:tc>
        <w:tc>
          <w:tcPr>
            <w:tcW w:w="6760"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30EB4BF">
            <w:pPr>
              <w:keepNext w:val="0"/>
              <w:keepLines w:val="0"/>
              <w:widowControl/>
              <w:suppressLineNumbers w:val="0"/>
              <w:kinsoku w:val="0"/>
              <w:autoSpaceDE w:val="0"/>
              <w:autoSpaceDN w:val="0"/>
              <w:adjustRightInd w:val="0"/>
              <w:snapToGrid w:val="0"/>
              <w:spacing w:before="130" w:beforeAutospacing="0" w:after="0" w:afterAutospacing="0" w:line="240" w:lineRule="auto"/>
              <w:ind w:left="61" w:right="0" w:hanging="9"/>
              <w:jc w:val="left"/>
              <w:textAlignment w:val="baseline"/>
              <w:rPr>
                <w:rFonts w:hint="eastAsia" w:ascii="宋体" w:hAnsi="宋体" w:eastAsia="宋体" w:cs="宋体"/>
                <w:color w:val="auto"/>
                <w:kern w:val="0"/>
                <w:sz w:val="21"/>
                <w:szCs w:val="21"/>
                <w:woUserID w:val="2"/>
              </w:rPr>
            </w:pPr>
            <w:r>
              <w:rPr>
                <w:rFonts w:hint="eastAsia" w:ascii="宋体" w:hAnsi="宋体" w:eastAsia="宋体" w:cs="宋体"/>
                <w:snapToGrid/>
                <w:color w:val="auto"/>
                <w:spacing w:val="-3"/>
                <w:kern w:val="0"/>
                <w:sz w:val="21"/>
                <w:szCs w:val="21"/>
                <w:lang w:val="en-US" w:eastAsia="zh-CN" w:bidi="ar"/>
                <w:woUserID w:val="2"/>
              </w:rPr>
              <w:t>1、箱体为高压聚氨酯成型，保温性能优异</w:t>
            </w:r>
            <w:r>
              <w:rPr>
                <w:rFonts w:hint="eastAsia" w:ascii="宋体" w:hAnsi="宋体" w:eastAsia="宋体" w:cs="宋体"/>
                <w:snapToGrid/>
                <w:color w:val="auto"/>
                <w:spacing w:val="-1"/>
                <w:kern w:val="0"/>
                <w:sz w:val="21"/>
                <w:szCs w:val="21"/>
                <w:lang w:val="en-US" w:eastAsia="zh-CN" w:bidi="ar"/>
                <w:woUserID w:val="2"/>
              </w:rPr>
              <w:t>。</w:t>
            </w:r>
          </w:p>
          <w:p w14:paraId="186051BE">
            <w:pPr>
              <w:keepNext w:val="0"/>
              <w:keepLines w:val="0"/>
              <w:widowControl/>
              <w:suppressLineNumbers w:val="0"/>
              <w:kinsoku w:val="0"/>
              <w:autoSpaceDE w:val="0"/>
              <w:autoSpaceDN w:val="0"/>
              <w:adjustRightInd w:val="0"/>
              <w:snapToGrid w:val="0"/>
              <w:spacing w:before="116" w:beforeAutospacing="0" w:after="0" w:afterAutospacing="0" w:line="240" w:lineRule="auto"/>
              <w:ind w:left="31" w:right="0"/>
              <w:jc w:val="left"/>
              <w:textAlignment w:val="baseline"/>
              <w:rPr>
                <w:rFonts w:hint="eastAsia" w:ascii="宋体" w:hAnsi="宋体" w:eastAsia="宋体" w:cs="宋体"/>
                <w:color w:val="auto"/>
                <w:kern w:val="0"/>
                <w:sz w:val="21"/>
                <w:szCs w:val="21"/>
                <w:woUserID w:val="2"/>
              </w:rPr>
            </w:pPr>
            <w:r>
              <w:rPr>
                <w:rFonts w:hint="eastAsia" w:ascii="宋体" w:hAnsi="宋体" w:eastAsia="宋体" w:cs="宋体"/>
                <w:snapToGrid/>
                <w:color w:val="auto"/>
                <w:spacing w:val="-2"/>
                <w:kern w:val="0"/>
                <w:sz w:val="21"/>
                <w:szCs w:val="21"/>
                <w:lang w:val="en-US" w:eastAsia="zh-CN" w:bidi="ar"/>
                <w:woUserID w:val="2"/>
              </w:rPr>
              <w:t>2、箱体外部为冷轧钢板喷塑处理，内部采用拉丝不锈钢内胆，箱内隔板间距可</w:t>
            </w:r>
            <w:r>
              <w:rPr>
                <w:rFonts w:hint="eastAsia" w:ascii="宋体" w:hAnsi="宋体" w:eastAsia="宋体" w:cs="宋体"/>
                <w:snapToGrid/>
                <w:color w:val="auto"/>
                <w:spacing w:val="16"/>
                <w:kern w:val="0"/>
                <w:sz w:val="21"/>
                <w:szCs w:val="21"/>
                <w:lang w:val="en-US" w:eastAsia="zh-CN" w:bidi="ar"/>
                <w:woUserID w:val="2"/>
              </w:rPr>
              <w:t>调。</w:t>
            </w:r>
          </w:p>
          <w:p w14:paraId="2784217C">
            <w:pPr>
              <w:keepNext w:val="0"/>
              <w:keepLines w:val="0"/>
              <w:widowControl/>
              <w:suppressLineNumbers w:val="0"/>
              <w:kinsoku w:val="0"/>
              <w:autoSpaceDE w:val="0"/>
              <w:autoSpaceDN w:val="0"/>
              <w:adjustRightInd w:val="0"/>
              <w:snapToGrid w:val="0"/>
              <w:spacing w:before="121" w:beforeAutospacing="0" w:after="0" w:afterAutospacing="0" w:line="240" w:lineRule="auto"/>
              <w:ind w:left="62" w:right="371"/>
              <w:jc w:val="left"/>
              <w:textAlignment w:val="baseline"/>
              <w:rPr>
                <w:rFonts w:hint="eastAsia" w:ascii="宋体" w:hAnsi="宋体" w:eastAsia="宋体" w:cs="宋体"/>
                <w:color w:val="auto"/>
                <w:kern w:val="0"/>
                <w:sz w:val="21"/>
                <w:szCs w:val="21"/>
                <w:woUserID w:val="2"/>
              </w:rPr>
            </w:pPr>
            <w:r>
              <w:rPr>
                <w:rFonts w:hint="eastAsia" w:ascii="宋体" w:hAnsi="宋体" w:eastAsia="宋体" w:cs="宋体"/>
                <w:snapToGrid/>
                <w:color w:val="auto"/>
                <w:spacing w:val="-1"/>
                <w:kern w:val="0"/>
                <w:sz w:val="21"/>
                <w:szCs w:val="21"/>
                <w:lang w:val="en-US" w:eastAsia="zh-CN" w:bidi="ar"/>
                <w:woUserID w:val="2"/>
              </w:rPr>
              <w:t>3、采用环保无氟制冷剂(R134a)</w:t>
            </w:r>
            <w:r>
              <w:rPr>
                <w:rFonts w:hint="eastAsia" w:ascii="宋体" w:hAnsi="宋体" w:eastAsia="宋体" w:cs="宋体"/>
                <w:snapToGrid/>
                <w:color w:val="auto"/>
                <w:kern w:val="0"/>
                <w:sz w:val="21"/>
                <w:szCs w:val="21"/>
                <w:lang w:val="en-US" w:eastAsia="zh-CN" w:bidi="ar"/>
                <w:woUserID w:val="2"/>
              </w:rPr>
              <w:t>。</w:t>
            </w:r>
          </w:p>
          <w:p w14:paraId="74DAE682">
            <w:pPr>
              <w:keepNext w:val="0"/>
              <w:keepLines w:val="0"/>
              <w:widowControl/>
              <w:suppressLineNumbers w:val="0"/>
              <w:kinsoku w:val="0"/>
              <w:autoSpaceDE w:val="0"/>
              <w:autoSpaceDN w:val="0"/>
              <w:adjustRightInd w:val="0"/>
              <w:snapToGrid w:val="0"/>
              <w:spacing w:before="131" w:beforeAutospacing="0" w:after="0" w:afterAutospacing="0" w:line="240" w:lineRule="auto"/>
              <w:ind w:left="61" w:right="59" w:hanging="30"/>
              <w:jc w:val="left"/>
              <w:textAlignment w:val="baseline"/>
              <w:rPr>
                <w:rFonts w:hint="eastAsia" w:ascii="宋体" w:hAnsi="宋体" w:eastAsia="宋体" w:cs="宋体"/>
                <w:color w:val="auto"/>
                <w:kern w:val="0"/>
                <w:sz w:val="21"/>
                <w:szCs w:val="21"/>
                <w:woUserID w:val="2"/>
              </w:rPr>
            </w:pPr>
            <w:r>
              <w:rPr>
                <w:rFonts w:hint="eastAsia" w:ascii="宋体" w:hAnsi="宋体" w:eastAsia="宋体" w:cs="宋体"/>
                <w:snapToGrid/>
                <w:color w:val="auto"/>
                <w:kern w:val="0"/>
                <w:sz w:val="21"/>
                <w:szCs w:val="21"/>
                <w:lang w:val="en-US" w:eastAsia="zh-CN" w:bidi="ar"/>
                <w:woUserID w:val="2"/>
              </w:rPr>
              <w:t>4、微电脑PID控制，控温精确可靠，波动少，带定时功能。</w:t>
            </w:r>
          </w:p>
          <w:p w14:paraId="2CD44050">
            <w:pPr>
              <w:keepNext w:val="0"/>
              <w:keepLines w:val="0"/>
              <w:widowControl/>
              <w:suppressLineNumbers w:val="0"/>
              <w:kinsoku w:val="0"/>
              <w:autoSpaceDE w:val="0"/>
              <w:autoSpaceDN w:val="0"/>
              <w:adjustRightInd w:val="0"/>
              <w:snapToGrid w:val="0"/>
              <w:spacing w:before="141" w:beforeAutospacing="0" w:after="0" w:afterAutospacing="0" w:line="240" w:lineRule="auto"/>
              <w:ind w:left="62" w:right="344"/>
              <w:jc w:val="left"/>
              <w:textAlignment w:val="baseline"/>
              <w:rPr>
                <w:rFonts w:hint="eastAsia" w:ascii="宋体" w:hAnsi="宋体" w:eastAsia="宋体" w:cs="宋体"/>
                <w:color w:val="auto"/>
                <w:kern w:val="0"/>
                <w:sz w:val="21"/>
                <w:szCs w:val="21"/>
                <w:woUserID w:val="2"/>
              </w:rPr>
            </w:pPr>
            <w:r>
              <w:rPr>
                <w:rFonts w:hint="eastAsia" w:ascii="宋体" w:hAnsi="宋体" w:eastAsia="宋体" w:cs="宋体"/>
                <w:snapToGrid/>
                <w:color w:val="auto"/>
                <w:spacing w:val="1"/>
                <w:kern w:val="0"/>
                <w:sz w:val="21"/>
                <w:szCs w:val="21"/>
                <w:lang w:val="en-US" w:eastAsia="zh-CN" w:bidi="ar"/>
                <w:woUserID w:val="2"/>
              </w:rPr>
              <w:t>5、整体风道均匀系统</w:t>
            </w:r>
            <w:r>
              <w:rPr>
                <w:rFonts w:hint="eastAsia" w:ascii="宋体" w:hAnsi="宋体" w:eastAsia="宋体" w:cs="宋体"/>
                <w:snapToGrid/>
                <w:color w:val="auto"/>
                <w:kern w:val="0"/>
                <w:sz w:val="21"/>
                <w:szCs w:val="21"/>
                <w:lang w:val="en-US" w:eastAsia="zh-CN" w:bidi="ar"/>
                <w:woUserID w:val="2"/>
              </w:rPr>
              <w:t>。</w:t>
            </w:r>
          </w:p>
          <w:p w14:paraId="119F6CA2">
            <w:pPr>
              <w:keepNext w:val="0"/>
              <w:keepLines w:val="0"/>
              <w:widowControl/>
              <w:suppressLineNumbers w:val="0"/>
              <w:kinsoku w:val="0"/>
              <w:autoSpaceDE w:val="0"/>
              <w:autoSpaceDN w:val="0"/>
              <w:adjustRightInd w:val="0"/>
              <w:snapToGrid w:val="0"/>
              <w:spacing w:before="122" w:beforeAutospacing="0" w:after="0" w:afterAutospacing="0" w:line="240" w:lineRule="auto"/>
              <w:ind w:left="12" w:right="0" w:firstLine="49"/>
              <w:jc w:val="left"/>
              <w:textAlignment w:val="baseline"/>
              <w:rPr>
                <w:rFonts w:hint="eastAsia" w:ascii="宋体" w:hAnsi="宋体" w:eastAsia="宋体" w:cs="宋体"/>
                <w:color w:val="auto"/>
                <w:kern w:val="0"/>
                <w:sz w:val="21"/>
                <w:szCs w:val="21"/>
                <w:woUserID w:val="2"/>
              </w:rPr>
            </w:pPr>
            <w:r>
              <w:rPr>
                <w:rFonts w:hint="eastAsia" w:ascii="宋体" w:hAnsi="宋体" w:eastAsia="宋体" w:cs="宋体"/>
                <w:snapToGrid/>
                <w:color w:val="auto"/>
                <w:spacing w:val="-4"/>
                <w:kern w:val="0"/>
                <w:sz w:val="21"/>
                <w:szCs w:val="21"/>
                <w:lang w:val="en-US" w:eastAsia="zh-CN" w:bidi="ar"/>
                <w:woUserID w:val="2"/>
              </w:rPr>
              <w:t>6、独立限温报警系统，双重限温(±4℃及</w:t>
            </w:r>
            <w:r>
              <w:rPr>
                <w:rFonts w:hint="eastAsia" w:ascii="宋体" w:hAnsi="宋体" w:eastAsia="宋体" w:cs="宋体"/>
                <w:snapToGrid/>
                <w:color w:val="auto"/>
                <w:spacing w:val="18"/>
                <w:kern w:val="0"/>
                <w:sz w:val="21"/>
                <w:szCs w:val="21"/>
                <w:lang w:val="en-US" w:eastAsia="zh-CN" w:bidi="ar"/>
                <w:woUserID w:val="2"/>
              </w:rPr>
              <w:t xml:space="preserve"> </w:t>
            </w:r>
            <w:r>
              <w:rPr>
                <w:rFonts w:hint="eastAsia" w:ascii="宋体" w:hAnsi="宋体" w:eastAsia="宋体" w:cs="宋体"/>
                <w:snapToGrid/>
                <w:color w:val="auto"/>
                <w:kern w:val="0"/>
                <w:sz w:val="21"/>
                <w:szCs w:val="21"/>
                <w:lang w:val="en-US" w:eastAsia="zh-CN" w:bidi="ar"/>
                <w:woUserID w:val="2"/>
              </w:rPr>
              <w:t>上限70℃)保护，超过限制温度即自动中</w:t>
            </w:r>
            <w:r>
              <w:rPr>
                <w:rFonts w:hint="eastAsia" w:ascii="宋体" w:hAnsi="宋体" w:eastAsia="宋体" w:cs="宋体"/>
                <w:snapToGrid/>
                <w:color w:val="auto"/>
                <w:spacing w:val="-9"/>
                <w:kern w:val="0"/>
                <w:sz w:val="21"/>
                <w:szCs w:val="21"/>
                <w:lang w:val="en-US" w:eastAsia="zh-CN" w:bidi="ar"/>
                <w:woUserID w:val="2"/>
              </w:rPr>
              <w:t>断</w:t>
            </w:r>
            <w:r>
              <w:rPr>
                <w:rFonts w:hint="eastAsia" w:ascii="宋体" w:hAnsi="宋体" w:eastAsia="宋体" w:cs="宋体"/>
                <w:snapToGrid/>
                <w:color w:val="auto"/>
                <w:spacing w:val="-53"/>
                <w:kern w:val="0"/>
                <w:sz w:val="21"/>
                <w:szCs w:val="21"/>
                <w:lang w:val="en-US" w:eastAsia="zh-CN" w:bidi="ar"/>
                <w:woUserID w:val="2"/>
              </w:rPr>
              <w:t xml:space="preserve"> </w:t>
            </w:r>
            <w:r>
              <w:rPr>
                <w:rFonts w:hint="eastAsia" w:ascii="宋体" w:hAnsi="宋体" w:eastAsia="宋体" w:cs="宋体"/>
                <w:snapToGrid/>
                <w:color w:val="auto"/>
                <w:spacing w:val="-9"/>
                <w:kern w:val="0"/>
                <w:sz w:val="21"/>
                <w:szCs w:val="21"/>
                <w:lang w:val="en-US" w:eastAsia="zh-CN" w:bidi="ar"/>
                <w:woUserID w:val="2"/>
              </w:rPr>
              <w:t>。</w:t>
            </w:r>
          </w:p>
          <w:p w14:paraId="45CA3A04">
            <w:pPr>
              <w:keepNext w:val="0"/>
              <w:keepLines w:val="0"/>
              <w:widowControl/>
              <w:suppressLineNumbers w:val="0"/>
              <w:kinsoku w:val="0"/>
              <w:autoSpaceDE w:val="0"/>
              <w:autoSpaceDN w:val="0"/>
              <w:adjustRightInd w:val="0"/>
              <w:snapToGrid w:val="0"/>
              <w:spacing w:before="102" w:beforeAutospacing="0" w:after="0" w:afterAutospacing="0" w:line="240" w:lineRule="auto"/>
              <w:ind w:left="41" w:right="0" w:firstLine="20"/>
              <w:jc w:val="left"/>
              <w:textAlignment w:val="baseline"/>
              <w:rPr>
                <w:rFonts w:hint="eastAsia" w:ascii="宋体" w:hAnsi="宋体" w:eastAsia="宋体" w:cs="宋体"/>
                <w:color w:val="auto"/>
                <w:kern w:val="0"/>
                <w:sz w:val="21"/>
                <w:szCs w:val="21"/>
                <w:woUserID w:val="2"/>
              </w:rPr>
            </w:pPr>
            <w:r>
              <w:rPr>
                <w:rFonts w:hint="eastAsia" w:ascii="宋体" w:hAnsi="宋体" w:eastAsia="宋体" w:cs="宋体"/>
                <w:snapToGrid/>
                <w:color w:val="auto"/>
                <w:spacing w:val="-4"/>
                <w:kern w:val="0"/>
                <w:sz w:val="21"/>
                <w:szCs w:val="21"/>
                <w:lang w:val="en-US" w:eastAsia="zh-CN" w:bidi="ar"/>
                <w:woUserID w:val="2"/>
              </w:rPr>
              <w:t>7、液晶显示屏，时钟显示和定时功能便于</w:t>
            </w:r>
            <w:r>
              <w:rPr>
                <w:rFonts w:hint="eastAsia" w:ascii="宋体" w:hAnsi="宋体" w:eastAsia="宋体" w:cs="宋体"/>
                <w:snapToGrid/>
                <w:color w:val="auto"/>
                <w:kern w:val="0"/>
                <w:sz w:val="21"/>
                <w:szCs w:val="21"/>
                <w:lang w:val="en-US" w:eastAsia="zh-CN" w:bidi="ar"/>
                <w:woUserID w:val="2"/>
              </w:rPr>
              <w:t>观察培养时间，可设置0-9999分钟的定时</w:t>
            </w:r>
            <w:r>
              <w:rPr>
                <w:rFonts w:hint="eastAsia" w:ascii="宋体" w:hAnsi="宋体" w:eastAsia="宋体" w:cs="宋体"/>
                <w:snapToGrid/>
                <w:color w:val="auto"/>
                <w:spacing w:val="7"/>
                <w:kern w:val="0"/>
                <w:sz w:val="21"/>
                <w:szCs w:val="21"/>
                <w:lang w:val="en-US" w:eastAsia="zh-CN" w:bidi="ar"/>
                <w:woUserID w:val="2"/>
              </w:rPr>
              <w:t>时间。</w:t>
            </w:r>
          </w:p>
          <w:p w14:paraId="6B624537">
            <w:pPr>
              <w:keepNext w:val="0"/>
              <w:keepLines w:val="0"/>
              <w:widowControl/>
              <w:suppressLineNumbers w:val="0"/>
              <w:kinsoku w:val="0"/>
              <w:autoSpaceDE w:val="0"/>
              <w:autoSpaceDN w:val="0"/>
              <w:adjustRightInd w:val="0"/>
              <w:snapToGrid w:val="0"/>
              <w:spacing w:before="124" w:beforeAutospacing="0" w:after="0" w:afterAutospacing="0" w:line="240" w:lineRule="auto"/>
              <w:ind w:left="62" w:right="249"/>
              <w:jc w:val="left"/>
              <w:textAlignment w:val="baseline"/>
              <w:rPr>
                <w:rFonts w:hint="eastAsia" w:ascii="宋体" w:hAnsi="宋体" w:eastAsia="宋体" w:cs="宋体"/>
                <w:color w:val="auto"/>
                <w:kern w:val="0"/>
                <w:sz w:val="21"/>
                <w:szCs w:val="21"/>
                <w:woUserID w:val="2"/>
              </w:rPr>
            </w:pPr>
            <w:r>
              <w:rPr>
                <w:rFonts w:hint="eastAsia" w:ascii="宋体" w:hAnsi="宋体" w:eastAsia="宋体" w:cs="宋体"/>
                <w:snapToGrid/>
                <w:color w:val="auto"/>
                <w:kern w:val="0"/>
                <w:sz w:val="21"/>
                <w:szCs w:val="21"/>
                <w:lang w:val="en-US" w:eastAsia="zh-CN" w:bidi="ar"/>
                <w:woUserID w:val="2"/>
              </w:rPr>
              <w:t>8、箱体左侧有一直径&gt;30mm的测试孔，便于实验操作与测量温度。</w:t>
            </w:r>
          </w:p>
          <w:p w14:paraId="60505B33">
            <w:pPr>
              <w:keepNext w:val="0"/>
              <w:keepLines w:val="0"/>
              <w:widowControl/>
              <w:suppressLineNumbers w:val="0"/>
              <w:kinsoku w:val="0"/>
              <w:autoSpaceDE w:val="0"/>
              <w:autoSpaceDN w:val="0"/>
              <w:adjustRightInd w:val="0"/>
              <w:snapToGrid w:val="0"/>
              <w:spacing w:before="121" w:beforeAutospacing="0" w:after="0" w:afterAutospacing="0" w:line="240" w:lineRule="auto"/>
              <w:ind w:left="61" w:right="0" w:hanging="20"/>
              <w:jc w:val="left"/>
              <w:textAlignment w:val="baseline"/>
              <w:rPr>
                <w:rFonts w:hint="eastAsia" w:ascii="宋体" w:hAnsi="宋体" w:eastAsia="宋体" w:cs="宋体"/>
                <w:color w:val="auto"/>
                <w:kern w:val="0"/>
                <w:sz w:val="21"/>
                <w:szCs w:val="21"/>
                <w:woUserID w:val="2"/>
              </w:rPr>
            </w:pPr>
            <w:r>
              <w:rPr>
                <w:rFonts w:hint="eastAsia" w:ascii="宋体" w:hAnsi="宋体" w:eastAsia="宋体" w:cs="宋体"/>
                <w:snapToGrid/>
                <w:color w:val="auto"/>
                <w:spacing w:val="-3"/>
                <w:kern w:val="0"/>
                <w:sz w:val="21"/>
                <w:szCs w:val="21"/>
                <w:lang w:val="en-US" w:eastAsia="zh-CN" w:bidi="ar"/>
                <w:woUserID w:val="2"/>
              </w:rPr>
              <w:t>9、自诊断功能，故障全程自动监控，故障</w:t>
            </w:r>
            <w:r>
              <w:rPr>
                <w:rFonts w:hint="eastAsia" w:ascii="宋体" w:hAnsi="宋体" w:eastAsia="宋体" w:cs="宋体"/>
                <w:snapToGrid/>
                <w:color w:val="auto"/>
                <w:kern w:val="0"/>
                <w:sz w:val="21"/>
                <w:szCs w:val="21"/>
                <w:lang w:val="en-US" w:eastAsia="zh-CN" w:bidi="ar"/>
                <w:woUserID w:val="2"/>
              </w:rPr>
              <w:t>代码直观指示。</w:t>
            </w:r>
          </w:p>
          <w:p w14:paraId="70149809">
            <w:pPr>
              <w:keepNext w:val="0"/>
              <w:keepLines w:val="0"/>
              <w:widowControl/>
              <w:suppressLineNumbers w:val="0"/>
              <w:kinsoku w:val="0"/>
              <w:autoSpaceDE w:val="0"/>
              <w:autoSpaceDN w:val="0"/>
              <w:adjustRightInd w:val="0"/>
              <w:snapToGrid w:val="0"/>
              <w:spacing w:before="122" w:beforeAutospacing="0" w:after="0" w:afterAutospacing="0"/>
              <w:ind w:left="41" w:right="26"/>
              <w:jc w:val="left"/>
              <w:textAlignment w:val="baseline"/>
              <w:rPr>
                <w:rFonts w:hint="eastAsia" w:ascii="宋体" w:hAnsi="宋体" w:eastAsia="宋体" w:cs="宋体"/>
                <w:color w:val="auto"/>
                <w:kern w:val="0"/>
                <w:sz w:val="21"/>
                <w:szCs w:val="21"/>
                <w:woUserID w:val="2"/>
              </w:rPr>
            </w:pPr>
            <w:r>
              <w:rPr>
                <w:rFonts w:hint="eastAsia" w:ascii="宋体" w:hAnsi="宋体" w:eastAsia="宋体" w:cs="宋体"/>
                <w:snapToGrid/>
                <w:color w:val="auto"/>
                <w:kern w:val="0"/>
                <w:sz w:val="21"/>
                <w:szCs w:val="21"/>
                <w:lang w:val="en-US" w:eastAsia="zh-CN" w:bidi="ar"/>
                <w:woUserID w:val="2"/>
              </w:rPr>
              <w:t>10、光照：两层垂直式顶置光源LED植物</w:t>
            </w:r>
            <w:r>
              <w:rPr>
                <w:rFonts w:hint="eastAsia" w:ascii="宋体" w:hAnsi="宋体" w:eastAsia="宋体" w:cs="宋体"/>
                <w:snapToGrid/>
                <w:color w:val="auto"/>
                <w:spacing w:val="2"/>
                <w:kern w:val="0"/>
                <w:sz w:val="21"/>
                <w:szCs w:val="21"/>
                <w:lang w:val="en-US" w:eastAsia="zh-CN" w:bidi="ar"/>
                <w:woUserID w:val="2"/>
              </w:rPr>
              <w:t>生长灯，光照编程可设定白天黑夜模式和</w:t>
            </w:r>
            <w:r>
              <w:rPr>
                <w:rFonts w:hint="eastAsia" w:ascii="宋体" w:hAnsi="宋体" w:eastAsia="宋体" w:cs="宋体"/>
                <w:snapToGrid/>
                <w:color w:val="auto"/>
                <w:kern w:val="0"/>
                <w:sz w:val="21"/>
                <w:szCs w:val="21"/>
                <w:lang w:val="en-US" w:eastAsia="zh-CN" w:bidi="ar"/>
                <w:woUserID w:val="2"/>
              </w:rPr>
              <w:t xml:space="preserve"> 30时段99周期运行，模拟全天候、自然界的植物生长环境。</w:t>
            </w:r>
          </w:p>
          <w:p w14:paraId="7A073F12">
            <w:pPr>
              <w:keepNext w:val="0"/>
              <w:keepLines w:val="0"/>
              <w:widowControl/>
              <w:suppressLineNumbers w:val="0"/>
              <w:kinsoku w:val="0"/>
              <w:autoSpaceDE w:val="0"/>
              <w:autoSpaceDN w:val="0"/>
              <w:adjustRightInd w:val="0"/>
              <w:snapToGrid w:val="0"/>
              <w:spacing w:before="119" w:beforeAutospacing="0" w:after="0" w:afterAutospacing="0"/>
              <w:ind w:left="62" w:right="0"/>
              <w:jc w:val="left"/>
              <w:textAlignment w:val="baseline"/>
              <w:rPr>
                <w:rFonts w:hint="eastAsia" w:ascii="宋体" w:hAnsi="宋体" w:eastAsia="宋体" w:cs="宋体"/>
                <w:color w:val="auto"/>
                <w:kern w:val="0"/>
                <w:sz w:val="21"/>
                <w:szCs w:val="21"/>
                <w:woUserID w:val="2"/>
              </w:rPr>
            </w:pPr>
            <w:r>
              <w:rPr>
                <w:rFonts w:hint="eastAsia" w:ascii="宋体" w:hAnsi="宋体" w:eastAsia="宋体" w:cs="宋体"/>
                <w:snapToGrid/>
                <w:color w:val="auto"/>
                <w:kern w:val="0"/>
                <w:sz w:val="21"/>
                <w:szCs w:val="21"/>
                <w:lang w:val="en-US" w:eastAsia="zh-CN" w:bidi="ar"/>
                <w:woUserID w:val="2"/>
              </w:rPr>
              <w:t>11、采用超声波加湿方式，节能高效。</w:t>
            </w:r>
          </w:p>
          <w:p w14:paraId="4CC5A192">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auto"/>
                <w:woUserID w:val="2"/>
              </w:rPr>
            </w:pPr>
            <w:r>
              <w:rPr>
                <w:rFonts w:hint="eastAsia" w:ascii="宋体" w:hAnsi="宋体" w:eastAsia="宋体" w:cs="宋体"/>
                <w:snapToGrid/>
                <w:color w:val="auto"/>
                <w:kern w:val="0"/>
                <w:sz w:val="21"/>
                <w:szCs w:val="21"/>
                <w:lang w:val="en-US" w:eastAsia="zh-CN" w:bidi="ar"/>
                <w:woUserID w:val="2"/>
              </w:rPr>
              <w:t>12、内箱尺寸约(mm):600×600×1140</w:t>
            </w:r>
            <w:r>
              <w:rPr>
                <w:rFonts w:hint="eastAsia" w:ascii="宋体" w:hAnsi="宋体" w:eastAsia="宋体" w:cs="宋体"/>
                <w:snapToGrid/>
                <w:color w:val="auto"/>
                <w:spacing w:val="4"/>
                <w:kern w:val="0"/>
                <w:sz w:val="21"/>
                <w:szCs w:val="21"/>
                <w:lang w:val="en-US" w:eastAsia="zh-CN" w:bidi="ar"/>
                <w:woUserID w:val="2"/>
              </w:rPr>
              <w:t xml:space="preserve"> </w:t>
            </w:r>
            <w:r>
              <w:rPr>
                <w:rFonts w:hint="eastAsia" w:ascii="宋体" w:hAnsi="宋体" w:eastAsia="宋体" w:cs="宋体"/>
                <w:snapToGrid/>
                <w:color w:val="auto"/>
                <w:spacing w:val="-6"/>
                <w:kern w:val="0"/>
                <w:sz w:val="21"/>
                <w:szCs w:val="21"/>
                <w:lang w:val="en-US" w:eastAsia="zh-CN" w:bidi="ar"/>
                <w:woUserID w:val="2"/>
              </w:rPr>
              <w:t>(±80mm)</w:t>
            </w:r>
          </w:p>
          <w:p w14:paraId="7489661E">
            <w:pPr>
              <w:keepNext w:val="0"/>
              <w:keepLines w:val="0"/>
              <w:widowControl/>
              <w:suppressLineNumbers w:val="0"/>
              <w:kinsoku w:val="0"/>
              <w:autoSpaceDE w:val="0"/>
              <w:autoSpaceDN w:val="0"/>
              <w:adjustRightInd w:val="0"/>
              <w:snapToGrid w:val="0"/>
              <w:spacing w:before="144" w:beforeAutospacing="0" w:after="0" w:afterAutospacing="0"/>
              <w:ind w:left="81" w:right="0"/>
              <w:jc w:val="left"/>
              <w:textAlignment w:val="baseline"/>
              <w:rPr>
                <w:rFonts w:hint="eastAsia" w:ascii="宋体" w:hAnsi="宋体" w:eastAsia="宋体" w:cs="宋体"/>
                <w:color w:val="auto"/>
                <w:kern w:val="0"/>
                <w:sz w:val="21"/>
                <w:szCs w:val="21"/>
                <w:woUserID w:val="2"/>
              </w:rPr>
            </w:pPr>
            <w:r>
              <w:rPr>
                <w:rFonts w:hint="eastAsia" w:ascii="宋体" w:hAnsi="宋体" w:eastAsia="宋体" w:cs="宋体"/>
                <w:snapToGrid/>
                <w:color w:val="auto"/>
                <w:kern w:val="0"/>
                <w:sz w:val="21"/>
                <w:szCs w:val="21"/>
                <w:lang w:val="en-US" w:eastAsia="zh-CN" w:bidi="ar"/>
                <w:woUserID w:val="2"/>
              </w:rPr>
              <w:t>14、载物托架(标配):≥4个</w:t>
            </w:r>
          </w:p>
          <w:p w14:paraId="45F69E5D">
            <w:pPr>
              <w:keepNext w:val="0"/>
              <w:keepLines w:val="0"/>
              <w:widowControl/>
              <w:suppressLineNumbers w:val="0"/>
              <w:kinsoku w:val="0"/>
              <w:autoSpaceDE w:val="0"/>
              <w:autoSpaceDN w:val="0"/>
              <w:adjustRightInd w:val="0"/>
              <w:snapToGrid w:val="0"/>
              <w:spacing w:before="61" w:beforeAutospacing="0" w:after="0" w:afterAutospacing="0"/>
              <w:ind w:left="81" w:right="0"/>
              <w:jc w:val="left"/>
              <w:textAlignment w:val="baseline"/>
              <w:rPr>
                <w:rFonts w:hint="eastAsia" w:ascii="宋体" w:hAnsi="宋体" w:eastAsia="宋体" w:cs="宋体"/>
                <w:color w:val="auto"/>
                <w:kern w:val="0"/>
                <w:sz w:val="21"/>
                <w:szCs w:val="21"/>
                <w:woUserID w:val="2"/>
              </w:rPr>
            </w:pPr>
            <w:r>
              <w:rPr>
                <w:rFonts w:hint="eastAsia" w:ascii="宋体" w:hAnsi="宋体" w:eastAsia="宋体" w:cs="宋体"/>
                <w:snapToGrid/>
                <w:color w:val="auto"/>
                <w:kern w:val="0"/>
                <w:sz w:val="21"/>
                <w:szCs w:val="21"/>
                <w:lang w:val="en-US" w:eastAsia="zh-CN" w:bidi="ar"/>
                <w:woUserID w:val="2"/>
              </w:rPr>
              <w:t>15、容积：≥400L</w:t>
            </w:r>
          </w:p>
          <w:p w14:paraId="26A799AA">
            <w:pPr>
              <w:keepNext w:val="0"/>
              <w:keepLines w:val="0"/>
              <w:widowControl/>
              <w:suppressLineNumbers w:val="0"/>
              <w:kinsoku w:val="0"/>
              <w:autoSpaceDE w:val="0"/>
              <w:autoSpaceDN w:val="0"/>
              <w:adjustRightInd w:val="0"/>
              <w:snapToGrid w:val="0"/>
              <w:spacing w:before="59" w:beforeAutospacing="0" w:after="0" w:afterAutospacing="0"/>
              <w:ind w:left="81" w:right="0"/>
              <w:jc w:val="left"/>
              <w:textAlignment w:val="baseline"/>
              <w:rPr>
                <w:rFonts w:hint="eastAsia" w:ascii="宋体" w:hAnsi="宋体" w:eastAsia="宋体" w:cs="宋体"/>
                <w:color w:val="auto"/>
                <w:kern w:val="0"/>
                <w:sz w:val="21"/>
                <w:szCs w:val="21"/>
                <w:woUserID w:val="2"/>
              </w:rPr>
            </w:pPr>
            <w:r>
              <w:rPr>
                <w:rFonts w:hint="eastAsia" w:ascii="宋体" w:hAnsi="宋体" w:eastAsia="宋体" w:cs="宋体"/>
                <w:snapToGrid/>
                <w:color w:val="auto"/>
                <w:spacing w:val="3"/>
                <w:kern w:val="0"/>
                <w:sz w:val="21"/>
                <w:szCs w:val="21"/>
                <w:lang w:val="en-US" w:eastAsia="zh-CN" w:bidi="ar"/>
                <w:woUserID w:val="2"/>
              </w:rPr>
              <w:t>16、控温：5～65℃</w:t>
            </w:r>
          </w:p>
          <w:p w14:paraId="0920D9BB">
            <w:pPr>
              <w:keepNext w:val="0"/>
              <w:keepLines w:val="0"/>
              <w:widowControl/>
              <w:suppressLineNumbers w:val="0"/>
              <w:kinsoku w:val="0"/>
              <w:autoSpaceDE w:val="0"/>
              <w:autoSpaceDN w:val="0"/>
              <w:adjustRightInd w:val="0"/>
              <w:snapToGrid w:val="0"/>
              <w:spacing w:before="39" w:beforeAutospacing="0" w:after="0" w:afterAutospacing="0"/>
              <w:ind w:left="81" w:right="0"/>
              <w:jc w:val="left"/>
              <w:textAlignment w:val="baseline"/>
              <w:rPr>
                <w:rFonts w:hint="eastAsia" w:ascii="宋体" w:hAnsi="宋体" w:eastAsia="宋体" w:cs="宋体"/>
                <w:color w:val="auto"/>
                <w:kern w:val="0"/>
                <w:sz w:val="21"/>
                <w:szCs w:val="21"/>
                <w:woUserID w:val="2"/>
              </w:rPr>
            </w:pPr>
            <w:r>
              <w:rPr>
                <w:rFonts w:hint="eastAsia" w:ascii="宋体" w:hAnsi="宋体" w:eastAsia="宋体" w:cs="宋体"/>
                <w:snapToGrid/>
                <w:color w:val="auto"/>
                <w:spacing w:val="2"/>
                <w:kern w:val="0"/>
                <w:sz w:val="21"/>
                <w:szCs w:val="21"/>
                <w:lang w:val="en-US" w:eastAsia="zh-CN" w:bidi="ar"/>
                <w:woUserID w:val="2"/>
              </w:rPr>
              <w:t>17、温度波动度：±0.8℃</w:t>
            </w:r>
          </w:p>
          <w:p w14:paraId="73F9217C">
            <w:pPr>
              <w:keepNext w:val="0"/>
              <w:keepLines w:val="0"/>
              <w:widowControl/>
              <w:suppressLineNumbers w:val="0"/>
              <w:kinsoku w:val="0"/>
              <w:autoSpaceDE w:val="0"/>
              <w:autoSpaceDN w:val="0"/>
              <w:adjustRightInd w:val="0"/>
              <w:snapToGrid w:val="0"/>
              <w:spacing w:before="80" w:beforeAutospacing="0" w:after="0" w:afterAutospacing="0"/>
              <w:ind w:left="81" w:right="0"/>
              <w:jc w:val="left"/>
              <w:textAlignment w:val="baseline"/>
              <w:rPr>
                <w:rFonts w:hint="eastAsia" w:ascii="宋体" w:hAnsi="宋体" w:eastAsia="宋体" w:cs="宋体"/>
                <w:color w:val="auto"/>
                <w:kern w:val="0"/>
                <w:sz w:val="21"/>
                <w:szCs w:val="21"/>
                <w:woUserID w:val="2"/>
              </w:rPr>
            </w:pPr>
            <w:r>
              <w:rPr>
                <w:rFonts w:hint="eastAsia" w:ascii="宋体" w:hAnsi="宋体" w:eastAsia="宋体" w:cs="宋体"/>
                <w:snapToGrid/>
                <w:color w:val="auto"/>
                <w:spacing w:val="3"/>
                <w:kern w:val="0"/>
                <w:sz w:val="21"/>
                <w:szCs w:val="21"/>
                <w:lang w:val="en-US" w:eastAsia="zh-CN" w:bidi="ar"/>
                <w:woUserID w:val="2"/>
              </w:rPr>
              <w:t>18、温度分辨率：≤0.1℃</w:t>
            </w:r>
          </w:p>
          <w:p w14:paraId="044D73C2">
            <w:pPr>
              <w:keepNext w:val="0"/>
              <w:keepLines w:val="0"/>
              <w:widowControl/>
              <w:suppressLineNumbers w:val="0"/>
              <w:kinsoku w:val="0"/>
              <w:autoSpaceDE w:val="0"/>
              <w:autoSpaceDN w:val="0"/>
              <w:adjustRightInd w:val="0"/>
              <w:snapToGrid w:val="0"/>
              <w:spacing w:before="61" w:beforeAutospacing="0" w:after="0" w:afterAutospacing="0"/>
              <w:ind w:left="81" w:right="0"/>
              <w:jc w:val="left"/>
              <w:textAlignment w:val="baseline"/>
              <w:rPr>
                <w:rFonts w:hint="eastAsia" w:ascii="宋体" w:hAnsi="宋体" w:eastAsia="宋体" w:cs="宋体"/>
                <w:color w:val="auto"/>
                <w:kern w:val="0"/>
                <w:sz w:val="21"/>
                <w:szCs w:val="21"/>
                <w:woUserID w:val="2"/>
              </w:rPr>
            </w:pPr>
            <w:r>
              <w:rPr>
                <w:rFonts w:hint="eastAsia" w:ascii="宋体" w:hAnsi="宋体" w:eastAsia="宋体" w:cs="宋体"/>
                <w:snapToGrid/>
                <w:color w:val="auto"/>
                <w:spacing w:val="2"/>
                <w:kern w:val="0"/>
                <w:sz w:val="21"/>
                <w:szCs w:val="21"/>
                <w:lang w:val="en-US" w:eastAsia="zh-CN" w:bidi="ar"/>
                <w:woUserID w:val="2"/>
              </w:rPr>
              <w:t>19、温度均匀度：±1.5℃</w:t>
            </w:r>
          </w:p>
          <w:p w14:paraId="0AD490E3">
            <w:pPr>
              <w:keepNext w:val="0"/>
              <w:keepLines w:val="0"/>
              <w:widowControl/>
              <w:suppressLineNumbers w:val="0"/>
              <w:kinsoku w:val="0"/>
              <w:autoSpaceDE w:val="0"/>
              <w:autoSpaceDN w:val="0"/>
              <w:adjustRightInd w:val="0"/>
              <w:snapToGrid w:val="0"/>
              <w:spacing w:before="80" w:beforeAutospacing="0" w:after="0" w:afterAutospacing="0"/>
              <w:ind w:left="81" w:right="0"/>
              <w:jc w:val="left"/>
              <w:textAlignment w:val="baseline"/>
              <w:rPr>
                <w:rFonts w:hint="eastAsia" w:ascii="宋体" w:hAnsi="宋体" w:eastAsia="宋体" w:cs="宋体"/>
                <w:color w:val="auto"/>
                <w:kern w:val="0"/>
                <w:sz w:val="21"/>
                <w:szCs w:val="21"/>
                <w:woUserID w:val="2"/>
              </w:rPr>
            </w:pPr>
            <w:r>
              <w:rPr>
                <w:rFonts w:hint="eastAsia" w:ascii="宋体" w:hAnsi="宋体" w:eastAsia="宋体" w:cs="宋体"/>
                <w:snapToGrid/>
                <w:color w:val="auto"/>
                <w:spacing w:val="-1"/>
                <w:kern w:val="0"/>
                <w:sz w:val="21"/>
                <w:szCs w:val="21"/>
                <w:lang w:val="en-US" w:eastAsia="zh-CN" w:bidi="ar"/>
                <w:woUserID w:val="2"/>
              </w:rPr>
              <w:t>20、控湿范围：50%-95%RH</w:t>
            </w:r>
          </w:p>
          <w:p w14:paraId="1436CF77">
            <w:pPr>
              <w:keepNext w:val="0"/>
              <w:keepLines w:val="0"/>
              <w:widowControl/>
              <w:suppressLineNumbers w:val="0"/>
              <w:kinsoku w:val="0"/>
              <w:autoSpaceDE w:val="0"/>
              <w:autoSpaceDN w:val="0"/>
              <w:adjustRightInd w:val="0"/>
              <w:snapToGrid w:val="0"/>
              <w:spacing w:before="49" w:beforeAutospacing="0" w:after="0" w:afterAutospacing="0"/>
              <w:ind w:left="81" w:right="0"/>
              <w:jc w:val="left"/>
              <w:textAlignment w:val="baseline"/>
              <w:rPr>
                <w:rFonts w:hint="eastAsia" w:ascii="宋体" w:hAnsi="宋体" w:eastAsia="宋体" w:cs="宋体"/>
                <w:color w:val="auto"/>
                <w:kern w:val="0"/>
                <w:sz w:val="21"/>
                <w:szCs w:val="21"/>
                <w:woUserID w:val="2"/>
              </w:rPr>
            </w:pPr>
            <w:r>
              <w:rPr>
                <w:rFonts w:hint="eastAsia" w:ascii="宋体" w:hAnsi="宋体" w:eastAsia="宋体" w:cs="宋体"/>
                <w:snapToGrid/>
                <w:color w:val="auto"/>
                <w:spacing w:val="-1"/>
                <w:kern w:val="0"/>
                <w:sz w:val="21"/>
                <w:szCs w:val="21"/>
                <w:lang w:val="en-US" w:eastAsia="zh-CN" w:bidi="ar"/>
                <w:woUserID w:val="2"/>
              </w:rPr>
              <w:t>21、湿度波动度：±8%</w:t>
            </w:r>
          </w:p>
          <w:p w14:paraId="754DDF74">
            <w:pPr>
              <w:keepNext w:val="0"/>
              <w:keepLines w:val="0"/>
              <w:widowControl/>
              <w:suppressLineNumbers w:val="0"/>
              <w:kinsoku w:val="0"/>
              <w:autoSpaceDE w:val="0"/>
              <w:autoSpaceDN w:val="0"/>
              <w:adjustRightInd w:val="0"/>
              <w:snapToGrid w:val="0"/>
              <w:spacing w:before="60" w:beforeAutospacing="0" w:after="0" w:afterAutospacing="0"/>
              <w:ind w:left="81" w:right="0"/>
              <w:jc w:val="left"/>
              <w:textAlignment w:val="baseline"/>
              <w:rPr>
                <w:rFonts w:hint="eastAsia" w:ascii="宋体" w:hAnsi="宋体" w:eastAsia="宋体" w:cs="宋体"/>
                <w:color w:val="auto"/>
                <w:kern w:val="0"/>
                <w:sz w:val="21"/>
                <w:szCs w:val="21"/>
                <w:woUserID w:val="2"/>
              </w:rPr>
            </w:pPr>
            <w:r>
              <w:rPr>
                <w:rFonts w:hint="eastAsia" w:ascii="宋体" w:hAnsi="宋体" w:eastAsia="宋体" w:cs="宋体"/>
                <w:snapToGrid/>
                <w:color w:val="auto"/>
                <w:kern w:val="0"/>
                <w:sz w:val="21"/>
                <w:szCs w:val="21"/>
                <w:lang w:val="en-US" w:eastAsia="zh-CN" w:bidi="ar"/>
                <w:woUserID w:val="2"/>
              </w:rPr>
              <w:t>22、湿度分辨率：0.1%</w:t>
            </w:r>
          </w:p>
          <w:p w14:paraId="0D1A5867">
            <w:pPr>
              <w:keepNext w:val="0"/>
              <w:keepLines w:val="0"/>
              <w:widowControl/>
              <w:suppressLineNumbers w:val="0"/>
              <w:kinsoku w:val="0"/>
              <w:autoSpaceDE w:val="0"/>
              <w:autoSpaceDN w:val="0"/>
              <w:adjustRightInd w:val="0"/>
              <w:snapToGrid w:val="0"/>
              <w:spacing w:before="80" w:beforeAutospacing="0" w:after="0" w:afterAutospacing="0"/>
              <w:ind w:left="81" w:right="0"/>
              <w:jc w:val="left"/>
              <w:textAlignment w:val="baseline"/>
              <w:rPr>
                <w:rFonts w:hint="eastAsia" w:ascii="宋体" w:hAnsi="宋体" w:eastAsia="宋体" w:cs="宋体"/>
                <w:color w:val="auto"/>
                <w:kern w:val="0"/>
                <w:sz w:val="21"/>
                <w:szCs w:val="21"/>
                <w:woUserID w:val="2"/>
              </w:rPr>
            </w:pPr>
            <w:r>
              <w:rPr>
                <w:rFonts w:hint="eastAsia" w:ascii="宋体" w:hAnsi="宋体" w:eastAsia="宋体" w:cs="宋体"/>
                <w:snapToGrid/>
                <w:color w:val="auto"/>
                <w:spacing w:val="-1"/>
                <w:kern w:val="0"/>
                <w:sz w:val="21"/>
                <w:szCs w:val="21"/>
                <w:lang w:val="en-US" w:eastAsia="zh-CN" w:bidi="ar"/>
                <w:woUserID w:val="2"/>
              </w:rPr>
              <w:t>23、光照度：0～25000LX</w:t>
            </w:r>
          </w:p>
          <w:p w14:paraId="57584659">
            <w:pPr>
              <w:keepNext w:val="0"/>
              <w:keepLines w:val="0"/>
              <w:widowControl/>
              <w:suppressLineNumbers w:val="0"/>
              <w:kinsoku w:val="0"/>
              <w:autoSpaceDE w:val="0"/>
              <w:autoSpaceDN w:val="0"/>
              <w:adjustRightInd w:val="0"/>
              <w:snapToGrid w:val="0"/>
              <w:spacing w:before="51" w:beforeAutospacing="0" w:after="0" w:afterAutospacing="0"/>
              <w:ind w:left="81" w:right="0"/>
              <w:jc w:val="left"/>
              <w:textAlignment w:val="baseline"/>
              <w:rPr>
                <w:rFonts w:hint="eastAsia" w:ascii="宋体" w:hAnsi="宋体" w:eastAsia="宋体" w:cs="宋体"/>
                <w:color w:val="auto"/>
                <w:kern w:val="0"/>
                <w:sz w:val="21"/>
                <w:szCs w:val="21"/>
                <w:woUserID w:val="2"/>
              </w:rPr>
            </w:pPr>
            <w:r>
              <w:rPr>
                <w:rFonts w:hint="eastAsia" w:ascii="宋体" w:hAnsi="宋体" w:eastAsia="宋体" w:cs="宋体"/>
                <w:snapToGrid/>
                <w:color w:val="auto"/>
                <w:spacing w:val="-1"/>
                <w:kern w:val="0"/>
                <w:sz w:val="21"/>
                <w:szCs w:val="21"/>
                <w:lang w:val="en-US" w:eastAsia="zh-CN" w:bidi="ar"/>
                <w:woUserID w:val="2"/>
              </w:rPr>
              <w:t>24、功率：≥690W</w:t>
            </w:r>
          </w:p>
          <w:p w14:paraId="5D375A8D">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firstLine="0" w:firstLineChars="0"/>
              <w:jc w:val="left"/>
              <w:textAlignment w:val="baseline"/>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snapToGrid/>
                <w:color w:val="auto"/>
                <w:spacing w:val="-1"/>
                <w:kern w:val="0"/>
                <w:sz w:val="21"/>
                <w:szCs w:val="21"/>
                <w:lang w:val="en-US" w:eastAsia="zh-CN" w:bidi="ar"/>
                <w:woUserID w:val="2"/>
              </w:rPr>
              <w:t>25、电源：220VAC50HZ</w:t>
            </w:r>
          </w:p>
        </w:tc>
        <w:tc>
          <w:tcPr>
            <w:tcW w:w="701"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B3A2F71">
            <w:pPr>
              <w:keepNext w:val="0"/>
              <w:keepLines w:val="0"/>
              <w:suppressLineNumbers w:val="0"/>
              <w:spacing w:before="0" w:beforeAutospacing="0" w:after="0" w:afterAutospacing="0" w:line="380" w:lineRule="exact"/>
              <w:ind w:left="0" w:leftChars="0" w:right="0" w:rightChars="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rPr>
              <w:t>台</w:t>
            </w:r>
          </w:p>
        </w:tc>
        <w:tc>
          <w:tcPr>
            <w:tcW w:w="668" w:type="dxa"/>
            <w:tcBorders>
              <w:top w:val="single" w:color="auto" w:sz="4" w:space="0"/>
              <w:left w:val="single" w:color="auto" w:sz="4" w:space="0"/>
              <w:bottom w:val="single" w:color="auto" w:sz="4" w:space="0"/>
              <w:right w:val="single" w:color="auto" w:sz="4" w:space="0"/>
            </w:tcBorders>
            <w:vAlign w:val="center"/>
          </w:tcPr>
          <w:p w14:paraId="2E8E931F">
            <w:pPr>
              <w:keepNext w:val="0"/>
              <w:keepLines w:val="0"/>
              <w:suppressLineNumbers w:val="0"/>
              <w:spacing w:before="0" w:beforeAutospacing="0" w:after="0" w:afterAutospacing="0" w:line="380" w:lineRule="exact"/>
              <w:ind w:left="0" w:leftChars="0" w:right="0" w:rightChars="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rPr>
              <w:t>1</w:t>
            </w:r>
          </w:p>
        </w:tc>
      </w:tr>
      <w:tr w14:paraId="2A8B4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414"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7761BE8">
            <w:pPr>
              <w:keepNext w:val="0"/>
              <w:keepLines w:val="0"/>
              <w:widowControl/>
              <w:numPr>
                <w:ilvl w:val="0"/>
                <w:numId w:val="0"/>
              </w:numPr>
              <w:suppressLineNumbers w:val="0"/>
              <w:spacing w:before="0" w:beforeAutospacing="0" w:after="0" w:afterAutospacing="0" w:line="570" w:lineRule="exact"/>
              <w:ind w:left="0" w:leftChars="0" w:right="0" w:rightChars="0" w:firstLine="0" w:firstLineChars="0"/>
              <w:jc w:val="center"/>
              <w:textAlignment w:val="center"/>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 w:val="21"/>
                <w:szCs w:val="21"/>
                <w:lang w:val="en-US" w:eastAsia="zh-CN"/>
              </w:rPr>
              <w:t>21</w:t>
            </w:r>
          </w:p>
        </w:tc>
        <w:tc>
          <w:tcPr>
            <w:tcW w:w="883"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18EDE4B">
            <w:pPr>
              <w:keepNext w:val="0"/>
              <w:keepLines w:val="0"/>
              <w:suppressLineNumbers w:val="0"/>
              <w:snapToGrid w:val="0"/>
              <w:spacing w:before="0" w:beforeAutospacing="0" w:after="0" w:afterAutospacing="0"/>
              <w:ind w:left="0" w:leftChars="0" w:right="0" w:rightChars="0"/>
              <w:jc w:val="center"/>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val="0"/>
                <w:bCs w:val="0"/>
                <w:color w:val="auto"/>
                <w:sz w:val="21"/>
                <w:szCs w:val="21"/>
              </w:rPr>
              <w:t>小动物活体成像系统</w:t>
            </w:r>
          </w:p>
        </w:tc>
        <w:tc>
          <w:tcPr>
            <w:tcW w:w="6760"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14988D1">
            <w:pPr>
              <w:keepNext w:val="0"/>
              <w:keepLines w:val="0"/>
              <w:widowControl/>
              <w:suppressLineNumbers w:val="0"/>
              <w:kinsoku w:val="0"/>
              <w:autoSpaceDE w:val="0"/>
              <w:autoSpaceDN w:val="0"/>
              <w:adjustRightInd w:val="0"/>
              <w:snapToGrid w:val="0"/>
              <w:spacing w:before="15" w:beforeAutospacing="0" w:after="0" w:afterAutospacing="0" w:line="264" w:lineRule="auto"/>
              <w:ind w:left="18" w:right="0" w:firstLine="9"/>
              <w:jc w:val="both"/>
              <w:textAlignment w:val="baseline"/>
              <w:rPr>
                <w:rFonts w:hint="eastAsia" w:ascii="宋体" w:hAnsi="宋体" w:eastAsia="宋体" w:cs="宋体"/>
                <w:snapToGrid/>
                <w:color w:val="auto"/>
                <w:spacing w:val="6"/>
                <w:kern w:val="0"/>
                <w:sz w:val="21"/>
                <w:szCs w:val="21"/>
                <w:lang w:val="en-US" w:eastAsia="zh-CN" w:bidi="ar"/>
                <w:woUserID w:val="2"/>
              </w:rPr>
            </w:pPr>
            <w:r>
              <w:rPr>
                <w:rFonts w:hint="eastAsia" w:ascii="宋体" w:hAnsi="宋体" w:eastAsia="宋体" w:cs="宋体"/>
                <w:snapToGrid/>
                <w:color w:val="auto"/>
                <w:spacing w:val="6"/>
                <w:kern w:val="0"/>
                <w:sz w:val="21"/>
                <w:szCs w:val="21"/>
                <w:lang w:val="en-US" w:eastAsia="zh-CN" w:bidi="ar"/>
                <w:woUserID w:val="2"/>
              </w:rPr>
              <w:t>一、设备性能</w:t>
            </w:r>
          </w:p>
          <w:p w14:paraId="5307D4EB">
            <w:pPr>
              <w:keepNext w:val="0"/>
              <w:keepLines w:val="0"/>
              <w:widowControl/>
              <w:suppressLineNumbers w:val="0"/>
              <w:kinsoku w:val="0"/>
              <w:autoSpaceDE w:val="0"/>
              <w:autoSpaceDN w:val="0"/>
              <w:adjustRightInd w:val="0"/>
              <w:snapToGrid w:val="0"/>
              <w:spacing w:before="15" w:beforeAutospacing="0" w:after="0" w:afterAutospacing="0" w:line="264" w:lineRule="auto"/>
              <w:ind w:left="18" w:right="0" w:firstLine="9"/>
              <w:jc w:val="both"/>
              <w:textAlignment w:val="baseline"/>
              <w:rPr>
                <w:rFonts w:hint="eastAsia" w:ascii="宋体" w:hAnsi="宋体" w:eastAsia="宋体" w:cs="宋体"/>
                <w:snapToGrid/>
                <w:color w:val="auto"/>
                <w:spacing w:val="6"/>
                <w:kern w:val="0"/>
                <w:sz w:val="21"/>
                <w:szCs w:val="21"/>
                <w:lang w:val="en-US" w:eastAsia="zh-CN" w:bidi="ar"/>
                <w:woUserID w:val="2"/>
              </w:rPr>
            </w:pPr>
            <w:r>
              <w:rPr>
                <w:rFonts w:hint="eastAsia" w:ascii="宋体" w:hAnsi="宋体" w:eastAsia="宋体" w:cs="宋体"/>
                <w:snapToGrid/>
                <w:color w:val="auto"/>
                <w:spacing w:val="6"/>
                <w:kern w:val="0"/>
                <w:sz w:val="21"/>
                <w:szCs w:val="21"/>
                <w:lang w:val="en-US" w:eastAsia="zh-CN" w:bidi="ar"/>
                <w:woUserID w:val="2"/>
              </w:rPr>
              <w:t>1.1 小动物体内发光成像，适用于荧光素酶标记的肿瘤学基础研究、报告基因表达成像、基因治疗以及药物筛选、药效与剂量评价等</w:t>
            </w:r>
          </w:p>
          <w:p w14:paraId="2768C7F6">
            <w:pPr>
              <w:keepNext w:val="0"/>
              <w:keepLines w:val="0"/>
              <w:widowControl/>
              <w:suppressLineNumbers w:val="0"/>
              <w:kinsoku w:val="0"/>
              <w:autoSpaceDE w:val="0"/>
              <w:autoSpaceDN w:val="0"/>
              <w:adjustRightInd w:val="0"/>
              <w:snapToGrid w:val="0"/>
              <w:spacing w:before="15" w:beforeAutospacing="0" w:after="0" w:afterAutospacing="0" w:line="264" w:lineRule="auto"/>
              <w:ind w:left="18" w:right="0" w:firstLine="9"/>
              <w:jc w:val="both"/>
              <w:textAlignment w:val="baseline"/>
              <w:rPr>
                <w:rFonts w:hint="eastAsia" w:ascii="宋体" w:hAnsi="宋体" w:eastAsia="宋体" w:cs="宋体"/>
                <w:snapToGrid/>
                <w:color w:val="auto"/>
                <w:spacing w:val="6"/>
                <w:kern w:val="0"/>
                <w:sz w:val="21"/>
                <w:szCs w:val="21"/>
                <w:lang w:val="en-US" w:eastAsia="zh-CN" w:bidi="ar"/>
                <w:woUserID w:val="2"/>
              </w:rPr>
            </w:pPr>
            <w:r>
              <w:rPr>
                <w:rFonts w:hint="eastAsia" w:ascii="宋体" w:hAnsi="宋体" w:eastAsia="宋体" w:cs="宋体"/>
                <w:snapToGrid/>
                <w:color w:val="auto"/>
                <w:spacing w:val="6"/>
                <w:kern w:val="0"/>
                <w:sz w:val="21"/>
                <w:szCs w:val="21"/>
                <w:lang w:val="en-US" w:eastAsia="zh-CN" w:bidi="ar"/>
                <w:woUserID w:val="2"/>
              </w:rPr>
              <w:t>1.2 小动物体内荧光成像，适用于各种荧光标记物在体内的分布及代谢示踪实验</w:t>
            </w:r>
          </w:p>
          <w:p w14:paraId="21316D00">
            <w:pPr>
              <w:keepNext w:val="0"/>
              <w:keepLines w:val="0"/>
              <w:widowControl/>
              <w:suppressLineNumbers w:val="0"/>
              <w:kinsoku w:val="0"/>
              <w:autoSpaceDE w:val="0"/>
              <w:autoSpaceDN w:val="0"/>
              <w:adjustRightInd w:val="0"/>
              <w:snapToGrid w:val="0"/>
              <w:spacing w:before="15" w:beforeAutospacing="0" w:after="0" w:afterAutospacing="0" w:line="264" w:lineRule="auto"/>
              <w:ind w:left="18" w:right="0" w:firstLine="9"/>
              <w:jc w:val="both"/>
              <w:textAlignment w:val="baseline"/>
              <w:rPr>
                <w:rFonts w:hint="eastAsia" w:ascii="宋体" w:hAnsi="宋体" w:eastAsia="宋体" w:cs="宋体"/>
                <w:snapToGrid/>
                <w:color w:val="auto"/>
                <w:spacing w:val="6"/>
                <w:kern w:val="0"/>
                <w:sz w:val="21"/>
                <w:szCs w:val="21"/>
                <w:lang w:val="en-US" w:eastAsia="zh-CN" w:bidi="ar"/>
                <w:woUserID w:val="2"/>
              </w:rPr>
            </w:pPr>
            <w:r>
              <w:rPr>
                <w:rFonts w:hint="eastAsia" w:ascii="宋体" w:hAnsi="宋体" w:eastAsia="宋体" w:cs="宋体"/>
                <w:snapToGrid/>
                <w:color w:val="auto"/>
                <w:spacing w:val="6"/>
                <w:kern w:val="0"/>
                <w:sz w:val="21"/>
                <w:szCs w:val="21"/>
                <w:lang w:val="en-US" w:eastAsia="zh-CN" w:bidi="ar"/>
                <w:woUserID w:val="2"/>
              </w:rPr>
              <w:t>1.3小动物结构成像，适用于骨折、骨肿瘤等相关研究</w:t>
            </w:r>
          </w:p>
          <w:p w14:paraId="56379F91">
            <w:pPr>
              <w:keepNext w:val="0"/>
              <w:keepLines w:val="0"/>
              <w:widowControl/>
              <w:suppressLineNumbers w:val="0"/>
              <w:kinsoku w:val="0"/>
              <w:autoSpaceDE w:val="0"/>
              <w:autoSpaceDN w:val="0"/>
              <w:adjustRightInd w:val="0"/>
              <w:snapToGrid w:val="0"/>
              <w:spacing w:before="15" w:beforeAutospacing="0" w:after="0" w:afterAutospacing="0" w:line="264" w:lineRule="auto"/>
              <w:ind w:left="18" w:right="0" w:firstLine="9"/>
              <w:jc w:val="both"/>
              <w:textAlignment w:val="baseline"/>
              <w:rPr>
                <w:rFonts w:hint="eastAsia" w:ascii="宋体" w:hAnsi="宋体" w:eastAsia="宋体" w:cs="宋体"/>
                <w:snapToGrid/>
                <w:color w:val="auto"/>
                <w:spacing w:val="6"/>
                <w:kern w:val="0"/>
                <w:sz w:val="21"/>
                <w:szCs w:val="21"/>
                <w:lang w:val="en-US" w:eastAsia="zh-CN" w:bidi="ar"/>
                <w:woUserID w:val="2"/>
              </w:rPr>
            </w:pPr>
            <w:r>
              <w:rPr>
                <w:rFonts w:hint="eastAsia" w:ascii="宋体" w:hAnsi="宋体" w:eastAsia="宋体" w:cs="宋体"/>
                <w:snapToGrid/>
                <w:color w:val="auto"/>
                <w:spacing w:val="6"/>
                <w:kern w:val="0"/>
                <w:sz w:val="21"/>
                <w:szCs w:val="21"/>
                <w:lang w:val="en-US" w:eastAsia="zh-CN" w:bidi="ar"/>
                <w:woUserID w:val="2"/>
              </w:rPr>
              <w:t>二、技术指标</w:t>
            </w:r>
          </w:p>
          <w:p w14:paraId="5CED7507">
            <w:pPr>
              <w:keepNext w:val="0"/>
              <w:keepLines w:val="0"/>
              <w:widowControl/>
              <w:suppressLineNumbers w:val="0"/>
              <w:kinsoku w:val="0"/>
              <w:autoSpaceDE w:val="0"/>
              <w:autoSpaceDN w:val="0"/>
              <w:adjustRightInd w:val="0"/>
              <w:snapToGrid w:val="0"/>
              <w:spacing w:before="15" w:beforeAutospacing="0" w:after="0" w:afterAutospacing="0" w:line="264" w:lineRule="auto"/>
              <w:ind w:left="18" w:right="0" w:firstLine="9"/>
              <w:jc w:val="both"/>
              <w:textAlignment w:val="baseline"/>
              <w:rPr>
                <w:rFonts w:hint="eastAsia" w:ascii="宋体" w:hAnsi="宋体" w:eastAsia="宋体" w:cs="宋体"/>
                <w:snapToGrid/>
                <w:color w:val="auto"/>
                <w:spacing w:val="6"/>
                <w:kern w:val="0"/>
                <w:sz w:val="21"/>
                <w:szCs w:val="21"/>
                <w:lang w:val="en-US" w:eastAsia="zh-CN" w:bidi="ar"/>
                <w:woUserID w:val="2"/>
              </w:rPr>
            </w:pPr>
            <w:r>
              <w:rPr>
                <w:rFonts w:hint="eastAsia" w:ascii="宋体" w:hAnsi="宋体" w:eastAsia="宋体" w:cs="宋体"/>
                <w:snapToGrid/>
                <w:color w:val="auto"/>
                <w:spacing w:val="6"/>
                <w:kern w:val="0"/>
                <w:sz w:val="21"/>
                <w:szCs w:val="21"/>
                <w:lang w:val="en-US" w:eastAsia="zh-CN" w:bidi="ar"/>
                <w:woUserID w:val="2"/>
              </w:rPr>
              <w:t>2.1 CCD成像单元</w:t>
            </w:r>
          </w:p>
          <w:p w14:paraId="2883D3F0">
            <w:pPr>
              <w:keepNext w:val="0"/>
              <w:keepLines w:val="0"/>
              <w:widowControl/>
              <w:suppressLineNumbers w:val="0"/>
              <w:kinsoku w:val="0"/>
              <w:autoSpaceDE w:val="0"/>
              <w:autoSpaceDN w:val="0"/>
              <w:adjustRightInd w:val="0"/>
              <w:snapToGrid w:val="0"/>
              <w:spacing w:before="15" w:beforeAutospacing="0" w:after="0" w:afterAutospacing="0" w:line="264" w:lineRule="auto"/>
              <w:ind w:left="18" w:right="0" w:firstLine="9"/>
              <w:jc w:val="both"/>
              <w:textAlignment w:val="baseline"/>
              <w:rPr>
                <w:rFonts w:hint="eastAsia" w:ascii="宋体" w:hAnsi="宋体" w:eastAsia="宋体" w:cs="宋体"/>
                <w:snapToGrid/>
                <w:color w:val="auto"/>
                <w:spacing w:val="6"/>
                <w:kern w:val="0"/>
                <w:sz w:val="21"/>
                <w:szCs w:val="21"/>
                <w:lang w:val="en-US" w:eastAsia="zh-CN" w:bidi="ar"/>
                <w:woUserID w:val="2"/>
              </w:rPr>
            </w:pPr>
            <w:r>
              <w:rPr>
                <w:rFonts w:hint="eastAsia" w:ascii="宋体" w:hAnsi="宋体" w:eastAsia="宋体" w:cs="宋体"/>
                <w:snapToGrid/>
                <w:color w:val="auto"/>
                <w:spacing w:val="6"/>
                <w:kern w:val="0"/>
                <w:sz w:val="21"/>
                <w:szCs w:val="21"/>
                <w:lang w:val="en-US" w:eastAsia="zh-CN" w:bidi="ar"/>
                <w:woUserID w:val="2"/>
              </w:rPr>
              <w:t>2.1.1 CCD芯片：高灵敏度科学级冷CCD</w:t>
            </w:r>
          </w:p>
          <w:p w14:paraId="7A8A0489">
            <w:pPr>
              <w:keepNext w:val="0"/>
              <w:keepLines w:val="0"/>
              <w:widowControl/>
              <w:suppressLineNumbers w:val="0"/>
              <w:kinsoku w:val="0"/>
              <w:autoSpaceDE w:val="0"/>
              <w:autoSpaceDN w:val="0"/>
              <w:adjustRightInd w:val="0"/>
              <w:snapToGrid w:val="0"/>
              <w:spacing w:before="15" w:beforeAutospacing="0" w:after="0" w:afterAutospacing="0" w:line="264" w:lineRule="auto"/>
              <w:ind w:left="18" w:right="0" w:firstLine="9"/>
              <w:jc w:val="both"/>
              <w:textAlignment w:val="baseline"/>
              <w:rPr>
                <w:rFonts w:hint="eastAsia" w:ascii="宋体" w:hAnsi="宋体" w:eastAsia="宋体" w:cs="宋体"/>
                <w:snapToGrid/>
                <w:color w:val="auto"/>
                <w:spacing w:val="6"/>
                <w:kern w:val="0"/>
                <w:sz w:val="21"/>
                <w:szCs w:val="21"/>
                <w:lang w:val="en-US" w:eastAsia="zh-CN" w:bidi="ar"/>
                <w:woUserID w:val="2"/>
              </w:rPr>
            </w:pPr>
            <w:r>
              <w:rPr>
                <w:rFonts w:hint="eastAsia" w:ascii="宋体" w:hAnsi="宋体" w:cs="宋体"/>
                <w:szCs w:val="21"/>
                <w:lang w:bidi="ar"/>
              </w:rPr>
              <w:t>■</w:t>
            </w:r>
            <w:r>
              <w:rPr>
                <w:rFonts w:hint="eastAsia" w:ascii="宋体" w:hAnsi="宋体" w:eastAsia="宋体" w:cs="宋体"/>
                <w:snapToGrid/>
                <w:color w:val="auto"/>
                <w:spacing w:val="6"/>
                <w:kern w:val="0"/>
                <w:sz w:val="21"/>
                <w:szCs w:val="21"/>
                <w:lang w:val="en-US" w:eastAsia="zh-CN" w:bidi="ar"/>
                <w:woUserID w:val="2"/>
              </w:rPr>
              <w:t>2.1.2 灰 度 值：≥16 bit</w:t>
            </w:r>
          </w:p>
          <w:p w14:paraId="63C596AC">
            <w:pPr>
              <w:keepNext w:val="0"/>
              <w:keepLines w:val="0"/>
              <w:widowControl/>
              <w:suppressLineNumbers w:val="0"/>
              <w:kinsoku w:val="0"/>
              <w:autoSpaceDE w:val="0"/>
              <w:autoSpaceDN w:val="0"/>
              <w:adjustRightInd w:val="0"/>
              <w:snapToGrid w:val="0"/>
              <w:spacing w:before="15" w:beforeAutospacing="0" w:after="0" w:afterAutospacing="0" w:line="264" w:lineRule="auto"/>
              <w:ind w:left="18" w:right="0" w:firstLine="9"/>
              <w:jc w:val="both"/>
              <w:textAlignment w:val="baseline"/>
              <w:rPr>
                <w:rFonts w:hint="eastAsia" w:ascii="宋体" w:hAnsi="宋体" w:eastAsia="宋体" w:cs="宋体"/>
                <w:snapToGrid/>
                <w:color w:val="auto"/>
                <w:spacing w:val="6"/>
                <w:kern w:val="0"/>
                <w:sz w:val="21"/>
                <w:szCs w:val="21"/>
                <w:lang w:val="en-US" w:eastAsia="zh-CN" w:bidi="ar"/>
                <w:woUserID w:val="2"/>
              </w:rPr>
            </w:pPr>
            <w:r>
              <w:rPr>
                <w:rFonts w:hint="eastAsia" w:ascii="宋体" w:hAnsi="宋体" w:cs="宋体"/>
                <w:szCs w:val="21"/>
                <w:lang w:bidi="ar"/>
              </w:rPr>
              <w:t>■</w:t>
            </w:r>
            <w:r>
              <w:rPr>
                <w:rFonts w:hint="eastAsia" w:ascii="宋体" w:hAnsi="宋体" w:eastAsia="宋体" w:cs="宋体"/>
                <w:snapToGrid/>
                <w:color w:val="auto"/>
                <w:spacing w:val="6"/>
                <w:kern w:val="0"/>
                <w:sz w:val="21"/>
                <w:szCs w:val="21"/>
                <w:lang w:val="en-US" w:eastAsia="zh-CN" w:bidi="ar"/>
                <w:woUserID w:val="2"/>
              </w:rPr>
              <w:t>2.1.3 分 辨 率：≥2688×2200</w:t>
            </w:r>
          </w:p>
          <w:p w14:paraId="1B1BD855">
            <w:pPr>
              <w:keepNext w:val="0"/>
              <w:keepLines w:val="0"/>
              <w:widowControl/>
              <w:suppressLineNumbers w:val="0"/>
              <w:kinsoku w:val="0"/>
              <w:autoSpaceDE w:val="0"/>
              <w:autoSpaceDN w:val="0"/>
              <w:adjustRightInd w:val="0"/>
              <w:snapToGrid w:val="0"/>
              <w:spacing w:before="15" w:beforeAutospacing="0" w:after="0" w:afterAutospacing="0" w:line="264" w:lineRule="auto"/>
              <w:ind w:left="18" w:right="0" w:firstLine="9"/>
              <w:jc w:val="both"/>
              <w:textAlignment w:val="baseline"/>
              <w:rPr>
                <w:rFonts w:hint="eastAsia" w:ascii="宋体" w:hAnsi="宋体" w:eastAsia="宋体" w:cs="宋体"/>
                <w:snapToGrid/>
                <w:color w:val="auto"/>
                <w:spacing w:val="6"/>
                <w:kern w:val="0"/>
                <w:sz w:val="21"/>
                <w:szCs w:val="21"/>
                <w:lang w:val="en-US" w:eastAsia="zh-CN" w:bidi="ar"/>
                <w:woUserID w:val="2"/>
              </w:rPr>
            </w:pPr>
            <w:r>
              <w:rPr>
                <w:rFonts w:hint="eastAsia" w:ascii="宋体" w:hAnsi="宋体" w:cs="宋体"/>
                <w:szCs w:val="21"/>
                <w:lang w:bidi="ar"/>
              </w:rPr>
              <w:t>■</w:t>
            </w:r>
            <w:r>
              <w:rPr>
                <w:rFonts w:hint="eastAsia" w:ascii="宋体" w:hAnsi="宋体" w:eastAsia="宋体" w:cs="宋体"/>
                <w:snapToGrid/>
                <w:color w:val="auto"/>
                <w:spacing w:val="6"/>
                <w:kern w:val="0"/>
                <w:sz w:val="21"/>
                <w:szCs w:val="21"/>
                <w:lang w:val="en-US" w:eastAsia="zh-CN" w:bidi="ar"/>
                <w:woUserID w:val="2"/>
              </w:rPr>
              <w:t>2.1.4 像素点尺寸：≥4.54μm×4.54μm</w:t>
            </w:r>
          </w:p>
          <w:p w14:paraId="298FA2D6">
            <w:pPr>
              <w:keepNext w:val="0"/>
              <w:keepLines w:val="0"/>
              <w:widowControl/>
              <w:suppressLineNumbers w:val="0"/>
              <w:kinsoku w:val="0"/>
              <w:autoSpaceDE w:val="0"/>
              <w:autoSpaceDN w:val="0"/>
              <w:adjustRightInd w:val="0"/>
              <w:snapToGrid w:val="0"/>
              <w:spacing w:before="15" w:beforeAutospacing="0" w:after="0" w:afterAutospacing="0" w:line="264" w:lineRule="auto"/>
              <w:ind w:left="18" w:right="0" w:firstLine="9"/>
              <w:jc w:val="both"/>
              <w:textAlignment w:val="baseline"/>
              <w:rPr>
                <w:rFonts w:hint="eastAsia" w:ascii="宋体" w:hAnsi="宋体" w:eastAsia="宋体" w:cs="宋体"/>
                <w:snapToGrid/>
                <w:color w:val="auto"/>
                <w:spacing w:val="6"/>
                <w:kern w:val="0"/>
                <w:sz w:val="21"/>
                <w:szCs w:val="21"/>
                <w:lang w:val="en-US" w:eastAsia="zh-CN" w:bidi="ar"/>
                <w:woUserID w:val="2"/>
              </w:rPr>
            </w:pPr>
            <w:r>
              <w:rPr>
                <w:rFonts w:hint="eastAsia" w:ascii="宋体" w:hAnsi="宋体" w:eastAsia="宋体" w:cs="宋体"/>
                <w:snapToGrid/>
                <w:color w:val="auto"/>
                <w:spacing w:val="6"/>
                <w:kern w:val="0"/>
                <w:sz w:val="21"/>
                <w:szCs w:val="21"/>
                <w:lang w:val="en-US" w:eastAsia="zh-CN" w:bidi="ar"/>
                <w:woUserID w:val="2"/>
              </w:rPr>
              <w:t>2.1.5 量子效率：＞75% @ 600nm</w:t>
            </w:r>
          </w:p>
          <w:p w14:paraId="56B6D9E8">
            <w:pPr>
              <w:keepNext w:val="0"/>
              <w:keepLines w:val="0"/>
              <w:widowControl/>
              <w:suppressLineNumbers w:val="0"/>
              <w:kinsoku w:val="0"/>
              <w:autoSpaceDE w:val="0"/>
              <w:autoSpaceDN w:val="0"/>
              <w:adjustRightInd w:val="0"/>
              <w:snapToGrid w:val="0"/>
              <w:spacing w:before="15" w:beforeAutospacing="0" w:after="0" w:afterAutospacing="0" w:line="264" w:lineRule="auto"/>
              <w:ind w:left="18" w:right="0" w:firstLine="9"/>
              <w:jc w:val="both"/>
              <w:textAlignment w:val="baseline"/>
              <w:rPr>
                <w:rFonts w:hint="eastAsia" w:ascii="宋体" w:hAnsi="宋体" w:eastAsia="宋体" w:cs="宋体"/>
                <w:snapToGrid/>
                <w:color w:val="auto"/>
                <w:spacing w:val="6"/>
                <w:kern w:val="0"/>
                <w:sz w:val="21"/>
                <w:szCs w:val="21"/>
                <w:lang w:val="en-US" w:eastAsia="zh-CN" w:bidi="ar"/>
                <w:woUserID w:val="2"/>
              </w:rPr>
            </w:pPr>
            <w:r>
              <w:rPr>
                <w:rFonts w:hint="eastAsia" w:ascii="宋体" w:hAnsi="宋体" w:cs="宋体"/>
                <w:szCs w:val="21"/>
                <w:lang w:bidi="ar"/>
              </w:rPr>
              <w:t>■</w:t>
            </w:r>
            <w:r>
              <w:rPr>
                <w:rFonts w:hint="eastAsia" w:ascii="宋体" w:hAnsi="宋体" w:eastAsia="宋体" w:cs="宋体"/>
                <w:snapToGrid/>
                <w:color w:val="auto"/>
                <w:spacing w:val="6"/>
                <w:kern w:val="0"/>
                <w:sz w:val="21"/>
                <w:szCs w:val="21"/>
                <w:lang w:val="en-US" w:eastAsia="zh-CN" w:bidi="ar"/>
                <w:woUserID w:val="2"/>
              </w:rPr>
              <w:t>2.1.6 制冷温度：≤-75℃</w:t>
            </w:r>
          </w:p>
          <w:p w14:paraId="215B1309">
            <w:pPr>
              <w:keepNext w:val="0"/>
              <w:keepLines w:val="0"/>
              <w:widowControl/>
              <w:suppressLineNumbers w:val="0"/>
              <w:kinsoku w:val="0"/>
              <w:autoSpaceDE w:val="0"/>
              <w:autoSpaceDN w:val="0"/>
              <w:adjustRightInd w:val="0"/>
              <w:snapToGrid w:val="0"/>
              <w:spacing w:before="15" w:beforeAutospacing="0" w:after="0" w:afterAutospacing="0" w:line="264" w:lineRule="auto"/>
              <w:ind w:left="18" w:right="0" w:firstLine="9"/>
              <w:jc w:val="both"/>
              <w:textAlignment w:val="baseline"/>
              <w:rPr>
                <w:rFonts w:hint="eastAsia" w:ascii="宋体" w:hAnsi="宋体" w:eastAsia="宋体" w:cs="宋体"/>
                <w:snapToGrid/>
                <w:color w:val="auto"/>
                <w:spacing w:val="6"/>
                <w:kern w:val="0"/>
                <w:sz w:val="21"/>
                <w:szCs w:val="21"/>
                <w:lang w:val="en-US" w:eastAsia="zh-CN" w:bidi="ar"/>
                <w:woUserID w:val="2"/>
              </w:rPr>
            </w:pPr>
            <w:r>
              <w:rPr>
                <w:rFonts w:hint="eastAsia" w:ascii="宋体" w:hAnsi="宋体" w:eastAsia="宋体" w:cs="宋体"/>
                <w:snapToGrid/>
                <w:color w:val="auto"/>
                <w:spacing w:val="6"/>
                <w:kern w:val="0"/>
                <w:sz w:val="21"/>
                <w:szCs w:val="21"/>
                <w:lang w:val="en-US" w:eastAsia="zh-CN" w:bidi="ar"/>
                <w:woUserID w:val="2"/>
              </w:rPr>
              <w:t>2.1.7 暗电流：≤0.00015 e-/pixel/s @-30℃</w:t>
            </w:r>
          </w:p>
          <w:p w14:paraId="50A6F623">
            <w:pPr>
              <w:keepNext w:val="0"/>
              <w:keepLines w:val="0"/>
              <w:widowControl/>
              <w:suppressLineNumbers w:val="0"/>
              <w:kinsoku w:val="0"/>
              <w:autoSpaceDE w:val="0"/>
              <w:autoSpaceDN w:val="0"/>
              <w:adjustRightInd w:val="0"/>
              <w:snapToGrid w:val="0"/>
              <w:spacing w:before="15" w:beforeAutospacing="0" w:after="0" w:afterAutospacing="0" w:line="264" w:lineRule="auto"/>
              <w:ind w:left="18" w:right="0" w:firstLine="9"/>
              <w:jc w:val="both"/>
              <w:textAlignment w:val="baseline"/>
              <w:rPr>
                <w:rFonts w:hint="eastAsia" w:ascii="宋体" w:hAnsi="宋体" w:eastAsia="宋体" w:cs="宋体"/>
                <w:snapToGrid/>
                <w:color w:val="auto"/>
                <w:spacing w:val="6"/>
                <w:kern w:val="0"/>
                <w:sz w:val="21"/>
                <w:szCs w:val="21"/>
                <w:lang w:val="en-US" w:eastAsia="zh-CN" w:bidi="ar"/>
                <w:woUserID w:val="2"/>
              </w:rPr>
            </w:pPr>
            <w:r>
              <w:rPr>
                <w:rFonts w:hint="eastAsia" w:ascii="宋体" w:hAnsi="宋体" w:eastAsia="宋体" w:cs="宋体"/>
                <w:snapToGrid/>
                <w:color w:val="auto"/>
                <w:spacing w:val="6"/>
                <w:kern w:val="0"/>
                <w:sz w:val="21"/>
                <w:szCs w:val="21"/>
                <w:lang w:val="en-US" w:eastAsia="zh-CN" w:bidi="ar"/>
                <w:woUserID w:val="2"/>
              </w:rPr>
              <w:t>2.1.8 F≤0.95广角镜头，自动聚焦</w:t>
            </w:r>
          </w:p>
          <w:p w14:paraId="5B841593">
            <w:pPr>
              <w:keepNext w:val="0"/>
              <w:keepLines w:val="0"/>
              <w:widowControl/>
              <w:suppressLineNumbers w:val="0"/>
              <w:kinsoku w:val="0"/>
              <w:autoSpaceDE w:val="0"/>
              <w:autoSpaceDN w:val="0"/>
              <w:adjustRightInd w:val="0"/>
              <w:snapToGrid w:val="0"/>
              <w:spacing w:before="15" w:beforeAutospacing="0" w:after="0" w:afterAutospacing="0" w:line="264" w:lineRule="auto"/>
              <w:ind w:left="18" w:right="0" w:firstLine="9"/>
              <w:jc w:val="both"/>
              <w:textAlignment w:val="baseline"/>
              <w:rPr>
                <w:rFonts w:hint="eastAsia" w:ascii="宋体" w:hAnsi="宋体" w:eastAsia="宋体" w:cs="宋体"/>
                <w:snapToGrid/>
                <w:color w:val="auto"/>
                <w:spacing w:val="6"/>
                <w:kern w:val="0"/>
                <w:sz w:val="21"/>
                <w:szCs w:val="21"/>
                <w:lang w:val="en-US" w:eastAsia="zh-CN" w:bidi="ar"/>
                <w:woUserID w:val="2"/>
              </w:rPr>
            </w:pPr>
            <w:r>
              <w:rPr>
                <w:rFonts w:hint="eastAsia" w:ascii="宋体" w:hAnsi="宋体" w:eastAsia="宋体" w:cs="宋体"/>
                <w:snapToGrid/>
                <w:color w:val="auto"/>
                <w:spacing w:val="6"/>
                <w:kern w:val="0"/>
                <w:sz w:val="21"/>
                <w:szCs w:val="21"/>
                <w:lang w:val="en-US" w:eastAsia="zh-CN" w:bidi="ar"/>
                <w:woUserID w:val="2"/>
              </w:rPr>
              <w:t>2.2 多功能成像暗箱</w:t>
            </w:r>
          </w:p>
          <w:p w14:paraId="604FF6EE">
            <w:pPr>
              <w:keepNext w:val="0"/>
              <w:keepLines w:val="0"/>
              <w:widowControl/>
              <w:suppressLineNumbers w:val="0"/>
              <w:kinsoku w:val="0"/>
              <w:autoSpaceDE w:val="0"/>
              <w:autoSpaceDN w:val="0"/>
              <w:adjustRightInd w:val="0"/>
              <w:snapToGrid w:val="0"/>
              <w:spacing w:before="15" w:beforeAutospacing="0" w:after="0" w:afterAutospacing="0" w:line="264" w:lineRule="auto"/>
              <w:ind w:left="18" w:right="0" w:firstLine="9"/>
              <w:jc w:val="both"/>
              <w:textAlignment w:val="baseline"/>
              <w:rPr>
                <w:rFonts w:hint="eastAsia" w:ascii="宋体" w:hAnsi="宋体" w:eastAsia="宋体" w:cs="宋体"/>
                <w:snapToGrid/>
                <w:color w:val="auto"/>
                <w:spacing w:val="6"/>
                <w:kern w:val="0"/>
                <w:sz w:val="21"/>
                <w:szCs w:val="21"/>
                <w:lang w:val="en-US" w:eastAsia="zh-CN" w:bidi="ar"/>
                <w:woUserID w:val="2"/>
              </w:rPr>
            </w:pPr>
            <w:r>
              <w:rPr>
                <w:rFonts w:hint="eastAsia" w:ascii="宋体" w:hAnsi="宋体" w:eastAsia="宋体" w:cs="宋体"/>
                <w:snapToGrid/>
                <w:color w:val="auto"/>
                <w:spacing w:val="6"/>
                <w:kern w:val="0"/>
                <w:sz w:val="21"/>
                <w:szCs w:val="21"/>
                <w:lang w:val="en-US" w:eastAsia="zh-CN" w:bidi="ar"/>
                <w:woUserID w:val="2"/>
              </w:rPr>
              <w:t>2.2.1 全密闭暗箱，磁吸式门开关，保证成像时不会漏光。</w:t>
            </w:r>
          </w:p>
          <w:p w14:paraId="589BEF34">
            <w:pPr>
              <w:keepNext w:val="0"/>
              <w:keepLines w:val="0"/>
              <w:widowControl/>
              <w:suppressLineNumbers w:val="0"/>
              <w:kinsoku w:val="0"/>
              <w:autoSpaceDE w:val="0"/>
              <w:autoSpaceDN w:val="0"/>
              <w:adjustRightInd w:val="0"/>
              <w:snapToGrid w:val="0"/>
              <w:spacing w:before="15" w:beforeAutospacing="0" w:after="0" w:afterAutospacing="0" w:line="264" w:lineRule="auto"/>
              <w:ind w:left="18" w:right="0" w:firstLine="9"/>
              <w:jc w:val="both"/>
              <w:textAlignment w:val="baseline"/>
              <w:rPr>
                <w:rFonts w:hint="eastAsia" w:ascii="宋体" w:hAnsi="宋体" w:eastAsia="宋体" w:cs="宋体"/>
                <w:snapToGrid/>
                <w:color w:val="auto"/>
                <w:spacing w:val="6"/>
                <w:kern w:val="0"/>
                <w:sz w:val="21"/>
                <w:szCs w:val="21"/>
                <w:lang w:val="en-US" w:eastAsia="zh-CN" w:bidi="ar"/>
                <w:woUserID w:val="2"/>
              </w:rPr>
            </w:pPr>
            <w:r>
              <w:rPr>
                <w:rFonts w:hint="eastAsia" w:ascii="宋体" w:hAnsi="宋体" w:cs="宋体"/>
                <w:szCs w:val="21"/>
                <w:lang w:bidi="ar"/>
              </w:rPr>
              <w:t>■</w:t>
            </w:r>
            <w:r>
              <w:rPr>
                <w:rFonts w:hint="eastAsia" w:ascii="宋体" w:hAnsi="宋体" w:eastAsia="宋体" w:cs="宋体"/>
                <w:snapToGrid/>
                <w:color w:val="auto"/>
                <w:spacing w:val="6"/>
                <w:kern w:val="0"/>
                <w:sz w:val="21"/>
                <w:szCs w:val="21"/>
                <w:lang w:val="en-US" w:eastAsia="zh-CN" w:bidi="ar"/>
                <w:woUserID w:val="2"/>
              </w:rPr>
              <w:t>2.2.2 成像视野通过载物台自动升降调节，最大可至≥255mm×209mm，可满足5只小鼠（或1只兔子）同时成像。</w:t>
            </w:r>
          </w:p>
          <w:p w14:paraId="60365652">
            <w:pPr>
              <w:keepNext w:val="0"/>
              <w:keepLines w:val="0"/>
              <w:widowControl/>
              <w:suppressLineNumbers w:val="0"/>
              <w:kinsoku w:val="0"/>
              <w:autoSpaceDE w:val="0"/>
              <w:autoSpaceDN w:val="0"/>
              <w:adjustRightInd w:val="0"/>
              <w:snapToGrid w:val="0"/>
              <w:spacing w:before="15" w:beforeAutospacing="0" w:after="0" w:afterAutospacing="0" w:line="264" w:lineRule="auto"/>
              <w:ind w:left="18" w:right="0" w:firstLine="9"/>
              <w:jc w:val="both"/>
              <w:textAlignment w:val="baseline"/>
              <w:rPr>
                <w:rFonts w:hint="eastAsia" w:ascii="宋体" w:hAnsi="宋体" w:eastAsia="宋体" w:cs="宋体"/>
                <w:snapToGrid/>
                <w:color w:val="auto"/>
                <w:spacing w:val="6"/>
                <w:kern w:val="0"/>
                <w:sz w:val="21"/>
                <w:szCs w:val="21"/>
                <w:lang w:val="en-US" w:eastAsia="zh-CN" w:bidi="ar"/>
                <w:woUserID w:val="2"/>
              </w:rPr>
            </w:pPr>
            <w:r>
              <w:rPr>
                <w:rFonts w:hint="eastAsia" w:ascii="宋体" w:hAnsi="宋体" w:eastAsia="宋体" w:cs="宋体"/>
                <w:snapToGrid/>
                <w:color w:val="auto"/>
                <w:spacing w:val="6"/>
                <w:kern w:val="0"/>
                <w:sz w:val="21"/>
                <w:szCs w:val="21"/>
                <w:lang w:val="en-US" w:eastAsia="zh-CN" w:bidi="ar"/>
                <w:woUserID w:val="2"/>
              </w:rPr>
              <w:t>2.2.3 配有温控载物台，温度20-40℃可调节。</w:t>
            </w:r>
          </w:p>
          <w:p w14:paraId="055BDE24">
            <w:pPr>
              <w:keepNext w:val="0"/>
              <w:keepLines w:val="0"/>
              <w:widowControl/>
              <w:suppressLineNumbers w:val="0"/>
              <w:kinsoku w:val="0"/>
              <w:autoSpaceDE w:val="0"/>
              <w:autoSpaceDN w:val="0"/>
              <w:adjustRightInd w:val="0"/>
              <w:snapToGrid w:val="0"/>
              <w:spacing w:before="15" w:beforeAutospacing="0" w:after="0" w:afterAutospacing="0" w:line="264" w:lineRule="auto"/>
              <w:ind w:left="18" w:right="0" w:firstLine="9"/>
              <w:jc w:val="both"/>
              <w:textAlignment w:val="baseline"/>
              <w:rPr>
                <w:rFonts w:hint="eastAsia" w:ascii="宋体" w:hAnsi="宋体" w:eastAsia="宋体" w:cs="宋体"/>
                <w:snapToGrid/>
                <w:color w:val="auto"/>
                <w:spacing w:val="6"/>
                <w:kern w:val="0"/>
                <w:sz w:val="21"/>
                <w:szCs w:val="21"/>
                <w:lang w:val="en-US" w:eastAsia="zh-CN" w:bidi="ar"/>
                <w:woUserID w:val="2"/>
              </w:rPr>
            </w:pPr>
            <w:r>
              <w:rPr>
                <w:rFonts w:hint="eastAsia" w:ascii="宋体" w:hAnsi="宋体" w:eastAsia="宋体" w:cs="宋体"/>
                <w:snapToGrid/>
                <w:color w:val="auto"/>
                <w:spacing w:val="6"/>
                <w:kern w:val="0"/>
                <w:sz w:val="21"/>
                <w:szCs w:val="21"/>
                <w:lang w:val="en-US" w:eastAsia="zh-CN" w:bidi="ar"/>
                <w:woUserID w:val="2"/>
              </w:rPr>
              <w:t>2.3 荧光成像元件</w:t>
            </w:r>
          </w:p>
          <w:p w14:paraId="1212E822">
            <w:pPr>
              <w:keepNext w:val="0"/>
              <w:keepLines w:val="0"/>
              <w:widowControl/>
              <w:suppressLineNumbers w:val="0"/>
              <w:kinsoku w:val="0"/>
              <w:autoSpaceDE w:val="0"/>
              <w:autoSpaceDN w:val="0"/>
              <w:adjustRightInd w:val="0"/>
              <w:snapToGrid w:val="0"/>
              <w:spacing w:before="15" w:beforeAutospacing="0" w:after="0" w:afterAutospacing="0" w:line="264" w:lineRule="auto"/>
              <w:ind w:left="18" w:right="0" w:firstLine="9"/>
              <w:jc w:val="both"/>
              <w:textAlignment w:val="baseline"/>
              <w:rPr>
                <w:rFonts w:hint="eastAsia" w:ascii="宋体" w:hAnsi="宋体" w:eastAsia="宋体" w:cs="宋体"/>
                <w:snapToGrid/>
                <w:color w:val="auto"/>
                <w:spacing w:val="6"/>
                <w:kern w:val="0"/>
                <w:sz w:val="21"/>
                <w:szCs w:val="21"/>
                <w:lang w:val="en-US" w:eastAsia="zh-CN" w:bidi="ar"/>
                <w:woUserID w:val="2"/>
              </w:rPr>
            </w:pPr>
            <w:r>
              <w:rPr>
                <w:rFonts w:hint="eastAsia" w:ascii="宋体" w:hAnsi="宋体" w:cs="宋体"/>
                <w:szCs w:val="21"/>
                <w:lang w:bidi="ar"/>
              </w:rPr>
              <w:t>■</w:t>
            </w:r>
            <w:r>
              <w:rPr>
                <w:rFonts w:hint="eastAsia" w:ascii="宋体" w:hAnsi="宋体" w:eastAsia="宋体" w:cs="宋体"/>
                <w:snapToGrid/>
                <w:color w:val="auto"/>
                <w:spacing w:val="6"/>
                <w:kern w:val="0"/>
                <w:sz w:val="21"/>
                <w:szCs w:val="21"/>
                <w:lang w:val="en-US" w:eastAsia="zh-CN" w:bidi="ar"/>
                <w:woUserID w:val="2"/>
              </w:rPr>
              <w:t>2.3.1 LED光源：具有≥20个激发光源位置，标配≥10个LED光源，每种光源配备相应的滤光片。</w:t>
            </w:r>
          </w:p>
          <w:p w14:paraId="2737FE52">
            <w:pPr>
              <w:keepNext w:val="0"/>
              <w:keepLines w:val="0"/>
              <w:widowControl/>
              <w:suppressLineNumbers w:val="0"/>
              <w:kinsoku w:val="0"/>
              <w:autoSpaceDE w:val="0"/>
              <w:autoSpaceDN w:val="0"/>
              <w:adjustRightInd w:val="0"/>
              <w:snapToGrid w:val="0"/>
              <w:spacing w:before="15" w:beforeAutospacing="0" w:after="0" w:afterAutospacing="0" w:line="264" w:lineRule="auto"/>
              <w:ind w:left="18" w:right="0" w:firstLine="9"/>
              <w:jc w:val="both"/>
              <w:textAlignment w:val="baseline"/>
              <w:rPr>
                <w:rFonts w:hint="eastAsia" w:ascii="宋体" w:hAnsi="宋体" w:eastAsia="宋体" w:cs="宋体"/>
                <w:snapToGrid/>
                <w:color w:val="auto"/>
                <w:spacing w:val="6"/>
                <w:kern w:val="0"/>
                <w:sz w:val="21"/>
                <w:szCs w:val="21"/>
                <w:lang w:val="en-US" w:eastAsia="zh-CN" w:bidi="ar"/>
                <w:woUserID w:val="2"/>
              </w:rPr>
            </w:pPr>
            <w:r>
              <w:rPr>
                <w:rFonts w:hint="eastAsia" w:ascii="宋体" w:hAnsi="宋体" w:eastAsia="宋体" w:cs="宋体"/>
                <w:snapToGrid/>
                <w:color w:val="auto"/>
                <w:spacing w:val="6"/>
                <w:kern w:val="0"/>
                <w:sz w:val="21"/>
                <w:szCs w:val="21"/>
                <w:lang w:val="en-US" w:eastAsia="zh-CN" w:bidi="ar"/>
                <w:woUserID w:val="2"/>
              </w:rPr>
              <w:t>2.3.2 高强度全局照射荧光光源，针对整体样本激发，产生稳定均一的激发光。</w:t>
            </w:r>
          </w:p>
          <w:p w14:paraId="75662009">
            <w:pPr>
              <w:keepNext w:val="0"/>
              <w:keepLines w:val="0"/>
              <w:widowControl/>
              <w:suppressLineNumbers w:val="0"/>
              <w:kinsoku w:val="0"/>
              <w:autoSpaceDE w:val="0"/>
              <w:autoSpaceDN w:val="0"/>
              <w:adjustRightInd w:val="0"/>
              <w:snapToGrid w:val="0"/>
              <w:spacing w:before="15" w:beforeAutospacing="0" w:after="0" w:afterAutospacing="0" w:line="264" w:lineRule="auto"/>
              <w:ind w:left="18" w:right="0" w:firstLine="9"/>
              <w:jc w:val="both"/>
              <w:textAlignment w:val="baseline"/>
              <w:rPr>
                <w:rFonts w:hint="eastAsia" w:ascii="宋体" w:hAnsi="宋体" w:eastAsia="宋体" w:cs="宋体"/>
                <w:snapToGrid/>
                <w:color w:val="auto"/>
                <w:spacing w:val="6"/>
                <w:kern w:val="0"/>
                <w:sz w:val="21"/>
                <w:szCs w:val="21"/>
                <w:lang w:val="en-US" w:eastAsia="zh-CN" w:bidi="ar"/>
                <w:woUserID w:val="2"/>
              </w:rPr>
            </w:pPr>
            <w:r>
              <w:rPr>
                <w:rFonts w:hint="eastAsia" w:ascii="宋体" w:hAnsi="宋体" w:cs="宋体"/>
                <w:szCs w:val="21"/>
                <w:lang w:bidi="ar"/>
              </w:rPr>
              <w:t>■</w:t>
            </w:r>
            <w:r>
              <w:rPr>
                <w:rFonts w:hint="eastAsia" w:ascii="宋体" w:hAnsi="宋体" w:eastAsia="宋体" w:cs="宋体"/>
                <w:snapToGrid/>
                <w:color w:val="auto"/>
                <w:spacing w:val="6"/>
                <w:kern w:val="0"/>
                <w:sz w:val="21"/>
                <w:szCs w:val="21"/>
                <w:lang w:val="en-US" w:eastAsia="zh-CN" w:bidi="ar"/>
                <w:woUserID w:val="2"/>
              </w:rPr>
              <w:t>2.3.3 具有≥12位滤光片轮，标配≥5种滤光片，全自动软件控制，自动切换。</w:t>
            </w:r>
          </w:p>
          <w:p w14:paraId="239C9BF7">
            <w:pPr>
              <w:keepNext w:val="0"/>
              <w:keepLines w:val="0"/>
              <w:widowControl/>
              <w:suppressLineNumbers w:val="0"/>
              <w:kinsoku w:val="0"/>
              <w:autoSpaceDE w:val="0"/>
              <w:autoSpaceDN w:val="0"/>
              <w:adjustRightInd w:val="0"/>
              <w:snapToGrid w:val="0"/>
              <w:spacing w:before="15" w:beforeAutospacing="0" w:after="0" w:afterAutospacing="0" w:line="264" w:lineRule="auto"/>
              <w:ind w:left="18" w:right="0" w:firstLine="9"/>
              <w:jc w:val="both"/>
              <w:textAlignment w:val="baseline"/>
              <w:rPr>
                <w:rFonts w:hint="eastAsia" w:ascii="宋体" w:hAnsi="宋体" w:eastAsia="宋体" w:cs="宋体"/>
                <w:snapToGrid/>
                <w:color w:val="auto"/>
                <w:spacing w:val="6"/>
                <w:kern w:val="0"/>
                <w:sz w:val="21"/>
                <w:szCs w:val="21"/>
                <w:lang w:val="en-US" w:eastAsia="zh-CN" w:bidi="ar"/>
                <w:woUserID w:val="2"/>
              </w:rPr>
            </w:pPr>
            <w:r>
              <w:rPr>
                <w:rFonts w:hint="eastAsia" w:ascii="宋体" w:hAnsi="宋体" w:cs="宋体"/>
                <w:szCs w:val="21"/>
                <w:lang w:bidi="ar"/>
              </w:rPr>
              <w:t>■</w:t>
            </w:r>
            <w:r>
              <w:rPr>
                <w:rFonts w:hint="eastAsia" w:ascii="宋体" w:hAnsi="宋体" w:eastAsia="宋体" w:cs="宋体"/>
                <w:snapToGrid/>
                <w:color w:val="auto"/>
                <w:spacing w:val="6"/>
                <w:kern w:val="0"/>
                <w:sz w:val="21"/>
                <w:szCs w:val="21"/>
                <w:lang w:val="en-US" w:eastAsia="zh-CN" w:bidi="ar"/>
                <w:woUserID w:val="2"/>
              </w:rPr>
              <w:t>2.3.4 滤光片透过率≥90%，截止深度：≥OD6</w:t>
            </w:r>
          </w:p>
          <w:p w14:paraId="1B5175D8">
            <w:pPr>
              <w:keepNext w:val="0"/>
              <w:keepLines w:val="0"/>
              <w:widowControl/>
              <w:suppressLineNumbers w:val="0"/>
              <w:kinsoku w:val="0"/>
              <w:autoSpaceDE w:val="0"/>
              <w:autoSpaceDN w:val="0"/>
              <w:adjustRightInd w:val="0"/>
              <w:snapToGrid w:val="0"/>
              <w:spacing w:before="15" w:beforeAutospacing="0" w:after="0" w:afterAutospacing="0" w:line="264" w:lineRule="auto"/>
              <w:ind w:left="18" w:right="0" w:firstLine="9"/>
              <w:jc w:val="both"/>
              <w:textAlignment w:val="baseline"/>
              <w:rPr>
                <w:rFonts w:hint="eastAsia" w:ascii="宋体" w:hAnsi="宋体" w:eastAsia="宋体" w:cs="宋体"/>
                <w:snapToGrid/>
                <w:color w:val="auto"/>
                <w:spacing w:val="6"/>
                <w:kern w:val="0"/>
                <w:sz w:val="21"/>
                <w:szCs w:val="21"/>
                <w:lang w:val="en-US" w:eastAsia="zh-CN" w:bidi="ar"/>
                <w:woUserID w:val="2"/>
              </w:rPr>
            </w:pPr>
            <w:r>
              <w:rPr>
                <w:rFonts w:hint="eastAsia" w:ascii="宋体" w:hAnsi="宋体" w:eastAsia="宋体" w:cs="宋体"/>
                <w:snapToGrid/>
                <w:color w:val="auto"/>
                <w:spacing w:val="6"/>
                <w:kern w:val="0"/>
                <w:sz w:val="21"/>
                <w:szCs w:val="21"/>
                <w:lang w:val="en-US" w:eastAsia="zh-CN" w:bidi="ar"/>
                <w:woUserID w:val="2"/>
              </w:rPr>
              <w:t>2.4 高灵敏度细胞标记鉴定模块</w:t>
            </w:r>
          </w:p>
          <w:p w14:paraId="6510EA2C">
            <w:pPr>
              <w:keepNext w:val="0"/>
              <w:keepLines w:val="0"/>
              <w:widowControl/>
              <w:suppressLineNumbers w:val="0"/>
              <w:kinsoku w:val="0"/>
              <w:autoSpaceDE w:val="0"/>
              <w:autoSpaceDN w:val="0"/>
              <w:adjustRightInd w:val="0"/>
              <w:snapToGrid w:val="0"/>
              <w:spacing w:before="15" w:beforeAutospacing="0" w:after="0" w:afterAutospacing="0" w:line="264" w:lineRule="auto"/>
              <w:ind w:left="18" w:right="0" w:firstLine="9"/>
              <w:jc w:val="both"/>
              <w:textAlignment w:val="baseline"/>
              <w:rPr>
                <w:rFonts w:hint="eastAsia" w:ascii="宋体" w:hAnsi="宋体" w:eastAsia="宋体" w:cs="宋体"/>
                <w:snapToGrid/>
                <w:color w:val="auto"/>
                <w:spacing w:val="6"/>
                <w:kern w:val="0"/>
                <w:sz w:val="21"/>
                <w:szCs w:val="21"/>
                <w:lang w:val="en-US" w:eastAsia="zh-CN" w:bidi="ar"/>
                <w:woUserID w:val="2"/>
              </w:rPr>
            </w:pPr>
            <w:r>
              <w:rPr>
                <w:rFonts w:hint="eastAsia" w:ascii="宋体" w:hAnsi="宋体" w:eastAsia="宋体" w:cs="宋体"/>
                <w:snapToGrid/>
                <w:color w:val="auto"/>
                <w:spacing w:val="6"/>
                <w:kern w:val="0"/>
                <w:sz w:val="21"/>
                <w:szCs w:val="21"/>
                <w:lang w:val="en-US" w:eastAsia="zh-CN" w:bidi="ar"/>
                <w:woUserID w:val="2"/>
              </w:rPr>
              <w:t>2.4.1 检测器：超高速单光子PMT</w:t>
            </w:r>
          </w:p>
          <w:p w14:paraId="5A118B08">
            <w:pPr>
              <w:keepNext w:val="0"/>
              <w:keepLines w:val="0"/>
              <w:widowControl/>
              <w:suppressLineNumbers w:val="0"/>
              <w:kinsoku w:val="0"/>
              <w:autoSpaceDE w:val="0"/>
              <w:autoSpaceDN w:val="0"/>
              <w:adjustRightInd w:val="0"/>
              <w:snapToGrid w:val="0"/>
              <w:spacing w:before="15" w:beforeAutospacing="0" w:after="0" w:afterAutospacing="0" w:line="264" w:lineRule="auto"/>
              <w:ind w:left="18" w:right="0" w:firstLine="9"/>
              <w:jc w:val="both"/>
              <w:textAlignment w:val="baseline"/>
              <w:rPr>
                <w:rFonts w:hint="eastAsia" w:ascii="宋体" w:hAnsi="宋体" w:eastAsia="宋体" w:cs="宋体"/>
                <w:snapToGrid/>
                <w:color w:val="auto"/>
                <w:spacing w:val="6"/>
                <w:kern w:val="0"/>
                <w:sz w:val="21"/>
                <w:szCs w:val="21"/>
                <w:lang w:val="en-US" w:eastAsia="zh-CN" w:bidi="ar"/>
                <w:woUserID w:val="2"/>
              </w:rPr>
            </w:pPr>
            <w:r>
              <w:rPr>
                <w:rFonts w:hint="eastAsia" w:ascii="宋体" w:hAnsi="宋体" w:cs="宋体"/>
                <w:szCs w:val="21"/>
                <w:lang w:bidi="ar"/>
              </w:rPr>
              <w:t>■</w:t>
            </w:r>
            <w:r>
              <w:rPr>
                <w:rFonts w:hint="eastAsia" w:ascii="宋体" w:hAnsi="宋体" w:eastAsia="宋体" w:cs="宋体"/>
                <w:snapToGrid/>
                <w:color w:val="auto"/>
                <w:spacing w:val="6"/>
                <w:kern w:val="0"/>
                <w:sz w:val="21"/>
                <w:szCs w:val="21"/>
                <w:lang w:val="en-US" w:eastAsia="zh-CN" w:bidi="ar"/>
                <w:woUserID w:val="2"/>
              </w:rPr>
              <w:t>2.4.2 灵敏度：≦10amol ATP或≦20zmol 荧光素酶</w:t>
            </w:r>
          </w:p>
          <w:p w14:paraId="5E60F13B">
            <w:pPr>
              <w:keepNext w:val="0"/>
              <w:keepLines w:val="0"/>
              <w:widowControl/>
              <w:suppressLineNumbers w:val="0"/>
              <w:kinsoku w:val="0"/>
              <w:autoSpaceDE w:val="0"/>
              <w:autoSpaceDN w:val="0"/>
              <w:adjustRightInd w:val="0"/>
              <w:snapToGrid w:val="0"/>
              <w:spacing w:before="15" w:beforeAutospacing="0" w:after="0" w:afterAutospacing="0" w:line="264" w:lineRule="auto"/>
              <w:ind w:left="18" w:right="0" w:firstLine="9"/>
              <w:jc w:val="both"/>
              <w:textAlignment w:val="baseline"/>
              <w:rPr>
                <w:rFonts w:hint="eastAsia" w:ascii="宋体" w:hAnsi="宋体" w:eastAsia="宋体" w:cs="宋体"/>
                <w:snapToGrid/>
                <w:color w:val="auto"/>
                <w:spacing w:val="6"/>
                <w:kern w:val="0"/>
                <w:sz w:val="21"/>
                <w:szCs w:val="21"/>
                <w:lang w:val="en-US" w:eastAsia="zh-CN" w:bidi="ar"/>
                <w:woUserID w:val="2"/>
              </w:rPr>
            </w:pPr>
            <w:r>
              <w:rPr>
                <w:rFonts w:hint="eastAsia" w:ascii="宋体" w:hAnsi="宋体" w:cs="宋体"/>
                <w:szCs w:val="21"/>
                <w:lang w:bidi="ar"/>
              </w:rPr>
              <w:t>■</w:t>
            </w:r>
            <w:r>
              <w:rPr>
                <w:rFonts w:hint="eastAsia" w:ascii="宋体" w:hAnsi="宋体" w:eastAsia="宋体" w:cs="宋体"/>
                <w:snapToGrid/>
                <w:color w:val="auto"/>
                <w:spacing w:val="6"/>
                <w:kern w:val="0"/>
                <w:sz w:val="21"/>
                <w:szCs w:val="21"/>
                <w:lang w:val="en-US" w:eastAsia="zh-CN" w:bidi="ar"/>
                <w:woUserID w:val="2"/>
              </w:rPr>
              <w:t>2.4.3 线性范围：≧7个数量级</w:t>
            </w:r>
          </w:p>
          <w:p w14:paraId="57FF25BD">
            <w:pPr>
              <w:keepNext w:val="0"/>
              <w:keepLines w:val="0"/>
              <w:widowControl/>
              <w:suppressLineNumbers w:val="0"/>
              <w:kinsoku w:val="0"/>
              <w:autoSpaceDE w:val="0"/>
              <w:autoSpaceDN w:val="0"/>
              <w:adjustRightInd w:val="0"/>
              <w:snapToGrid w:val="0"/>
              <w:spacing w:before="15" w:beforeAutospacing="0" w:after="0" w:afterAutospacing="0" w:line="264" w:lineRule="auto"/>
              <w:ind w:left="18" w:right="0" w:firstLine="9"/>
              <w:jc w:val="both"/>
              <w:textAlignment w:val="baseline"/>
              <w:rPr>
                <w:rFonts w:hint="eastAsia" w:ascii="宋体" w:hAnsi="宋体" w:eastAsia="宋体" w:cs="宋体"/>
                <w:snapToGrid/>
                <w:color w:val="auto"/>
                <w:spacing w:val="6"/>
                <w:kern w:val="0"/>
                <w:sz w:val="21"/>
                <w:szCs w:val="21"/>
                <w:lang w:val="en-US" w:eastAsia="zh-CN" w:bidi="ar"/>
                <w:woUserID w:val="2"/>
              </w:rPr>
            </w:pPr>
            <w:r>
              <w:rPr>
                <w:rFonts w:hint="eastAsia" w:ascii="宋体" w:hAnsi="宋体" w:eastAsia="宋体" w:cs="宋体"/>
                <w:snapToGrid/>
                <w:color w:val="auto"/>
                <w:spacing w:val="6"/>
                <w:kern w:val="0"/>
                <w:sz w:val="21"/>
                <w:szCs w:val="21"/>
                <w:lang w:val="en-US" w:eastAsia="zh-CN" w:bidi="ar"/>
                <w:woUserID w:val="2"/>
              </w:rPr>
              <w:t>2.5 多功能气体麻醉系统</w:t>
            </w:r>
          </w:p>
          <w:p w14:paraId="0143D556">
            <w:pPr>
              <w:keepNext w:val="0"/>
              <w:keepLines w:val="0"/>
              <w:widowControl/>
              <w:suppressLineNumbers w:val="0"/>
              <w:kinsoku w:val="0"/>
              <w:autoSpaceDE w:val="0"/>
              <w:autoSpaceDN w:val="0"/>
              <w:adjustRightInd w:val="0"/>
              <w:snapToGrid w:val="0"/>
              <w:spacing w:before="15" w:beforeAutospacing="0" w:after="0" w:afterAutospacing="0" w:line="264" w:lineRule="auto"/>
              <w:ind w:left="18" w:right="0" w:firstLine="9"/>
              <w:jc w:val="both"/>
              <w:textAlignment w:val="baseline"/>
              <w:rPr>
                <w:rFonts w:hint="eastAsia" w:ascii="宋体" w:hAnsi="宋体" w:eastAsia="宋体" w:cs="宋体"/>
                <w:snapToGrid/>
                <w:color w:val="auto"/>
                <w:spacing w:val="6"/>
                <w:kern w:val="0"/>
                <w:sz w:val="21"/>
                <w:szCs w:val="21"/>
                <w:lang w:val="en-US" w:eastAsia="zh-CN" w:bidi="ar"/>
                <w:woUserID w:val="2"/>
              </w:rPr>
            </w:pPr>
            <w:r>
              <w:rPr>
                <w:rFonts w:hint="eastAsia" w:ascii="宋体" w:hAnsi="宋体" w:eastAsia="宋体" w:cs="宋体"/>
                <w:snapToGrid/>
                <w:color w:val="auto"/>
                <w:spacing w:val="6"/>
                <w:kern w:val="0"/>
                <w:sz w:val="21"/>
                <w:szCs w:val="21"/>
                <w:lang w:val="en-US" w:eastAsia="zh-CN" w:bidi="ar"/>
                <w:woUserID w:val="2"/>
              </w:rPr>
              <w:t>2.5.1气体输出量：0-10 L/min</w:t>
            </w:r>
          </w:p>
          <w:p w14:paraId="18CA7C74">
            <w:pPr>
              <w:keepNext w:val="0"/>
              <w:keepLines w:val="0"/>
              <w:widowControl/>
              <w:suppressLineNumbers w:val="0"/>
              <w:kinsoku w:val="0"/>
              <w:autoSpaceDE w:val="0"/>
              <w:autoSpaceDN w:val="0"/>
              <w:adjustRightInd w:val="0"/>
              <w:snapToGrid w:val="0"/>
              <w:spacing w:before="15" w:beforeAutospacing="0" w:after="0" w:afterAutospacing="0" w:line="264" w:lineRule="auto"/>
              <w:ind w:left="18" w:right="0" w:firstLine="9"/>
              <w:jc w:val="both"/>
              <w:textAlignment w:val="baseline"/>
              <w:rPr>
                <w:rFonts w:hint="eastAsia" w:ascii="宋体" w:hAnsi="宋体" w:eastAsia="宋体" w:cs="宋体"/>
                <w:snapToGrid/>
                <w:color w:val="auto"/>
                <w:spacing w:val="6"/>
                <w:kern w:val="0"/>
                <w:sz w:val="21"/>
                <w:szCs w:val="21"/>
                <w:lang w:val="en-US" w:eastAsia="zh-CN" w:bidi="ar"/>
                <w:woUserID w:val="2"/>
              </w:rPr>
            </w:pPr>
            <w:r>
              <w:rPr>
                <w:rFonts w:hint="eastAsia" w:ascii="宋体" w:hAnsi="宋体" w:eastAsia="宋体" w:cs="宋体"/>
                <w:snapToGrid/>
                <w:color w:val="auto"/>
                <w:spacing w:val="6"/>
                <w:kern w:val="0"/>
                <w:sz w:val="21"/>
                <w:szCs w:val="21"/>
                <w:lang w:val="en-US" w:eastAsia="zh-CN" w:bidi="ar"/>
                <w:woUserID w:val="2"/>
              </w:rPr>
              <w:t>2.5.2 麻醉气体输出浓度：0-5%可调</w:t>
            </w:r>
          </w:p>
          <w:p w14:paraId="50AE9AC8">
            <w:pPr>
              <w:keepNext w:val="0"/>
              <w:keepLines w:val="0"/>
              <w:widowControl/>
              <w:suppressLineNumbers w:val="0"/>
              <w:kinsoku w:val="0"/>
              <w:autoSpaceDE w:val="0"/>
              <w:autoSpaceDN w:val="0"/>
              <w:adjustRightInd w:val="0"/>
              <w:snapToGrid w:val="0"/>
              <w:spacing w:before="15" w:beforeAutospacing="0" w:after="0" w:afterAutospacing="0" w:line="264" w:lineRule="auto"/>
              <w:ind w:left="18" w:right="0" w:firstLine="9"/>
              <w:jc w:val="both"/>
              <w:textAlignment w:val="baseline"/>
              <w:rPr>
                <w:rFonts w:hint="eastAsia" w:ascii="宋体" w:hAnsi="宋体" w:eastAsia="宋体" w:cs="宋体"/>
                <w:snapToGrid/>
                <w:color w:val="auto"/>
                <w:spacing w:val="6"/>
                <w:kern w:val="0"/>
                <w:sz w:val="21"/>
                <w:szCs w:val="21"/>
                <w:lang w:val="en-US" w:eastAsia="zh-CN" w:bidi="ar"/>
                <w:woUserID w:val="2"/>
              </w:rPr>
            </w:pPr>
            <w:r>
              <w:rPr>
                <w:rFonts w:hint="eastAsia" w:ascii="宋体" w:hAnsi="宋体" w:eastAsia="宋体" w:cs="宋体"/>
                <w:snapToGrid/>
                <w:color w:val="auto"/>
                <w:spacing w:val="6"/>
                <w:kern w:val="0"/>
                <w:sz w:val="21"/>
                <w:szCs w:val="21"/>
                <w:lang w:val="en-US" w:eastAsia="zh-CN" w:bidi="ar"/>
                <w:woUserID w:val="2"/>
              </w:rPr>
              <w:t>2.5.3 适用麻醉剂：异氟烷</w:t>
            </w:r>
          </w:p>
          <w:p w14:paraId="06B9C066">
            <w:pPr>
              <w:keepNext w:val="0"/>
              <w:keepLines w:val="0"/>
              <w:widowControl/>
              <w:suppressLineNumbers w:val="0"/>
              <w:kinsoku w:val="0"/>
              <w:autoSpaceDE w:val="0"/>
              <w:autoSpaceDN w:val="0"/>
              <w:adjustRightInd w:val="0"/>
              <w:snapToGrid w:val="0"/>
              <w:spacing w:before="15" w:beforeAutospacing="0" w:after="0" w:afterAutospacing="0" w:line="264" w:lineRule="auto"/>
              <w:ind w:left="18" w:right="0" w:firstLine="9"/>
              <w:jc w:val="both"/>
              <w:textAlignment w:val="baseline"/>
              <w:rPr>
                <w:rFonts w:hint="eastAsia" w:ascii="宋体" w:hAnsi="宋体" w:eastAsia="宋体" w:cs="宋体"/>
                <w:snapToGrid/>
                <w:color w:val="auto"/>
                <w:spacing w:val="6"/>
                <w:kern w:val="0"/>
                <w:sz w:val="21"/>
                <w:szCs w:val="21"/>
                <w:lang w:val="en-US" w:eastAsia="zh-CN" w:bidi="ar"/>
                <w:woUserID w:val="2"/>
              </w:rPr>
            </w:pPr>
            <w:r>
              <w:rPr>
                <w:rFonts w:hint="eastAsia" w:ascii="宋体" w:hAnsi="宋体" w:eastAsia="宋体" w:cs="宋体"/>
                <w:snapToGrid/>
                <w:color w:val="auto"/>
                <w:spacing w:val="6"/>
                <w:kern w:val="0"/>
                <w:sz w:val="21"/>
                <w:szCs w:val="21"/>
                <w:lang w:val="en-US" w:eastAsia="zh-CN" w:bidi="ar"/>
                <w:woUserID w:val="2"/>
              </w:rPr>
              <w:t>2.5.4 配备专用的气体麻醉接口及5通道面罩，出气均匀，单路可控，用于实验动物在成像时的麻醉</w:t>
            </w:r>
          </w:p>
          <w:p w14:paraId="1B320864">
            <w:pPr>
              <w:keepNext w:val="0"/>
              <w:keepLines w:val="0"/>
              <w:widowControl/>
              <w:suppressLineNumbers w:val="0"/>
              <w:kinsoku w:val="0"/>
              <w:autoSpaceDE w:val="0"/>
              <w:autoSpaceDN w:val="0"/>
              <w:adjustRightInd w:val="0"/>
              <w:snapToGrid w:val="0"/>
              <w:spacing w:before="15" w:beforeAutospacing="0" w:after="0" w:afterAutospacing="0" w:line="264" w:lineRule="auto"/>
              <w:ind w:left="18" w:right="0" w:firstLine="9"/>
              <w:jc w:val="both"/>
              <w:textAlignment w:val="baseline"/>
              <w:rPr>
                <w:rFonts w:hint="eastAsia" w:ascii="宋体" w:hAnsi="宋体" w:eastAsia="宋体" w:cs="宋体"/>
                <w:snapToGrid/>
                <w:color w:val="auto"/>
                <w:spacing w:val="6"/>
                <w:kern w:val="0"/>
                <w:sz w:val="21"/>
                <w:szCs w:val="21"/>
                <w:lang w:val="en-US" w:eastAsia="zh-CN" w:bidi="ar"/>
                <w:woUserID w:val="2"/>
              </w:rPr>
            </w:pPr>
            <w:r>
              <w:rPr>
                <w:rFonts w:hint="eastAsia" w:ascii="宋体" w:hAnsi="宋体" w:eastAsia="宋体" w:cs="宋体"/>
                <w:snapToGrid/>
                <w:color w:val="auto"/>
                <w:spacing w:val="6"/>
                <w:kern w:val="0"/>
                <w:sz w:val="21"/>
                <w:szCs w:val="21"/>
                <w:lang w:val="en-US" w:eastAsia="zh-CN" w:bidi="ar"/>
                <w:woUserID w:val="2"/>
              </w:rPr>
              <w:t>2.5.5 系统具备小鼠固定装置及黄白双色照光源，用于尾静脉注射辅助操作</w:t>
            </w:r>
          </w:p>
          <w:p w14:paraId="7E1BBDA9">
            <w:pPr>
              <w:keepNext w:val="0"/>
              <w:keepLines w:val="0"/>
              <w:widowControl/>
              <w:suppressLineNumbers w:val="0"/>
              <w:kinsoku w:val="0"/>
              <w:autoSpaceDE w:val="0"/>
              <w:autoSpaceDN w:val="0"/>
              <w:adjustRightInd w:val="0"/>
              <w:snapToGrid w:val="0"/>
              <w:spacing w:before="15" w:beforeAutospacing="0" w:after="0" w:afterAutospacing="0" w:line="264" w:lineRule="auto"/>
              <w:ind w:left="18" w:right="0" w:firstLine="9"/>
              <w:jc w:val="both"/>
              <w:textAlignment w:val="baseline"/>
              <w:rPr>
                <w:rFonts w:hint="eastAsia" w:ascii="宋体" w:hAnsi="宋体" w:eastAsia="宋体" w:cs="宋体"/>
                <w:snapToGrid/>
                <w:color w:val="auto"/>
                <w:spacing w:val="6"/>
                <w:kern w:val="0"/>
                <w:sz w:val="21"/>
                <w:szCs w:val="21"/>
                <w:lang w:val="en-US" w:eastAsia="zh-CN" w:bidi="ar"/>
                <w:woUserID w:val="2"/>
              </w:rPr>
            </w:pPr>
            <w:r>
              <w:rPr>
                <w:rFonts w:hint="eastAsia" w:ascii="宋体" w:hAnsi="宋体" w:eastAsia="宋体" w:cs="宋体"/>
                <w:snapToGrid/>
                <w:color w:val="auto"/>
                <w:spacing w:val="6"/>
                <w:kern w:val="0"/>
                <w:sz w:val="21"/>
                <w:szCs w:val="21"/>
                <w:lang w:val="en-US" w:eastAsia="zh-CN" w:bidi="ar"/>
                <w:woUserID w:val="2"/>
              </w:rPr>
              <w:t>2.5.6尾静脉注射装置、空气泵、挥发罐、流量控制、废弃回收等装置一体化集成，减少管路长度，节省试剂</w:t>
            </w:r>
          </w:p>
          <w:p w14:paraId="2247ACF6">
            <w:pPr>
              <w:keepNext w:val="0"/>
              <w:keepLines w:val="0"/>
              <w:widowControl/>
              <w:suppressLineNumbers w:val="0"/>
              <w:kinsoku w:val="0"/>
              <w:autoSpaceDE w:val="0"/>
              <w:autoSpaceDN w:val="0"/>
              <w:adjustRightInd w:val="0"/>
              <w:snapToGrid w:val="0"/>
              <w:spacing w:before="15" w:beforeAutospacing="0" w:after="0" w:afterAutospacing="0" w:line="264" w:lineRule="auto"/>
              <w:ind w:left="18" w:right="0" w:firstLine="9"/>
              <w:jc w:val="both"/>
              <w:textAlignment w:val="baseline"/>
              <w:rPr>
                <w:rFonts w:hint="eastAsia" w:ascii="宋体" w:hAnsi="宋体" w:eastAsia="宋体" w:cs="宋体"/>
                <w:snapToGrid/>
                <w:color w:val="auto"/>
                <w:spacing w:val="6"/>
                <w:kern w:val="0"/>
                <w:sz w:val="21"/>
                <w:szCs w:val="21"/>
                <w:lang w:val="en-US" w:eastAsia="zh-CN" w:bidi="ar"/>
                <w:woUserID w:val="2"/>
              </w:rPr>
            </w:pPr>
            <w:r>
              <w:rPr>
                <w:rFonts w:hint="eastAsia" w:ascii="宋体" w:hAnsi="宋体" w:eastAsia="宋体" w:cs="宋体"/>
                <w:snapToGrid/>
                <w:color w:val="auto"/>
                <w:spacing w:val="6"/>
                <w:kern w:val="0"/>
                <w:sz w:val="21"/>
                <w:szCs w:val="21"/>
                <w:lang w:val="en-US" w:eastAsia="zh-CN" w:bidi="ar"/>
                <w:woUserID w:val="2"/>
              </w:rPr>
              <w:t>2.6 软件系统</w:t>
            </w:r>
          </w:p>
          <w:p w14:paraId="0CDBB89A">
            <w:pPr>
              <w:keepNext w:val="0"/>
              <w:keepLines w:val="0"/>
              <w:widowControl/>
              <w:suppressLineNumbers w:val="0"/>
              <w:kinsoku w:val="0"/>
              <w:autoSpaceDE w:val="0"/>
              <w:autoSpaceDN w:val="0"/>
              <w:adjustRightInd w:val="0"/>
              <w:snapToGrid w:val="0"/>
              <w:spacing w:before="15" w:beforeAutospacing="0" w:after="0" w:afterAutospacing="0" w:line="264" w:lineRule="auto"/>
              <w:ind w:left="18" w:right="0" w:firstLine="9"/>
              <w:jc w:val="both"/>
              <w:textAlignment w:val="baseline"/>
              <w:rPr>
                <w:rFonts w:hint="eastAsia" w:ascii="宋体" w:hAnsi="宋体" w:eastAsia="宋体" w:cs="宋体"/>
                <w:snapToGrid/>
                <w:color w:val="auto"/>
                <w:spacing w:val="6"/>
                <w:kern w:val="0"/>
                <w:sz w:val="21"/>
                <w:szCs w:val="21"/>
                <w:lang w:val="en-US" w:eastAsia="zh-CN" w:bidi="ar"/>
                <w:woUserID w:val="2"/>
              </w:rPr>
            </w:pPr>
            <w:r>
              <w:rPr>
                <w:rFonts w:hint="eastAsia" w:ascii="宋体" w:hAnsi="宋体" w:eastAsia="宋体" w:cs="宋体"/>
                <w:snapToGrid/>
                <w:color w:val="auto"/>
                <w:spacing w:val="6"/>
                <w:kern w:val="0"/>
                <w:sz w:val="21"/>
                <w:szCs w:val="21"/>
                <w:lang w:val="en-US" w:eastAsia="zh-CN" w:bidi="ar"/>
                <w:woUserID w:val="2"/>
              </w:rPr>
              <w:t>2.6.1 支持单张拍摄/多张拍摄/序列拍摄模式，清晰地显示叠加图像、明场图像、发光图像、荧光图像或X-ray图像，自动将X-ray图像与发光或荧光图像进行叠加。</w:t>
            </w:r>
          </w:p>
          <w:p w14:paraId="5FFB7D03">
            <w:pPr>
              <w:keepNext w:val="0"/>
              <w:keepLines w:val="0"/>
              <w:widowControl/>
              <w:suppressLineNumbers w:val="0"/>
              <w:kinsoku w:val="0"/>
              <w:autoSpaceDE w:val="0"/>
              <w:autoSpaceDN w:val="0"/>
              <w:adjustRightInd w:val="0"/>
              <w:snapToGrid w:val="0"/>
              <w:spacing w:before="15" w:beforeAutospacing="0" w:after="0" w:afterAutospacing="0" w:line="264" w:lineRule="auto"/>
              <w:ind w:left="18" w:right="0" w:firstLine="9"/>
              <w:jc w:val="both"/>
              <w:textAlignment w:val="baseline"/>
              <w:rPr>
                <w:rFonts w:hint="eastAsia" w:ascii="宋体" w:hAnsi="宋体" w:eastAsia="宋体" w:cs="宋体"/>
                <w:snapToGrid/>
                <w:color w:val="auto"/>
                <w:spacing w:val="6"/>
                <w:kern w:val="0"/>
                <w:sz w:val="21"/>
                <w:szCs w:val="21"/>
                <w:lang w:val="en-US" w:eastAsia="zh-CN" w:bidi="ar"/>
                <w:woUserID w:val="2"/>
              </w:rPr>
            </w:pPr>
            <w:r>
              <w:rPr>
                <w:rFonts w:hint="eastAsia" w:ascii="宋体" w:hAnsi="宋体" w:eastAsia="宋体" w:cs="宋体"/>
                <w:snapToGrid/>
                <w:color w:val="auto"/>
                <w:spacing w:val="6"/>
                <w:kern w:val="0"/>
                <w:sz w:val="21"/>
                <w:szCs w:val="21"/>
                <w:lang w:val="en-US" w:eastAsia="zh-CN" w:bidi="ar"/>
                <w:woUserID w:val="2"/>
              </w:rPr>
              <w:t>2.6.2 具有多种伪彩用于荧光强度的表达。</w:t>
            </w:r>
          </w:p>
          <w:p w14:paraId="25FC3D87">
            <w:pPr>
              <w:keepNext w:val="0"/>
              <w:keepLines w:val="0"/>
              <w:widowControl/>
              <w:suppressLineNumbers w:val="0"/>
              <w:kinsoku w:val="0"/>
              <w:autoSpaceDE w:val="0"/>
              <w:autoSpaceDN w:val="0"/>
              <w:adjustRightInd w:val="0"/>
              <w:snapToGrid w:val="0"/>
              <w:spacing w:before="15" w:beforeAutospacing="0" w:after="0" w:afterAutospacing="0" w:line="264" w:lineRule="auto"/>
              <w:ind w:left="18" w:right="0" w:firstLine="9"/>
              <w:jc w:val="both"/>
              <w:textAlignment w:val="baseline"/>
              <w:rPr>
                <w:rFonts w:hint="eastAsia" w:ascii="宋体" w:hAnsi="宋体" w:eastAsia="宋体" w:cs="宋体"/>
                <w:snapToGrid/>
                <w:color w:val="auto"/>
                <w:spacing w:val="6"/>
                <w:kern w:val="0"/>
                <w:sz w:val="21"/>
                <w:szCs w:val="21"/>
                <w:lang w:val="en-US" w:eastAsia="zh-CN" w:bidi="ar"/>
                <w:woUserID w:val="2"/>
              </w:rPr>
            </w:pPr>
            <w:r>
              <w:rPr>
                <w:rFonts w:hint="eastAsia" w:ascii="宋体" w:hAnsi="宋体" w:eastAsia="宋体" w:cs="宋体"/>
                <w:snapToGrid/>
                <w:color w:val="auto"/>
                <w:spacing w:val="6"/>
                <w:kern w:val="0"/>
                <w:sz w:val="21"/>
                <w:szCs w:val="21"/>
                <w:lang w:val="en-US" w:eastAsia="zh-CN" w:bidi="ar"/>
                <w:woUserID w:val="2"/>
              </w:rPr>
              <w:t>2.6.3软件自动存储以拍摄时间加自定义命名内容为后缀的原始数据，即拍即存。</w:t>
            </w:r>
          </w:p>
          <w:p w14:paraId="2DB25D6C">
            <w:pPr>
              <w:keepNext w:val="0"/>
              <w:keepLines w:val="0"/>
              <w:widowControl/>
              <w:suppressLineNumbers w:val="0"/>
              <w:kinsoku w:val="0"/>
              <w:autoSpaceDE w:val="0"/>
              <w:autoSpaceDN w:val="0"/>
              <w:adjustRightInd w:val="0"/>
              <w:snapToGrid w:val="0"/>
              <w:spacing w:before="15" w:beforeAutospacing="0" w:after="0" w:afterAutospacing="0" w:line="264" w:lineRule="auto"/>
              <w:ind w:left="18" w:right="0" w:firstLine="9"/>
              <w:jc w:val="both"/>
              <w:textAlignment w:val="baseline"/>
              <w:rPr>
                <w:rFonts w:hint="eastAsia" w:ascii="宋体" w:hAnsi="宋体" w:eastAsia="宋体" w:cs="宋体"/>
                <w:snapToGrid/>
                <w:color w:val="auto"/>
                <w:spacing w:val="6"/>
                <w:kern w:val="0"/>
                <w:sz w:val="21"/>
                <w:szCs w:val="21"/>
                <w:lang w:val="en-US" w:eastAsia="zh-CN" w:bidi="ar"/>
                <w:woUserID w:val="2"/>
              </w:rPr>
            </w:pPr>
            <w:r>
              <w:rPr>
                <w:rFonts w:hint="eastAsia" w:ascii="宋体" w:hAnsi="宋体" w:eastAsia="宋体" w:cs="宋体"/>
                <w:snapToGrid/>
                <w:color w:val="auto"/>
                <w:spacing w:val="6"/>
                <w:kern w:val="0"/>
                <w:sz w:val="21"/>
                <w:szCs w:val="21"/>
                <w:lang w:val="en-US" w:eastAsia="zh-CN" w:bidi="ar"/>
                <w:woUserID w:val="2"/>
              </w:rPr>
              <w:t>2.6.4批量化导入/导出数据功能，导出图片、原始数据和excel表等多种方式可选，既可导出当前图片，也可自定义多张导出。</w:t>
            </w:r>
          </w:p>
          <w:p w14:paraId="1543B061">
            <w:pPr>
              <w:keepNext w:val="0"/>
              <w:keepLines w:val="0"/>
              <w:widowControl/>
              <w:suppressLineNumbers w:val="0"/>
              <w:kinsoku w:val="0"/>
              <w:autoSpaceDE w:val="0"/>
              <w:autoSpaceDN w:val="0"/>
              <w:adjustRightInd w:val="0"/>
              <w:snapToGrid w:val="0"/>
              <w:spacing w:before="15" w:beforeAutospacing="0" w:after="0" w:afterAutospacing="0" w:line="264" w:lineRule="auto"/>
              <w:ind w:left="18" w:right="0" w:firstLine="9"/>
              <w:jc w:val="both"/>
              <w:textAlignment w:val="baseline"/>
              <w:rPr>
                <w:rFonts w:hint="eastAsia" w:ascii="宋体" w:hAnsi="宋体" w:eastAsia="宋体" w:cs="宋体"/>
                <w:snapToGrid/>
                <w:color w:val="auto"/>
                <w:spacing w:val="6"/>
                <w:kern w:val="0"/>
                <w:sz w:val="21"/>
                <w:szCs w:val="21"/>
                <w:lang w:val="en-US" w:eastAsia="zh-CN" w:bidi="ar"/>
                <w:woUserID w:val="2"/>
              </w:rPr>
            </w:pPr>
            <w:r>
              <w:rPr>
                <w:rFonts w:hint="eastAsia" w:ascii="宋体" w:hAnsi="宋体" w:eastAsia="宋体" w:cs="宋体"/>
                <w:snapToGrid/>
                <w:color w:val="auto"/>
                <w:spacing w:val="6"/>
                <w:kern w:val="0"/>
                <w:sz w:val="21"/>
                <w:szCs w:val="21"/>
                <w:lang w:val="en-US" w:eastAsia="zh-CN" w:bidi="ar"/>
                <w:woUserID w:val="2"/>
              </w:rPr>
              <w:t>2.6.5量化分析功能，以动物体表每秒离开一平方厘米组织并辐射成一个立体角的光子数(p/s/cm2/sr)或发射光子(p/s/cm2/sr)/激发强度(uw/cm2)进行定量，可自动或手动获取荧光及发光信号强度</w:t>
            </w:r>
          </w:p>
          <w:p w14:paraId="5F8E930F">
            <w:pPr>
              <w:keepNext w:val="0"/>
              <w:keepLines w:val="0"/>
              <w:widowControl/>
              <w:suppressLineNumbers w:val="0"/>
              <w:kinsoku w:val="0"/>
              <w:autoSpaceDE w:val="0"/>
              <w:autoSpaceDN w:val="0"/>
              <w:adjustRightInd w:val="0"/>
              <w:snapToGrid w:val="0"/>
              <w:spacing w:before="15" w:beforeAutospacing="0" w:after="0" w:afterAutospacing="0" w:line="264" w:lineRule="auto"/>
              <w:ind w:left="18" w:right="0" w:firstLine="9"/>
              <w:jc w:val="both"/>
              <w:textAlignment w:val="baseline"/>
              <w:rPr>
                <w:rFonts w:hint="eastAsia" w:ascii="宋体" w:hAnsi="宋体" w:eastAsia="宋体" w:cs="宋体"/>
                <w:snapToGrid/>
                <w:color w:val="auto"/>
                <w:spacing w:val="6"/>
                <w:kern w:val="0"/>
                <w:sz w:val="21"/>
                <w:szCs w:val="21"/>
                <w:lang w:val="en-US" w:eastAsia="zh-CN" w:bidi="ar"/>
                <w:woUserID w:val="2"/>
              </w:rPr>
            </w:pPr>
            <w:r>
              <w:rPr>
                <w:rFonts w:hint="eastAsia" w:ascii="宋体" w:hAnsi="宋体" w:eastAsia="宋体" w:cs="宋体"/>
                <w:snapToGrid/>
                <w:color w:val="auto"/>
                <w:spacing w:val="6"/>
                <w:kern w:val="0"/>
                <w:sz w:val="21"/>
                <w:szCs w:val="21"/>
                <w:lang w:val="en-US" w:eastAsia="zh-CN" w:bidi="ar"/>
                <w:woUserID w:val="2"/>
              </w:rPr>
              <w:t>2.6.6 丰富的像素合并功能，</w:t>
            </w:r>
          </w:p>
          <w:p w14:paraId="31288008">
            <w:pPr>
              <w:keepNext w:val="0"/>
              <w:keepLines w:val="0"/>
              <w:widowControl/>
              <w:suppressLineNumbers w:val="0"/>
              <w:kinsoku w:val="0"/>
              <w:autoSpaceDE w:val="0"/>
              <w:autoSpaceDN w:val="0"/>
              <w:adjustRightInd w:val="0"/>
              <w:snapToGrid w:val="0"/>
              <w:spacing w:before="15" w:beforeAutospacing="0" w:after="0" w:afterAutospacing="0" w:line="264" w:lineRule="auto"/>
              <w:ind w:left="18" w:right="0" w:firstLine="9"/>
              <w:jc w:val="both"/>
              <w:textAlignment w:val="baseline"/>
              <w:rPr>
                <w:rFonts w:hint="eastAsia" w:ascii="宋体" w:hAnsi="宋体" w:eastAsia="宋体" w:cs="宋体"/>
                <w:snapToGrid/>
                <w:color w:val="auto"/>
                <w:spacing w:val="6"/>
                <w:kern w:val="0"/>
                <w:sz w:val="21"/>
                <w:szCs w:val="21"/>
                <w:lang w:val="en-US" w:eastAsia="zh-CN" w:bidi="ar"/>
                <w:woUserID w:val="2"/>
              </w:rPr>
            </w:pPr>
            <w:r>
              <w:rPr>
                <w:rFonts w:hint="eastAsia" w:ascii="宋体" w:hAnsi="宋体" w:eastAsia="宋体" w:cs="宋体"/>
                <w:snapToGrid/>
                <w:color w:val="auto"/>
                <w:spacing w:val="6"/>
                <w:kern w:val="0"/>
                <w:sz w:val="21"/>
                <w:szCs w:val="21"/>
                <w:lang w:val="en-US" w:eastAsia="zh-CN" w:bidi="ar"/>
                <w:woUserID w:val="2"/>
              </w:rPr>
              <w:t>≥8种像素合并功能，适合于低信号的检测实验，能有效地提高检测灵敏度。</w:t>
            </w:r>
          </w:p>
          <w:p w14:paraId="4481D653">
            <w:pPr>
              <w:keepNext w:val="0"/>
              <w:keepLines w:val="0"/>
              <w:widowControl/>
              <w:suppressLineNumbers w:val="0"/>
              <w:kinsoku w:val="0"/>
              <w:autoSpaceDE w:val="0"/>
              <w:autoSpaceDN w:val="0"/>
              <w:adjustRightInd w:val="0"/>
              <w:snapToGrid w:val="0"/>
              <w:spacing w:before="15" w:beforeAutospacing="0" w:after="0" w:afterAutospacing="0" w:line="264" w:lineRule="auto"/>
              <w:ind w:left="18" w:right="0" w:firstLine="9"/>
              <w:jc w:val="both"/>
              <w:textAlignment w:val="baseline"/>
              <w:rPr>
                <w:rFonts w:hint="eastAsia" w:ascii="宋体" w:hAnsi="宋体" w:eastAsia="宋体" w:cs="宋体"/>
                <w:snapToGrid/>
                <w:color w:val="auto"/>
                <w:spacing w:val="6"/>
                <w:kern w:val="0"/>
                <w:sz w:val="21"/>
                <w:szCs w:val="21"/>
                <w:lang w:val="en-US" w:eastAsia="zh-CN" w:bidi="ar"/>
                <w:woUserID w:val="2"/>
              </w:rPr>
            </w:pPr>
            <w:r>
              <w:rPr>
                <w:rFonts w:hint="eastAsia" w:ascii="宋体" w:hAnsi="宋体" w:eastAsia="宋体" w:cs="宋体"/>
                <w:snapToGrid/>
                <w:color w:val="auto"/>
                <w:spacing w:val="6"/>
                <w:kern w:val="0"/>
                <w:sz w:val="21"/>
                <w:szCs w:val="21"/>
                <w:lang w:val="en-US" w:eastAsia="zh-CN" w:bidi="ar"/>
                <w:woUserID w:val="2"/>
              </w:rPr>
              <w:t>2.6.7强大的多图分析功能，可对多张图片一键同时处理分析及组合导出，实现纵向实验结果快速处理，确保成像结果分析条件一致。</w:t>
            </w:r>
          </w:p>
          <w:p w14:paraId="11E584A1">
            <w:pPr>
              <w:keepNext w:val="0"/>
              <w:keepLines w:val="0"/>
              <w:widowControl/>
              <w:suppressLineNumbers w:val="0"/>
              <w:kinsoku w:val="0"/>
              <w:autoSpaceDE w:val="0"/>
              <w:autoSpaceDN w:val="0"/>
              <w:adjustRightInd w:val="0"/>
              <w:snapToGrid w:val="0"/>
              <w:spacing w:before="15" w:beforeAutospacing="0" w:after="0" w:afterAutospacing="0" w:line="264" w:lineRule="auto"/>
              <w:ind w:left="18" w:right="0" w:firstLine="9"/>
              <w:jc w:val="both"/>
              <w:textAlignment w:val="baseline"/>
              <w:rPr>
                <w:rFonts w:hint="eastAsia" w:ascii="宋体" w:hAnsi="宋体" w:eastAsia="宋体" w:cs="宋体"/>
                <w:snapToGrid/>
                <w:color w:val="auto"/>
                <w:spacing w:val="6"/>
                <w:kern w:val="0"/>
                <w:sz w:val="21"/>
                <w:szCs w:val="21"/>
                <w:lang w:val="en-US" w:eastAsia="zh-CN" w:bidi="ar"/>
                <w:woUserID w:val="2"/>
              </w:rPr>
            </w:pPr>
            <w:r>
              <w:rPr>
                <w:rFonts w:hint="eastAsia" w:ascii="宋体" w:hAnsi="宋体" w:eastAsia="宋体" w:cs="宋体"/>
                <w:snapToGrid/>
                <w:color w:val="auto"/>
                <w:spacing w:val="6"/>
                <w:kern w:val="0"/>
                <w:sz w:val="21"/>
                <w:szCs w:val="21"/>
                <w:lang w:val="en-US" w:eastAsia="zh-CN" w:bidi="ar"/>
                <w:woUserID w:val="2"/>
              </w:rPr>
              <w:t>2.6.8可以进行表面线形的光强度对比，自动评估感兴趣的区域强度变化趋势。</w:t>
            </w:r>
          </w:p>
          <w:p w14:paraId="23770924">
            <w:pPr>
              <w:keepNext w:val="0"/>
              <w:keepLines w:val="0"/>
              <w:widowControl/>
              <w:suppressLineNumbers w:val="0"/>
              <w:kinsoku w:val="0"/>
              <w:autoSpaceDE w:val="0"/>
              <w:autoSpaceDN w:val="0"/>
              <w:adjustRightInd w:val="0"/>
              <w:snapToGrid w:val="0"/>
              <w:spacing w:before="15" w:beforeAutospacing="0" w:after="0" w:afterAutospacing="0" w:line="264" w:lineRule="auto"/>
              <w:ind w:left="18" w:right="0" w:firstLine="9"/>
              <w:jc w:val="both"/>
              <w:textAlignment w:val="baseline"/>
              <w:rPr>
                <w:rFonts w:hint="eastAsia" w:ascii="宋体" w:hAnsi="宋体" w:eastAsia="宋体" w:cs="宋体"/>
                <w:snapToGrid/>
                <w:color w:val="auto"/>
                <w:spacing w:val="6"/>
                <w:kern w:val="0"/>
                <w:sz w:val="21"/>
                <w:szCs w:val="21"/>
                <w:lang w:val="en-US" w:eastAsia="zh-CN" w:bidi="ar"/>
                <w:woUserID w:val="2"/>
              </w:rPr>
            </w:pPr>
            <w:r>
              <w:rPr>
                <w:rFonts w:hint="eastAsia" w:ascii="宋体" w:hAnsi="宋体" w:eastAsia="宋体" w:cs="宋体"/>
                <w:snapToGrid/>
                <w:color w:val="auto"/>
                <w:spacing w:val="6"/>
                <w:kern w:val="0"/>
                <w:sz w:val="21"/>
                <w:szCs w:val="21"/>
                <w:lang w:val="en-US" w:eastAsia="zh-CN" w:bidi="ar"/>
                <w:woUserID w:val="2"/>
              </w:rPr>
              <w:t>三、售后与技术服务</w:t>
            </w:r>
          </w:p>
          <w:p w14:paraId="7FFD5104">
            <w:pPr>
              <w:keepNext w:val="0"/>
              <w:keepLines w:val="0"/>
              <w:widowControl/>
              <w:suppressLineNumbers w:val="0"/>
              <w:kinsoku w:val="0"/>
              <w:autoSpaceDE w:val="0"/>
              <w:autoSpaceDN w:val="0"/>
              <w:adjustRightInd w:val="0"/>
              <w:snapToGrid w:val="0"/>
              <w:spacing w:before="15" w:beforeAutospacing="0" w:after="0" w:afterAutospacing="0" w:line="264" w:lineRule="auto"/>
              <w:ind w:left="18" w:right="0" w:firstLine="9"/>
              <w:jc w:val="both"/>
              <w:textAlignment w:val="baseline"/>
              <w:rPr>
                <w:rFonts w:hint="eastAsia" w:ascii="宋体" w:hAnsi="宋体" w:eastAsia="宋体" w:cs="宋体"/>
                <w:snapToGrid/>
                <w:color w:val="auto"/>
                <w:spacing w:val="6"/>
                <w:kern w:val="0"/>
                <w:sz w:val="21"/>
                <w:szCs w:val="21"/>
                <w:lang w:val="en-US" w:eastAsia="zh-CN" w:bidi="ar"/>
                <w:woUserID w:val="2"/>
              </w:rPr>
            </w:pPr>
            <w:r>
              <w:rPr>
                <w:rFonts w:hint="eastAsia" w:ascii="宋体" w:hAnsi="宋体" w:eastAsia="宋体" w:cs="宋体"/>
                <w:snapToGrid/>
                <w:color w:val="auto"/>
                <w:spacing w:val="6"/>
                <w:kern w:val="0"/>
                <w:sz w:val="21"/>
                <w:szCs w:val="21"/>
                <w:lang w:val="en-US" w:eastAsia="zh-CN" w:bidi="ar"/>
                <w:woUserID w:val="2"/>
              </w:rPr>
              <w:t>3.1国内原厂生产，提供高效、专业的售后和技术服务。</w:t>
            </w:r>
          </w:p>
          <w:p w14:paraId="1DF575CD">
            <w:pPr>
              <w:keepNext w:val="0"/>
              <w:keepLines w:val="0"/>
              <w:widowControl/>
              <w:suppressLineNumbers w:val="0"/>
              <w:kinsoku w:val="0"/>
              <w:autoSpaceDE w:val="0"/>
              <w:autoSpaceDN w:val="0"/>
              <w:adjustRightInd w:val="0"/>
              <w:snapToGrid w:val="0"/>
              <w:spacing w:before="15" w:beforeAutospacing="0" w:after="0" w:afterAutospacing="0" w:line="264" w:lineRule="auto"/>
              <w:ind w:left="18" w:right="0" w:firstLine="9"/>
              <w:jc w:val="both"/>
              <w:textAlignment w:val="baseline"/>
              <w:rPr>
                <w:rFonts w:hint="eastAsia" w:ascii="宋体" w:hAnsi="宋体" w:eastAsia="宋体" w:cs="宋体"/>
                <w:snapToGrid/>
                <w:color w:val="auto"/>
                <w:spacing w:val="6"/>
                <w:kern w:val="0"/>
                <w:sz w:val="21"/>
                <w:szCs w:val="21"/>
                <w:lang w:val="en-US" w:eastAsia="zh-CN" w:bidi="ar"/>
                <w:woUserID w:val="2"/>
              </w:rPr>
            </w:pPr>
            <w:r>
              <w:rPr>
                <w:rFonts w:hint="eastAsia" w:ascii="宋体" w:hAnsi="宋体" w:eastAsia="宋体" w:cs="宋体"/>
                <w:snapToGrid/>
                <w:color w:val="auto"/>
                <w:spacing w:val="6"/>
                <w:kern w:val="0"/>
                <w:sz w:val="21"/>
                <w:szCs w:val="21"/>
                <w:lang w:val="en-US" w:eastAsia="zh-CN" w:bidi="ar"/>
                <w:woUserID w:val="2"/>
              </w:rPr>
              <w:t>3.2提供实验技术培训，包括操作培训、应用培训以及维护培训等。</w:t>
            </w:r>
          </w:p>
          <w:p w14:paraId="1C10CE06">
            <w:pPr>
              <w:keepNext w:val="0"/>
              <w:keepLines w:val="0"/>
              <w:widowControl/>
              <w:suppressLineNumbers w:val="0"/>
              <w:kinsoku w:val="0"/>
              <w:autoSpaceDE w:val="0"/>
              <w:autoSpaceDN w:val="0"/>
              <w:adjustRightInd w:val="0"/>
              <w:snapToGrid w:val="0"/>
              <w:spacing w:before="15" w:beforeAutospacing="0" w:after="0" w:afterAutospacing="0" w:line="264" w:lineRule="auto"/>
              <w:ind w:left="18" w:right="0" w:firstLine="9"/>
              <w:jc w:val="both"/>
              <w:textAlignment w:val="baseline"/>
              <w:rPr>
                <w:rFonts w:hint="eastAsia" w:ascii="宋体" w:hAnsi="宋体" w:eastAsia="宋体" w:cs="宋体"/>
                <w:snapToGrid/>
                <w:color w:val="auto"/>
                <w:spacing w:val="6"/>
                <w:kern w:val="0"/>
                <w:sz w:val="21"/>
                <w:szCs w:val="21"/>
                <w:lang w:val="en-US" w:eastAsia="zh-CN" w:bidi="ar"/>
                <w:woUserID w:val="2"/>
              </w:rPr>
            </w:pPr>
            <w:r>
              <w:rPr>
                <w:rFonts w:hint="eastAsia" w:ascii="宋体" w:hAnsi="宋体" w:eastAsia="宋体" w:cs="宋体"/>
                <w:snapToGrid/>
                <w:color w:val="auto"/>
                <w:spacing w:val="6"/>
                <w:kern w:val="0"/>
                <w:sz w:val="21"/>
                <w:szCs w:val="21"/>
                <w:lang w:val="en-US" w:eastAsia="zh-CN" w:bidi="ar"/>
                <w:woUserID w:val="2"/>
              </w:rPr>
              <w:t>3.3提供各种荧光、发光标记的细胞系或能够提供细胞、病毒的标记服务。</w:t>
            </w:r>
          </w:p>
          <w:p w14:paraId="5C88DC55">
            <w:pPr>
              <w:pStyle w:val="31"/>
              <w:keepNext w:val="0"/>
              <w:keepLines w:val="0"/>
              <w:suppressLineNumbers w:val="0"/>
              <w:spacing w:before="0" w:beforeAutospacing="0" w:after="0" w:afterAutospacing="0"/>
              <w:ind w:left="0" w:leftChars="0" w:right="0" w:rightChars="0"/>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snapToGrid/>
                <w:color w:val="auto"/>
                <w:spacing w:val="6"/>
                <w:kern w:val="0"/>
                <w:sz w:val="21"/>
                <w:szCs w:val="21"/>
                <w:lang w:val="en-US" w:eastAsia="zh-CN" w:bidi="ar"/>
                <w:woUserID w:val="2"/>
              </w:rPr>
              <w:t>3.4质保5年，含更换耗材、维修等。</w:t>
            </w:r>
          </w:p>
        </w:tc>
        <w:tc>
          <w:tcPr>
            <w:tcW w:w="701"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A9B931E">
            <w:pPr>
              <w:keepNext w:val="0"/>
              <w:keepLines w:val="0"/>
              <w:suppressLineNumbers w:val="0"/>
              <w:spacing w:before="0" w:beforeAutospacing="0" w:after="0" w:afterAutospacing="0" w:line="380" w:lineRule="exact"/>
              <w:ind w:left="0" w:leftChars="0" w:right="0" w:rightChars="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rPr>
              <w:t>台</w:t>
            </w:r>
          </w:p>
        </w:tc>
        <w:tc>
          <w:tcPr>
            <w:tcW w:w="668" w:type="dxa"/>
            <w:tcBorders>
              <w:top w:val="single" w:color="auto" w:sz="4" w:space="0"/>
              <w:left w:val="single" w:color="auto" w:sz="4" w:space="0"/>
              <w:bottom w:val="single" w:color="auto" w:sz="4" w:space="0"/>
              <w:right w:val="single" w:color="auto" w:sz="4" w:space="0"/>
            </w:tcBorders>
            <w:vAlign w:val="center"/>
          </w:tcPr>
          <w:p w14:paraId="00C74C85">
            <w:pPr>
              <w:keepNext w:val="0"/>
              <w:keepLines w:val="0"/>
              <w:suppressLineNumbers w:val="0"/>
              <w:spacing w:before="0" w:beforeAutospacing="0" w:after="0" w:afterAutospacing="0" w:line="380" w:lineRule="exact"/>
              <w:ind w:left="0" w:leftChars="0" w:right="0" w:rightChars="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rPr>
              <w:t>1</w:t>
            </w:r>
          </w:p>
        </w:tc>
      </w:tr>
      <w:tr w14:paraId="75367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414"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60E2E6A">
            <w:pPr>
              <w:pStyle w:val="148"/>
              <w:keepNext w:val="0"/>
              <w:keepLines w:val="0"/>
              <w:widowControl/>
              <w:numPr>
                <w:ilvl w:val="0"/>
                <w:numId w:val="0"/>
              </w:numPr>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lang w:val="en-US" w:eastAsia="zh-CN"/>
              </w:rPr>
              <w:t>22</w:t>
            </w:r>
          </w:p>
        </w:tc>
        <w:tc>
          <w:tcPr>
            <w:tcW w:w="883"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195597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val="0"/>
                <w:bCs w:val="0"/>
                <w:i w:val="0"/>
                <w:iCs w:val="0"/>
                <w:color w:val="auto"/>
                <w:kern w:val="0"/>
                <w:sz w:val="21"/>
                <w:szCs w:val="21"/>
                <w:u w:val="none"/>
                <w:lang w:val="en-US" w:eastAsia="zh-CN" w:bidi="ar"/>
              </w:rPr>
              <w:t>除湿机</w:t>
            </w:r>
          </w:p>
        </w:tc>
        <w:tc>
          <w:tcPr>
            <w:tcW w:w="6760"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76EB98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color w:val="auto"/>
                <w:szCs w:val="21"/>
                <w:lang w:val="en-US" w:eastAsia="zh-CN"/>
                <w:woUserID w:val="5"/>
              </w:rPr>
            </w:pPr>
            <w:r>
              <w:rPr>
                <w:rFonts w:hint="eastAsia" w:ascii="宋体" w:hAnsi="宋体" w:eastAsia="宋体" w:cs="宋体"/>
                <w:b w:val="0"/>
                <w:bCs w:val="0"/>
                <w:color w:val="auto"/>
                <w:szCs w:val="21"/>
                <w:lang w:val="en-US" w:eastAsia="zh-CN"/>
                <w:woUserID w:val="5"/>
              </w:rPr>
              <w:t>1.额定功率</w:t>
            </w:r>
            <w:r>
              <w:rPr>
                <w:rFonts w:hint="eastAsia" w:ascii="宋体" w:hAnsi="宋体" w:eastAsia="宋体" w:cs="宋体"/>
                <w:b w:val="0"/>
                <w:bCs w:val="0"/>
                <w:color w:val="auto"/>
                <w:szCs w:val="21"/>
                <w:lang w:val="en-US" w:eastAsia="zh"/>
                <w:woUserID w:val="5"/>
              </w:rPr>
              <w:t>：</w:t>
            </w:r>
            <w:r>
              <w:rPr>
                <w:rFonts w:hint="eastAsia" w:ascii="宋体" w:hAnsi="宋体" w:cs="宋体"/>
                <w:b w:val="0"/>
                <w:bCs w:val="0"/>
                <w:color w:val="auto"/>
                <w:szCs w:val="21"/>
                <w:lang w:val="en-US" w:eastAsia="zh-CN"/>
                <w:woUserID w:val="5"/>
              </w:rPr>
              <w:t>不低于</w:t>
            </w:r>
            <w:r>
              <w:rPr>
                <w:rFonts w:hint="eastAsia" w:ascii="宋体" w:hAnsi="宋体" w:eastAsia="宋体" w:cs="宋体"/>
                <w:b w:val="0"/>
                <w:bCs w:val="0"/>
                <w:color w:val="auto"/>
                <w:szCs w:val="21"/>
                <w:lang w:val="en-US" w:eastAsia="zh-CN"/>
                <w:woUserID w:val="5"/>
              </w:rPr>
              <w:t>260W</w:t>
            </w:r>
          </w:p>
          <w:p w14:paraId="486A0DA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color w:val="auto"/>
                <w:szCs w:val="21"/>
                <w:lang w:val="en-US" w:eastAsia="zh-CN"/>
                <w:woUserID w:val="5"/>
              </w:rPr>
            </w:pPr>
            <w:r>
              <w:rPr>
                <w:rFonts w:hint="eastAsia" w:ascii="宋体" w:hAnsi="宋体" w:eastAsia="宋体" w:cs="宋体"/>
                <w:b w:val="0"/>
                <w:bCs w:val="0"/>
                <w:color w:val="auto"/>
                <w:szCs w:val="21"/>
                <w:lang w:val="en-US" w:eastAsia="zh-CN"/>
                <w:woUserID w:val="5"/>
              </w:rPr>
              <w:t>2.水箱容量：</w:t>
            </w:r>
            <w:r>
              <w:rPr>
                <w:rFonts w:hint="eastAsia" w:ascii="宋体" w:hAnsi="宋体" w:eastAsia="宋体" w:cs="宋体"/>
                <w:color w:val="auto"/>
                <w:lang w:eastAsia="zh-CN"/>
              </w:rPr>
              <w:t>≥</w:t>
            </w:r>
            <w:r>
              <w:rPr>
                <w:rFonts w:hint="eastAsia" w:ascii="宋体" w:hAnsi="宋体" w:eastAsia="宋体" w:cs="宋体"/>
                <w:b w:val="0"/>
                <w:bCs w:val="0"/>
                <w:color w:val="auto"/>
                <w:szCs w:val="21"/>
                <w:lang w:val="en-US" w:eastAsia="zh-CN"/>
                <w:woUserID w:val="5"/>
              </w:rPr>
              <w:t>4.5L</w:t>
            </w:r>
          </w:p>
          <w:p w14:paraId="6CCCB78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color w:val="auto"/>
                <w:szCs w:val="21"/>
                <w:lang w:val="en-US" w:eastAsia="zh-CN"/>
                <w:woUserID w:val="5"/>
              </w:rPr>
            </w:pPr>
            <w:r>
              <w:rPr>
                <w:rFonts w:hint="eastAsia" w:ascii="宋体" w:hAnsi="宋体" w:eastAsia="宋体" w:cs="宋体"/>
                <w:b w:val="0"/>
                <w:bCs w:val="0"/>
                <w:color w:val="auto"/>
                <w:szCs w:val="21"/>
                <w:lang w:val="en-US" w:eastAsia="zh-CN"/>
                <w:woUserID w:val="5"/>
              </w:rPr>
              <w:t>3.额定电压</w:t>
            </w:r>
            <w:r>
              <w:rPr>
                <w:rFonts w:hint="eastAsia" w:ascii="宋体" w:hAnsi="宋体" w:eastAsia="宋体" w:cs="宋体"/>
                <w:b w:val="0"/>
                <w:bCs w:val="0"/>
                <w:color w:val="auto"/>
                <w:szCs w:val="21"/>
                <w:lang w:val="en-US" w:eastAsia="zh"/>
                <w:woUserID w:val="5"/>
              </w:rPr>
              <w:t>：</w:t>
            </w:r>
            <w:r>
              <w:rPr>
                <w:rFonts w:hint="eastAsia" w:ascii="宋体" w:hAnsi="宋体" w:eastAsia="宋体" w:cs="宋体"/>
                <w:b w:val="0"/>
                <w:bCs w:val="0"/>
                <w:color w:val="auto"/>
                <w:szCs w:val="21"/>
                <w:lang w:val="en-US" w:eastAsia="zh-CN"/>
                <w:woUserID w:val="5"/>
              </w:rPr>
              <w:t>220V</w:t>
            </w:r>
          </w:p>
          <w:p w14:paraId="255A3D0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b w:val="0"/>
                <w:bCs w:val="0"/>
                <w:color w:val="auto"/>
                <w:szCs w:val="21"/>
                <w:lang w:val="en-US" w:eastAsia="zh-CN"/>
                <w:woUserID w:val="5"/>
              </w:rPr>
              <w:t>4.除湿量</w:t>
            </w:r>
            <w:r>
              <w:rPr>
                <w:rFonts w:hint="eastAsia" w:ascii="宋体" w:hAnsi="宋体" w:eastAsia="宋体" w:cs="宋体"/>
                <w:b w:val="0"/>
                <w:bCs w:val="0"/>
                <w:color w:val="auto"/>
                <w:szCs w:val="21"/>
                <w:lang w:val="en-US" w:eastAsia="zh"/>
                <w:woUserID w:val="5"/>
              </w:rPr>
              <w:t>：</w:t>
            </w:r>
            <w:r>
              <w:rPr>
                <w:rFonts w:hint="eastAsia" w:ascii="宋体" w:hAnsi="宋体" w:eastAsia="宋体" w:cs="宋体"/>
                <w:color w:val="auto"/>
                <w:lang w:eastAsia="zh-CN"/>
              </w:rPr>
              <w:t>≥</w:t>
            </w:r>
            <w:r>
              <w:rPr>
                <w:rFonts w:hint="eastAsia" w:ascii="宋体" w:hAnsi="宋体" w:eastAsia="宋体" w:cs="宋体"/>
                <w:b w:val="0"/>
                <w:bCs w:val="0"/>
                <w:color w:val="auto"/>
                <w:szCs w:val="21"/>
                <w:lang w:val="en-US" w:eastAsia="zh-CN"/>
                <w:woUserID w:val="5"/>
              </w:rPr>
              <w:t xml:space="preserve">25升/天 </w:t>
            </w:r>
          </w:p>
        </w:tc>
        <w:tc>
          <w:tcPr>
            <w:tcW w:w="701"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1412DA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u w:val="none"/>
                <w:lang w:val="en-US" w:eastAsia="zh-CN" w:bidi="ar"/>
              </w:rPr>
              <w:t>套</w:t>
            </w:r>
          </w:p>
        </w:tc>
        <w:tc>
          <w:tcPr>
            <w:tcW w:w="668" w:type="dxa"/>
            <w:tcBorders>
              <w:top w:val="single" w:color="auto" w:sz="4" w:space="0"/>
              <w:left w:val="single" w:color="auto" w:sz="4" w:space="0"/>
              <w:bottom w:val="single" w:color="auto" w:sz="4" w:space="0"/>
              <w:right w:val="single" w:color="auto" w:sz="4" w:space="0"/>
            </w:tcBorders>
            <w:vAlign w:val="center"/>
          </w:tcPr>
          <w:p w14:paraId="612EF92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u w:val="none"/>
                <w:lang w:val="en-US" w:eastAsia="zh-CN" w:bidi="ar"/>
              </w:rPr>
              <w:t>1</w:t>
            </w:r>
          </w:p>
        </w:tc>
      </w:tr>
    </w:tbl>
    <w:p w14:paraId="293FD1D6">
      <w:pPr>
        <w:rPr>
          <w:color w:val="auto"/>
        </w:rPr>
      </w:pPr>
    </w:p>
    <w:p w14:paraId="7B031FFE">
      <w:pPr>
        <w:spacing w:line="360" w:lineRule="auto"/>
        <w:rPr>
          <w:rFonts w:hint="default" w:ascii="黑体" w:hAnsi="黑体" w:eastAsia="黑体" w:cs="Arial"/>
          <w:b/>
          <w:color w:val="auto"/>
          <w:kern w:val="0"/>
          <w:sz w:val="28"/>
          <w:szCs w:val="28"/>
          <w:lang w:val="en-US" w:eastAsia="zh-CN"/>
        </w:rPr>
      </w:pPr>
      <w:r>
        <w:rPr>
          <w:rFonts w:hint="eastAsia" w:ascii="黑体" w:hAnsi="黑体" w:eastAsia="黑体" w:cs="Arial"/>
          <w:b/>
          <w:color w:val="auto"/>
          <w:kern w:val="0"/>
          <w:sz w:val="28"/>
          <w:szCs w:val="28"/>
        </w:rPr>
        <w:t>▲</w:t>
      </w:r>
      <w:r>
        <w:rPr>
          <w:rFonts w:hint="eastAsia" w:ascii="黑体" w:hAnsi="黑体" w:eastAsia="黑体" w:cs="Arial"/>
          <w:b/>
          <w:color w:val="auto"/>
          <w:kern w:val="0"/>
          <w:sz w:val="28"/>
          <w:szCs w:val="28"/>
          <w:lang w:val="en-US" w:eastAsia="zh-CN"/>
        </w:rPr>
        <w:t>三、商务要求</w:t>
      </w:r>
    </w:p>
    <w:tbl>
      <w:tblPr>
        <w:tblStyle w:val="51"/>
        <w:tblW w:w="4844" w:type="pct"/>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28"/>
        <w:gridCol w:w="8046"/>
      </w:tblGrid>
      <w:tr w14:paraId="10883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112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E03ABDE">
            <w:pPr>
              <w:keepNext w:val="0"/>
              <w:keepLines w:val="0"/>
              <w:pageBreakBefore w:val="0"/>
              <w:suppressLineNumbers w:val="0"/>
              <w:kinsoku/>
              <w:wordWrap/>
              <w:overflowPunct/>
              <w:topLinePunct w:val="0"/>
              <w:autoSpaceDN/>
              <w:bidi w:val="0"/>
              <w:snapToGrid w:val="0"/>
              <w:spacing w:before="0" w:beforeAutospacing="0" w:afterAutospacing="0" w:line="240" w:lineRule="auto"/>
              <w:ind w:left="0" w:right="0"/>
              <w:jc w:val="center"/>
              <w:rPr>
                <w:rFonts w:hint="default" w:ascii="宋体" w:hAnsi="宋体"/>
                <w:b/>
                <w:bCs/>
                <w:color w:val="auto"/>
                <w:szCs w:val="21"/>
              </w:rPr>
            </w:pPr>
            <w:r>
              <w:rPr>
                <w:rFonts w:hint="eastAsia" w:ascii="宋体" w:hAnsi="宋体" w:eastAsia="宋体" w:cs="宋体"/>
                <w:b/>
                <w:bCs/>
                <w:color w:val="auto"/>
                <w:szCs w:val="21"/>
              </w:rPr>
              <w:t>报价要求</w:t>
            </w:r>
          </w:p>
        </w:tc>
        <w:tc>
          <w:tcPr>
            <w:tcW w:w="8047"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06994EC">
            <w:pPr>
              <w:keepNext w:val="0"/>
              <w:keepLines w:val="0"/>
              <w:pageBreakBefore w:val="0"/>
              <w:suppressLineNumbers w:val="0"/>
              <w:kinsoku/>
              <w:wordWrap/>
              <w:overflowPunct/>
              <w:topLinePunct w:val="0"/>
              <w:autoSpaceDN/>
              <w:bidi w:val="0"/>
              <w:snapToGrid w:val="0"/>
              <w:spacing w:before="0" w:beforeAutospacing="0" w:afterAutospacing="0" w:line="240" w:lineRule="auto"/>
              <w:ind w:left="0" w:right="0"/>
              <w:rPr>
                <w:rFonts w:hint="default" w:ascii="宋体" w:hAnsi="宋体" w:eastAsia="宋体" w:cs="宋体"/>
                <w:color w:val="auto"/>
                <w:szCs w:val="21"/>
              </w:rPr>
            </w:pPr>
            <w:r>
              <w:rPr>
                <w:rFonts w:hint="eastAsia" w:ascii="宋体" w:hAnsi="宋体" w:eastAsia="宋体" w:cs="宋体"/>
                <w:color w:val="auto"/>
                <w:szCs w:val="21"/>
              </w:rPr>
              <w:t>报</w:t>
            </w:r>
            <w:r>
              <w:rPr>
                <w:rFonts w:hint="default" w:ascii="宋体" w:hAnsi="宋体" w:eastAsia="宋体" w:cs="宋体"/>
                <w:color w:val="auto"/>
                <w:szCs w:val="21"/>
              </w:rPr>
              <w:t>价为采购人指定地点的现场</w:t>
            </w:r>
            <w:r>
              <w:rPr>
                <w:rFonts w:hint="eastAsia" w:ascii="宋体" w:hAnsi="宋体" w:eastAsia="宋体" w:cs="宋体"/>
                <w:color w:val="auto"/>
                <w:szCs w:val="21"/>
              </w:rPr>
              <w:t>交付价格</w:t>
            </w:r>
            <w:r>
              <w:rPr>
                <w:rFonts w:hint="default" w:ascii="宋体" w:hAnsi="宋体" w:eastAsia="宋体" w:cs="宋体"/>
                <w:color w:val="auto"/>
                <w:szCs w:val="21"/>
              </w:rPr>
              <w:t>，包括但不限于：</w:t>
            </w:r>
          </w:p>
          <w:p w14:paraId="7F9716E5">
            <w:pPr>
              <w:keepNext w:val="0"/>
              <w:keepLines w:val="0"/>
              <w:pageBreakBefore w:val="0"/>
              <w:suppressLineNumbers w:val="0"/>
              <w:kinsoku/>
              <w:wordWrap/>
              <w:overflowPunct/>
              <w:topLinePunct w:val="0"/>
              <w:autoSpaceDN/>
              <w:bidi w:val="0"/>
              <w:snapToGrid w:val="0"/>
              <w:spacing w:before="0" w:beforeAutospacing="0" w:afterAutospacing="0" w:line="240" w:lineRule="auto"/>
              <w:ind w:left="0" w:right="0"/>
              <w:rPr>
                <w:rFonts w:hint="default" w:ascii="宋体" w:hAnsi="宋体" w:eastAsia="宋体" w:cs="宋体"/>
                <w:color w:val="auto"/>
                <w:szCs w:val="21"/>
              </w:rPr>
            </w:pPr>
            <w:r>
              <w:rPr>
                <w:rFonts w:hint="default" w:ascii="宋体" w:hAnsi="宋体" w:eastAsia="宋体" w:cs="宋体"/>
                <w:color w:val="auto"/>
                <w:szCs w:val="21"/>
              </w:rPr>
              <w:t>1）</w:t>
            </w:r>
            <w:r>
              <w:rPr>
                <w:rFonts w:hint="eastAsia" w:ascii="宋体" w:hAnsi="宋体" w:eastAsia="宋体" w:cs="宋体"/>
                <w:color w:val="auto"/>
                <w:szCs w:val="21"/>
              </w:rPr>
              <w:t>采购内容中所有</w:t>
            </w:r>
            <w:r>
              <w:rPr>
                <w:rFonts w:hint="default" w:ascii="宋体" w:hAnsi="宋体" w:eastAsia="宋体" w:cs="宋体"/>
                <w:color w:val="auto"/>
                <w:szCs w:val="21"/>
              </w:rPr>
              <w:t>货物</w:t>
            </w:r>
            <w:r>
              <w:rPr>
                <w:rFonts w:hint="eastAsia" w:ascii="宋体" w:hAnsi="宋体" w:eastAsia="宋体" w:cs="宋体"/>
                <w:color w:val="auto"/>
                <w:szCs w:val="21"/>
              </w:rPr>
              <w:t>和</w:t>
            </w:r>
            <w:r>
              <w:rPr>
                <w:rFonts w:hint="default" w:ascii="宋体" w:hAnsi="宋体" w:eastAsia="宋体" w:cs="宋体"/>
                <w:color w:val="auto"/>
                <w:szCs w:val="21"/>
              </w:rPr>
              <w:t>服务的价格；</w:t>
            </w:r>
          </w:p>
          <w:p w14:paraId="161076AA">
            <w:pPr>
              <w:keepNext w:val="0"/>
              <w:keepLines w:val="0"/>
              <w:pageBreakBefore w:val="0"/>
              <w:suppressLineNumbers w:val="0"/>
              <w:kinsoku/>
              <w:wordWrap/>
              <w:overflowPunct/>
              <w:topLinePunct w:val="0"/>
              <w:autoSpaceDN/>
              <w:bidi w:val="0"/>
              <w:snapToGrid w:val="0"/>
              <w:spacing w:before="0" w:beforeAutospacing="0" w:afterAutospacing="0" w:line="240" w:lineRule="auto"/>
              <w:ind w:left="0" w:right="0"/>
              <w:rPr>
                <w:rFonts w:hint="default" w:ascii="宋体" w:hAnsi="宋体" w:eastAsia="宋体" w:cs="宋体"/>
                <w:color w:val="auto"/>
                <w:szCs w:val="21"/>
              </w:rPr>
            </w:pPr>
            <w:r>
              <w:rPr>
                <w:rFonts w:hint="default" w:ascii="宋体" w:hAnsi="宋体" w:eastAsia="宋体" w:cs="宋体"/>
                <w:color w:val="auto"/>
                <w:szCs w:val="21"/>
              </w:rPr>
              <w:t>2）货物的标准附件、备品备件、专用工具的价格；</w:t>
            </w:r>
          </w:p>
          <w:p w14:paraId="21E1DC70">
            <w:pPr>
              <w:keepNext w:val="0"/>
              <w:keepLines w:val="0"/>
              <w:pageBreakBefore w:val="0"/>
              <w:suppressLineNumbers w:val="0"/>
              <w:kinsoku/>
              <w:wordWrap/>
              <w:overflowPunct/>
              <w:topLinePunct w:val="0"/>
              <w:autoSpaceDN/>
              <w:bidi w:val="0"/>
              <w:snapToGrid w:val="0"/>
              <w:spacing w:before="0" w:beforeAutospacing="0" w:afterAutospacing="0" w:line="240" w:lineRule="auto"/>
              <w:ind w:left="0" w:right="0"/>
              <w:rPr>
                <w:rFonts w:hint="default" w:ascii="宋体" w:hAnsi="宋体" w:eastAsia="宋体" w:cs="宋体"/>
                <w:color w:val="auto"/>
                <w:szCs w:val="21"/>
              </w:rPr>
            </w:pPr>
            <w:r>
              <w:rPr>
                <w:rFonts w:hint="default" w:ascii="宋体" w:hAnsi="宋体" w:eastAsia="宋体" w:cs="宋体"/>
                <w:color w:val="auto"/>
                <w:szCs w:val="21"/>
              </w:rPr>
              <w:t>3）运输、装卸、</w:t>
            </w:r>
            <w:r>
              <w:rPr>
                <w:rFonts w:hint="eastAsia" w:ascii="宋体" w:hAnsi="宋体" w:eastAsia="宋体" w:cs="宋体"/>
                <w:color w:val="auto"/>
                <w:szCs w:val="21"/>
              </w:rPr>
              <w:t>安装（含安装材料）、</w:t>
            </w:r>
            <w:r>
              <w:rPr>
                <w:rFonts w:hint="default" w:ascii="宋体" w:hAnsi="宋体" w:eastAsia="宋体" w:cs="宋体"/>
                <w:color w:val="auto"/>
                <w:szCs w:val="21"/>
              </w:rPr>
              <w:t>调试、培训、技术支持、售后服务</w:t>
            </w:r>
            <w:r>
              <w:rPr>
                <w:rFonts w:hint="eastAsia" w:ascii="宋体" w:hAnsi="宋体" w:eastAsia="宋体" w:cs="宋体"/>
                <w:color w:val="auto"/>
                <w:szCs w:val="21"/>
              </w:rPr>
              <w:t>的费用，</w:t>
            </w:r>
            <w:r>
              <w:rPr>
                <w:rFonts w:hint="default" w:ascii="宋体" w:hAnsi="宋体" w:eastAsia="宋体" w:cs="宋体"/>
                <w:color w:val="auto"/>
                <w:szCs w:val="21"/>
              </w:rPr>
              <w:t>质保期内免费</w:t>
            </w:r>
            <w:r>
              <w:rPr>
                <w:rFonts w:hint="eastAsia" w:ascii="宋体" w:hAnsi="宋体" w:eastAsia="宋体" w:cs="宋体"/>
                <w:color w:val="auto"/>
                <w:szCs w:val="21"/>
              </w:rPr>
              <w:t>维修、养</w:t>
            </w:r>
            <w:r>
              <w:rPr>
                <w:rFonts w:hint="default" w:ascii="宋体" w:hAnsi="宋体" w:eastAsia="宋体" w:cs="宋体"/>
                <w:color w:val="auto"/>
                <w:szCs w:val="21"/>
              </w:rPr>
              <w:t>护</w:t>
            </w:r>
            <w:r>
              <w:rPr>
                <w:rFonts w:hint="eastAsia" w:ascii="宋体" w:hAnsi="宋体" w:eastAsia="宋体" w:cs="宋体"/>
                <w:color w:val="auto"/>
                <w:szCs w:val="21"/>
              </w:rPr>
              <w:t>、软件升级</w:t>
            </w:r>
            <w:r>
              <w:rPr>
                <w:rFonts w:hint="default" w:ascii="宋体" w:hAnsi="宋体" w:eastAsia="宋体" w:cs="宋体"/>
                <w:color w:val="auto"/>
                <w:szCs w:val="21"/>
              </w:rPr>
              <w:t>等费用；</w:t>
            </w:r>
          </w:p>
          <w:p w14:paraId="0DCAC3E3">
            <w:pPr>
              <w:keepNext w:val="0"/>
              <w:keepLines w:val="0"/>
              <w:pageBreakBefore w:val="0"/>
              <w:suppressLineNumbers w:val="0"/>
              <w:kinsoku/>
              <w:wordWrap/>
              <w:overflowPunct/>
              <w:topLinePunct w:val="0"/>
              <w:autoSpaceDN/>
              <w:bidi w:val="0"/>
              <w:snapToGrid w:val="0"/>
              <w:spacing w:before="0" w:beforeAutospacing="0" w:afterAutospacing="0" w:line="240" w:lineRule="auto"/>
              <w:ind w:left="0" w:right="0"/>
              <w:rPr>
                <w:rFonts w:hint="eastAsia" w:ascii="宋体" w:hAnsi="宋体"/>
                <w:b/>
                <w:bCs/>
                <w:color w:val="auto"/>
                <w:szCs w:val="21"/>
              </w:rPr>
            </w:pPr>
            <w:r>
              <w:rPr>
                <w:rFonts w:hint="default" w:ascii="宋体" w:hAnsi="宋体" w:eastAsia="宋体" w:cs="宋体"/>
                <w:color w:val="auto"/>
                <w:szCs w:val="21"/>
              </w:rPr>
              <w:t>4）必要的保险</w:t>
            </w:r>
            <w:r>
              <w:rPr>
                <w:rFonts w:hint="eastAsia" w:ascii="宋体" w:hAnsi="宋体" w:eastAsia="宋体" w:cs="宋体"/>
                <w:color w:val="auto"/>
                <w:szCs w:val="21"/>
              </w:rPr>
              <w:t>、检测</w:t>
            </w:r>
            <w:r>
              <w:rPr>
                <w:rFonts w:hint="default" w:ascii="宋体" w:hAnsi="宋体" w:eastAsia="宋体" w:cs="宋体"/>
                <w:color w:val="auto"/>
                <w:szCs w:val="21"/>
              </w:rPr>
              <w:t>费用和各项税费</w:t>
            </w:r>
            <w:r>
              <w:rPr>
                <w:rFonts w:hint="eastAsia" w:ascii="宋体" w:hAnsi="宋体" w:eastAsia="宋体" w:cs="宋体"/>
                <w:color w:val="auto"/>
                <w:szCs w:val="21"/>
              </w:rPr>
              <w:t>等。</w:t>
            </w:r>
          </w:p>
        </w:tc>
      </w:tr>
      <w:tr w14:paraId="52795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112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BE9EC18">
            <w:pPr>
              <w:keepNext w:val="0"/>
              <w:keepLines w:val="0"/>
              <w:pageBreakBefore w:val="0"/>
              <w:suppressLineNumbers w:val="0"/>
              <w:kinsoku/>
              <w:wordWrap/>
              <w:overflowPunct/>
              <w:topLinePunct w:val="0"/>
              <w:autoSpaceDN/>
              <w:bidi w:val="0"/>
              <w:snapToGrid w:val="0"/>
              <w:spacing w:before="0" w:beforeAutospacing="0" w:afterAutospacing="0" w:line="240" w:lineRule="auto"/>
              <w:ind w:left="0" w:right="0"/>
              <w:jc w:val="center"/>
              <w:rPr>
                <w:rFonts w:hint="eastAsia" w:ascii="宋体" w:hAnsi="宋体"/>
                <w:b/>
                <w:bCs/>
                <w:color w:val="auto"/>
                <w:szCs w:val="21"/>
              </w:rPr>
            </w:pPr>
            <w:r>
              <w:rPr>
                <w:rFonts w:hint="eastAsia" w:ascii="宋体" w:hAnsi="宋体" w:eastAsia="宋体" w:cs="宋体"/>
                <w:b/>
                <w:bCs/>
                <w:color w:val="auto"/>
                <w:szCs w:val="21"/>
              </w:rPr>
              <w:t>质保期</w:t>
            </w:r>
          </w:p>
        </w:tc>
        <w:tc>
          <w:tcPr>
            <w:tcW w:w="8047"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0BF8BB4">
            <w:pPr>
              <w:keepNext w:val="0"/>
              <w:keepLines w:val="0"/>
              <w:pageBreakBefore w:val="0"/>
              <w:suppressLineNumbers w:val="0"/>
              <w:kinsoku/>
              <w:wordWrap/>
              <w:overflowPunct/>
              <w:topLinePunct w:val="0"/>
              <w:autoSpaceDN/>
              <w:bidi w:val="0"/>
              <w:snapToGrid w:val="0"/>
              <w:spacing w:before="0" w:beforeAutospacing="0" w:afterAutospacing="0" w:line="240" w:lineRule="auto"/>
              <w:ind w:left="0" w:right="0"/>
              <w:rPr>
                <w:rFonts w:hint="default" w:ascii="宋体" w:hAnsi="宋体" w:eastAsia="宋体" w:cs="宋体"/>
                <w:color w:val="auto"/>
                <w:szCs w:val="21"/>
              </w:rPr>
            </w:pPr>
            <w:r>
              <w:rPr>
                <w:rFonts w:hint="default" w:ascii="宋体" w:hAnsi="宋体" w:eastAsia="宋体" w:cs="宋体"/>
                <w:b/>
                <w:color w:val="auto"/>
                <w:szCs w:val="21"/>
              </w:rPr>
              <w:t>1.分项有要求的按分项要求，分项没有要求的</w:t>
            </w:r>
            <w:r>
              <w:rPr>
                <w:rFonts w:hint="eastAsia" w:ascii="宋体" w:hAnsi="宋体" w:eastAsia="宋体" w:cs="宋体"/>
                <w:b/>
                <w:color w:val="auto"/>
                <w:szCs w:val="21"/>
              </w:rPr>
              <w:t>质保期</w:t>
            </w:r>
            <w:r>
              <w:rPr>
                <w:rFonts w:hint="eastAsia" w:ascii="宋体" w:hAnsi="宋体" w:cs="宋体"/>
                <w:b/>
                <w:color w:val="auto"/>
                <w:szCs w:val="21"/>
                <w:u w:val="single"/>
                <w:lang w:eastAsia="zh-CN"/>
              </w:rPr>
              <w:t>为</w:t>
            </w:r>
            <w:r>
              <w:rPr>
                <w:rFonts w:hint="eastAsia" w:ascii="宋体" w:hAnsi="宋体" w:cs="宋体"/>
                <w:b/>
                <w:color w:val="auto"/>
                <w:szCs w:val="21"/>
                <w:u w:val="single"/>
                <w:lang w:val="en-US" w:eastAsia="zh-CN"/>
              </w:rPr>
              <w:t>三</w:t>
            </w:r>
            <w:r>
              <w:rPr>
                <w:rFonts w:hint="eastAsia" w:ascii="宋体" w:hAnsi="宋体" w:eastAsia="宋体" w:cs="宋体"/>
                <w:b/>
                <w:color w:val="auto"/>
                <w:szCs w:val="21"/>
              </w:rPr>
              <w:t>年。</w:t>
            </w:r>
            <w:r>
              <w:rPr>
                <w:rFonts w:hint="eastAsia" w:ascii="宋体" w:hAnsi="宋体" w:eastAsia="宋体" w:cs="宋体"/>
                <w:color w:val="auto"/>
                <w:szCs w:val="21"/>
              </w:rPr>
              <w:t>（分项货物服务要求中有特别注明的，按特别注明的执行）</w:t>
            </w:r>
          </w:p>
          <w:p w14:paraId="1AF69141">
            <w:pPr>
              <w:keepNext w:val="0"/>
              <w:keepLines w:val="0"/>
              <w:pageBreakBefore w:val="0"/>
              <w:suppressLineNumbers w:val="0"/>
              <w:kinsoku/>
              <w:wordWrap/>
              <w:overflowPunct/>
              <w:topLinePunct w:val="0"/>
              <w:autoSpaceDN/>
              <w:bidi w:val="0"/>
              <w:snapToGrid w:val="0"/>
              <w:spacing w:before="0" w:beforeAutospacing="0" w:afterAutospacing="0" w:line="240" w:lineRule="auto"/>
              <w:ind w:left="0" w:right="0"/>
              <w:rPr>
                <w:rFonts w:hint="default" w:ascii="宋体" w:hAnsi="宋体" w:cs="宋体"/>
                <w:color w:val="auto"/>
              </w:rPr>
            </w:pPr>
            <w:r>
              <w:rPr>
                <w:rFonts w:hint="eastAsia" w:ascii="宋体" w:hAnsi="宋体" w:eastAsia="宋体" w:cs="宋体"/>
                <w:color w:val="auto"/>
                <w:szCs w:val="21"/>
              </w:rPr>
              <w:t>2.所有货物服务</w:t>
            </w:r>
            <w:r>
              <w:rPr>
                <w:rFonts w:hint="default" w:ascii="宋体" w:hAnsi="宋体" w:eastAsia="宋体" w:cs="宋体"/>
                <w:color w:val="auto"/>
                <w:szCs w:val="21"/>
              </w:rPr>
              <w:t>按</w:t>
            </w:r>
            <w:r>
              <w:rPr>
                <w:rFonts w:hint="eastAsia" w:ascii="宋体" w:hAnsi="宋体" w:eastAsia="宋体" w:cs="宋体"/>
                <w:color w:val="auto"/>
                <w:szCs w:val="21"/>
              </w:rPr>
              <w:t>国家</w:t>
            </w:r>
            <w:r>
              <w:rPr>
                <w:rFonts w:hint="default" w:ascii="宋体" w:hAnsi="宋体" w:eastAsia="宋体" w:cs="宋体"/>
                <w:color w:val="auto"/>
                <w:szCs w:val="21"/>
              </w:rPr>
              <w:t>“三包”</w:t>
            </w:r>
            <w:r>
              <w:rPr>
                <w:rFonts w:hint="eastAsia" w:ascii="宋体" w:hAnsi="宋体" w:eastAsia="宋体" w:cs="宋体"/>
                <w:color w:val="auto"/>
                <w:szCs w:val="21"/>
              </w:rPr>
              <w:t>有关</w:t>
            </w:r>
            <w:r>
              <w:rPr>
                <w:rFonts w:hint="default" w:ascii="宋体" w:hAnsi="宋体" w:eastAsia="宋体" w:cs="宋体"/>
                <w:color w:val="auto"/>
                <w:szCs w:val="21"/>
              </w:rPr>
              <w:t>规定执行“三包”</w:t>
            </w:r>
            <w:r>
              <w:rPr>
                <w:rFonts w:hint="eastAsia" w:ascii="宋体" w:hAnsi="宋体" w:eastAsia="宋体" w:cs="宋体"/>
                <w:color w:val="auto"/>
                <w:szCs w:val="21"/>
              </w:rPr>
              <w:t>。质保期自交付验收合格之日起计算，质保期内提供上门维修、更换和软件升级服务；质保期结束后，提供终身维护，并优惠提供相关零配件。</w:t>
            </w:r>
          </w:p>
        </w:tc>
      </w:tr>
      <w:tr w14:paraId="1B1D9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112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FEF1D04">
            <w:pPr>
              <w:keepNext w:val="0"/>
              <w:keepLines w:val="0"/>
              <w:pageBreakBefore w:val="0"/>
              <w:suppressLineNumbers w:val="0"/>
              <w:kinsoku/>
              <w:wordWrap/>
              <w:overflowPunct/>
              <w:topLinePunct w:val="0"/>
              <w:autoSpaceDN/>
              <w:bidi w:val="0"/>
              <w:snapToGrid w:val="0"/>
              <w:spacing w:before="0" w:beforeAutospacing="0" w:afterAutospacing="0" w:line="240" w:lineRule="auto"/>
              <w:ind w:left="0" w:right="0"/>
              <w:jc w:val="center"/>
              <w:rPr>
                <w:rFonts w:hint="eastAsia" w:ascii="宋体" w:hAnsi="宋体"/>
                <w:b/>
                <w:bCs/>
                <w:color w:val="auto"/>
                <w:szCs w:val="21"/>
              </w:rPr>
            </w:pPr>
            <w:r>
              <w:rPr>
                <w:rFonts w:hint="eastAsia" w:ascii="宋体" w:hAnsi="宋体" w:eastAsia="宋体" w:cs="宋体"/>
                <w:b/>
                <w:bCs/>
                <w:color w:val="auto"/>
                <w:szCs w:val="21"/>
              </w:rPr>
              <w:t>产品及售后服务要求</w:t>
            </w:r>
          </w:p>
        </w:tc>
        <w:tc>
          <w:tcPr>
            <w:tcW w:w="8047"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F5037C9">
            <w:pPr>
              <w:keepNext w:val="0"/>
              <w:keepLines w:val="0"/>
              <w:pageBreakBefore w:val="0"/>
              <w:suppressLineNumbers w:val="0"/>
              <w:kinsoku/>
              <w:wordWrap/>
              <w:overflowPunct/>
              <w:topLinePunct w:val="0"/>
              <w:autoSpaceDN/>
              <w:bidi w:val="0"/>
              <w:snapToGrid w:val="0"/>
              <w:spacing w:before="0" w:beforeAutospacing="0" w:afterAutospacing="0" w:line="240" w:lineRule="auto"/>
              <w:ind w:left="0" w:right="0"/>
              <w:rPr>
                <w:rFonts w:hint="default" w:ascii="宋体" w:hAnsi="宋体" w:eastAsia="宋体" w:cs="宋体"/>
                <w:color w:val="auto"/>
                <w:szCs w:val="21"/>
              </w:rPr>
            </w:pPr>
            <w:r>
              <w:rPr>
                <w:rFonts w:hint="default" w:ascii="宋体" w:hAnsi="宋体" w:eastAsia="宋体" w:cs="宋体"/>
                <w:color w:val="auto"/>
                <w:szCs w:val="21"/>
              </w:rPr>
              <w:t>1.</w:t>
            </w:r>
            <w:r>
              <w:rPr>
                <w:rFonts w:hint="eastAsia" w:ascii="宋体" w:hAnsi="宋体" w:cs="宋体"/>
                <w:color w:val="auto"/>
                <w:szCs w:val="21"/>
                <w:lang w:val="en-US" w:eastAsia="zh-CN"/>
              </w:rPr>
              <w:t>中标</w:t>
            </w:r>
            <w:r>
              <w:rPr>
                <w:rFonts w:hint="eastAsia" w:ascii="宋体" w:hAnsi="宋体" w:eastAsia="宋体" w:cs="宋体"/>
                <w:color w:val="auto"/>
                <w:szCs w:val="21"/>
              </w:rPr>
              <w:t>人</w:t>
            </w:r>
            <w:r>
              <w:rPr>
                <w:rFonts w:hint="default" w:ascii="宋体" w:hAnsi="宋体" w:eastAsia="宋体" w:cs="宋体"/>
                <w:color w:val="auto"/>
                <w:szCs w:val="21"/>
              </w:rPr>
              <w:t>交付的所有</w:t>
            </w:r>
            <w:r>
              <w:rPr>
                <w:rFonts w:hint="default" w:ascii="宋体" w:hAnsi="宋体" w:eastAsia="宋体" w:cs="宋体"/>
                <w:b/>
                <w:color w:val="auto"/>
                <w:szCs w:val="21"/>
              </w:rPr>
              <w:t>设备</w:t>
            </w:r>
            <w:r>
              <w:rPr>
                <w:rFonts w:hint="default" w:ascii="宋体" w:hAnsi="宋体" w:eastAsia="宋体" w:cs="宋体"/>
                <w:color w:val="auto"/>
                <w:szCs w:val="21"/>
              </w:rPr>
              <w:t>必须是签订合同之日</w:t>
            </w:r>
            <w:r>
              <w:rPr>
                <w:rFonts w:hint="default" w:ascii="宋体" w:hAnsi="宋体" w:eastAsia="宋体" w:cs="宋体"/>
                <w:b/>
                <w:color w:val="auto"/>
                <w:szCs w:val="21"/>
              </w:rPr>
              <w:t>前</w:t>
            </w:r>
            <w:r>
              <w:rPr>
                <w:rFonts w:hint="eastAsia" w:ascii="宋体" w:hAnsi="宋体" w:eastAsia="宋体" w:cs="宋体"/>
                <w:b/>
                <w:color w:val="auto"/>
                <w:szCs w:val="21"/>
                <w:u w:val="single"/>
                <w:lang w:val="en-US" w:eastAsia="zh-CN"/>
              </w:rPr>
              <w:t>1</w:t>
            </w:r>
            <w:r>
              <w:rPr>
                <w:rFonts w:hint="default" w:ascii="宋体" w:hAnsi="宋体" w:eastAsia="宋体" w:cs="宋体"/>
                <w:b/>
                <w:color w:val="auto"/>
                <w:szCs w:val="21"/>
              </w:rPr>
              <w:t>年</w:t>
            </w:r>
            <w:r>
              <w:rPr>
                <w:rFonts w:hint="default" w:ascii="宋体" w:hAnsi="宋体" w:eastAsia="宋体" w:cs="宋体"/>
                <w:color w:val="auto"/>
                <w:szCs w:val="21"/>
              </w:rPr>
              <w:t>内生产的产品。</w:t>
            </w:r>
          </w:p>
          <w:p w14:paraId="6F8681DE">
            <w:pPr>
              <w:keepNext w:val="0"/>
              <w:keepLines w:val="0"/>
              <w:pageBreakBefore w:val="0"/>
              <w:suppressLineNumbers w:val="0"/>
              <w:kinsoku/>
              <w:wordWrap/>
              <w:overflowPunct/>
              <w:topLinePunct w:val="0"/>
              <w:autoSpaceDN/>
              <w:bidi w:val="0"/>
              <w:snapToGrid w:val="0"/>
              <w:spacing w:before="0" w:beforeAutospacing="0" w:afterAutospacing="0" w:line="240" w:lineRule="auto"/>
              <w:ind w:left="0" w:right="0"/>
              <w:rPr>
                <w:rFonts w:hint="default" w:ascii="宋体" w:hAnsi="宋体" w:eastAsia="宋体" w:cs="宋体"/>
                <w:b/>
                <w:color w:val="auto"/>
                <w:szCs w:val="21"/>
              </w:rPr>
            </w:pPr>
            <w:r>
              <w:rPr>
                <w:rFonts w:hint="eastAsia" w:ascii="宋体" w:hAnsi="宋体" w:eastAsia="宋体" w:cs="宋体"/>
                <w:color w:val="auto"/>
                <w:szCs w:val="21"/>
              </w:rPr>
              <w:t>2</w:t>
            </w:r>
            <w:r>
              <w:rPr>
                <w:rFonts w:hint="default" w:ascii="宋体" w:hAnsi="宋体" w:eastAsia="宋体" w:cs="宋体"/>
                <w:color w:val="auto"/>
                <w:szCs w:val="21"/>
              </w:rPr>
              <w:t>.</w:t>
            </w:r>
            <w:r>
              <w:rPr>
                <w:rFonts w:hint="eastAsia" w:ascii="宋体" w:hAnsi="宋体" w:eastAsia="宋体" w:cs="宋体"/>
                <w:color w:val="auto"/>
                <w:szCs w:val="21"/>
              </w:rPr>
              <w:t>送货至采购人指定地点，协助进行安装场地设计，完成安装和调试。所有安装应符合国家、行业相关标准及规范。</w:t>
            </w:r>
            <w:r>
              <w:rPr>
                <w:rFonts w:hint="eastAsia" w:ascii="宋体" w:hAnsi="宋体" w:eastAsia="宋体" w:cs="宋体"/>
                <w:b/>
                <w:color w:val="auto"/>
                <w:szCs w:val="21"/>
              </w:rPr>
              <w:t>（所有货物仅接受现场交付，不接受邮递）</w:t>
            </w:r>
          </w:p>
          <w:p w14:paraId="531FFCEB">
            <w:pPr>
              <w:keepNext w:val="0"/>
              <w:keepLines w:val="0"/>
              <w:pageBreakBefore w:val="0"/>
              <w:suppressLineNumbers w:val="0"/>
              <w:kinsoku/>
              <w:wordWrap/>
              <w:overflowPunct/>
              <w:topLinePunct w:val="0"/>
              <w:autoSpaceDN/>
              <w:bidi w:val="0"/>
              <w:snapToGrid w:val="0"/>
              <w:spacing w:before="0" w:beforeAutospacing="0" w:afterAutospacing="0" w:line="240" w:lineRule="auto"/>
              <w:ind w:left="0" w:right="0"/>
              <w:rPr>
                <w:rFonts w:hint="default" w:ascii="宋体" w:hAnsi="宋体" w:eastAsia="宋体" w:cs="宋体"/>
                <w:color w:val="auto"/>
                <w:szCs w:val="21"/>
              </w:rPr>
            </w:pPr>
            <w:r>
              <w:rPr>
                <w:rFonts w:hint="default" w:ascii="宋体" w:hAnsi="宋体" w:eastAsia="宋体" w:cs="宋体"/>
                <w:color w:val="auto"/>
                <w:szCs w:val="21"/>
              </w:rPr>
              <w:t>3.为采购</w:t>
            </w:r>
            <w:r>
              <w:rPr>
                <w:rFonts w:hint="eastAsia" w:ascii="宋体" w:hAnsi="宋体" w:eastAsia="宋体" w:cs="宋体"/>
                <w:color w:val="auto"/>
                <w:szCs w:val="21"/>
              </w:rPr>
              <w:t>人</w:t>
            </w:r>
            <w:r>
              <w:rPr>
                <w:rFonts w:hint="default" w:ascii="宋体" w:hAnsi="宋体" w:eastAsia="宋体" w:cs="宋体"/>
                <w:color w:val="auto"/>
                <w:szCs w:val="21"/>
              </w:rPr>
              <w:t>提供</w:t>
            </w:r>
            <w:r>
              <w:rPr>
                <w:rFonts w:hint="eastAsia" w:ascii="宋体" w:hAnsi="宋体" w:eastAsia="宋体" w:cs="宋体"/>
                <w:color w:val="auto"/>
                <w:szCs w:val="21"/>
              </w:rPr>
              <w:t>产品</w:t>
            </w:r>
            <w:r>
              <w:rPr>
                <w:rFonts w:hint="default" w:ascii="宋体" w:hAnsi="宋体" w:eastAsia="宋体" w:cs="宋体"/>
                <w:color w:val="auto"/>
                <w:szCs w:val="21"/>
              </w:rPr>
              <w:t>操作</w:t>
            </w:r>
            <w:r>
              <w:rPr>
                <w:rFonts w:hint="eastAsia" w:ascii="宋体" w:hAnsi="宋体" w:eastAsia="宋体" w:cs="宋体"/>
                <w:color w:val="auto"/>
                <w:szCs w:val="21"/>
              </w:rPr>
              <w:t>、维修、日常养护等方面的</w:t>
            </w:r>
            <w:r>
              <w:rPr>
                <w:rFonts w:hint="default" w:ascii="宋体" w:hAnsi="宋体" w:eastAsia="宋体" w:cs="宋体"/>
                <w:color w:val="auto"/>
                <w:szCs w:val="21"/>
              </w:rPr>
              <w:t>培训，确保</w:t>
            </w:r>
            <w:r>
              <w:rPr>
                <w:rFonts w:hint="eastAsia" w:ascii="宋体" w:hAnsi="宋体" w:eastAsia="宋体" w:cs="宋体"/>
                <w:color w:val="auto"/>
                <w:szCs w:val="21"/>
              </w:rPr>
              <w:t>采购方使用人员</w:t>
            </w:r>
            <w:r>
              <w:rPr>
                <w:rFonts w:hint="default" w:ascii="宋体" w:hAnsi="宋体" w:eastAsia="宋体" w:cs="宋体"/>
                <w:color w:val="auto"/>
                <w:szCs w:val="21"/>
              </w:rPr>
              <w:t>能独立操作使用</w:t>
            </w:r>
            <w:r>
              <w:rPr>
                <w:rFonts w:hint="eastAsia" w:ascii="宋体" w:hAnsi="宋体" w:eastAsia="宋体" w:cs="宋体"/>
                <w:color w:val="auto"/>
                <w:szCs w:val="21"/>
              </w:rPr>
              <w:t>，</w:t>
            </w:r>
            <w:r>
              <w:rPr>
                <w:rFonts w:hint="default" w:ascii="宋体" w:hAnsi="宋体" w:eastAsia="宋体" w:cs="宋体"/>
                <w:color w:val="auto"/>
                <w:szCs w:val="21"/>
              </w:rPr>
              <w:t>培训人数</w:t>
            </w:r>
            <w:r>
              <w:rPr>
                <w:rFonts w:hint="eastAsia" w:ascii="宋体" w:hAnsi="宋体" w:eastAsia="宋体" w:cs="宋体"/>
                <w:color w:val="auto"/>
                <w:szCs w:val="21"/>
              </w:rPr>
              <w:t>、时间、地点等</w:t>
            </w:r>
            <w:r>
              <w:rPr>
                <w:rFonts w:hint="default" w:ascii="宋体" w:hAnsi="宋体" w:eastAsia="宋体" w:cs="宋体"/>
                <w:color w:val="auto"/>
                <w:szCs w:val="21"/>
              </w:rPr>
              <w:t>由采购</w:t>
            </w:r>
            <w:r>
              <w:rPr>
                <w:rFonts w:hint="eastAsia" w:ascii="宋体" w:hAnsi="宋体" w:eastAsia="宋体" w:cs="宋体"/>
                <w:color w:val="auto"/>
                <w:szCs w:val="21"/>
              </w:rPr>
              <w:t>人指定</w:t>
            </w:r>
            <w:r>
              <w:rPr>
                <w:rFonts w:hint="default" w:ascii="宋体" w:hAnsi="宋体" w:eastAsia="宋体" w:cs="宋体"/>
                <w:color w:val="auto"/>
                <w:szCs w:val="21"/>
              </w:rPr>
              <w:t>。</w:t>
            </w:r>
          </w:p>
          <w:p w14:paraId="6D651DF2">
            <w:pPr>
              <w:keepNext w:val="0"/>
              <w:keepLines w:val="0"/>
              <w:pageBreakBefore w:val="0"/>
              <w:suppressLineNumbers w:val="0"/>
              <w:kinsoku/>
              <w:wordWrap/>
              <w:overflowPunct/>
              <w:topLinePunct w:val="0"/>
              <w:autoSpaceDN/>
              <w:bidi w:val="0"/>
              <w:snapToGrid w:val="0"/>
              <w:spacing w:before="0" w:beforeAutospacing="0" w:afterAutospacing="0" w:line="240" w:lineRule="auto"/>
              <w:ind w:left="0" w:right="0"/>
              <w:rPr>
                <w:rFonts w:hint="default" w:ascii="宋体" w:hAnsi="宋体" w:eastAsia="宋体" w:cs="宋体"/>
                <w:color w:val="auto"/>
                <w:szCs w:val="21"/>
              </w:rPr>
            </w:pPr>
            <w:r>
              <w:rPr>
                <w:rFonts w:hint="default" w:ascii="宋体" w:hAnsi="宋体" w:eastAsia="宋体" w:cs="宋体"/>
                <w:color w:val="auto"/>
                <w:szCs w:val="21"/>
              </w:rPr>
              <w:t>4.故障响应时间：在使用过程中</w:t>
            </w:r>
            <w:r>
              <w:rPr>
                <w:rFonts w:hint="eastAsia" w:ascii="宋体" w:hAnsi="宋体" w:eastAsia="宋体" w:cs="宋体"/>
                <w:color w:val="auto"/>
                <w:szCs w:val="21"/>
              </w:rPr>
              <w:t>出现</w:t>
            </w:r>
            <w:r>
              <w:rPr>
                <w:rFonts w:hint="default" w:ascii="宋体" w:hAnsi="宋体" w:eastAsia="宋体" w:cs="宋体"/>
                <w:color w:val="auto"/>
                <w:szCs w:val="21"/>
              </w:rPr>
              <w:t>质量问题，</w:t>
            </w:r>
            <w:r>
              <w:rPr>
                <w:rFonts w:hint="eastAsia" w:ascii="宋体" w:hAnsi="宋体" w:cs="宋体"/>
                <w:color w:val="auto"/>
                <w:szCs w:val="21"/>
                <w:lang w:val="en-US" w:eastAsia="zh-CN"/>
              </w:rPr>
              <w:t>中标</w:t>
            </w:r>
            <w:r>
              <w:rPr>
                <w:rFonts w:hint="eastAsia" w:ascii="宋体" w:hAnsi="宋体" w:eastAsia="宋体" w:cs="宋体"/>
                <w:color w:val="auto"/>
                <w:szCs w:val="21"/>
              </w:rPr>
              <w:t>人</w:t>
            </w:r>
            <w:r>
              <w:rPr>
                <w:rFonts w:hint="default" w:ascii="宋体" w:hAnsi="宋体" w:eastAsia="宋体" w:cs="宋体"/>
                <w:color w:val="auto"/>
                <w:szCs w:val="21"/>
              </w:rPr>
              <w:t>在接到</w:t>
            </w:r>
            <w:r>
              <w:rPr>
                <w:rFonts w:hint="eastAsia" w:ascii="宋体" w:hAnsi="宋体" w:eastAsia="宋体" w:cs="宋体"/>
                <w:color w:val="auto"/>
                <w:szCs w:val="21"/>
              </w:rPr>
              <w:t>采购人</w:t>
            </w:r>
            <w:r>
              <w:rPr>
                <w:rFonts w:hint="default" w:ascii="宋体" w:hAnsi="宋体" w:eastAsia="宋体" w:cs="宋体"/>
                <w:color w:val="auto"/>
                <w:szCs w:val="21"/>
              </w:rPr>
              <w:t>通知后1小时</w:t>
            </w:r>
            <w:r>
              <w:rPr>
                <w:rFonts w:hint="eastAsia" w:ascii="宋体" w:hAnsi="宋体" w:eastAsia="宋体" w:cs="宋体"/>
                <w:color w:val="auto"/>
                <w:szCs w:val="21"/>
              </w:rPr>
              <w:t>作出</w:t>
            </w:r>
            <w:r>
              <w:rPr>
                <w:rFonts w:hint="default" w:ascii="宋体" w:hAnsi="宋体" w:eastAsia="宋体" w:cs="宋体"/>
                <w:color w:val="auto"/>
                <w:szCs w:val="21"/>
              </w:rPr>
              <w:t>响应</w:t>
            </w:r>
            <w:r>
              <w:rPr>
                <w:rFonts w:hint="eastAsia" w:ascii="宋体" w:hAnsi="宋体" w:eastAsia="宋体" w:cs="宋体"/>
                <w:color w:val="auto"/>
                <w:szCs w:val="21"/>
              </w:rPr>
              <w:t>；如需到达现场解决的，在</w:t>
            </w:r>
            <w:r>
              <w:rPr>
                <w:rFonts w:hint="default" w:ascii="宋体" w:hAnsi="宋体" w:eastAsia="宋体" w:cs="宋体"/>
                <w:color w:val="auto"/>
                <w:szCs w:val="21"/>
              </w:rPr>
              <w:t>8小时内</w:t>
            </w:r>
            <w:r>
              <w:rPr>
                <w:rFonts w:hint="eastAsia" w:ascii="宋体" w:hAnsi="宋体" w:eastAsia="宋体" w:cs="宋体"/>
                <w:color w:val="auto"/>
                <w:szCs w:val="21"/>
              </w:rPr>
              <w:t>应</w:t>
            </w:r>
            <w:r>
              <w:rPr>
                <w:rFonts w:hint="default" w:ascii="宋体" w:hAnsi="宋体" w:eastAsia="宋体" w:cs="宋体"/>
                <w:color w:val="auto"/>
                <w:szCs w:val="21"/>
              </w:rPr>
              <w:t>到达现场。</w:t>
            </w:r>
          </w:p>
          <w:p w14:paraId="3BF4E1BF">
            <w:pPr>
              <w:keepNext w:val="0"/>
              <w:keepLines w:val="0"/>
              <w:pageBreakBefore w:val="0"/>
              <w:suppressLineNumbers w:val="0"/>
              <w:kinsoku/>
              <w:wordWrap/>
              <w:overflowPunct/>
              <w:topLinePunct w:val="0"/>
              <w:autoSpaceDN/>
              <w:bidi w:val="0"/>
              <w:snapToGrid w:val="0"/>
              <w:spacing w:before="0" w:beforeAutospacing="0" w:afterAutospacing="0" w:line="240" w:lineRule="auto"/>
              <w:ind w:left="0" w:right="0"/>
              <w:rPr>
                <w:rFonts w:hint="eastAsia" w:asciiTheme="minorEastAsia" w:hAnsiTheme="minorEastAsia" w:eastAsiaTheme="minorEastAsia"/>
                <w:color w:val="auto"/>
              </w:rPr>
            </w:pPr>
            <w:r>
              <w:rPr>
                <w:rFonts w:hint="default" w:ascii="宋体" w:hAnsi="宋体" w:eastAsia="宋体" w:cs="宋体"/>
                <w:color w:val="auto"/>
                <w:szCs w:val="21"/>
              </w:rPr>
              <w:t>5.</w:t>
            </w:r>
            <w:r>
              <w:rPr>
                <w:rFonts w:hint="eastAsia" w:ascii="宋体" w:hAnsi="宋体" w:cs="宋体"/>
                <w:color w:val="auto"/>
                <w:szCs w:val="21"/>
                <w:lang w:val="en-US" w:eastAsia="zh-CN"/>
              </w:rPr>
              <w:t>中标</w:t>
            </w:r>
            <w:r>
              <w:rPr>
                <w:rFonts w:hint="eastAsia" w:ascii="宋体" w:hAnsi="宋体" w:eastAsia="宋体" w:cs="宋体"/>
                <w:color w:val="auto"/>
                <w:szCs w:val="21"/>
              </w:rPr>
              <w:t>人须遵守校园出入规定，在供货、安装过程中确保相关人员安全。</w:t>
            </w:r>
            <w:r>
              <w:rPr>
                <w:rFonts w:hint="default" w:ascii="宋体" w:hAnsi="宋体" w:eastAsia="宋体" w:cs="宋体"/>
                <w:color w:val="auto"/>
                <w:szCs w:val="21"/>
              </w:rPr>
              <w:t>供货</w:t>
            </w:r>
            <w:r>
              <w:rPr>
                <w:rFonts w:hint="eastAsia" w:ascii="宋体" w:hAnsi="宋体" w:eastAsia="宋体" w:cs="宋体"/>
                <w:color w:val="auto"/>
                <w:szCs w:val="21"/>
              </w:rPr>
              <w:t>、</w:t>
            </w:r>
            <w:r>
              <w:rPr>
                <w:rFonts w:hint="default" w:ascii="宋体" w:hAnsi="宋体" w:eastAsia="宋体" w:cs="宋体"/>
                <w:color w:val="auto"/>
                <w:szCs w:val="21"/>
              </w:rPr>
              <w:t>安装过程中产生的残留物或垃圾，</w:t>
            </w:r>
            <w:r>
              <w:rPr>
                <w:rFonts w:hint="eastAsia" w:ascii="宋体" w:hAnsi="宋体" w:cs="宋体"/>
                <w:color w:val="auto"/>
                <w:szCs w:val="21"/>
                <w:lang w:val="en-US" w:eastAsia="zh-CN"/>
              </w:rPr>
              <w:t>中标</w:t>
            </w:r>
            <w:r>
              <w:rPr>
                <w:rFonts w:hint="eastAsia" w:ascii="宋体" w:hAnsi="宋体" w:eastAsia="宋体" w:cs="宋体"/>
                <w:color w:val="auto"/>
                <w:szCs w:val="21"/>
              </w:rPr>
              <w:t>人需</w:t>
            </w:r>
            <w:r>
              <w:rPr>
                <w:rFonts w:hint="default" w:ascii="宋体" w:hAnsi="宋体" w:eastAsia="宋体" w:cs="宋体"/>
                <w:color w:val="auto"/>
                <w:szCs w:val="21"/>
              </w:rPr>
              <w:t>自行清理至校外。</w:t>
            </w:r>
          </w:p>
        </w:tc>
      </w:tr>
      <w:tr w14:paraId="5D037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112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C9E2974">
            <w:pPr>
              <w:keepNext w:val="0"/>
              <w:keepLines w:val="0"/>
              <w:pageBreakBefore w:val="0"/>
              <w:suppressLineNumbers w:val="0"/>
              <w:kinsoku/>
              <w:wordWrap/>
              <w:overflowPunct/>
              <w:topLinePunct w:val="0"/>
              <w:autoSpaceDN/>
              <w:bidi w:val="0"/>
              <w:snapToGrid w:val="0"/>
              <w:spacing w:before="0" w:beforeAutospacing="0" w:afterAutospacing="0" w:line="240" w:lineRule="auto"/>
              <w:ind w:left="0" w:right="0"/>
              <w:jc w:val="center"/>
              <w:rPr>
                <w:rFonts w:hint="eastAsia" w:cs="宋体" w:asciiTheme="minorEastAsia" w:hAnsiTheme="minorEastAsia" w:eastAsiaTheme="minorEastAsia"/>
                <w:b/>
                <w:bCs/>
                <w:color w:val="auto"/>
              </w:rPr>
            </w:pPr>
            <w:r>
              <w:rPr>
                <w:rFonts w:hint="eastAsia" w:ascii="宋体" w:hAnsi="宋体" w:eastAsia="宋体" w:cs="宋体"/>
                <w:b/>
                <w:bCs/>
                <w:color w:val="auto"/>
                <w:szCs w:val="21"/>
              </w:rPr>
              <w:t>交付时间、交付地点</w:t>
            </w:r>
          </w:p>
        </w:tc>
        <w:tc>
          <w:tcPr>
            <w:tcW w:w="8047"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BABA2AA">
            <w:pPr>
              <w:keepNext w:val="0"/>
              <w:keepLines w:val="0"/>
              <w:pageBreakBefore w:val="0"/>
              <w:suppressLineNumbers w:val="0"/>
              <w:kinsoku/>
              <w:wordWrap/>
              <w:overflowPunct/>
              <w:topLinePunct w:val="0"/>
              <w:autoSpaceDN/>
              <w:bidi w:val="0"/>
              <w:snapToGrid w:val="0"/>
              <w:spacing w:before="0" w:beforeAutospacing="0" w:afterAutospacing="0" w:line="240" w:lineRule="auto"/>
              <w:ind w:left="0" w:right="0"/>
              <w:rPr>
                <w:rFonts w:hint="default" w:ascii="宋体" w:hAnsi="宋体" w:eastAsia="宋体" w:cs="宋体"/>
                <w:color w:val="auto"/>
                <w:spacing w:val="-2"/>
                <w:szCs w:val="21"/>
              </w:rPr>
            </w:pPr>
            <w:r>
              <w:rPr>
                <w:rFonts w:hint="default" w:ascii="宋体" w:hAnsi="宋体" w:eastAsia="宋体" w:cs="宋体"/>
                <w:color w:val="auto"/>
                <w:spacing w:val="-2"/>
                <w:szCs w:val="21"/>
              </w:rPr>
              <w:t>1.交</w:t>
            </w:r>
            <w:r>
              <w:rPr>
                <w:rFonts w:hint="eastAsia" w:ascii="宋体" w:hAnsi="宋体" w:eastAsia="宋体" w:cs="宋体"/>
                <w:color w:val="auto"/>
                <w:spacing w:val="-2"/>
                <w:szCs w:val="21"/>
              </w:rPr>
              <w:t>付</w:t>
            </w:r>
            <w:r>
              <w:rPr>
                <w:rFonts w:hint="default" w:ascii="宋体" w:hAnsi="宋体" w:eastAsia="宋体" w:cs="宋体"/>
                <w:color w:val="auto"/>
                <w:spacing w:val="-2"/>
                <w:szCs w:val="21"/>
              </w:rPr>
              <w:t>时间：自签订合同之日起</w:t>
            </w:r>
            <w:r>
              <w:rPr>
                <w:rFonts w:hint="eastAsia" w:ascii="宋体" w:hAnsi="宋体" w:eastAsia="宋体" w:cs="宋体"/>
                <w:b/>
                <w:color w:val="auto"/>
                <w:spacing w:val="-2"/>
                <w:szCs w:val="21"/>
                <w:u w:val="single"/>
                <w:lang w:val="en-US" w:eastAsia="zh-CN"/>
              </w:rPr>
              <w:t>20</w:t>
            </w:r>
            <w:r>
              <w:rPr>
                <w:rFonts w:hint="eastAsia" w:ascii="宋体" w:hAnsi="宋体" w:eastAsia="宋体" w:cs="宋体"/>
                <w:b/>
                <w:color w:val="auto"/>
                <w:spacing w:val="-2"/>
                <w:szCs w:val="21"/>
              </w:rPr>
              <w:t>日历日</w:t>
            </w:r>
            <w:r>
              <w:rPr>
                <w:rFonts w:hint="eastAsia" w:ascii="宋体" w:hAnsi="宋体" w:eastAsia="宋体" w:cs="宋体"/>
                <w:color w:val="auto"/>
                <w:spacing w:val="-2"/>
                <w:szCs w:val="21"/>
              </w:rPr>
              <w:t>内全部交付完成并验收合格。</w:t>
            </w:r>
          </w:p>
          <w:p w14:paraId="023BB6D4">
            <w:pPr>
              <w:keepNext w:val="0"/>
              <w:keepLines w:val="0"/>
              <w:pageBreakBefore w:val="0"/>
              <w:suppressLineNumbers w:val="0"/>
              <w:kinsoku/>
              <w:wordWrap/>
              <w:overflowPunct/>
              <w:topLinePunct w:val="0"/>
              <w:autoSpaceDN/>
              <w:bidi w:val="0"/>
              <w:snapToGrid w:val="0"/>
              <w:spacing w:before="0" w:beforeAutospacing="0" w:afterAutospacing="0" w:line="240" w:lineRule="auto"/>
              <w:ind w:left="0" w:right="0"/>
              <w:rPr>
                <w:rFonts w:hint="default" w:cs="宋体" w:asciiTheme="minorEastAsia" w:hAnsiTheme="minorEastAsia" w:eastAsiaTheme="minorEastAsia"/>
                <w:color w:val="auto"/>
              </w:rPr>
            </w:pPr>
            <w:r>
              <w:rPr>
                <w:rFonts w:hint="default" w:ascii="宋体" w:hAnsi="宋体" w:eastAsia="宋体" w:cs="宋体"/>
                <w:color w:val="auto"/>
                <w:szCs w:val="21"/>
              </w:rPr>
              <w:t>2.交</w:t>
            </w:r>
            <w:r>
              <w:rPr>
                <w:rFonts w:hint="eastAsia" w:ascii="宋体" w:hAnsi="宋体" w:eastAsia="宋体" w:cs="宋体"/>
                <w:color w:val="auto"/>
                <w:szCs w:val="21"/>
              </w:rPr>
              <w:t>付</w:t>
            </w:r>
            <w:r>
              <w:rPr>
                <w:rFonts w:hint="default" w:ascii="宋体" w:hAnsi="宋体" w:eastAsia="宋体" w:cs="宋体"/>
                <w:color w:val="auto"/>
                <w:szCs w:val="21"/>
              </w:rPr>
              <w:t>地点：广西农业职业技术</w:t>
            </w:r>
            <w:r>
              <w:rPr>
                <w:rFonts w:hint="eastAsia" w:ascii="宋体" w:hAnsi="宋体" w:eastAsia="宋体" w:cs="宋体"/>
                <w:color w:val="auto"/>
                <w:szCs w:val="21"/>
              </w:rPr>
              <w:t>大学</w:t>
            </w:r>
            <w:r>
              <w:rPr>
                <w:rFonts w:hint="default" w:ascii="宋体" w:hAnsi="宋体" w:eastAsia="宋体" w:cs="宋体"/>
                <w:color w:val="auto"/>
                <w:szCs w:val="21"/>
              </w:rPr>
              <w:t>。</w:t>
            </w:r>
          </w:p>
        </w:tc>
      </w:tr>
      <w:tr w14:paraId="64B4A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112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33AB21F">
            <w:pPr>
              <w:keepNext w:val="0"/>
              <w:keepLines w:val="0"/>
              <w:pageBreakBefore w:val="0"/>
              <w:suppressLineNumbers w:val="0"/>
              <w:kinsoku/>
              <w:wordWrap/>
              <w:overflowPunct/>
              <w:topLinePunct w:val="0"/>
              <w:autoSpaceDN/>
              <w:bidi w:val="0"/>
              <w:snapToGrid w:val="0"/>
              <w:spacing w:before="0" w:beforeAutospacing="0" w:afterAutospacing="0" w:line="240" w:lineRule="auto"/>
              <w:ind w:left="0" w:right="0"/>
              <w:jc w:val="center"/>
              <w:rPr>
                <w:rFonts w:hint="eastAsia" w:ascii="宋体" w:hAnsi="宋体"/>
                <w:b/>
                <w:bCs/>
                <w:color w:val="auto"/>
                <w:szCs w:val="21"/>
                <w:highlight w:val="none"/>
              </w:rPr>
            </w:pPr>
            <w:r>
              <w:rPr>
                <w:rFonts w:hint="eastAsia" w:ascii="宋体" w:hAnsi="宋体" w:eastAsia="宋体" w:cs="宋体"/>
                <w:b/>
                <w:bCs/>
                <w:color w:val="auto"/>
                <w:szCs w:val="21"/>
                <w:highlight w:val="none"/>
              </w:rPr>
              <w:t>付款条件</w:t>
            </w:r>
          </w:p>
        </w:tc>
        <w:tc>
          <w:tcPr>
            <w:tcW w:w="8047"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612F518">
            <w:pPr>
              <w:keepNext w:val="0"/>
              <w:keepLines w:val="0"/>
              <w:pageBreakBefore w:val="0"/>
              <w:suppressLineNumbers w:val="0"/>
              <w:kinsoku/>
              <w:wordWrap/>
              <w:overflowPunct/>
              <w:topLinePunct w:val="0"/>
              <w:autoSpaceDN/>
              <w:bidi w:val="0"/>
              <w:snapToGrid w:val="0"/>
              <w:spacing w:before="0" w:beforeAutospacing="0" w:afterAutospacing="0" w:line="240" w:lineRule="auto"/>
              <w:ind w:left="0" w:right="0"/>
              <w:rPr>
                <w:rFonts w:hint="default" w:ascii="宋体" w:hAnsi="宋体" w:eastAsia="宋体" w:cs="宋体"/>
                <w:bCs/>
                <w:color w:val="auto"/>
                <w:szCs w:val="21"/>
                <w:highlight w:val="none"/>
              </w:rPr>
            </w:pPr>
            <w:r>
              <w:rPr>
                <w:rFonts w:hint="default" w:ascii="宋体" w:hAnsi="宋体" w:eastAsia="宋体" w:cs="宋体"/>
                <w:bCs/>
                <w:color w:val="auto"/>
                <w:szCs w:val="21"/>
                <w:highlight w:val="none"/>
              </w:rPr>
              <w:t>1.</w:t>
            </w:r>
            <w:r>
              <w:rPr>
                <w:rFonts w:hint="eastAsia" w:ascii="宋体" w:hAnsi="宋体" w:cs="宋体"/>
                <w:color w:val="auto"/>
                <w:szCs w:val="21"/>
                <w:lang w:val="en-US" w:eastAsia="zh-CN"/>
              </w:rPr>
              <w:t>中标</w:t>
            </w:r>
            <w:r>
              <w:rPr>
                <w:rFonts w:hint="eastAsia" w:ascii="宋体" w:hAnsi="宋体" w:eastAsia="宋体" w:cs="宋体"/>
                <w:color w:val="auto"/>
                <w:szCs w:val="21"/>
              </w:rPr>
              <w:t>人</w:t>
            </w:r>
            <w:r>
              <w:rPr>
                <w:rFonts w:hint="default" w:ascii="宋体" w:hAnsi="宋体" w:eastAsia="宋体" w:cs="宋体"/>
                <w:bCs/>
                <w:color w:val="auto"/>
                <w:szCs w:val="21"/>
                <w:highlight w:val="none"/>
              </w:rPr>
              <w:t>在要求的</w:t>
            </w:r>
            <w:r>
              <w:rPr>
                <w:rFonts w:hint="eastAsia" w:ascii="宋体" w:hAnsi="宋体" w:eastAsia="宋体" w:cs="宋体"/>
                <w:bCs/>
                <w:color w:val="auto"/>
                <w:szCs w:val="21"/>
                <w:highlight w:val="none"/>
              </w:rPr>
              <w:t>交付</w:t>
            </w:r>
            <w:r>
              <w:rPr>
                <w:rFonts w:hint="default" w:ascii="宋体" w:hAnsi="宋体" w:eastAsia="宋体" w:cs="宋体"/>
                <w:bCs/>
                <w:color w:val="auto"/>
                <w:szCs w:val="21"/>
                <w:highlight w:val="none"/>
              </w:rPr>
              <w:t>期内，可分批</w:t>
            </w:r>
            <w:r>
              <w:rPr>
                <w:rFonts w:hint="eastAsia" w:ascii="宋体" w:hAnsi="宋体" w:eastAsia="宋体" w:cs="宋体"/>
                <w:bCs/>
                <w:color w:val="auto"/>
                <w:szCs w:val="21"/>
                <w:highlight w:val="none"/>
              </w:rPr>
              <w:t>交付</w:t>
            </w:r>
            <w:r>
              <w:rPr>
                <w:rFonts w:hint="default" w:ascii="宋体" w:hAnsi="宋体" w:eastAsia="宋体" w:cs="宋体"/>
                <w:bCs/>
                <w:color w:val="auto"/>
                <w:szCs w:val="21"/>
                <w:highlight w:val="none"/>
              </w:rPr>
              <w:t>，</w:t>
            </w:r>
            <w:r>
              <w:rPr>
                <w:rFonts w:hint="eastAsia" w:ascii="宋体" w:hAnsi="宋体" w:eastAsia="宋体" w:cs="宋体"/>
                <w:bCs/>
                <w:color w:val="auto"/>
                <w:szCs w:val="21"/>
                <w:highlight w:val="none"/>
              </w:rPr>
              <w:t>也可一次性交付，</w:t>
            </w:r>
            <w:r>
              <w:rPr>
                <w:rFonts w:hint="default" w:ascii="宋体" w:hAnsi="宋体" w:eastAsia="宋体" w:cs="宋体"/>
                <w:bCs/>
                <w:color w:val="auto"/>
                <w:szCs w:val="21"/>
                <w:highlight w:val="none"/>
              </w:rPr>
              <w:t>但</w:t>
            </w:r>
            <w:r>
              <w:rPr>
                <w:rFonts w:hint="eastAsia" w:ascii="宋体" w:hAnsi="宋体" w:eastAsia="宋体" w:cs="宋体"/>
                <w:bCs/>
                <w:color w:val="auto"/>
                <w:szCs w:val="21"/>
                <w:highlight w:val="none"/>
              </w:rPr>
              <w:t>须</w:t>
            </w:r>
            <w:r>
              <w:rPr>
                <w:rFonts w:hint="default" w:ascii="宋体" w:hAnsi="宋体" w:eastAsia="宋体" w:cs="宋体"/>
                <w:bCs/>
                <w:color w:val="auto"/>
                <w:szCs w:val="21"/>
                <w:highlight w:val="none"/>
              </w:rPr>
              <w:t>先按每次</w:t>
            </w:r>
            <w:r>
              <w:rPr>
                <w:rFonts w:hint="eastAsia" w:ascii="宋体" w:hAnsi="宋体" w:eastAsia="宋体" w:cs="宋体"/>
                <w:bCs/>
                <w:color w:val="auto"/>
                <w:szCs w:val="21"/>
                <w:highlight w:val="none"/>
              </w:rPr>
              <w:t>交付并</w:t>
            </w:r>
            <w:r>
              <w:rPr>
                <w:rFonts w:hint="default" w:ascii="宋体" w:hAnsi="宋体" w:eastAsia="宋体" w:cs="宋体"/>
                <w:bCs/>
                <w:color w:val="auto"/>
                <w:szCs w:val="21"/>
                <w:highlight w:val="none"/>
              </w:rPr>
              <w:t>验收完成的金额开具发票给采购人，采购人在收到发票后30日历日内按发票面额付款。</w:t>
            </w:r>
            <w:r>
              <w:rPr>
                <w:rFonts w:hint="eastAsia" w:ascii="宋体" w:hAnsi="宋体" w:eastAsia="宋体" w:cs="宋体"/>
                <w:bCs/>
                <w:color w:val="auto"/>
                <w:szCs w:val="21"/>
                <w:highlight w:val="none"/>
              </w:rPr>
              <w:t>如</w:t>
            </w:r>
            <w:r>
              <w:rPr>
                <w:rFonts w:hint="eastAsia" w:ascii="宋体" w:hAnsi="宋体" w:cs="宋体"/>
                <w:color w:val="auto"/>
                <w:szCs w:val="21"/>
                <w:lang w:val="en-US" w:eastAsia="zh-CN"/>
              </w:rPr>
              <w:t>中标</w:t>
            </w:r>
            <w:r>
              <w:rPr>
                <w:rFonts w:hint="eastAsia" w:ascii="宋体" w:hAnsi="宋体" w:eastAsia="宋体" w:cs="宋体"/>
                <w:color w:val="auto"/>
                <w:szCs w:val="21"/>
              </w:rPr>
              <w:t>人</w:t>
            </w:r>
            <w:r>
              <w:rPr>
                <w:rFonts w:hint="eastAsia" w:ascii="宋体" w:hAnsi="宋体" w:eastAsia="宋体" w:cs="宋体"/>
                <w:bCs/>
                <w:color w:val="auto"/>
                <w:szCs w:val="21"/>
                <w:highlight w:val="none"/>
              </w:rPr>
              <w:t>未按国家要求开具发票，或未按合同履约的，视为违约，采购人有权扣减履约保证金，或要求解除合同，并追究</w:t>
            </w:r>
            <w:r>
              <w:rPr>
                <w:rFonts w:hint="eastAsia" w:ascii="宋体" w:hAnsi="宋体" w:cs="宋体"/>
                <w:color w:val="auto"/>
                <w:szCs w:val="21"/>
                <w:lang w:val="en-US" w:eastAsia="zh-CN"/>
              </w:rPr>
              <w:t>中标</w:t>
            </w:r>
            <w:r>
              <w:rPr>
                <w:rFonts w:hint="eastAsia" w:ascii="宋体" w:hAnsi="宋体" w:eastAsia="宋体" w:cs="宋体"/>
                <w:color w:val="auto"/>
                <w:szCs w:val="21"/>
              </w:rPr>
              <w:t>人</w:t>
            </w:r>
            <w:r>
              <w:rPr>
                <w:rFonts w:hint="eastAsia" w:ascii="宋体" w:hAnsi="宋体" w:eastAsia="宋体" w:cs="宋体"/>
                <w:bCs/>
                <w:color w:val="auto"/>
                <w:szCs w:val="21"/>
                <w:highlight w:val="none"/>
              </w:rPr>
              <w:t>法律责任。</w:t>
            </w:r>
          </w:p>
          <w:p w14:paraId="032128FF">
            <w:pPr>
              <w:keepNext w:val="0"/>
              <w:keepLines w:val="0"/>
              <w:pageBreakBefore w:val="0"/>
              <w:suppressLineNumbers w:val="0"/>
              <w:kinsoku/>
              <w:wordWrap/>
              <w:overflowPunct/>
              <w:topLinePunct w:val="0"/>
              <w:autoSpaceDN/>
              <w:bidi w:val="0"/>
              <w:snapToGrid w:val="0"/>
              <w:spacing w:before="0" w:beforeAutospacing="0" w:afterAutospacing="0" w:line="240" w:lineRule="auto"/>
              <w:ind w:left="0" w:right="0"/>
              <w:jc w:val="left"/>
              <w:rPr>
                <w:rFonts w:hint="eastAsia" w:asciiTheme="minorEastAsia" w:hAnsiTheme="minorEastAsia" w:eastAsiaTheme="minorEastAsia"/>
                <w:color w:val="auto"/>
                <w:highlight w:val="none"/>
              </w:rPr>
            </w:pPr>
            <w:r>
              <w:rPr>
                <w:rFonts w:hint="eastAsia" w:ascii="宋体" w:hAnsi="宋体" w:eastAsia="宋体" w:cs="宋体"/>
                <w:bCs/>
                <w:color w:val="auto"/>
                <w:szCs w:val="21"/>
                <w:highlight w:val="none"/>
              </w:rPr>
              <w:t>2.</w:t>
            </w:r>
            <w:r>
              <w:rPr>
                <w:rFonts w:hint="default" w:ascii="宋体" w:hAnsi="宋体" w:eastAsia="宋体" w:cs="宋体"/>
                <w:bCs/>
                <w:color w:val="auto"/>
                <w:szCs w:val="21"/>
                <w:highlight w:val="none"/>
              </w:rPr>
              <w:t>本项目收取履约保证金</w:t>
            </w:r>
            <w:r>
              <w:rPr>
                <w:rFonts w:hint="eastAsia" w:ascii="宋体" w:hAnsi="宋体" w:eastAsia="宋体" w:cs="宋体"/>
                <w:bCs/>
                <w:color w:val="auto"/>
                <w:szCs w:val="21"/>
                <w:highlight w:val="none"/>
              </w:rPr>
              <w:t>，</w:t>
            </w:r>
            <w:r>
              <w:rPr>
                <w:rFonts w:hint="eastAsia" w:ascii="宋体" w:hAnsi="宋体" w:cs="宋体"/>
                <w:color w:val="auto"/>
                <w:szCs w:val="21"/>
                <w:lang w:val="en-US" w:eastAsia="zh-CN"/>
              </w:rPr>
              <w:t>中标</w:t>
            </w:r>
            <w:r>
              <w:rPr>
                <w:rFonts w:hint="eastAsia" w:ascii="宋体" w:hAnsi="宋体" w:eastAsia="宋体" w:cs="宋体"/>
                <w:color w:val="auto"/>
                <w:szCs w:val="21"/>
              </w:rPr>
              <w:t>人</w:t>
            </w:r>
            <w:r>
              <w:rPr>
                <w:rFonts w:hint="eastAsia" w:ascii="宋体" w:hAnsi="宋体" w:eastAsia="宋体" w:cs="宋体"/>
                <w:bCs/>
                <w:color w:val="auto"/>
                <w:szCs w:val="21"/>
                <w:highlight w:val="none"/>
              </w:rPr>
              <w:t>须在合同签订前向采购人账户转付成交金额</w:t>
            </w:r>
            <w:r>
              <w:rPr>
                <w:rFonts w:hint="default" w:ascii="宋体" w:hAnsi="宋体" w:eastAsia="宋体" w:cs="宋体"/>
                <w:bCs/>
                <w:color w:val="auto"/>
                <w:szCs w:val="21"/>
                <w:highlight w:val="none"/>
              </w:rPr>
              <w:t>2%的履约保证金，否则不予签订合同</w:t>
            </w:r>
            <w:r>
              <w:rPr>
                <w:rFonts w:hint="eastAsia" w:ascii="宋体" w:hAnsi="宋体" w:eastAsia="宋体" w:cs="宋体"/>
                <w:bCs/>
                <w:color w:val="auto"/>
                <w:szCs w:val="21"/>
                <w:highlight w:val="none"/>
              </w:rPr>
              <w:t>。</w:t>
            </w:r>
            <w:r>
              <w:rPr>
                <w:rFonts w:hint="default" w:ascii="宋体" w:hAnsi="宋体" w:eastAsia="宋体" w:cs="宋体"/>
                <w:bCs/>
                <w:color w:val="auto"/>
                <w:szCs w:val="21"/>
                <w:highlight w:val="none"/>
              </w:rPr>
              <w:t>履约保证金在</w:t>
            </w:r>
            <w:r>
              <w:rPr>
                <w:rFonts w:hint="eastAsia" w:ascii="宋体" w:hAnsi="宋体" w:eastAsia="宋体" w:cs="宋体"/>
                <w:bCs/>
                <w:color w:val="auto"/>
                <w:szCs w:val="21"/>
                <w:highlight w:val="none"/>
              </w:rPr>
              <w:t>采购内容全部交付</w:t>
            </w:r>
            <w:r>
              <w:rPr>
                <w:rFonts w:hint="default" w:ascii="宋体" w:hAnsi="宋体" w:eastAsia="宋体" w:cs="宋体"/>
                <w:bCs/>
                <w:color w:val="auto"/>
                <w:szCs w:val="21"/>
                <w:highlight w:val="none"/>
              </w:rPr>
              <w:t>验收</w:t>
            </w:r>
            <w:r>
              <w:rPr>
                <w:rFonts w:hint="eastAsia" w:ascii="宋体" w:hAnsi="宋体" w:eastAsia="宋体" w:cs="宋体"/>
                <w:bCs/>
                <w:color w:val="auto"/>
                <w:szCs w:val="21"/>
                <w:highlight w:val="none"/>
              </w:rPr>
              <w:t>完成</w:t>
            </w:r>
            <w:r>
              <w:rPr>
                <w:rFonts w:hint="default" w:ascii="宋体" w:hAnsi="宋体" w:eastAsia="宋体" w:cs="宋体"/>
                <w:bCs/>
                <w:color w:val="auto"/>
                <w:szCs w:val="21"/>
                <w:highlight w:val="none"/>
              </w:rPr>
              <w:t>之后</w:t>
            </w:r>
            <w:r>
              <w:rPr>
                <w:rFonts w:hint="eastAsia" w:ascii="宋体" w:hAnsi="宋体" w:eastAsia="宋体" w:cs="宋体"/>
                <w:bCs/>
                <w:color w:val="auto"/>
                <w:szCs w:val="21"/>
                <w:highlight w:val="none"/>
              </w:rPr>
              <w:t>（或服务期满后）</w:t>
            </w:r>
            <w:r>
              <w:rPr>
                <w:rFonts w:hint="default" w:ascii="宋体" w:hAnsi="宋体" w:eastAsia="宋体" w:cs="宋体"/>
                <w:bCs/>
                <w:color w:val="auto"/>
                <w:szCs w:val="21"/>
                <w:highlight w:val="none"/>
              </w:rPr>
              <w:t>无息退付。</w:t>
            </w:r>
          </w:p>
        </w:tc>
      </w:tr>
      <w:tr w14:paraId="5FDED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112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C7A1188">
            <w:pPr>
              <w:keepNext w:val="0"/>
              <w:keepLines w:val="0"/>
              <w:pageBreakBefore w:val="0"/>
              <w:suppressLineNumbers w:val="0"/>
              <w:kinsoku/>
              <w:wordWrap/>
              <w:overflowPunct/>
              <w:topLinePunct w:val="0"/>
              <w:autoSpaceDN/>
              <w:bidi w:val="0"/>
              <w:snapToGrid w:val="0"/>
              <w:spacing w:before="0" w:beforeAutospacing="0" w:afterAutospacing="0" w:line="240" w:lineRule="auto"/>
              <w:ind w:left="0" w:right="0"/>
              <w:jc w:val="center"/>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lang w:eastAsia="zh-CN"/>
              </w:rPr>
              <w:t>验收标准及相关要求</w:t>
            </w:r>
          </w:p>
        </w:tc>
        <w:tc>
          <w:tcPr>
            <w:tcW w:w="8047"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638BEB5">
            <w:pPr>
              <w:keepNext w:val="0"/>
              <w:keepLines w:val="0"/>
              <w:pageBreakBefore w:val="0"/>
              <w:suppressLineNumbers w:val="0"/>
              <w:kinsoku/>
              <w:wordWrap/>
              <w:overflowPunct/>
              <w:topLinePunct w:val="0"/>
              <w:autoSpaceDN/>
              <w:bidi w:val="0"/>
              <w:snapToGrid w:val="0"/>
              <w:spacing w:before="0" w:beforeAutospacing="0" w:afterAutospacing="0" w:line="240" w:lineRule="auto"/>
              <w:ind w:left="0" w:right="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1.采购人对中标人提交的货物依据采购文件上的技术规格要求和国家有关质量标准进行现场签收，外观、说明书符合采购文件技术要求的，给予签收，不合格的不予签收。</w:t>
            </w:r>
          </w:p>
          <w:p w14:paraId="1CE44C71">
            <w:pPr>
              <w:keepNext w:val="0"/>
              <w:keepLines w:val="0"/>
              <w:pageBreakBefore w:val="0"/>
              <w:suppressLineNumbers w:val="0"/>
              <w:kinsoku/>
              <w:wordWrap/>
              <w:overflowPunct/>
              <w:topLinePunct w:val="0"/>
              <w:autoSpaceDN/>
              <w:bidi w:val="0"/>
              <w:snapToGrid w:val="0"/>
              <w:spacing w:before="0" w:beforeAutospacing="0" w:afterAutospacing="0" w:line="240" w:lineRule="auto"/>
              <w:ind w:left="0" w:right="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中标人交货前应对产品作出全面检查和对验收文件进行整理，并列出清单，作为采购人收货验收和使用的技术条件依据，检验的结果应随货物交甲方。中标人不能完整交付货物及本款规定的单证和工具的，必须负责补齐，否则视为未按合同约定交货。</w:t>
            </w:r>
          </w:p>
          <w:p w14:paraId="2505B877">
            <w:pPr>
              <w:keepNext w:val="0"/>
              <w:keepLines w:val="0"/>
              <w:pageBreakBefore w:val="0"/>
              <w:suppressLineNumbers w:val="0"/>
              <w:kinsoku/>
              <w:wordWrap/>
              <w:overflowPunct/>
              <w:topLinePunct w:val="0"/>
              <w:autoSpaceDN/>
              <w:bidi w:val="0"/>
              <w:snapToGrid w:val="0"/>
              <w:spacing w:before="0" w:beforeAutospacing="0" w:afterAutospacing="0" w:line="240" w:lineRule="auto"/>
              <w:ind w:left="0" w:right="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产品到达现场后，中标人应在招标单位人员在场情况下当面开箱，共同清点、检查外观，作出开箱记录，双方签字确认。中标人应保证货物到达采购人所在地完好无损，如有缺漏、损坏，由中标人负责调换、补齐或赔偿。</w:t>
            </w:r>
          </w:p>
          <w:p w14:paraId="66E94D3E">
            <w:pPr>
              <w:keepNext w:val="0"/>
              <w:keepLines w:val="0"/>
              <w:pageBreakBefore w:val="0"/>
              <w:suppressLineNumbers w:val="0"/>
              <w:kinsoku/>
              <w:wordWrap/>
              <w:overflowPunct/>
              <w:topLinePunct w:val="0"/>
              <w:autoSpaceDN/>
              <w:bidi w:val="0"/>
              <w:snapToGrid w:val="0"/>
              <w:spacing w:before="0" w:beforeAutospacing="0" w:afterAutospacing="0" w:line="240" w:lineRule="auto"/>
              <w:ind w:left="0" w:right="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4.中标人需负责安装、调试，并培训采购人的使用操作人员，直到设备运行符合技术要求，院方使用人员熟练掌握全部功能及基本维修，采购人方可验收。</w:t>
            </w:r>
          </w:p>
          <w:p w14:paraId="385EF386">
            <w:pPr>
              <w:keepNext w:val="0"/>
              <w:keepLines w:val="0"/>
              <w:pageBreakBefore w:val="0"/>
              <w:suppressLineNumbers w:val="0"/>
              <w:kinsoku/>
              <w:wordWrap/>
              <w:overflowPunct/>
              <w:topLinePunct w:val="0"/>
              <w:autoSpaceDN/>
              <w:bidi w:val="0"/>
              <w:snapToGrid w:val="0"/>
              <w:spacing w:before="0" w:beforeAutospacing="0" w:afterAutospacing="0" w:line="240" w:lineRule="auto"/>
              <w:ind w:left="0" w:right="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5.采购人组织验收，中标人必须到场配合，验收合格后双方签署验收合格凭证。</w:t>
            </w:r>
          </w:p>
          <w:p w14:paraId="70AFE7B8">
            <w:pPr>
              <w:keepNext w:val="0"/>
              <w:keepLines w:val="0"/>
              <w:pageBreakBefore w:val="0"/>
              <w:suppressLineNumbers w:val="0"/>
              <w:kinsoku/>
              <w:wordWrap/>
              <w:overflowPunct/>
              <w:topLinePunct w:val="0"/>
              <w:autoSpaceDN/>
              <w:bidi w:val="0"/>
              <w:snapToGrid w:val="0"/>
              <w:spacing w:before="0" w:beforeAutospacing="0" w:afterAutospacing="0" w:line="240" w:lineRule="auto"/>
              <w:ind w:left="0" w:right="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6.其他未尽事宜应严格按照《关于印发广西壮族自治区政府采购项目履约验收管理办法的通知》[桂财采〔2015〕22 号]以及《财政部关于进一步加强政府采购需求和履约验收管理的指导意见》[财库〔2016〕205 号]规定执行。</w:t>
            </w:r>
          </w:p>
          <w:p w14:paraId="20E5ED57">
            <w:pPr>
              <w:keepNext w:val="0"/>
              <w:keepLines w:val="0"/>
              <w:pageBreakBefore w:val="0"/>
              <w:suppressLineNumbers w:val="0"/>
              <w:kinsoku/>
              <w:wordWrap/>
              <w:overflowPunct/>
              <w:topLinePunct w:val="0"/>
              <w:autoSpaceDN/>
              <w:bidi w:val="0"/>
              <w:snapToGrid w:val="0"/>
              <w:spacing w:before="0" w:beforeAutospacing="0" w:afterAutospacing="0" w:line="240" w:lineRule="auto"/>
              <w:ind w:left="0" w:right="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7.验收过程中所产生的一切费用均由中标人承担，包括中标人邀请第三方检测机构出具检测报告的费用、邀请第三方验收代理机构组织验收的费用以及因检测或验收不合格导致开展再次检测或验收所产生的费用等。</w:t>
            </w:r>
          </w:p>
          <w:p w14:paraId="535BE305">
            <w:pPr>
              <w:keepNext w:val="0"/>
              <w:keepLines w:val="0"/>
              <w:pageBreakBefore w:val="0"/>
              <w:suppressLineNumbers w:val="0"/>
              <w:kinsoku/>
              <w:wordWrap/>
              <w:overflowPunct/>
              <w:topLinePunct w:val="0"/>
              <w:autoSpaceDN/>
              <w:bidi w:val="0"/>
              <w:snapToGrid w:val="0"/>
              <w:spacing w:before="0" w:beforeAutospacing="0" w:afterAutospacing="0" w:line="240" w:lineRule="auto"/>
              <w:ind w:left="0" w:right="0"/>
              <w:jc w:val="left"/>
              <w:rPr>
                <w:rFonts w:hint="eastAsia" w:ascii="宋体" w:hAnsi="宋体" w:eastAsia="宋体" w:cs="宋体"/>
                <w:bCs/>
                <w:color w:val="auto"/>
                <w:szCs w:val="21"/>
                <w:highlight w:val="none"/>
              </w:rPr>
            </w:pPr>
            <w:r>
              <w:rPr>
                <w:rFonts w:hint="eastAsia" w:ascii="宋体" w:hAnsi="宋体" w:cs="宋体"/>
                <w:bCs/>
                <w:color w:val="auto"/>
                <w:szCs w:val="21"/>
                <w:highlight w:val="none"/>
                <w:lang w:val="en-US" w:eastAsia="zh-CN"/>
              </w:rPr>
              <w:t>8</w:t>
            </w:r>
            <w:r>
              <w:rPr>
                <w:rFonts w:hint="eastAsia" w:ascii="宋体" w:hAnsi="宋体" w:eastAsia="宋体" w:cs="宋体"/>
                <w:bCs/>
                <w:color w:val="auto"/>
                <w:szCs w:val="21"/>
                <w:highlight w:val="none"/>
              </w:rPr>
              <w:t>.</w:t>
            </w:r>
            <w:r>
              <w:rPr>
                <w:rFonts w:hint="eastAsia" w:ascii="宋体" w:hAnsi="宋体" w:cs="宋体"/>
                <w:bCs/>
                <w:color w:val="auto"/>
                <w:szCs w:val="21"/>
                <w:highlight w:val="none"/>
                <w:lang w:eastAsia="zh-CN"/>
              </w:rPr>
              <w:t>中标</w:t>
            </w:r>
            <w:r>
              <w:rPr>
                <w:rFonts w:hint="eastAsia" w:ascii="宋体" w:hAnsi="宋体" w:cs="宋体"/>
                <w:bCs/>
                <w:color w:val="auto"/>
                <w:szCs w:val="21"/>
                <w:highlight w:val="none"/>
                <w:lang w:val="en-US" w:eastAsia="zh-CN"/>
              </w:rPr>
              <w:t>人</w:t>
            </w:r>
            <w:r>
              <w:rPr>
                <w:rFonts w:hint="eastAsia" w:ascii="宋体" w:hAnsi="宋体" w:eastAsia="宋体" w:cs="宋体"/>
                <w:bCs/>
                <w:color w:val="auto"/>
                <w:szCs w:val="21"/>
                <w:highlight w:val="none"/>
              </w:rPr>
              <w:t>验收时，采购人</w:t>
            </w:r>
            <w:r>
              <w:rPr>
                <w:rFonts w:hint="eastAsia" w:ascii="宋体" w:hAnsi="宋体" w:cs="宋体"/>
                <w:bCs/>
                <w:color w:val="auto"/>
                <w:szCs w:val="21"/>
                <w:highlight w:val="none"/>
                <w:lang w:eastAsia="zh-CN"/>
              </w:rPr>
              <w:t>有权</w:t>
            </w:r>
            <w:r>
              <w:rPr>
                <w:rFonts w:hint="eastAsia" w:ascii="宋体" w:hAnsi="宋体" w:eastAsia="宋体" w:cs="宋体"/>
                <w:bCs/>
                <w:color w:val="auto"/>
                <w:szCs w:val="21"/>
                <w:highlight w:val="none"/>
              </w:rPr>
              <w:t>对其供货产品进行产品测试及检验，一旦发现其所供产品达不到</w:t>
            </w:r>
            <w:r>
              <w:rPr>
                <w:rFonts w:hint="eastAsia" w:ascii="宋体" w:hAnsi="宋体" w:cs="宋体"/>
                <w:bCs/>
                <w:color w:val="auto"/>
                <w:szCs w:val="21"/>
                <w:highlight w:val="none"/>
                <w:lang w:eastAsia="zh-CN"/>
              </w:rPr>
              <w:t>中标</w:t>
            </w:r>
            <w:r>
              <w:rPr>
                <w:rFonts w:hint="eastAsia" w:ascii="宋体" w:hAnsi="宋体" w:eastAsia="宋体" w:cs="宋体"/>
                <w:bCs/>
                <w:color w:val="auto"/>
                <w:szCs w:val="21"/>
                <w:highlight w:val="none"/>
              </w:rPr>
              <w:t>供应商所承诺的参数要求，有以次充好虚假应标的情况，将按照有关规定上报有关部门，追究成交供应商的法律责任。</w:t>
            </w:r>
          </w:p>
          <w:p w14:paraId="57CD155E">
            <w:pPr>
              <w:keepNext w:val="0"/>
              <w:keepLines w:val="0"/>
              <w:pageBreakBefore w:val="0"/>
              <w:suppressLineNumbers w:val="0"/>
              <w:kinsoku/>
              <w:wordWrap/>
              <w:overflowPunct/>
              <w:topLinePunct w:val="0"/>
              <w:autoSpaceDN/>
              <w:bidi w:val="0"/>
              <w:snapToGrid w:val="0"/>
              <w:spacing w:before="0" w:beforeAutospacing="0" w:afterAutospacing="0" w:line="240" w:lineRule="auto"/>
              <w:ind w:left="0" w:right="0"/>
              <w:jc w:val="left"/>
              <w:rPr>
                <w:rFonts w:hint="eastAsia" w:ascii="宋体" w:hAnsi="宋体" w:eastAsia="宋体" w:cs="宋体"/>
                <w:bCs/>
                <w:color w:val="auto"/>
                <w:szCs w:val="21"/>
                <w:highlight w:val="none"/>
              </w:rPr>
            </w:pPr>
            <w:r>
              <w:rPr>
                <w:rFonts w:hint="eastAsia" w:ascii="宋体" w:hAnsi="宋体" w:cs="宋体"/>
                <w:bCs/>
                <w:color w:val="auto"/>
                <w:szCs w:val="21"/>
                <w:highlight w:val="none"/>
                <w:lang w:val="en-US" w:eastAsia="zh-CN"/>
              </w:rPr>
              <w:t>9</w:t>
            </w:r>
            <w:r>
              <w:rPr>
                <w:rFonts w:hint="eastAsia" w:ascii="宋体" w:hAnsi="宋体" w:eastAsia="宋体" w:cs="宋体"/>
                <w:bCs/>
                <w:color w:val="auto"/>
                <w:szCs w:val="21"/>
                <w:highlight w:val="none"/>
              </w:rPr>
              <w:t>.供货时中标人应按照招标文件的对应要求提供对应材料，包括但不限于生产厂家出具的售后服务承诺书（售后服务证明）或检查报告、校准报告等等，如无法提供</w:t>
            </w:r>
            <w:r>
              <w:rPr>
                <w:rFonts w:hint="eastAsia" w:ascii="宋体" w:hAnsi="宋体" w:cs="宋体"/>
                <w:bCs/>
                <w:color w:val="auto"/>
                <w:szCs w:val="21"/>
                <w:highlight w:val="none"/>
                <w:lang w:eastAsia="zh-CN"/>
              </w:rPr>
              <w:t>相关材料</w:t>
            </w:r>
            <w:r>
              <w:rPr>
                <w:rFonts w:hint="eastAsia" w:ascii="宋体" w:hAnsi="宋体" w:eastAsia="宋体" w:cs="宋体"/>
                <w:bCs/>
                <w:color w:val="auto"/>
                <w:szCs w:val="21"/>
                <w:highlight w:val="none"/>
              </w:rPr>
              <w:t>，</w:t>
            </w:r>
            <w:r>
              <w:rPr>
                <w:rFonts w:hint="eastAsia" w:ascii="宋体" w:hAnsi="宋体" w:cs="宋体"/>
                <w:bCs/>
                <w:color w:val="auto"/>
                <w:szCs w:val="21"/>
                <w:highlight w:val="none"/>
                <w:lang w:eastAsia="zh-CN"/>
              </w:rPr>
              <w:t>则</w:t>
            </w:r>
            <w:r>
              <w:rPr>
                <w:rFonts w:hint="eastAsia" w:ascii="宋体" w:hAnsi="宋体" w:eastAsia="宋体" w:cs="宋体"/>
                <w:bCs/>
                <w:color w:val="auto"/>
                <w:szCs w:val="21"/>
                <w:highlight w:val="none"/>
              </w:rPr>
              <w:t>视为虚假响应，将按照有关规定上报有关部门，追究</w:t>
            </w:r>
            <w:r>
              <w:rPr>
                <w:rFonts w:hint="eastAsia" w:ascii="宋体" w:hAnsi="宋体" w:cs="宋体"/>
                <w:bCs/>
                <w:color w:val="auto"/>
                <w:szCs w:val="21"/>
                <w:highlight w:val="none"/>
                <w:lang w:eastAsia="zh-CN"/>
              </w:rPr>
              <w:t>中标</w:t>
            </w:r>
            <w:r>
              <w:rPr>
                <w:rFonts w:hint="eastAsia" w:ascii="宋体" w:hAnsi="宋体" w:eastAsia="宋体" w:cs="宋体"/>
                <w:bCs/>
                <w:color w:val="auto"/>
                <w:szCs w:val="21"/>
                <w:highlight w:val="none"/>
              </w:rPr>
              <w:t>供应商的法律责任。</w:t>
            </w:r>
          </w:p>
        </w:tc>
      </w:tr>
      <w:tr w14:paraId="1046F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9175" w:type="dxa"/>
            <w:gridSpan w:val="2"/>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D4BA6DB">
            <w:pPr>
              <w:keepNext w:val="0"/>
              <w:keepLines w:val="0"/>
              <w:pageBreakBefore w:val="0"/>
              <w:suppressLineNumbers w:val="0"/>
              <w:kinsoku/>
              <w:wordWrap/>
              <w:overflowPunct/>
              <w:topLinePunct w:val="0"/>
              <w:autoSpaceDN/>
              <w:bidi w:val="0"/>
              <w:snapToGrid w:val="0"/>
              <w:spacing w:before="0" w:beforeAutospacing="0" w:afterAutospacing="0" w:line="240" w:lineRule="auto"/>
              <w:ind w:left="0" w:right="0"/>
              <w:rPr>
                <w:rFonts w:hint="eastAsia" w:ascii="宋体" w:hAnsi="宋体"/>
                <w:b/>
                <w:bCs/>
                <w:color w:val="auto"/>
                <w:szCs w:val="21"/>
              </w:rPr>
            </w:pPr>
            <w:r>
              <w:rPr>
                <w:rFonts w:hint="eastAsia" w:ascii="宋体" w:hAnsi="宋体" w:eastAsia="宋体"/>
                <w:b/>
                <w:bCs/>
                <w:color w:val="auto"/>
                <w:szCs w:val="21"/>
              </w:rPr>
              <w:t>其他要求</w:t>
            </w:r>
          </w:p>
        </w:tc>
      </w:tr>
      <w:tr w14:paraId="20F7B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112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36135CC">
            <w:pPr>
              <w:keepNext w:val="0"/>
              <w:keepLines w:val="0"/>
              <w:pageBreakBefore w:val="0"/>
              <w:suppressLineNumbers w:val="0"/>
              <w:kinsoku/>
              <w:wordWrap/>
              <w:overflowPunct/>
              <w:topLinePunct w:val="0"/>
              <w:autoSpaceDN/>
              <w:bidi w:val="0"/>
              <w:snapToGrid w:val="0"/>
              <w:spacing w:before="0" w:beforeAutospacing="0" w:afterAutospacing="0" w:line="240" w:lineRule="auto"/>
              <w:ind w:left="0" w:right="0"/>
              <w:jc w:val="center"/>
              <w:rPr>
                <w:rFonts w:hint="default" w:ascii="宋体" w:hAnsi="宋体"/>
                <w:b/>
                <w:bCs/>
                <w:color w:val="auto"/>
                <w:szCs w:val="21"/>
              </w:rPr>
            </w:pPr>
            <w:r>
              <w:rPr>
                <w:rFonts w:hint="eastAsia" w:ascii="宋体" w:hAnsi="宋体" w:eastAsia="宋体" w:cs="宋体"/>
                <w:b/>
                <w:bCs/>
                <w:color w:val="auto"/>
                <w:szCs w:val="21"/>
              </w:rPr>
              <w:t>核心产品</w:t>
            </w:r>
          </w:p>
        </w:tc>
        <w:tc>
          <w:tcPr>
            <w:tcW w:w="8047"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A5657C7">
            <w:pPr>
              <w:keepNext w:val="0"/>
              <w:keepLines w:val="0"/>
              <w:suppressLineNumbers w:val="0"/>
              <w:spacing w:before="0" w:beforeAutospacing="0" w:after="0" w:afterAutospacing="0"/>
              <w:ind w:left="0" w:right="0"/>
              <w:rPr>
                <w:rFonts w:hint="eastAsia" w:ascii="宋体" w:hAnsi="宋体" w:eastAsia="宋体" w:cs="宋体"/>
                <w:bCs/>
                <w:color w:val="auto"/>
                <w:szCs w:val="21"/>
              </w:rPr>
            </w:pPr>
            <w:r>
              <w:rPr>
                <w:rFonts w:hint="default" w:ascii="宋体" w:hAnsi="宋体" w:eastAsia="宋体" w:cs="宋体"/>
                <w:bCs/>
                <w:color w:val="auto"/>
                <w:szCs w:val="21"/>
              </w:rPr>
              <w:t>第</w:t>
            </w:r>
            <w:r>
              <w:rPr>
                <w:rFonts w:hint="eastAsia" w:ascii="宋体" w:hAnsi="宋体" w:cs="宋体"/>
                <w:bCs/>
                <w:color w:val="auto"/>
                <w:szCs w:val="21"/>
                <w:u w:val="single"/>
                <w:lang w:val="en-US" w:eastAsia="zh-CN"/>
              </w:rPr>
              <w:t>21</w:t>
            </w:r>
            <w:r>
              <w:rPr>
                <w:rFonts w:hint="default" w:ascii="宋体" w:hAnsi="宋体" w:eastAsia="宋体" w:cs="宋体"/>
                <w:bCs/>
                <w:color w:val="auto"/>
                <w:szCs w:val="21"/>
              </w:rPr>
              <w:t>项“</w:t>
            </w:r>
            <w:r>
              <w:rPr>
                <w:rFonts w:hint="default" w:ascii="宋体" w:hAnsi="宋体" w:cs="宋体"/>
                <w:bCs/>
                <w:color w:val="auto"/>
                <w:szCs w:val="21"/>
                <w:u w:val="single"/>
              </w:rPr>
              <w:t>小动物活体成像系统</w:t>
            </w:r>
            <w:r>
              <w:rPr>
                <w:rFonts w:hint="default" w:ascii="宋体" w:hAnsi="宋体" w:eastAsia="宋体" w:cs="宋体"/>
                <w:bCs/>
                <w:color w:val="auto"/>
                <w:szCs w:val="21"/>
              </w:rPr>
              <w:t>”为核心产品。</w:t>
            </w:r>
          </w:p>
        </w:tc>
      </w:tr>
      <w:tr w14:paraId="31D82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112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B871FC8">
            <w:pPr>
              <w:keepNext w:val="0"/>
              <w:keepLines w:val="0"/>
              <w:pageBreakBefore w:val="0"/>
              <w:suppressLineNumbers w:val="0"/>
              <w:kinsoku/>
              <w:wordWrap/>
              <w:overflowPunct/>
              <w:topLinePunct w:val="0"/>
              <w:autoSpaceDN/>
              <w:bidi w:val="0"/>
              <w:snapToGrid w:val="0"/>
              <w:spacing w:before="0" w:beforeAutospacing="0" w:afterAutospacing="0" w:line="240" w:lineRule="auto"/>
              <w:ind w:left="0" w:right="0"/>
              <w:jc w:val="center"/>
              <w:rPr>
                <w:rFonts w:hint="eastAsia" w:ascii="宋体" w:hAnsi="宋体" w:eastAsia="宋体" w:cs="宋体"/>
                <w:b/>
                <w:bCs/>
                <w:color w:val="auto"/>
                <w:szCs w:val="21"/>
              </w:rPr>
            </w:pPr>
            <w:r>
              <w:rPr>
                <w:rFonts w:hint="eastAsia" w:ascii="宋体" w:hAnsi="宋体" w:eastAsia="宋体" w:cs="宋体"/>
                <w:b/>
                <w:bCs/>
                <w:color w:val="auto"/>
                <w:szCs w:val="21"/>
              </w:rPr>
              <w:t>进口产品说明</w:t>
            </w:r>
          </w:p>
        </w:tc>
        <w:tc>
          <w:tcPr>
            <w:tcW w:w="8047"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B5A8D83">
            <w:pPr>
              <w:keepNext w:val="0"/>
              <w:keepLines w:val="0"/>
              <w:pageBreakBefore w:val="0"/>
              <w:suppressLineNumbers w:val="0"/>
              <w:kinsoku/>
              <w:wordWrap/>
              <w:overflowPunct/>
              <w:topLinePunct w:val="0"/>
              <w:autoSpaceDN/>
              <w:bidi w:val="0"/>
              <w:snapToGrid w:val="0"/>
              <w:spacing w:before="0" w:beforeAutospacing="0" w:afterAutospacing="0" w:line="240" w:lineRule="auto"/>
              <w:ind w:left="0" w:right="0"/>
              <w:rPr>
                <w:rFonts w:hint="eastAsia" w:ascii="宋体" w:hAnsi="宋体" w:cs="宋体"/>
                <w:bCs/>
                <w:color w:val="auto"/>
                <w:szCs w:val="21"/>
                <w:lang w:eastAsia="zh-CN"/>
              </w:rPr>
            </w:pPr>
            <w:r>
              <w:rPr>
                <w:rFonts w:hint="eastAsia" w:ascii="宋体" w:hAnsi="宋体" w:cs="宋体"/>
                <w:bCs/>
                <w:color w:val="auto"/>
                <w:szCs w:val="21"/>
                <w:lang w:eastAsia="zh-CN"/>
              </w:rPr>
              <w:t>本</w:t>
            </w:r>
            <w:r>
              <w:rPr>
                <w:rFonts w:hint="eastAsia" w:ascii="宋体" w:hAnsi="宋体" w:cs="宋体"/>
                <w:bCs/>
                <w:color w:val="auto"/>
                <w:szCs w:val="21"/>
                <w:lang w:val="en-US" w:eastAsia="zh-CN"/>
              </w:rPr>
              <w:t>项目</w:t>
            </w:r>
            <w:r>
              <w:rPr>
                <w:rFonts w:hint="eastAsia" w:ascii="宋体" w:hAnsi="宋体" w:cs="宋体"/>
                <w:bCs/>
                <w:color w:val="auto"/>
                <w:szCs w:val="21"/>
                <w:lang w:eastAsia="zh-CN"/>
              </w:rPr>
              <w:t>所涉及的货物不接受进口产品（即通过中国海关报关验放进入中国境内且产自关境外的产品）参与投标，如有进口产品参与投标的作无效标处理。</w:t>
            </w:r>
          </w:p>
        </w:tc>
      </w:tr>
    </w:tbl>
    <w:p w14:paraId="01B6BD53">
      <w:pPr>
        <w:rPr>
          <w:color w:val="auto"/>
        </w:rPr>
      </w:pPr>
      <w:r>
        <w:rPr>
          <w:color w:val="auto"/>
        </w:rPr>
        <w:br w:type="page"/>
      </w:r>
    </w:p>
    <w:p w14:paraId="7AE09F5C">
      <w:pPr>
        <w:widowControl/>
        <w:jc w:val="left"/>
        <w:rPr>
          <w:color w:val="auto"/>
          <w:szCs w:val="21"/>
        </w:rPr>
      </w:pPr>
    </w:p>
    <w:p w14:paraId="164E8CED">
      <w:pPr>
        <w:spacing w:line="528" w:lineRule="exact"/>
        <w:ind w:firstLine="280" w:firstLineChars="100"/>
        <w:rPr>
          <w:color w:val="auto"/>
          <w:sz w:val="28"/>
          <w:szCs w:val="28"/>
        </w:rPr>
      </w:pPr>
      <w:bookmarkStart w:id="32" w:name="_Hlk132788223"/>
      <w:r>
        <w:rPr>
          <w:rFonts w:hint="eastAsia"/>
          <w:color w:val="auto"/>
          <w:sz w:val="28"/>
          <w:szCs w:val="28"/>
        </w:rPr>
        <w:t xml:space="preserve">附件1： </w:t>
      </w:r>
      <w:r>
        <w:rPr>
          <w:color w:val="auto"/>
          <w:sz w:val="28"/>
          <w:szCs w:val="28"/>
        </w:rPr>
        <w:t xml:space="preserve">                             </w:t>
      </w:r>
    </w:p>
    <w:p w14:paraId="5E81275A">
      <w:pPr>
        <w:spacing w:line="528" w:lineRule="exact"/>
        <w:ind w:firstLine="280" w:firstLineChars="100"/>
        <w:jc w:val="center"/>
        <w:rPr>
          <w:color w:val="auto"/>
          <w:sz w:val="28"/>
          <w:szCs w:val="28"/>
        </w:rPr>
      </w:pPr>
      <w:r>
        <w:rPr>
          <w:rFonts w:hint="eastAsia"/>
          <w:color w:val="auto"/>
          <w:sz w:val="28"/>
          <w:szCs w:val="28"/>
        </w:rPr>
        <w:t>中小微企业划型标准</w:t>
      </w:r>
    </w:p>
    <w:tbl>
      <w:tblPr>
        <w:tblStyle w:val="51"/>
        <w:tblW w:w="8706" w:type="dxa"/>
        <w:tblInd w:w="250" w:type="dxa"/>
        <w:tblLayout w:type="fixed"/>
        <w:tblCellMar>
          <w:top w:w="0" w:type="dxa"/>
          <w:left w:w="108" w:type="dxa"/>
          <w:bottom w:w="0" w:type="dxa"/>
          <w:right w:w="108" w:type="dxa"/>
        </w:tblCellMar>
      </w:tblPr>
      <w:tblGrid>
        <w:gridCol w:w="1446"/>
        <w:gridCol w:w="1701"/>
        <w:gridCol w:w="1134"/>
        <w:gridCol w:w="1846"/>
        <w:gridCol w:w="1570"/>
        <w:gridCol w:w="1009"/>
      </w:tblGrid>
      <w:tr w14:paraId="1A81E335">
        <w:trPr>
          <w:trHeight w:val="279" w:hRule="atLeast"/>
        </w:trPr>
        <w:tc>
          <w:tcPr>
            <w:tcW w:w="1446" w:type="dxa"/>
            <w:tcBorders>
              <w:top w:val="single" w:color="auto" w:sz="4" w:space="0"/>
              <w:left w:val="single" w:color="auto" w:sz="4" w:space="0"/>
              <w:bottom w:val="single" w:color="auto" w:sz="4" w:space="0"/>
              <w:right w:val="single" w:color="auto" w:sz="4" w:space="0"/>
            </w:tcBorders>
            <w:vAlign w:val="center"/>
          </w:tcPr>
          <w:p w14:paraId="1BCF9DEF">
            <w:pPr>
              <w:widowControl/>
              <w:jc w:val="left"/>
              <w:rPr>
                <w:color w:val="auto"/>
                <w:szCs w:val="21"/>
              </w:rPr>
            </w:pPr>
            <w:r>
              <w:rPr>
                <w:rFonts w:hint="eastAsia"/>
                <w:color w:val="auto"/>
                <w:szCs w:val="21"/>
              </w:rPr>
              <w:t>行业名称</w:t>
            </w:r>
          </w:p>
        </w:tc>
        <w:tc>
          <w:tcPr>
            <w:tcW w:w="1701" w:type="dxa"/>
            <w:tcBorders>
              <w:top w:val="single" w:color="auto" w:sz="4" w:space="0"/>
              <w:left w:val="nil"/>
              <w:bottom w:val="single" w:color="auto" w:sz="4" w:space="0"/>
              <w:right w:val="single" w:color="auto" w:sz="4" w:space="0"/>
            </w:tcBorders>
            <w:vAlign w:val="center"/>
          </w:tcPr>
          <w:p w14:paraId="06EAA56E">
            <w:pPr>
              <w:widowControl/>
              <w:jc w:val="left"/>
              <w:rPr>
                <w:color w:val="auto"/>
                <w:szCs w:val="21"/>
              </w:rPr>
            </w:pPr>
            <w:r>
              <w:rPr>
                <w:rFonts w:hint="eastAsia"/>
                <w:color w:val="auto"/>
                <w:szCs w:val="21"/>
              </w:rPr>
              <w:t>指标名称</w:t>
            </w:r>
          </w:p>
        </w:tc>
        <w:tc>
          <w:tcPr>
            <w:tcW w:w="1134" w:type="dxa"/>
            <w:tcBorders>
              <w:top w:val="single" w:color="auto" w:sz="4" w:space="0"/>
              <w:left w:val="nil"/>
              <w:bottom w:val="single" w:color="auto" w:sz="4" w:space="0"/>
              <w:right w:val="single" w:color="auto" w:sz="4" w:space="0"/>
            </w:tcBorders>
            <w:vAlign w:val="center"/>
          </w:tcPr>
          <w:p w14:paraId="72D92B00">
            <w:pPr>
              <w:widowControl/>
              <w:jc w:val="left"/>
              <w:rPr>
                <w:color w:val="auto"/>
                <w:szCs w:val="21"/>
              </w:rPr>
            </w:pPr>
            <w:r>
              <w:rPr>
                <w:rFonts w:hint="eastAsia"/>
                <w:color w:val="auto"/>
                <w:szCs w:val="21"/>
              </w:rPr>
              <w:t>计量单位</w:t>
            </w:r>
          </w:p>
        </w:tc>
        <w:tc>
          <w:tcPr>
            <w:tcW w:w="1846" w:type="dxa"/>
            <w:tcBorders>
              <w:top w:val="single" w:color="auto" w:sz="4" w:space="0"/>
              <w:left w:val="nil"/>
              <w:bottom w:val="single" w:color="auto" w:sz="4" w:space="0"/>
              <w:right w:val="single" w:color="auto" w:sz="4" w:space="0"/>
            </w:tcBorders>
            <w:vAlign w:val="center"/>
          </w:tcPr>
          <w:p w14:paraId="10538821">
            <w:pPr>
              <w:widowControl/>
              <w:jc w:val="left"/>
              <w:rPr>
                <w:color w:val="auto"/>
                <w:szCs w:val="21"/>
              </w:rPr>
            </w:pPr>
            <w:r>
              <w:rPr>
                <w:rFonts w:hint="eastAsia"/>
                <w:color w:val="auto"/>
                <w:szCs w:val="21"/>
              </w:rPr>
              <w:t>中型</w:t>
            </w:r>
          </w:p>
        </w:tc>
        <w:tc>
          <w:tcPr>
            <w:tcW w:w="1570" w:type="dxa"/>
            <w:tcBorders>
              <w:top w:val="single" w:color="auto" w:sz="4" w:space="0"/>
              <w:left w:val="nil"/>
              <w:bottom w:val="single" w:color="auto" w:sz="4" w:space="0"/>
              <w:right w:val="single" w:color="auto" w:sz="4" w:space="0"/>
            </w:tcBorders>
            <w:vAlign w:val="center"/>
          </w:tcPr>
          <w:p w14:paraId="6F9A0778">
            <w:pPr>
              <w:widowControl/>
              <w:jc w:val="left"/>
              <w:rPr>
                <w:color w:val="auto"/>
                <w:szCs w:val="21"/>
              </w:rPr>
            </w:pPr>
            <w:r>
              <w:rPr>
                <w:rFonts w:hint="eastAsia"/>
                <w:color w:val="auto"/>
                <w:szCs w:val="21"/>
              </w:rPr>
              <w:t>小型</w:t>
            </w:r>
          </w:p>
        </w:tc>
        <w:tc>
          <w:tcPr>
            <w:tcW w:w="1009" w:type="dxa"/>
            <w:tcBorders>
              <w:top w:val="single" w:color="auto" w:sz="4" w:space="0"/>
              <w:left w:val="nil"/>
              <w:bottom w:val="single" w:color="auto" w:sz="4" w:space="0"/>
              <w:right w:val="single" w:color="auto" w:sz="4" w:space="0"/>
            </w:tcBorders>
            <w:vAlign w:val="center"/>
          </w:tcPr>
          <w:p w14:paraId="031D6A41">
            <w:pPr>
              <w:widowControl/>
              <w:jc w:val="left"/>
              <w:rPr>
                <w:color w:val="auto"/>
                <w:szCs w:val="21"/>
              </w:rPr>
            </w:pPr>
            <w:r>
              <w:rPr>
                <w:rFonts w:hint="eastAsia"/>
                <w:color w:val="auto"/>
                <w:szCs w:val="21"/>
              </w:rPr>
              <w:t>微型</w:t>
            </w:r>
          </w:p>
        </w:tc>
      </w:tr>
      <w:tr w14:paraId="04C43FE0">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vAlign w:val="bottom"/>
          </w:tcPr>
          <w:p w14:paraId="03F62673">
            <w:pPr>
              <w:widowControl/>
              <w:jc w:val="center"/>
              <w:rPr>
                <w:color w:val="auto"/>
                <w:szCs w:val="21"/>
              </w:rPr>
            </w:pPr>
            <w:r>
              <w:rPr>
                <w:rFonts w:hint="eastAsia"/>
                <w:color w:val="auto"/>
                <w:szCs w:val="21"/>
              </w:rPr>
              <w:t>农、林、牧、渔</w:t>
            </w:r>
          </w:p>
        </w:tc>
        <w:tc>
          <w:tcPr>
            <w:tcW w:w="1701" w:type="dxa"/>
            <w:tcBorders>
              <w:top w:val="nil"/>
              <w:left w:val="nil"/>
              <w:bottom w:val="single" w:color="auto" w:sz="4" w:space="0"/>
              <w:right w:val="single" w:color="auto" w:sz="4" w:space="0"/>
            </w:tcBorders>
            <w:vAlign w:val="center"/>
          </w:tcPr>
          <w:p w14:paraId="152DCB1E">
            <w:pPr>
              <w:widowControl/>
              <w:jc w:val="left"/>
              <w:rPr>
                <w:color w:val="auto"/>
                <w:szCs w:val="21"/>
              </w:rPr>
            </w:pPr>
            <w:r>
              <w:rPr>
                <w:rFonts w:hint="eastAsia"/>
                <w:color w:val="auto"/>
                <w:szCs w:val="21"/>
              </w:rPr>
              <w:t>营业收入（Y）</w:t>
            </w:r>
          </w:p>
        </w:tc>
        <w:tc>
          <w:tcPr>
            <w:tcW w:w="1134" w:type="dxa"/>
            <w:tcBorders>
              <w:top w:val="nil"/>
              <w:left w:val="nil"/>
              <w:bottom w:val="single" w:color="auto" w:sz="4" w:space="0"/>
              <w:right w:val="single" w:color="auto" w:sz="4" w:space="0"/>
            </w:tcBorders>
            <w:vAlign w:val="center"/>
          </w:tcPr>
          <w:p w14:paraId="18D6005D">
            <w:pPr>
              <w:widowControl/>
              <w:jc w:val="left"/>
              <w:rPr>
                <w:color w:val="auto"/>
                <w:szCs w:val="21"/>
              </w:rPr>
            </w:pPr>
            <w:r>
              <w:rPr>
                <w:rFonts w:hint="eastAsia"/>
                <w:color w:val="auto"/>
                <w:szCs w:val="21"/>
              </w:rPr>
              <w:t>万元</w:t>
            </w:r>
          </w:p>
        </w:tc>
        <w:tc>
          <w:tcPr>
            <w:tcW w:w="1846" w:type="dxa"/>
            <w:tcBorders>
              <w:top w:val="nil"/>
              <w:left w:val="nil"/>
              <w:bottom w:val="single" w:color="auto" w:sz="4" w:space="0"/>
              <w:right w:val="single" w:color="auto" w:sz="4" w:space="0"/>
            </w:tcBorders>
            <w:vAlign w:val="center"/>
          </w:tcPr>
          <w:p w14:paraId="64D8A7AE">
            <w:pPr>
              <w:widowControl/>
              <w:jc w:val="left"/>
              <w:rPr>
                <w:color w:val="auto"/>
                <w:szCs w:val="21"/>
              </w:rPr>
            </w:pPr>
            <w:r>
              <w:rPr>
                <w:rFonts w:hint="eastAsia"/>
                <w:color w:val="auto"/>
                <w:szCs w:val="21"/>
              </w:rPr>
              <w:t>500≤Y＜20000</w:t>
            </w:r>
          </w:p>
        </w:tc>
        <w:tc>
          <w:tcPr>
            <w:tcW w:w="1570" w:type="dxa"/>
            <w:tcBorders>
              <w:top w:val="nil"/>
              <w:left w:val="nil"/>
              <w:bottom w:val="single" w:color="auto" w:sz="4" w:space="0"/>
              <w:right w:val="single" w:color="auto" w:sz="4" w:space="0"/>
            </w:tcBorders>
            <w:vAlign w:val="center"/>
          </w:tcPr>
          <w:p w14:paraId="66A5AB61">
            <w:pPr>
              <w:widowControl/>
              <w:jc w:val="left"/>
              <w:rPr>
                <w:color w:val="auto"/>
                <w:szCs w:val="21"/>
              </w:rPr>
            </w:pPr>
            <w:r>
              <w:rPr>
                <w:rFonts w:hint="eastAsia"/>
                <w:color w:val="auto"/>
                <w:szCs w:val="21"/>
              </w:rPr>
              <w:t>50≤Y＜500</w:t>
            </w:r>
          </w:p>
        </w:tc>
        <w:tc>
          <w:tcPr>
            <w:tcW w:w="1009" w:type="dxa"/>
            <w:tcBorders>
              <w:top w:val="nil"/>
              <w:left w:val="nil"/>
              <w:bottom w:val="single" w:color="auto" w:sz="4" w:space="0"/>
              <w:right w:val="single" w:color="auto" w:sz="4" w:space="0"/>
            </w:tcBorders>
            <w:vAlign w:val="center"/>
          </w:tcPr>
          <w:p w14:paraId="7CAC9B06">
            <w:pPr>
              <w:widowControl/>
              <w:jc w:val="left"/>
              <w:rPr>
                <w:color w:val="auto"/>
                <w:szCs w:val="21"/>
              </w:rPr>
            </w:pPr>
            <w:r>
              <w:rPr>
                <w:rFonts w:hint="eastAsia"/>
                <w:color w:val="auto"/>
                <w:szCs w:val="21"/>
              </w:rPr>
              <w:t>Y＜50</w:t>
            </w:r>
          </w:p>
        </w:tc>
      </w:tr>
      <w:tr w14:paraId="45B71CC6">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77D3303D">
            <w:pPr>
              <w:widowControl/>
              <w:jc w:val="center"/>
              <w:rPr>
                <w:color w:val="auto"/>
                <w:szCs w:val="21"/>
              </w:rPr>
            </w:pPr>
            <w:r>
              <w:rPr>
                <w:rFonts w:hint="eastAsia"/>
                <w:color w:val="auto"/>
                <w:szCs w:val="21"/>
              </w:rPr>
              <w:t>工业</w:t>
            </w:r>
          </w:p>
        </w:tc>
        <w:tc>
          <w:tcPr>
            <w:tcW w:w="1701" w:type="dxa"/>
            <w:tcBorders>
              <w:top w:val="nil"/>
              <w:left w:val="nil"/>
              <w:bottom w:val="single" w:color="auto" w:sz="4" w:space="0"/>
              <w:right w:val="single" w:color="auto" w:sz="4" w:space="0"/>
            </w:tcBorders>
            <w:vAlign w:val="center"/>
          </w:tcPr>
          <w:p w14:paraId="7BEE9961">
            <w:pPr>
              <w:widowControl/>
              <w:jc w:val="left"/>
              <w:rPr>
                <w:color w:val="auto"/>
                <w:szCs w:val="21"/>
              </w:rPr>
            </w:pPr>
            <w:r>
              <w:rPr>
                <w:rFonts w:hint="eastAsia"/>
                <w:color w:val="auto"/>
                <w:szCs w:val="21"/>
              </w:rPr>
              <w:t>从业人员（X）</w:t>
            </w:r>
          </w:p>
        </w:tc>
        <w:tc>
          <w:tcPr>
            <w:tcW w:w="1134" w:type="dxa"/>
            <w:tcBorders>
              <w:top w:val="nil"/>
              <w:left w:val="nil"/>
              <w:bottom w:val="single" w:color="auto" w:sz="4" w:space="0"/>
              <w:right w:val="single" w:color="auto" w:sz="4" w:space="0"/>
            </w:tcBorders>
            <w:vAlign w:val="center"/>
          </w:tcPr>
          <w:p w14:paraId="0B7F1CF2">
            <w:pPr>
              <w:widowControl/>
              <w:jc w:val="left"/>
              <w:rPr>
                <w:color w:val="auto"/>
                <w:szCs w:val="21"/>
              </w:rPr>
            </w:pPr>
            <w:r>
              <w:rPr>
                <w:rFonts w:hint="eastAsia"/>
                <w:color w:val="auto"/>
                <w:szCs w:val="21"/>
              </w:rPr>
              <w:t>人</w:t>
            </w:r>
          </w:p>
        </w:tc>
        <w:tc>
          <w:tcPr>
            <w:tcW w:w="1846" w:type="dxa"/>
            <w:tcBorders>
              <w:top w:val="nil"/>
              <w:left w:val="nil"/>
              <w:bottom w:val="single" w:color="auto" w:sz="4" w:space="0"/>
              <w:right w:val="single" w:color="auto" w:sz="4" w:space="0"/>
            </w:tcBorders>
            <w:vAlign w:val="center"/>
          </w:tcPr>
          <w:p w14:paraId="26862963">
            <w:pPr>
              <w:widowControl/>
              <w:jc w:val="left"/>
              <w:rPr>
                <w:color w:val="auto"/>
                <w:szCs w:val="21"/>
              </w:rPr>
            </w:pPr>
            <w:r>
              <w:rPr>
                <w:rFonts w:hint="eastAsia"/>
                <w:color w:val="auto"/>
                <w:szCs w:val="21"/>
              </w:rPr>
              <w:t>300≤X＜1000</w:t>
            </w:r>
          </w:p>
        </w:tc>
        <w:tc>
          <w:tcPr>
            <w:tcW w:w="1570" w:type="dxa"/>
            <w:tcBorders>
              <w:top w:val="nil"/>
              <w:left w:val="nil"/>
              <w:bottom w:val="single" w:color="auto" w:sz="4" w:space="0"/>
              <w:right w:val="single" w:color="auto" w:sz="4" w:space="0"/>
            </w:tcBorders>
            <w:vAlign w:val="center"/>
          </w:tcPr>
          <w:p w14:paraId="03EE7AA8">
            <w:pPr>
              <w:widowControl/>
              <w:jc w:val="left"/>
              <w:rPr>
                <w:color w:val="auto"/>
                <w:szCs w:val="21"/>
              </w:rPr>
            </w:pPr>
            <w:r>
              <w:rPr>
                <w:rFonts w:hint="eastAsia"/>
                <w:color w:val="auto"/>
                <w:szCs w:val="21"/>
              </w:rPr>
              <w:t>20≤X＜300</w:t>
            </w:r>
          </w:p>
        </w:tc>
        <w:tc>
          <w:tcPr>
            <w:tcW w:w="1009" w:type="dxa"/>
            <w:tcBorders>
              <w:top w:val="nil"/>
              <w:left w:val="nil"/>
              <w:bottom w:val="single" w:color="auto" w:sz="4" w:space="0"/>
              <w:right w:val="single" w:color="auto" w:sz="4" w:space="0"/>
            </w:tcBorders>
            <w:vAlign w:val="center"/>
          </w:tcPr>
          <w:p w14:paraId="6EE441A4">
            <w:pPr>
              <w:widowControl/>
              <w:jc w:val="left"/>
              <w:rPr>
                <w:color w:val="auto"/>
                <w:szCs w:val="21"/>
              </w:rPr>
            </w:pPr>
            <w:r>
              <w:rPr>
                <w:rFonts w:hint="eastAsia"/>
                <w:color w:val="auto"/>
                <w:szCs w:val="21"/>
              </w:rPr>
              <w:t>X＜20</w:t>
            </w:r>
          </w:p>
        </w:tc>
      </w:tr>
      <w:tr w14:paraId="3CAB8B58">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1CD7BCDC">
            <w:pPr>
              <w:widowControl/>
              <w:jc w:val="left"/>
              <w:rPr>
                <w:color w:val="auto"/>
                <w:szCs w:val="21"/>
              </w:rPr>
            </w:pPr>
          </w:p>
        </w:tc>
        <w:tc>
          <w:tcPr>
            <w:tcW w:w="1701" w:type="dxa"/>
            <w:tcBorders>
              <w:top w:val="nil"/>
              <w:left w:val="nil"/>
              <w:bottom w:val="single" w:color="auto" w:sz="4" w:space="0"/>
              <w:right w:val="single" w:color="auto" w:sz="4" w:space="0"/>
            </w:tcBorders>
            <w:vAlign w:val="center"/>
          </w:tcPr>
          <w:p w14:paraId="1B75111A">
            <w:pPr>
              <w:widowControl/>
              <w:jc w:val="left"/>
              <w:rPr>
                <w:color w:val="auto"/>
                <w:szCs w:val="21"/>
              </w:rPr>
            </w:pPr>
            <w:r>
              <w:rPr>
                <w:rFonts w:hint="eastAsia"/>
                <w:color w:val="auto"/>
                <w:szCs w:val="21"/>
              </w:rPr>
              <w:t>营业收入（Y）</w:t>
            </w:r>
          </w:p>
        </w:tc>
        <w:tc>
          <w:tcPr>
            <w:tcW w:w="1134" w:type="dxa"/>
            <w:tcBorders>
              <w:top w:val="nil"/>
              <w:left w:val="nil"/>
              <w:bottom w:val="single" w:color="auto" w:sz="4" w:space="0"/>
              <w:right w:val="single" w:color="auto" w:sz="4" w:space="0"/>
            </w:tcBorders>
            <w:vAlign w:val="center"/>
          </w:tcPr>
          <w:p w14:paraId="751DC95D">
            <w:pPr>
              <w:widowControl/>
              <w:jc w:val="left"/>
              <w:rPr>
                <w:color w:val="auto"/>
                <w:szCs w:val="21"/>
              </w:rPr>
            </w:pPr>
            <w:r>
              <w:rPr>
                <w:rFonts w:hint="eastAsia"/>
                <w:color w:val="auto"/>
                <w:szCs w:val="21"/>
              </w:rPr>
              <w:t>万元</w:t>
            </w:r>
          </w:p>
        </w:tc>
        <w:tc>
          <w:tcPr>
            <w:tcW w:w="1846" w:type="dxa"/>
            <w:tcBorders>
              <w:top w:val="nil"/>
              <w:left w:val="nil"/>
              <w:bottom w:val="single" w:color="auto" w:sz="4" w:space="0"/>
              <w:right w:val="single" w:color="auto" w:sz="4" w:space="0"/>
            </w:tcBorders>
            <w:vAlign w:val="center"/>
          </w:tcPr>
          <w:p w14:paraId="12C2FA76">
            <w:pPr>
              <w:widowControl/>
              <w:jc w:val="left"/>
              <w:rPr>
                <w:color w:val="auto"/>
                <w:szCs w:val="21"/>
              </w:rPr>
            </w:pPr>
            <w:r>
              <w:rPr>
                <w:rFonts w:hint="eastAsia"/>
                <w:color w:val="auto"/>
                <w:szCs w:val="21"/>
              </w:rPr>
              <w:t>2000≤Y＜40000</w:t>
            </w:r>
          </w:p>
        </w:tc>
        <w:tc>
          <w:tcPr>
            <w:tcW w:w="1570" w:type="dxa"/>
            <w:tcBorders>
              <w:top w:val="nil"/>
              <w:left w:val="nil"/>
              <w:bottom w:val="single" w:color="auto" w:sz="4" w:space="0"/>
              <w:right w:val="single" w:color="auto" w:sz="4" w:space="0"/>
            </w:tcBorders>
            <w:vAlign w:val="center"/>
          </w:tcPr>
          <w:p w14:paraId="5D0F3624">
            <w:pPr>
              <w:widowControl/>
              <w:jc w:val="left"/>
              <w:rPr>
                <w:color w:val="auto"/>
                <w:szCs w:val="21"/>
              </w:rPr>
            </w:pPr>
            <w:r>
              <w:rPr>
                <w:rFonts w:hint="eastAsia"/>
                <w:color w:val="auto"/>
                <w:szCs w:val="21"/>
              </w:rPr>
              <w:t>300≤Y＜2000</w:t>
            </w:r>
          </w:p>
        </w:tc>
        <w:tc>
          <w:tcPr>
            <w:tcW w:w="1009" w:type="dxa"/>
            <w:tcBorders>
              <w:top w:val="nil"/>
              <w:left w:val="nil"/>
              <w:bottom w:val="single" w:color="auto" w:sz="4" w:space="0"/>
              <w:right w:val="single" w:color="auto" w:sz="4" w:space="0"/>
            </w:tcBorders>
            <w:vAlign w:val="center"/>
          </w:tcPr>
          <w:p w14:paraId="2B9CE28A">
            <w:pPr>
              <w:widowControl/>
              <w:jc w:val="left"/>
              <w:rPr>
                <w:color w:val="auto"/>
                <w:szCs w:val="21"/>
              </w:rPr>
            </w:pPr>
            <w:r>
              <w:rPr>
                <w:rFonts w:hint="eastAsia"/>
                <w:color w:val="auto"/>
                <w:szCs w:val="21"/>
              </w:rPr>
              <w:t>Y＜300</w:t>
            </w:r>
          </w:p>
        </w:tc>
      </w:tr>
      <w:tr w14:paraId="1C024F22">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1C0D8630">
            <w:pPr>
              <w:widowControl/>
              <w:jc w:val="center"/>
              <w:rPr>
                <w:color w:val="auto"/>
                <w:szCs w:val="21"/>
              </w:rPr>
            </w:pPr>
            <w:r>
              <w:rPr>
                <w:rFonts w:hint="eastAsia"/>
                <w:color w:val="auto"/>
                <w:szCs w:val="21"/>
              </w:rPr>
              <w:t>建筑业</w:t>
            </w:r>
          </w:p>
        </w:tc>
        <w:tc>
          <w:tcPr>
            <w:tcW w:w="1701" w:type="dxa"/>
            <w:tcBorders>
              <w:top w:val="nil"/>
              <w:left w:val="nil"/>
              <w:bottom w:val="single" w:color="auto" w:sz="4" w:space="0"/>
              <w:right w:val="single" w:color="auto" w:sz="4" w:space="0"/>
            </w:tcBorders>
            <w:vAlign w:val="center"/>
          </w:tcPr>
          <w:p w14:paraId="4DE1A366">
            <w:pPr>
              <w:widowControl/>
              <w:jc w:val="left"/>
              <w:rPr>
                <w:color w:val="auto"/>
                <w:szCs w:val="21"/>
              </w:rPr>
            </w:pPr>
            <w:r>
              <w:rPr>
                <w:rFonts w:hint="eastAsia"/>
                <w:color w:val="auto"/>
                <w:szCs w:val="21"/>
              </w:rPr>
              <w:t>营业收入（Y）</w:t>
            </w:r>
          </w:p>
        </w:tc>
        <w:tc>
          <w:tcPr>
            <w:tcW w:w="1134" w:type="dxa"/>
            <w:tcBorders>
              <w:top w:val="nil"/>
              <w:left w:val="nil"/>
              <w:bottom w:val="single" w:color="auto" w:sz="4" w:space="0"/>
              <w:right w:val="single" w:color="auto" w:sz="4" w:space="0"/>
            </w:tcBorders>
            <w:vAlign w:val="center"/>
          </w:tcPr>
          <w:p w14:paraId="6446503A">
            <w:pPr>
              <w:widowControl/>
              <w:jc w:val="left"/>
              <w:rPr>
                <w:color w:val="auto"/>
                <w:szCs w:val="21"/>
              </w:rPr>
            </w:pPr>
            <w:r>
              <w:rPr>
                <w:rFonts w:hint="eastAsia"/>
                <w:color w:val="auto"/>
                <w:szCs w:val="21"/>
              </w:rPr>
              <w:t>万元</w:t>
            </w:r>
          </w:p>
        </w:tc>
        <w:tc>
          <w:tcPr>
            <w:tcW w:w="1846" w:type="dxa"/>
            <w:tcBorders>
              <w:top w:val="nil"/>
              <w:left w:val="nil"/>
              <w:bottom w:val="single" w:color="auto" w:sz="4" w:space="0"/>
              <w:right w:val="single" w:color="auto" w:sz="4" w:space="0"/>
            </w:tcBorders>
            <w:vAlign w:val="center"/>
          </w:tcPr>
          <w:p w14:paraId="7880A88B">
            <w:pPr>
              <w:widowControl/>
              <w:jc w:val="left"/>
              <w:rPr>
                <w:color w:val="auto"/>
                <w:szCs w:val="21"/>
              </w:rPr>
            </w:pPr>
            <w:r>
              <w:rPr>
                <w:rFonts w:hint="eastAsia"/>
                <w:color w:val="auto"/>
                <w:szCs w:val="21"/>
              </w:rPr>
              <w:t>6000≤Y＜80000</w:t>
            </w:r>
          </w:p>
        </w:tc>
        <w:tc>
          <w:tcPr>
            <w:tcW w:w="1570" w:type="dxa"/>
            <w:tcBorders>
              <w:top w:val="nil"/>
              <w:left w:val="nil"/>
              <w:bottom w:val="single" w:color="auto" w:sz="4" w:space="0"/>
              <w:right w:val="single" w:color="auto" w:sz="4" w:space="0"/>
            </w:tcBorders>
            <w:vAlign w:val="center"/>
          </w:tcPr>
          <w:p w14:paraId="7ACED6C7">
            <w:pPr>
              <w:widowControl/>
              <w:jc w:val="left"/>
              <w:rPr>
                <w:color w:val="auto"/>
                <w:szCs w:val="21"/>
              </w:rPr>
            </w:pPr>
            <w:r>
              <w:rPr>
                <w:rFonts w:hint="eastAsia"/>
                <w:color w:val="auto"/>
                <w:szCs w:val="21"/>
              </w:rPr>
              <w:t>300≤Y＜6000</w:t>
            </w:r>
          </w:p>
        </w:tc>
        <w:tc>
          <w:tcPr>
            <w:tcW w:w="1009" w:type="dxa"/>
            <w:tcBorders>
              <w:top w:val="nil"/>
              <w:left w:val="nil"/>
              <w:bottom w:val="single" w:color="auto" w:sz="4" w:space="0"/>
              <w:right w:val="single" w:color="auto" w:sz="4" w:space="0"/>
            </w:tcBorders>
            <w:vAlign w:val="center"/>
          </w:tcPr>
          <w:p w14:paraId="6C127AEA">
            <w:pPr>
              <w:widowControl/>
              <w:jc w:val="left"/>
              <w:rPr>
                <w:color w:val="auto"/>
                <w:szCs w:val="21"/>
              </w:rPr>
            </w:pPr>
            <w:r>
              <w:rPr>
                <w:rFonts w:hint="eastAsia"/>
                <w:color w:val="auto"/>
                <w:szCs w:val="21"/>
              </w:rPr>
              <w:t>Y＜300</w:t>
            </w:r>
          </w:p>
        </w:tc>
      </w:tr>
      <w:tr w14:paraId="0A6BB3C0">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1FA28307">
            <w:pPr>
              <w:widowControl/>
              <w:jc w:val="left"/>
              <w:rPr>
                <w:color w:val="auto"/>
                <w:szCs w:val="21"/>
              </w:rPr>
            </w:pPr>
          </w:p>
        </w:tc>
        <w:tc>
          <w:tcPr>
            <w:tcW w:w="1701" w:type="dxa"/>
            <w:tcBorders>
              <w:top w:val="nil"/>
              <w:left w:val="nil"/>
              <w:bottom w:val="single" w:color="auto" w:sz="4" w:space="0"/>
              <w:right w:val="single" w:color="auto" w:sz="4" w:space="0"/>
            </w:tcBorders>
            <w:vAlign w:val="center"/>
          </w:tcPr>
          <w:p w14:paraId="38895572">
            <w:pPr>
              <w:widowControl/>
              <w:jc w:val="left"/>
              <w:rPr>
                <w:color w:val="auto"/>
                <w:szCs w:val="21"/>
              </w:rPr>
            </w:pPr>
            <w:r>
              <w:rPr>
                <w:rFonts w:hint="eastAsia"/>
                <w:color w:val="auto"/>
                <w:szCs w:val="21"/>
              </w:rPr>
              <w:t>资产总额（Z）</w:t>
            </w:r>
          </w:p>
        </w:tc>
        <w:tc>
          <w:tcPr>
            <w:tcW w:w="1134" w:type="dxa"/>
            <w:tcBorders>
              <w:top w:val="nil"/>
              <w:left w:val="nil"/>
              <w:bottom w:val="single" w:color="auto" w:sz="4" w:space="0"/>
              <w:right w:val="single" w:color="auto" w:sz="4" w:space="0"/>
            </w:tcBorders>
            <w:vAlign w:val="center"/>
          </w:tcPr>
          <w:p w14:paraId="079FCF35">
            <w:pPr>
              <w:widowControl/>
              <w:jc w:val="left"/>
              <w:rPr>
                <w:color w:val="auto"/>
                <w:szCs w:val="21"/>
              </w:rPr>
            </w:pPr>
            <w:r>
              <w:rPr>
                <w:rFonts w:hint="eastAsia"/>
                <w:color w:val="auto"/>
                <w:szCs w:val="21"/>
              </w:rPr>
              <w:t>万元</w:t>
            </w:r>
          </w:p>
        </w:tc>
        <w:tc>
          <w:tcPr>
            <w:tcW w:w="1846" w:type="dxa"/>
            <w:tcBorders>
              <w:top w:val="nil"/>
              <w:left w:val="nil"/>
              <w:bottom w:val="single" w:color="auto" w:sz="4" w:space="0"/>
              <w:right w:val="single" w:color="auto" w:sz="4" w:space="0"/>
            </w:tcBorders>
            <w:vAlign w:val="center"/>
          </w:tcPr>
          <w:p w14:paraId="18DCE119">
            <w:pPr>
              <w:widowControl/>
              <w:jc w:val="left"/>
              <w:rPr>
                <w:color w:val="auto"/>
                <w:szCs w:val="21"/>
              </w:rPr>
            </w:pPr>
            <w:r>
              <w:rPr>
                <w:rFonts w:hint="eastAsia"/>
                <w:color w:val="auto"/>
                <w:szCs w:val="21"/>
              </w:rPr>
              <w:t>5000≤Z＜80000</w:t>
            </w:r>
          </w:p>
        </w:tc>
        <w:tc>
          <w:tcPr>
            <w:tcW w:w="1570" w:type="dxa"/>
            <w:tcBorders>
              <w:top w:val="nil"/>
              <w:left w:val="nil"/>
              <w:bottom w:val="single" w:color="auto" w:sz="4" w:space="0"/>
              <w:right w:val="single" w:color="auto" w:sz="4" w:space="0"/>
            </w:tcBorders>
            <w:vAlign w:val="center"/>
          </w:tcPr>
          <w:p w14:paraId="6CB44270">
            <w:pPr>
              <w:widowControl/>
              <w:jc w:val="left"/>
              <w:rPr>
                <w:color w:val="auto"/>
                <w:szCs w:val="21"/>
              </w:rPr>
            </w:pPr>
            <w:r>
              <w:rPr>
                <w:rFonts w:hint="eastAsia"/>
                <w:color w:val="auto"/>
                <w:szCs w:val="21"/>
              </w:rPr>
              <w:t>300≤Z＜5000</w:t>
            </w:r>
          </w:p>
        </w:tc>
        <w:tc>
          <w:tcPr>
            <w:tcW w:w="1009" w:type="dxa"/>
            <w:tcBorders>
              <w:top w:val="nil"/>
              <w:left w:val="nil"/>
              <w:bottom w:val="single" w:color="auto" w:sz="4" w:space="0"/>
              <w:right w:val="single" w:color="auto" w:sz="4" w:space="0"/>
            </w:tcBorders>
            <w:vAlign w:val="center"/>
          </w:tcPr>
          <w:p w14:paraId="5A65B208">
            <w:pPr>
              <w:widowControl/>
              <w:jc w:val="left"/>
              <w:rPr>
                <w:color w:val="auto"/>
                <w:szCs w:val="21"/>
              </w:rPr>
            </w:pPr>
            <w:r>
              <w:rPr>
                <w:rFonts w:hint="eastAsia"/>
                <w:color w:val="auto"/>
                <w:szCs w:val="21"/>
              </w:rPr>
              <w:t>Z＜300</w:t>
            </w:r>
          </w:p>
        </w:tc>
      </w:tr>
      <w:tr w14:paraId="2E381727">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60DB943B">
            <w:pPr>
              <w:widowControl/>
              <w:ind w:firstLine="315" w:firstLineChars="150"/>
              <w:rPr>
                <w:color w:val="auto"/>
                <w:szCs w:val="21"/>
              </w:rPr>
            </w:pPr>
            <w:r>
              <w:rPr>
                <w:rFonts w:hint="eastAsia"/>
                <w:color w:val="auto"/>
                <w:szCs w:val="21"/>
              </w:rPr>
              <w:t>批发业</w:t>
            </w:r>
          </w:p>
        </w:tc>
        <w:tc>
          <w:tcPr>
            <w:tcW w:w="1701" w:type="dxa"/>
            <w:tcBorders>
              <w:top w:val="nil"/>
              <w:left w:val="nil"/>
              <w:bottom w:val="single" w:color="auto" w:sz="4" w:space="0"/>
              <w:right w:val="single" w:color="auto" w:sz="4" w:space="0"/>
            </w:tcBorders>
            <w:vAlign w:val="center"/>
          </w:tcPr>
          <w:p w14:paraId="62D28036">
            <w:pPr>
              <w:widowControl/>
              <w:jc w:val="left"/>
              <w:rPr>
                <w:color w:val="auto"/>
                <w:szCs w:val="21"/>
              </w:rPr>
            </w:pPr>
            <w:r>
              <w:rPr>
                <w:rFonts w:hint="eastAsia"/>
                <w:color w:val="auto"/>
                <w:szCs w:val="21"/>
              </w:rPr>
              <w:t>从业人员（X）</w:t>
            </w:r>
          </w:p>
        </w:tc>
        <w:tc>
          <w:tcPr>
            <w:tcW w:w="1134" w:type="dxa"/>
            <w:tcBorders>
              <w:top w:val="nil"/>
              <w:left w:val="nil"/>
              <w:bottom w:val="single" w:color="auto" w:sz="4" w:space="0"/>
              <w:right w:val="single" w:color="auto" w:sz="4" w:space="0"/>
            </w:tcBorders>
            <w:vAlign w:val="center"/>
          </w:tcPr>
          <w:p w14:paraId="408D7D38">
            <w:pPr>
              <w:widowControl/>
              <w:jc w:val="left"/>
              <w:rPr>
                <w:color w:val="auto"/>
                <w:szCs w:val="21"/>
              </w:rPr>
            </w:pPr>
            <w:r>
              <w:rPr>
                <w:rFonts w:hint="eastAsia"/>
                <w:color w:val="auto"/>
                <w:szCs w:val="21"/>
              </w:rPr>
              <w:t>人</w:t>
            </w:r>
          </w:p>
        </w:tc>
        <w:tc>
          <w:tcPr>
            <w:tcW w:w="1846" w:type="dxa"/>
            <w:tcBorders>
              <w:top w:val="nil"/>
              <w:left w:val="nil"/>
              <w:bottom w:val="single" w:color="auto" w:sz="4" w:space="0"/>
              <w:right w:val="single" w:color="auto" w:sz="4" w:space="0"/>
            </w:tcBorders>
            <w:vAlign w:val="center"/>
          </w:tcPr>
          <w:p w14:paraId="0F09B2E0">
            <w:pPr>
              <w:widowControl/>
              <w:jc w:val="left"/>
              <w:rPr>
                <w:color w:val="auto"/>
                <w:szCs w:val="21"/>
              </w:rPr>
            </w:pPr>
            <w:r>
              <w:rPr>
                <w:rFonts w:hint="eastAsia"/>
                <w:color w:val="auto"/>
                <w:szCs w:val="21"/>
              </w:rPr>
              <w:t>20≤X＜200</w:t>
            </w:r>
          </w:p>
        </w:tc>
        <w:tc>
          <w:tcPr>
            <w:tcW w:w="1570" w:type="dxa"/>
            <w:tcBorders>
              <w:top w:val="nil"/>
              <w:left w:val="nil"/>
              <w:bottom w:val="single" w:color="auto" w:sz="4" w:space="0"/>
              <w:right w:val="single" w:color="auto" w:sz="4" w:space="0"/>
            </w:tcBorders>
            <w:vAlign w:val="center"/>
          </w:tcPr>
          <w:p w14:paraId="021FF393">
            <w:pPr>
              <w:widowControl/>
              <w:jc w:val="left"/>
              <w:rPr>
                <w:color w:val="auto"/>
                <w:szCs w:val="21"/>
              </w:rPr>
            </w:pPr>
            <w:r>
              <w:rPr>
                <w:rFonts w:hint="eastAsia"/>
                <w:color w:val="auto"/>
                <w:szCs w:val="21"/>
              </w:rPr>
              <w:t>5≤X＜20</w:t>
            </w:r>
          </w:p>
        </w:tc>
        <w:tc>
          <w:tcPr>
            <w:tcW w:w="1009" w:type="dxa"/>
            <w:tcBorders>
              <w:top w:val="nil"/>
              <w:left w:val="nil"/>
              <w:bottom w:val="single" w:color="auto" w:sz="4" w:space="0"/>
              <w:right w:val="single" w:color="auto" w:sz="4" w:space="0"/>
            </w:tcBorders>
            <w:vAlign w:val="center"/>
          </w:tcPr>
          <w:p w14:paraId="1ED00AB9">
            <w:pPr>
              <w:widowControl/>
              <w:jc w:val="left"/>
              <w:rPr>
                <w:color w:val="auto"/>
                <w:szCs w:val="21"/>
              </w:rPr>
            </w:pPr>
            <w:r>
              <w:rPr>
                <w:rFonts w:hint="eastAsia"/>
                <w:color w:val="auto"/>
                <w:szCs w:val="21"/>
              </w:rPr>
              <w:t>X＜5</w:t>
            </w:r>
          </w:p>
        </w:tc>
      </w:tr>
      <w:tr w14:paraId="0B5F267E">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38DD09A3">
            <w:pPr>
              <w:widowControl/>
              <w:jc w:val="left"/>
              <w:rPr>
                <w:color w:val="auto"/>
                <w:szCs w:val="21"/>
              </w:rPr>
            </w:pPr>
          </w:p>
        </w:tc>
        <w:tc>
          <w:tcPr>
            <w:tcW w:w="1701" w:type="dxa"/>
            <w:tcBorders>
              <w:top w:val="nil"/>
              <w:left w:val="nil"/>
              <w:bottom w:val="single" w:color="auto" w:sz="4" w:space="0"/>
              <w:right w:val="single" w:color="auto" w:sz="4" w:space="0"/>
            </w:tcBorders>
            <w:vAlign w:val="center"/>
          </w:tcPr>
          <w:p w14:paraId="12C77D39">
            <w:pPr>
              <w:widowControl/>
              <w:jc w:val="left"/>
              <w:rPr>
                <w:color w:val="auto"/>
                <w:szCs w:val="21"/>
              </w:rPr>
            </w:pPr>
            <w:r>
              <w:rPr>
                <w:rFonts w:hint="eastAsia"/>
                <w:color w:val="auto"/>
                <w:szCs w:val="21"/>
              </w:rPr>
              <w:t>营业收入（Y）</w:t>
            </w:r>
          </w:p>
        </w:tc>
        <w:tc>
          <w:tcPr>
            <w:tcW w:w="1134" w:type="dxa"/>
            <w:tcBorders>
              <w:top w:val="nil"/>
              <w:left w:val="nil"/>
              <w:bottom w:val="single" w:color="auto" w:sz="4" w:space="0"/>
              <w:right w:val="single" w:color="auto" w:sz="4" w:space="0"/>
            </w:tcBorders>
            <w:vAlign w:val="center"/>
          </w:tcPr>
          <w:p w14:paraId="0A1BA05E">
            <w:pPr>
              <w:widowControl/>
              <w:jc w:val="left"/>
              <w:rPr>
                <w:color w:val="auto"/>
                <w:szCs w:val="21"/>
              </w:rPr>
            </w:pPr>
            <w:r>
              <w:rPr>
                <w:rFonts w:hint="eastAsia"/>
                <w:color w:val="auto"/>
                <w:szCs w:val="21"/>
              </w:rPr>
              <w:t>万元</w:t>
            </w:r>
          </w:p>
        </w:tc>
        <w:tc>
          <w:tcPr>
            <w:tcW w:w="1846" w:type="dxa"/>
            <w:tcBorders>
              <w:top w:val="nil"/>
              <w:left w:val="nil"/>
              <w:bottom w:val="single" w:color="auto" w:sz="4" w:space="0"/>
              <w:right w:val="single" w:color="auto" w:sz="4" w:space="0"/>
            </w:tcBorders>
            <w:vAlign w:val="center"/>
          </w:tcPr>
          <w:p w14:paraId="60E3F383">
            <w:pPr>
              <w:widowControl/>
              <w:jc w:val="left"/>
              <w:rPr>
                <w:color w:val="auto"/>
                <w:szCs w:val="21"/>
              </w:rPr>
            </w:pPr>
            <w:r>
              <w:rPr>
                <w:rFonts w:hint="eastAsia"/>
                <w:color w:val="auto"/>
                <w:szCs w:val="21"/>
              </w:rPr>
              <w:t>5000≤Y＜40000</w:t>
            </w:r>
          </w:p>
        </w:tc>
        <w:tc>
          <w:tcPr>
            <w:tcW w:w="1570" w:type="dxa"/>
            <w:tcBorders>
              <w:top w:val="nil"/>
              <w:left w:val="nil"/>
              <w:bottom w:val="single" w:color="auto" w:sz="4" w:space="0"/>
              <w:right w:val="single" w:color="auto" w:sz="4" w:space="0"/>
            </w:tcBorders>
            <w:vAlign w:val="center"/>
          </w:tcPr>
          <w:p w14:paraId="2401DFBA">
            <w:pPr>
              <w:widowControl/>
              <w:jc w:val="left"/>
              <w:rPr>
                <w:color w:val="auto"/>
                <w:szCs w:val="21"/>
              </w:rPr>
            </w:pPr>
            <w:r>
              <w:rPr>
                <w:rFonts w:hint="eastAsia"/>
                <w:color w:val="auto"/>
                <w:szCs w:val="21"/>
              </w:rPr>
              <w:t>1000≤Y＜5000</w:t>
            </w:r>
          </w:p>
        </w:tc>
        <w:tc>
          <w:tcPr>
            <w:tcW w:w="1009" w:type="dxa"/>
            <w:tcBorders>
              <w:top w:val="nil"/>
              <w:left w:val="nil"/>
              <w:bottom w:val="single" w:color="auto" w:sz="4" w:space="0"/>
              <w:right w:val="single" w:color="auto" w:sz="4" w:space="0"/>
            </w:tcBorders>
            <w:vAlign w:val="center"/>
          </w:tcPr>
          <w:p w14:paraId="76F0B510">
            <w:pPr>
              <w:widowControl/>
              <w:jc w:val="left"/>
              <w:rPr>
                <w:color w:val="auto"/>
                <w:szCs w:val="21"/>
              </w:rPr>
            </w:pPr>
            <w:r>
              <w:rPr>
                <w:rFonts w:hint="eastAsia"/>
                <w:color w:val="auto"/>
                <w:szCs w:val="21"/>
              </w:rPr>
              <w:t>Y＜1000</w:t>
            </w:r>
          </w:p>
        </w:tc>
      </w:tr>
      <w:tr w14:paraId="3E5AE246">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5C547707">
            <w:pPr>
              <w:widowControl/>
              <w:jc w:val="center"/>
              <w:rPr>
                <w:color w:val="auto"/>
                <w:szCs w:val="21"/>
              </w:rPr>
            </w:pPr>
            <w:r>
              <w:rPr>
                <w:rFonts w:hint="eastAsia"/>
                <w:color w:val="auto"/>
                <w:szCs w:val="21"/>
              </w:rPr>
              <w:t>零售业</w:t>
            </w:r>
          </w:p>
        </w:tc>
        <w:tc>
          <w:tcPr>
            <w:tcW w:w="1701" w:type="dxa"/>
            <w:tcBorders>
              <w:top w:val="nil"/>
              <w:left w:val="nil"/>
              <w:bottom w:val="single" w:color="auto" w:sz="4" w:space="0"/>
              <w:right w:val="single" w:color="auto" w:sz="4" w:space="0"/>
            </w:tcBorders>
            <w:vAlign w:val="center"/>
          </w:tcPr>
          <w:p w14:paraId="2F673DC8">
            <w:pPr>
              <w:widowControl/>
              <w:jc w:val="left"/>
              <w:rPr>
                <w:color w:val="auto"/>
                <w:szCs w:val="21"/>
              </w:rPr>
            </w:pPr>
            <w:r>
              <w:rPr>
                <w:rFonts w:hint="eastAsia"/>
                <w:color w:val="auto"/>
                <w:szCs w:val="21"/>
              </w:rPr>
              <w:t>从业人员（X）</w:t>
            </w:r>
          </w:p>
        </w:tc>
        <w:tc>
          <w:tcPr>
            <w:tcW w:w="1134" w:type="dxa"/>
            <w:tcBorders>
              <w:top w:val="nil"/>
              <w:left w:val="nil"/>
              <w:bottom w:val="single" w:color="auto" w:sz="4" w:space="0"/>
              <w:right w:val="single" w:color="auto" w:sz="4" w:space="0"/>
            </w:tcBorders>
            <w:vAlign w:val="center"/>
          </w:tcPr>
          <w:p w14:paraId="26B9ED43">
            <w:pPr>
              <w:widowControl/>
              <w:jc w:val="left"/>
              <w:rPr>
                <w:color w:val="auto"/>
                <w:szCs w:val="21"/>
              </w:rPr>
            </w:pPr>
            <w:r>
              <w:rPr>
                <w:rFonts w:hint="eastAsia"/>
                <w:color w:val="auto"/>
                <w:szCs w:val="21"/>
              </w:rPr>
              <w:t>人</w:t>
            </w:r>
          </w:p>
        </w:tc>
        <w:tc>
          <w:tcPr>
            <w:tcW w:w="1846" w:type="dxa"/>
            <w:tcBorders>
              <w:top w:val="nil"/>
              <w:left w:val="nil"/>
              <w:bottom w:val="single" w:color="auto" w:sz="4" w:space="0"/>
              <w:right w:val="single" w:color="auto" w:sz="4" w:space="0"/>
            </w:tcBorders>
            <w:vAlign w:val="center"/>
          </w:tcPr>
          <w:p w14:paraId="45CFE161">
            <w:pPr>
              <w:widowControl/>
              <w:jc w:val="left"/>
              <w:rPr>
                <w:color w:val="auto"/>
                <w:szCs w:val="21"/>
              </w:rPr>
            </w:pPr>
            <w:r>
              <w:rPr>
                <w:rFonts w:hint="eastAsia"/>
                <w:color w:val="auto"/>
                <w:szCs w:val="21"/>
              </w:rPr>
              <w:t>50≤X＜300</w:t>
            </w:r>
          </w:p>
        </w:tc>
        <w:tc>
          <w:tcPr>
            <w:tcW w:w="1570" w:type="dxa"/>
            <w:tcBorders>
              <w:top w:val="nil"/>
              <w:left w:val="nil"/>
              <w:bottom w:val="single" w:color="auto" w:sz="4" w:space="0"/>
              <w:right w:val="single" w:color="auto" w:sz="4" w:space="0"/>
            </w:tcBorders>
            <w:vAlign w:val="center"/>
          </w:tcPr>
          <w:p w14:paraId="53062F5D">
            <w:pPr>
              <w:widowControl/>
              <w:jc w:val="left"/>
              <w:rPr>
                <w:color w:val="auto"/>
                <w:szCs w:val="21"/>
              </w:rPr>
            </w:pPr>
            <w:r>
              <w:rPr>
                <w:rFonts w:hint="eastAsia"/>
                <w:color w:val="auto"/>
                <w:szCs w:val="21"/>
              </w:rPr>
              <w:t>10≤X＜50</w:t>
            </w:r>
          </w:p>
        </w:tc>
        <w:tc>
          <w:tcPr>
            <w:tcW w:w="1009" w:type="dxa"/>
            <w:tcBorders>
              <w:top w:val="nil"/>
              <w:left w:val="nil"/>
              <w:bottom w:val="single" w:color="auto" w:sz="4" w:space="0"/>
              <w:right w:val="single" w:color="auto" w:sz="4" w:space="0"/>
            </w:tcBorders>
            <w:vAlign w:val="center"/>
          </w:tcPr>
          <w:p w14:paraId="2F53D68E">
            <w:pPr>
              <w:widowControl/>
              <w:jc w:val="left"/>
              <w:rPr>
                <w:color w:val="auto"/>
                <w:szCs w:val="21"/>
              </w:rPr>
            </w:pPr>
            <w:r>
              <w:rPr>
                <w:rFonts w:hint="eastAsia"/>
                <w:color w:val="auto"/>
                <w:szCs w:val="21"/>
              </w:rPr>
              <w:t>X＜10</w:t>
            </w:r>
          </w:p>
        </w:tc>
      </w:tr>
      <w:tr w14:paraId="522ACF6D">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3FA7655B">
            <w:pPr>
              <w:widowControl/>
              <w:jc w:val="left"/>
              <w:rPr>
                <w:color w:val="auto"/>
                <w:szCs w:val="21"/>
              </w:rPr>
            </w:pPr>
          </w:p>
        </w:tc>
        <w:tc>
          <w:tcPr>
            <w:tcW w:w="1701" w:type="dxa"/>
            <w:tcBorders>
              <w:top w:val="nil"/>
              <w:left w:val="nil"/>
              <w:bottom w:val="single" w:color="auto" w:sz="4" w:space="0"/>
              <w:right w:val="single" w:color="auto" w:sz="4" w:space="0"/>
            </w:tcBorders>
            <w:vAlign w:val="center"/>
          </w:tcPr>
          <w:p w14:paraId="13E82A4E">
            <w:pPr>
              <w:widowControl/>
              <w:jc w:val="left"/>
              <w:rPr>
                <w:color w:val="auto"/>
                <w:szCs w:val="21"/>
              </w:rPr>
            </w:pPr>
            <w:r>
              <w:rPr>
                <w:rFonts w:hint="eastAsia"/>
                <w:color w:val="auto"/>
                <w:szCs w:val="21"/>
              </w:rPr>
              <w:t>营业收入（Y）</w:t>
            </w:r>
          </w:p>
        </w:tc>
        <w:tc>
          <w:tcPr>
            <w:tcW w:w="1134" w:type="dxa"/>
            <w:tcBorders>
              <w:top w:val="nil"/>
              <w:left w:val="nil"/>
              <w:bottom w:val="single" w:color="auto" w:sz="4" w:space="0"/>
              <w:right w:val="single" w:color="auto" w:sz="4" w:space="0"/>
            </w:tcBorders>
            <w:vAlign w:val="center"/>
          </w:tcPr>
          <w:p w14:paraId="4CABA86F">
            <w:pPr>
              <w:widowControl/>
              <w:jc w:val="left"/>
              <w:rPr>
                <w:color w:val="auto"/>
                <w:szCs w:val="21"/>
              </w:rPr>
            </w:pPr>
            <w:r>
              <w:rPr>
                <w:rFonts w:hint="eastAsia"/>
                <w:color w:val="auto"/>
                <w:szCs w:val="21"/>
              </w:rPr>
              <w:t>万元</w:t>
            </w:r>
          </w:p>
        </w:tc>
        <w:tc>
          <w:tcPr>
            <w:tcW w:w="1846" w:type="dxa"/>
            <w:tcBorders>
              <w:top w:val="nil"/>
              <w:left w:val="nil"/>
              <w:bottom w:val="single" w:color="auto" w:sz="4" w:space="0"/>
              <w:right w:val="single" w:color="auto" w:sz="4" w:space="0"/>
            </w:tcBorders>
            <w:vAlign w:val="center"/>
          </w:tcPr>
          <w:p w14:paraId="706989B5">
            <w:pPr>
              <w:widowControl/>
              <w:jc w:val="left"/>
              <w:rPr>
                <w:color w:val="auto"/>
                <w:szCs w:val="21"/>
              </w:rPr>
            </w:pPr>
            <w:r>
              <w:rPr>
                <w:rFonts w:hint="eastAsia"/>
                <w:color w:val="auto"/>
                <w:szCs w:val="21"/>
              </w:rPr>
              <w:t>500≤Y＜20000</w:t>
            </w:r>
          </w:p>
        </w:tc>
        <w:tc>
          <w:tcPr>
            <w:tcW w:w="1570" w:type="dxa"/>
            <w:tcBorders>
              <w:top w:val="nil"/>
              <w:left w:val="nil"/>
              <w:bottom w:val="single" w:color="auto" w:sz="4" w:space="0"/>
              <w:right w:val="single" w:color="auto" w:sz="4" w:space="0"/>
            </w:tcBorders>
            <w:vAlign w:val="center"/>
          </w:tcPr>
          <w:p w14:paraId="1BD4C75D">
            <w:pPr>
              <w:widowControl/>
              <w:jc w:val="left"/>
              <w:rPr>
                <w:color w:val="auto"/>
                <w:szCs w:val="21"/>
              </w:rPr>
            </w:pPr>
            <w:r>
              <w:rPr>
                <w:rFonts w:hint="eastAsia"/>
                <w:color w:val="auto"/>
                <w:szCs w:val="21"/>
              </w:rPr>
              <w:t>100≤Y＜500</w:t>
            </w:r>
          </w:p>
        </w:tc>
        <w:tc>
          <w:tcPr>
            <w:tcW w:w="1009" w:type="dxa"/>
            <w:tcBorders>
              <w:top w:val="nil"/>
              <w:left w:val="nil"/>
              <w:bottom w:val="single" w:color="auto" w:sz="4" w:space="0"/>
              <w:right w:val="single" w:color="auto" w:sz="4" w:space="0"/>
            </w:tcBorders>
            <w:vAlign w:val="center"/>
          </w:tcPr>
          <w:p w14:paraId="4CF0EFC2">
            <w:pPr>
              <w:widowControl/>
              <w:jc w:val="left"/>
              <w:rPr>
                <w:color w:val="auto"/>
                <w:szCs w:val="21"/>
              </w:rPr>
            </w:pPr>
            <w:r>
              <w:rPr>
                <w:rFonts w:hint="eastAsia"/>
                <w:color w:val="auto"/>
                <w:szCs w:val="21"/>
              </w:rPr>
              <w:t>Y＜100</w:t>
            </w:r>
          </w:p>
        </w:tc>
      </w:tr>
      <w:tr w14:paraId="74261884">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4F645C4B">
            <w:pPr>
              <w:widowControl/>
              <w:jc w:val="center"/>
              <w:rPr>
                <w:color w:val="auto"/>
                <w:szCs w:val="21"/>
              </w:rPr>
            </w:pPr>
            <w:r>
              <w:rPr>
                <w:rFonts w:hint="eastAsia"/>
                <w:color w:val="auto"/>
                <w:szCs w:val="21"/>
              </w:rPr>
              <w:t>交通运输业</w:t>
            </w:r>
          </w:p>
        </w:tc>
        <w:tc>
          <w:tcPr>
            <w:tcW w:w="1701" w:type="dxa"/>
            <w:tcBorders>
              <w:top w:val="nil"/>
              <w:left w:val="nil"/>
              <w:bottom w:val="single" w:color="auto" w:sz="4" w:space="0"/>
              <w:right w:val="single" w:color="auto" w:sz="4" w:space="0"/>
            </w:tcBorders>
            <w:vAlign w:val="center"/>
          </w:tcPr>
          <w:p w14:paraId="58357EF7">
            <w:pPr>
              <w:widowControl/>
              <w:jc w:val="left"/>
              <w:rPr>
                <w:color w:val="auto"/>
                <w:szCs w:val="21"/>
              </w:rPr>
            </w:pPr>
            <w:r>
              <w:rPr>
                <w:rFonts w:hint="eastAsia"/>
                <w:color w:val="auto"/>
                <w:szCs w:val="21"/>
              </w:rPr>
              <w:t>从业人员（X）</w:t>
            </w:r>
          </w:p>
        </w:tc>
        <w:tc>
          <w:tcPr>
            <w:tcW w:w="1134" w:type="dxa"/>
            <w:tcBorders>
              <w:top w:val="nil"/>
              <w:left w:val="nil"/>
              <w:bottom w:val="single" w:color="auto" w:sz="4" w:space="0"/>
              <w:right w:val="single" w:color="auto" w:sz="4" w:space="0"/>
            </w:tcBorders>
            <w:vAlign w:val="center"/>
          </w:tcPr>
          <w:p w14:paraId="17549BC8">
            <w:pPr>
              <w:widowControl/>
              <w:jc w:val="left"/>
              <w:rPr>
                <w:color w:val="auto"/>
                <w:szCs w:val="21"/>
              </w:rPr>
            </w:pPr>
            <w:r>
              <w:rPr>
                <w:rFonts w:hint="eastAsia"/>
                <w:color w:val="auto"/>
                <w:szCs w:val="21"/>
              </w:rPr>
              <w:t>人</w:t>
            </w:r>
          </w:p>
        </w:tc>
        <w:tc>
          <w:tcPr>
            <w:tcW w:w="1846" w:type="dxa"/>
            <w:tcBorders>
              <w:top w:val="nil"/>
              <w:left w:val="nil"/>
              <w:bottom w:val="single" w:color="auto" w:sz="4" w:space="0"/>
              <w:right w:val="single" w:color="auto" w:sz="4" w:space="0"/>
            </w:tcBorders>
            <w:vAlign w:val="center"/>
          </w:tcPr>
          <w:p w14:paraId="23E8F72A">
            <w:pPr>
              <w:widowControl/>
              <w:jc w:val="left"/>
              <w:rPr>
                <w:color w:val="auto"/>
                <w:szCs w:val="21"/>
              </w:rPr>
            </w:pPr>
            <w:r>
              <w:rPr>
                <w:rFonts w:hint="eastAsia"/>
                <w:color w:val="auto"/>
                <w:szCs w:val="21"/>
              </w:rPr>
              <w:t>300≤X＜1000</w:t>
            </w:r>
          </w:p>
        </w:tc>
        <w:tc>
          <w:tcPr>
            <w:tcW w:w="1570" w:type="dxa"/>
            <w:tcBorders>
              <w:top w:val="nil"/>
              <w:left w:val="nil"/>
              <w:bottom w:val="single" w:color="auto" w:sz="4" w:space="0"/>
              <w:right w:val="single" w:color="auto" w:sz="4" w:space="0"/>
            </w:tcBorders>
            <w:vAlign w:val="center"/>
          </w:tcPr>
          <w:p w14:paraId="3B5EBFE1">
            <w:pPr>
              <w:widowControl/>
              <w:jc w:val="left"/>
              <w:rPr>
                <w:color w:val="auto"/>
                <w:szCs w:val="21"/>
              </w:rPr>
            </w:pPr>
            <w:r>
              <w:rPr>
                <w:rFonts w:hint="eastAsia"/>
                <w:color w:val="auto"/>
                <w:szCs w:val="21"/>
              </w:rPr>
              <w:t>20≤X＜300</w:t>
            </w:r>
          </w:p>
        </w:tc>
        <w:tc>
          <w:tcPr>
            <w:tcW w:w="1009" w:type="dxa"/>
            <w:tcBorders>
              <w:top w:val="nil"/>
              <w:left w:val="nil"/>
              <w:bottom w:val="single" w:color="auto" w:sz="4" w:space="0"/>
              <w:right w:val="single" w:color="auto" w:sz="4" w:space="0"/>
            </w:tcBorders>
            <w:vAlign w:val="center"/>
          </w:tcPr>
          <w:p w14:paraId="3CF3E85D">
            <w:pPr>
              <w:widowControl/>
              <w:jc w:val="left"/>
              <w:rPr>
                <w:color w:val="auto"/>
                <w:szCs w:val="21"/>
              </w:rPr>
            </w:pPr>
            <w:r>
              <w:rPr>
                <w:rFonts w:hint="eastAsia"/>
                <w:color w:val="auto"/>
                <w:szCs w:val="21"/>
              </w:rPr>
              <w:t>X＜20</w:t>
            </w:r>
          </w:p>
        </w:tc>
      </w:tr>
      <w:tr w14:paraId="218F81A4">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74876CE5">
            <w:pPr>
              <w:widowControl/>
              <w:jc w:val="left"/>
              <w:rPr>
                <w:color w:val="auto"/>
                <w:szCs w:val="21"/>
              </w:rPr>
            </w:pPr>
          </w:p>
        </w:tc>
        <w:tc>
          <w:tcPr>
            <w:tcW w:w="1701" w:type="dxa"/>
            <w:tcBorders>
              <w:top w:val="nil"/>
              <w:left w:val="nil"/>
              <w:bottom w:val="single" w:color="auto" w:sz="4" w:space="0"/>
              <w:right w:val="single" w:color="auto" w:sz="4" w:space="0"/>
            </w:tcBorders>
            <w:vAlign w:val="center"/>
          </w:tcPr>
          <w:p w14:paraId="0A699198">
            <w:pPr>
              <w:widowControl/>
              <w:jc w:val="left"/>
              <w:rPr>
                <w:color w:val="auto"/>
                <w:szCs w:val="21"/>
              </w:rPr>
            </w:pPr>
            <w:r>
              <w:rPr>
                <w:rFonts w:hint="eastAsia"/>
                <w:color w:val="auto"/>
                <w:szCs w:val="21"/>
              </w:rPr>
              <w:t>营业收入（Y）</w:t>
            </w:r>
          </w:p>
        </w:tc>
        <w:tc>
          <w:tcPr>
            <w:tcW w:w="1134" w:type="dxa"/>
            <w:tcBorders>
              <w:top w:val="nil"/>
              <w:left w:val="nil"/>
              <w:bottom w:val="single" w:color="auto" w:sz="4" w:space="0"/>
              <w:right w:val="single" w:color="auto" w:sz="4" w:space="0"/>
            </w:tcBorders>
            <w:vAlign w:val="center"/>
          </w:tcPr>
          <w:p w14:paraId="0F032633">
            <w:pPr>
              <w:widowControl/>
              <w:jc w:val="left"/>
              <w:rPr>
                <w:color w:val="auto"/>
                <w:szCs w:val="21"/>
              </w:rPr>
            </w:pPr>
            <w:r>
              <w:rPr>
                <w:rFonts w:hint="eastAsia"/>
                <w:color w:val="auto"/>
                <w:szCs w:val="21"/>
              </w:rPr>
              <w:t>万元</w:t>
            </w:r>
          </w:p>
        </w:tc>
        <w:tc>
          <w:tcPr>
            <w:tcW w:w="1846" w:type="dxa"/>
            <w:tcBorders>
              <w:top w:val="nil"/>
              <w:left w:val="nil"/>
              <w:bottom w:val="single" w:color="auto" w:sz="4" w:space="0"/>
              <w:right w:val="single" w:color="auto" w:sz="4" w:space="0"/>
            </w:tcBorders>
            <w:vAlign w:val="center"/>
          </w:tcPr>
          <w:p w14:paraId="06DD2BED">
            <w:pPr>
              <w:widowControl/>
              <w:jc w:val="left"/>
              <w:rPr>
                <w:color w:val="auto"/>
                <w:szCs w:val="21"/>
              </w:rPr>
            </w:pPr>
            <w:r>
              <w:rPr>
                <w:rFonts w:hint="eastAsia"/>
                <w:color w:val="auto"/>
                <w:szCs w:val="21"/>
              </w:rPr>
              <w:t>3000≤Y＜30000</w:t>
            </w:r>
          </w:p>
        </w:tc>
        <w:tc>
          <w:tcPr>
            <w:tcW w:w="1570" w:type="dxa"/>
            <w:tcBorders>
              <w:top w:val="nil"/>
              <w:left w:val="nil"/>
              <w:bottom w:val="single" w:color="auto" w:sz="4" w:space="0"/>
              <w:right w:val="single" w:color="auto" w:sz="4" w:space="0"/>
            </w:tcBorders>
            <w:vAlign w:val="center"/>
          </w:tcPr>
          <w:p w14:paraId="6DEADBD1">
            <w:pPr>
              <w:widowControl/>
              <w:jc w:val="left"/>
              <w:rPr>
                <w:color w:val="auto"/>
                <w:szCs w:val="21"/>
              </w:rPr>
            </w:pPr>
            <w:r>
              <w:rPr>
                <w:rFonts w:hint="eastAsia"/>
                <w:color w:val="auto"/>
                <w:szCs w:val="21"/>
              </w:rPr>
              <w:t>200≤Y＜3000</w:t>
            </w:r>
          </w:p>
        </w:tc>
        <w:tc>
          <w:tcPr>
            <w:tcW w:w="1009" w:type="dxa"/>
            <w:tcBorders>
              <w:top w:val="nil"/>
              <w:left w:val="nil"/>
              <w:bottom w:val="single" w:color="auto" w:sz="4" w:space="0"/>
              <w:right w:val="single" w:color="auto" w:sz="4" w:space="0"/>
            </w:tcBorders>
            <w:vAlign w:val="center"/>
          </w:tcPr>
          <w:p w14:paraId="65FFCE05">
            <w:pPr>
              <w:widowControl/>
              <w:jc w:val="left"/>
              <w:rPr>
                <w:color w:val="auto"/>
                <w:szCs w:val="21"/>
              </w:rPr>
            </w:pPr>
            <w:r>
              <w:rPr>
                <w:rFonts w:hint="eastAsia"/>
                <w:color w:val="auto"/>
                <w:szCs w:val="21"/>
              </w:rPr>
              <w:t>Y＜200</w:t>
            </w:r>
          </w:p>
        </w:tc>
      </w:tr>
      <w:tr w14:paraId="78E10B78">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196D32AB">
            <w:pPr>
              <w:widowControl/>
              <w:jc w:val="center"/>
              <w:rPr>
                <w:color w:val="auto"/>
                <w:szCs w:val="21"/>
              </w:rPr>
            </w:pPr>
            <w:r>
              <w:rPr>
                <w:rFonts w:hint="eastAsia"/>
                <w:color w:val="auto"/>
                <w:szCs w:val="21"/>
              </w:rPr>
              <w:t>仓储业</w:t>
            </w:r>
          </w:p>
        </w:tc>
        <w:tc>
          <w:tcPr>
            <w:tcW w:w="1701" w:type="dxa"/>
            <w:tcBorders>
              <w:top w:val="nil"/>
              <w:left w:val="nil"/>
              <w:bottom w:val="single" w:color="auto" w:sz="4" w:space="0"/>
              <w:right w:val="single" w:color="auto" w:sz="4" w:space="0"/>
            </w:tcBorders>
            <w:vAlign w:val="center"/>
          </w:tcPr>
          <w:p w14:paraId="0D3D858B">
            <w:pPr>
              <w:widowControl/>
              <w:jc w:val="left"/>
              <w:rPr>
                <w:color w:val="auto"/>
                <w:szCs w:val="21"/>
              </w:rPr>
            </w:pPr>
            <w:r>
              <w:rPr>
                <w:rFonts w:hint="eastAsia"/>
                <w:color w:val="auto"/>
                <w:szCs w:val="21"/>
              </w:rPr>
              <w:t>从业人员（X）</w:t>
            </w:r>
          </w:p>
        </w:tc>
        <w:tc>
          <w:tcPr>
            <w:tcW w:w="1134" w:type="dxa"/>
            <w:tcBorders>
              <w:top w:val="nil"/>
              <w:left w:val="nil"/>
              <w:bottom w:val="single" w:color="auto" w:sz="4" w:space="0"/>
              <w:right w:val="single" w:color="auto" w:sz="4" w:space="0"/>
            </w:tcBorders>
            <w:vAlign w:val="center"/>
          </w:tcPr>
          <w:p w14:paraId="0C38DA8C">
            <w:pPr>
              <w:widowControl/>
              <w:jc w:val="left"/>
              <w:rPr>
                <w:color w:val="auto"/>
                <w:szCs w:val="21"/>
              </w:rPr>
            </w:pPr>
            <w:r>
              <w:rPr>
                <w:rFonts w:hint="eastAsia"/>
                <w:color w:val="auto"/>
                <w:szCs w:val="21"/>
              </w:rPr>
              <w:t>人</w:t>
            </w:r>
          </w:p>
        </w:tc>
        <w:tc>
          <w:tcPr>
            <w:tcW w:w="1846" w:type="dxa"/>
            <w:tcBorders>
              <w:top w:val="nil"/>
              <w:left w:val="nil"/>
              <w:bottom w:val="single" w:color="auto" w:sz="4" w:space="0"/>
              <w:right w:val="single" w:color="auto" w:sz="4" w:space="0"/>
            </w:tcBorders>
            <w:vAlign w:val="center"/>
          </w:tcPr>
          <w:p w14:paraId="7C24F769">
            <w:pPr>
              <w:widowControl/>
              <w:jc w:val="left"/>
              <w:rPr>
                <w:color w:val="auto"/>
                <w:szCs w:val="21"/>
              </w:rPr>
            </w:pPr>
            <w:r>
              <w:rPr>
                <w:rFonts w:hint="eastAsia"/>
                <w:color w:val="auto"/>
                <w:szCs w:val="21"/>
              </w:rPr>
              <w:t>100≤X＜200</w:t>
            </w:r>
          </w:p>
        </w:tc>
        <w:tc>
          <w:tcPr>
            <w:tcW w:w="1570" w:type="dxa"/>
            <w:tcBorders>
              <w:top w:val="nil"/>
              <w:left w:val="nil"/>
              <w:bottom w:val="single" w:color="auto" w:sz="4" w:space="0"/>
              <w:right w:val="single" w:color="auto" w:sz="4" w:space="0"/>
            </w:tcBorders>
            <w:vAlign w:val="center"/>
          </w:tcPr>
          <w:p w14:paraId="31346D15">
            <w:pPr>
              <w:widowControl/>
              <w:jc w:val="left"/>
              <w:rPr>
                <w:color w:val="auto"/>
                <w:szCs w:val="21"/>
              </w:rPr>
            </w:pPr>
            <w:r>
              <w:rPr>
                <w:rFonts w:hint="eastAsia"/>
                <w:color w:val="auto"/>
                <w:szCs w:val="21"/>
              </w:rPr>
              <w:t>20≤X＜100</w:t>
            </w:r>
          </w:p>
        </w:tc>
        <w:tc>
          <w:tcPr>
            <w:tcW w:w="1009" w:type="dxa"/>
            <w:tcBorders>
              <w:top w:val="nil"/>
              <w:left w:val="nil"/>
              <w:bottom w:val="single" w:color="auto" w:sz="4" w:space="0"/>
              <w:right w:val="single" w:color="auto" w:sz="4" w:space="0"/>
            </w:tcBorders>
            <w:vAlign w:val="center"/>
          </w:tcPr>
          <w:p w14:paraId="434994DF">
            <w:pPr>
              <w:widowControl/>
              <w:jc w:val="left"/>
              <w:rPr>
                <w:color w:val="auto"/>
                <w:szCs w:val="21"/>
              </w:rPr>
            </w:pPr>
            <w:r>
              <w:rPr>
                <w:rFonts w:hint="eastAsia"/>
                <w:color w:val="auto"/>
                <w:szCs w:val="21"/>
              </w:rPr>
              <w:t>X＜20</w:t>
            </w:r>
          </w:p>
        </w:tc>
      </w:tr>
      <w:tr w14:paraId="1F4CEBE0">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6C820057">
            <w:pPr>
              <w:widowControl/>
              <w:jc w:val="left"/>
              <w:rPr>
                <w:color w:val="auto"/>
                <w:szCs w:val="21"/>
              </w:rPr>
            </w:pPr>
          </w:p>
        </w:tc>
        <w:tc>
          <w:tcPr>
            <w:tcW w:w="1701" w:type="dxa"/>
            <w:tcBorders>
              <w:top w:val="nil"/>
              <w:left w:val="nil"/>
              <w:bottom w:val="single" w:color="auto" w:sz="4" w:space="0"/>
              <w:right w:val="single" w:color="auto" w:sz="4" w:space="0"/>
            </w:tcBorders>
            <w:vAlign w:val="center"/>
          </w:tcPr>
          <w:p w14:paraId="5253EC49">
            <w:pPr>
              <w:widowControl/>
              <w:jc w:val="left"/>
              <w:rPr>
                <w:color w:val="auto"/>
                <w:szCs w:val="21"/>
              </w:rPr>
            </w:pPr>
            <w:r>
              <w:rPr>
                <w:rFonts w:hint="eastAsia"/>
                <w:color w:val="auto"/>
                <w:szCs w:val="21"/>
              </w:rPr>
              <w:t>营业收入（Y）</w:t>
            </w:r>
          </w:p>
        </w:tc>
        <w:tc>
          <w:tcPr>
            <w:tcW w:w="1134" w:type="dxa"/>
            <w:tcBorders>
              <w:top w:val="nil"/>
              <w:left w:val="nil"/>
              <w:bottom w:val="single" w:color="auto" w:sz="4" w:space="0"/>
              <w:right w:val="single" w:color="auto" w:sz="4" w:space="0"/>
            </w:tcBorders>
            <w:vAlign w:val="center"/>
          </w:tcPr>
          <w:p w14:paraId="789C8EE6">
            <w:pPr>
              <w:widowControl/>
              <w:jc w:val="left"/>
              <w:rPr>
                <w:color w:val="auto"/>
                <w:szCs w:val="21"/>
              </w:rPr>
            </w:pPr>
            <w:r>
              <w:rPr>
                <w:rFonts w:hint="eastAsia"/>
                <w:color w:val="auto"/>
                <w:szCs w:val="21"/>
              </w:rPr>
              <w:t>万元</w:t>
            </w:r>
          </w:p>
        </w:tc>
        <w:tc>
          <w:tcPr>
            <w:tcW w:w="1846" w:type="dxa"/>
            <w:tcBorders>
              <w:top w:val="nil"/>
              <w:left w:val="nil"/>
              <w:bottom w:val="single" w:color="auto" w:sz="4" w:space="0"/>
              <w:right w:val="single" w:color="auto" w:sz="4" w:space="0"/>
            </w:tcBorders>
            <w:vAlign w:val="center"/>
          </w:tcPr>
          <w:p w14:paraId="2922FA5A">
            <w:pPr>
              <w:widowControl/>
              <w:jc w:val="left"/>
              <w:rPr>
                <w:color w:val="auto"/>
                <w:szCs w:val="21"/>
              </w:rPr>
            </w:pPr>
            <w:r>
              <w:rPr>
                <w:rFonts w:hint="eastAsia"/>
                <w:color w:val="auto"/>
                <w:szCs w:val="21"/>
              </w:rPr>
              <w:t>1000≤Y＜30000</w:t>
            </w:r>
          </w:p>
        </w:tc>
        <w:tc>
          <w:tcPr>
            <w:tcW w:w="1570" w:type="dxa"/>
            <w:tcBorders>
              <w:top w:val="nil"/>
              <w:left w:val="nil"/>
              <w:bottom w:val="single" w:color="auto" w:sz="4" w:space="0"/>
              <w:right w:val="single" w:color="auto" w:sz="4" w:space="0"/>
            </w:tcBorders>
            <w:vAlign w:val="center"/>
          </w:tcPr>
          <w:p w14:paraId="3DEB1EA5">
            <w:pPr>
              <w:widowControl/>
              <w:jc w:val="left"/>
              <w:rPr>
                <w:color w:val="auto"/>
                <w:szCs w:val="21"/>
              </w:rPr>
            </w:pPr>
            <w:r>
              <w:rPr>
                <w:rFonts w:hint="eastAsia"/>
                <w:color w:val="auto"/>
                <w:szCs w:val="21"/>
              </w:rPr>
              <w:t>100≤Y＜1000</w:t>
            </w:r>
          </w:p>
        </w:tc>
        <w:tc>
          <w:tcPr>
            <w:tcW w:w="1009" w:type="dxa"/>
            <w:tcBorders>
              <w:top w:val="nil"/>
              <w:left w:val="nil"/>
              <w:bottom w:val="single" w:color="auto" w:sz="4" w:space="0"/>
              <w:right w:val="single" w:color="auto" w:sz="4" w:space="0"/>
            </w:tcBorders>
            <w:vAlign w:val="center"/>
          </w:tcPr>
          <w:p w14:paraId="00037284">
            <w:pPr>
              <w:widowControl/>
              <w:jc w:val="left"/>
              <w:rPr>
                <w:color w:val="auto"/>
                <w:szCs w:val="21"/>
              </w:rPr>
            </w:pPr>
            <w:r>
              <w:rPr>
                <w:rFonts w:hint="eastAsia"/>
                <w:color w:val="auto"/>
                <w:szCs w:val="21"/>
              </w:rPr>
              <w:t>Y＜100</w:t>
            </w:r>
          </w:p>
        </w:tc>
      </w:tr>
      <w:tr w14:paraId="5CB2D55E">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6501B383">
            <w:pPr>
              <w:widowControl/>
              <w:jc w:val="center"/>
              <w:rPr>
                <w:color w:val="auto"/>
                <w:szCs w:val="21"/>
              </w:rPr>
            </w:pPr>
            <w:r>
              <w:rPr>
                <w:rFonts w:hint="eastAsia"/>
                <w:color w:val="auto"/>
                <w:szCs w:val="21"/>
              </w:rPr>
              <w:t>邮政业</w:t>
            </w:r>
          </w:p>
        </w:tc>
        <w:tc>
          <w:tcPr>
            <w:tcW w:w="1701" w:type="dxa"/>
            <w:tcBorders>
              <w:top w:val="nil"/>
              <w:left w:val="nil"/>
              <w:bottom w:val="single" w:color="auto" w:sz="4" w:space="0"/>
              <w:right w:val="single" w:color="auto" w:sz="4" w:space="0"/>
            </w:tcBorders>
            <w:vAlign w:val="center"/>
          </w:tcPr>
          <w:p w14:paraId="0D5086AA">
            <w:pPr>
              <w:widowControl/>
              <w:jc w:val="left"/>
              <w:rPr>
                <w:color w:val="auto"/>
                <w:szCs w:val="21"/>
              </w:rPr>
            </w:pPr>
            <w:r>
              <w:rPr>
                <w:rFonts w:hint="eastAsia"/>
                <w:color w:val="auto"/>
                <w:szCs w:val="21"/>
              </w:rPr>
              <w:t>从业人员（X）</w:t>
            </w:r>
          </w:p>
        </w:tc>
        <w:tc>
          <w:tcPr>
            <w:tcW w:w="1134" w:type="dxa"/>
            <w:tcBorders>
              <w:top w:val="nil"/>
              <w:left w:val="nil"/>
              <w:bottom w:val="single" w:color="auto" w:sz="4" w:space="0"/>
              <w:right w:val="single" w:color="auto" w:sz="4" w:space="0"/>
            </w:tcBorders>
            <w:vAlign w:val="center"/>
          </w:tcPr>
          <w:p w14:paraId="654AF049">
            <w:pPr>
              <w:widowControl/>
              <w:jc w:val="left"/>
              <w:rPr>
                <w:color w:val="auto"/>
                <w:szCs w:val="21"/>
              </w:rPr>
            </w:pPr>
            <w:r>
              <w:rPr>
                <w:rFonts w:hint="eastAsia"/>
                <w:color w:val="auto"/>
                <w:szCs w:val="21"/>
              </w:rPr>
              <w:t>人</w:t>
            </w:r>
          </w:p>
        </w:tc>
        <w:tc>
          <w:tcPr>
            <w:tcW w:w="1846" w:type="dxa"/>
            <w:tcBorders>
              <w:top w:val="nil"/>
              <w:left w:val="nil"/>
              <w:bottom w:val="single" w:color="auto" w:sz="4" w:space="0"/>
              <w:right w:val="single" w:color="auto" w:sz="4" w:space="0"/>
            </w:tcBorders>
            <w:vAlign w:val="center"/>
          </w:tcPr>
          <w:p w14:paraId="06F11A22">
            <w:pPr>
              <w:widowControl/>
              <w:jc w:val="left"/>
              <w:rPr>
                <w:color w:val="auto"/>
                <w:szCs w:val="21"/>
              </w:rPr>
            </w:pPr>
            <w:r>
              <w:rPr>
                <w:rFonts w:hint="eastAsia"/>
                <w:color w:val="auto"/>
                <w:szCs w:val="21"/>
              </w:rPr>
              <w:t>300≤X＜1000</w:t>
            </w:r>
          </w:p>
        </w:tc>
        <w:tc>
          <w:tcPr>
            <w:tcW w:w="1570" w:type="dxa"/>
            <w:tcBorders>
              <w:top w:val="nil"/>
              <w:left w:val="nil"/>
              <w:bottom w:val="single" w:color="auto" w:sz="4" w:space="0"/>
              <w:right w:val="single" w:color="auto" w:sz="4" w:space="0"/>
            </w:tcBorders>
            <w:vAlign w:val="center"/>
          </w:tcPr>
          <w:p w14:paraId="6A843642">
            <w:pPr>
              <w:widowControl/>
              <w:jc w:val="left"/>
              <w:rPr>
                <w:color w:val="auto"/>
                <w:szCs w:val="21"/>
              </w:rPr>
            </w:pPr>
            <w:r>
              <w:rPr>
                <w:rFonts w:hint="eastAsia"/>
                <w:color w:val="auto"/>
                <w:szCs w:val="21"/>
              </w:rPr>
              <w:t>20≤X＜300</w:t>
            </w:r>
          </w:p>
        </w:tc>
        <w:tc>
          <w:tcPr>
            <w:tcW w:w="1009" w:type="dxa"/>
            <w:tcBorders>
              <w:top w:val="nil"/>
              <w:left w:val="nil"/>
              <w:bottom w:val="single" w:color="auto" w:sz="4" w:space="0"/>
              <w:right w:val="single" w:color="auto" w:sz="4" w:space="0"/>
            </w:tcBorders>
            <w:vAlign w:val="center"/>
          </w:tcPr>
          <w:p w14:paraId="6D226CBF">
            <w:pPr>
              <w:widowControl/>
              <w:jc w:val="left"/>
              <w:rPr>
                <w:color w:val="auto"/>
                <w:szCs w:val="21"/>
              </w:rPr>
            </w:pPr>
            <w:r>
              <w:rPr>
                <w:rFonts w:hint="eastAsia"/>
                <w:color w:val="auto"/>
                <w:szCs w:val="21"/>
              </w:rPr>
              <w:t>X＜20</w:t>
            </w:r>
          </w:p>
        </w:tc>
      </w:tr>
      <w:tr w14:paraId="4ACAB92D">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53B06C43">
            <w:pPr>
              <w:widowControl/>
              <w:jc w:val="left"/>
              <w:rPr>
                <w:color w:val="auto"/>
                <w:szCs w:val="21"/>
              </w:rPr>
            </w:pPr>
          </w:p>
        </w:tc>
        <w:tc>
          <w:tcPr>
            <w:tcW w:w="1701" w:type="dxa"/>
            <w:tcBorders>
              <w:top w:val="nil"/>
              <w:left w:val="nil"/>
              <w:bottom w:val="single" w:color="auto" w:sz="4" w:space="0"/>
              <w:right w:val="single" w:color="auto" w:sz="4" w:space="0"/>
            </w:tcBorders>
            <w:vAlign w:val="center"/>
          </w:tcPr>
          <w:p w14:paraId="32361C82">
            <w:pPr>
              <w:widowControl/>
              <w:jc w:val="left"/>
              <w:rPr>
                <w:color w:val="auto"/>
                <w:szCs w:val="21"/>
              </w:rPr>
            </w:pPr>
            <w:r>
              <w:rPr>
                <w:rFonts w:hint="eastAsia"/>
                <w:color w:val="auto"/>
                <w:szCs w:val="21"/>
              </w:rPr>
              <w:t>营业收入（Y）</w:t>
            </w:r>
          </w:p>
        </w:tc>
        <w:tc>
          <w:tcPr>
            <w:tcW w:w="1134" w:type="dxa"/>
            <w:tcBorders>
              <w:top w:val="nil"/>
              <w:left w:val="nil"/>
              <w:bottom w:val="single" w:color="auto" w:sz="4" w:space="0"/>
              <w:right w:val="single" w:color="auto" w:sz="4" w:space="0"/>
            </w:tcBorders>
            <w:vAlign w:val="center"/>
          </w:tcPr>
          <w:p w14:paraId="60F07CB8">
            <w:pPr>
              <w:widowControl/>
              <w:jc w:val="left"/>
              <w:rPr>
                <w:color w:val="auto"/>
                <w:szCs w:val="21"/>
              </w:rPr>
            </w:pPr>
            <w:r>
              <w:rPr>
                <w:rFonts w:hint="eastAsia"/>
                <w:color w:val="auto"/>
                <w:szCs w:val="21"/>
              </w:rPr>
              <w:t>万元</w:t>
            </w:r>
          </w:p>
        </w:tc>
        <w:tc>
          <w:tcPr>
            <w:tcW w:w="1846" w:type="dxa"/>
            <w:tcBorders>
              <w:top w:val="nil"/>
              <w:left w:val="nil"/>
              <w:bottom w:val="single" w:color="auto" w:sz="4" w:space="0"/>
              <w:right w:val="single" w:color="auto" w:sz="4" w:space="0"/>
            </w:tcBorders>
            <w:vAlign w:val="center"/>
          </w:tcPr>
          <w:p w14:paraId="04ED825A">
            <w:pPr>
              <w:widowControl/>
              <w:jc w:val="left"/>
              <w:rPr>
                <w:color w:val="auto"/>
                <w:szCs w:val="21"/>
              </w:rPr>
            </w:pPr>
            <w:r>
              <w:rPr>
                <w:rFonts w:hint="eastAsia"/>
                <w:color w:val="auto"/>
                <w:szCs w:val="21"/>
              </w:rPr>
              <w:t>2000≤Y＜30000</w:t>
            </w:r>
          </w:p>
        </w:tc>
        <w:tc>
          <w:tcPr>
            <w:tcW w:w="1570" w:type="dxa"/>
            <w:tcBorders>
              <w:top w:val="nil"/>
              <w:left w:val="nil"/>
              <w:bottom w:val="single" w:color="auto" w:sz="4" w:space="0"/>
              <w:right w:val="single" w:color="auto" w:sz="4" w:space="0"/>
            </w:tcBorders>
            <w:vAlign w:val="center"/>
          </w:tcPr>
          <w:p w14:paraId="26AE7291">
            <w:pPr>
              <w:widowControl/>
              <w:jc w:val="left"/>
              <w:rPr>
                <w:color w:val="auto"/>
                <w:szCs w:val="21"/>
              </w:rPr>
            </w:pPr>
            <w:r>
              <w:rPr>
                <w:rFonts w:hint="eastAsia"/>
                <w:color w:val="auto"/>
                <w:szCs w:val="21"/>
              </w:rPr>
              <w:t>100≤Y＜2000</w:t>
            </w:r>
          </w:p>
        </w:tc>
        <w:tc>
          <w:tcPr>
            <w:tcW w:w="1009" w:type="dxa"/>
            <w:tcBorders>
              <w:top w:val="nil"/>
              <w:left w:val="nil"/>
              <w:bottom w:val="single" w:color="auto" w:sz="4" w:space="0"/>
              <w:right w:val="single" w:color="auto" w:sz="4" w:space="0"/>
            </w:tcBorders>
            <w:vAlign w:val="center"/>
          </w:tcPr>
          <w:p w14:paraId="0D6DDD2D">
            <w:pPr>
              <w:widowControl/>
              <w:jc w:val="left"/>
              <w:rPr>
                <w:color w:val="auto"/>
                <w:szCs w:val="21"/>
              </w:rPr>
            </w:pPr>
            <w:r>
              <w:rPr>
                <w:rFonts w:hint="eastAsia"/>
                <w:color w:val="auto"/>
                <w:szCs w:val="21"/>
              </w:rPr>
              <w:t>Y＜100</w:t>
            </w:r>
          </w:p>
        </w:tc>
      </w:tr>
      <w:tr w14:paraId="4D5FC168">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5E2EC52B">
            <w:pPr>
              <w:widowControl/>
              <w:jc w:val="center"/>
              <w:rPr>
                <w:color w:val="auto"/>
                <w:szCs w:val="21"/>
              </w:rPr>
            </w:pPr>
            <w:r>
              <w:rPr>
                <w:rFonts w:hint="eastAsia"/>
                <w:color w:val="auto"/>
                <w:szCs w:val="21"/>
              </w:rPr>
              <w:t>住宿业</w:t>
            </w:r>
          </w:p>
        </w:tc>
        <w:tc>
          <w:tcPr>
            <w:tcW w:w="1701" w:type="dxa"/>
            <w:tcBorders>
              <w:top w:val="nil"/>
              <w:left w:val="nil"/>
              <w:bottom w:val="single" w:color="auto" w:sz="4" w:space="0"/>
              <w:right w:val="single" w:color="auto" w:sz="4" w:space="0"/>
            </w:tcBorders>
            <w:vAlign w:val="center"/>
          </w:tcPr>
          <w:p w14:paraId="434EE9F3">
            <w:pPr>
              <w:widowControl/>
              <w:jc w:val="left"/>
              <w:rPr>
                <w:color w:val="auto"/>
                <w:szCs w:val="21"/>
              </w:rPr>
            </w:pPr>
            <w:r>
              <w:rPr>
                <w:rFonts w:hint="eastAsia"/>
                <w:color w:val="auto"/>
                <w:szCs w:val="21"/>
              </w:rPr>
              <w:t>从业人员（X）</w:t>
            </w:r>
          </w:p>
        </w:tc>
        <w:tc>
          <w:tcPr>
            <w:tcW w:w="1134" w:type="dxa"/>
            <w:tcBorders>
              <w:top w:val="nil"/>
              <w:left w:val="nil"/>
              <w:bottom w:val="single" w:color="auto" w:sz="4" w:space="0"/>
              <w:right w:val="single" w:color="auto" w:sz="4" w:space="0"/>
            </w:tcBorders>
            <w:vAlign w:val="center"/>
          </w:tcPr>
          <w:p w14:paraId="4571D543">
            <w:pPr>
              <w:widowControl/>
              <w:jc w:val="left"/>
              <w:rPr>
                <w:color w:val="auto"/>
                <w:szCs w:val="21"/>
              </w:rPr>
            </w:pPr>
            <w:r>
              <w:rPr>
                <w:rFonts w:hint="eastAsia"/>
                <w:color w:val="auto"/>
                <w:szCs w:val="21"/>
              </w:rPr>
              <w:t>人</w:t>
            </w:r>
          </w:p>
        </w:tc>
        <w:tc>
          <w:tcPr>
            <w:tcW w:w="1846" w:type="dxa"/>
            <w:tcBorders>
              <w:top w:val="nil"/>
              <w:left w:val="nil"/>
              <w:bottom w:val="single" w:color="auto" w:sz="4" w:space="0"/>
              <w:right w:val="single" w:color="auto" w:sz="4" w:space="0"/>
            </w:tcBorders>
            <w:vAlign w:val="center"/>
          </w:tcPr>
          <w:p w14:paraId="3B0F37D8">
            <w:pPr>
              <w:widowControl/>
              <w:jc w:val="left"/>
              <w:rPr>
                <w:color w:val="auto"/>
                <w:szCs w:val="21"/>
              </w:rPr>
            </w:pPr>
            <w:r>
              <w:rPr>
                <w:rFonts w:hint="eastAsia"/>
                <w:color w:val="auto"/>
                <w:szCs w:val="21"/>
              </w:rPr>
              <w:t>100≤X＜300</w:t>
            </w:r>
          </w:p>
        </w:tc>
        <w:tc>
          <w:tcPr>
            <w:tcW w:w="1570" w:type="dxa"/>
            <w:tcBorders>
              <w:top w:val="nil"/>
              <w:left w:val="nil"/>
              <w:bottom w:val="single" w:color="auto" w:sz="4" w:space="0"/>
              <w:right w:val="single" w:color="auto" w:sz="4" w:space="0"/>
            </w:tcBorders>
            <w:vAlign w:val="center"/>
          </w:tcPr>
          <w:p w14:paraId="51DE1E67">
            <w:pPr>
              <w:widowControl/>
              <w:jc w:val="left"/>
              <w:rPr>
                <w:color w:val="auto"/>
                <w:szCs w:val="21"/>
              </w:rPr>
            </w:pPr>
            <w:r>
              <w:rPr>
                <w:rFonts w:hint="eastAsia"/>
                <w:color w:val="auto"/>
                <w:szCs w:val="21"/>
              </w:rPr>
              <w:t>10≤X＜100</w:t>
            </w:r>
          </w:p>
        </w:tc>
        <w:tc>
          <w:tcPr>
            <w:tcW w:w="1009" w:type="dxa"/>
            <w:tcBorders>
              <w:top w:val="nil"/>
              <w:left w:val="nil"/>
              <w:bottom w:val="single" w:color="auto" w:sz="4" w:space="0"/>
              <w:right w:val="single" w:color="auto" w:sz="4" w:space="0"/>
            </w:tcBorders>
            <w:vAlign w:val="center"/>
          </w:tcPr>
          <w:p w14:paraId="51413374">
            <w:pPr>
              <w:widowControl/>
              <w:jc w:val="left"/>
              <w:rPr>
                <w:color w:val="auto"/>
                <w:szCs w:val="21"/>
              </w:rPr>
            </w:pPr>
            <w:r>
              <w:rPr>
                <w:rFonts w:hint="eastAsia"/>
                <w:color w:val="auto"/>
                <w:szCs w:val="21"/>
              </w:rPr>
              <w:t>X＜10</w:t>
            </w:r>
          </w:p>
        </w:tc>
      </w:tr>
      <w:tr w14:paraId="482D719C">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6D8B8B92">
            <w:pPr>
              <w:widowControl/>
              <w:jc w:val="left"/>
              <w:rPr>
                <w:color w:val="auto"/>
                <w:szCs w:val="21"/>
              </w:rPr>
            </w:pPr>
          </w:p>
        </w:tc>
        <w:tc>
          <w:tcPr>
            <w:tcW w:w="1701" w:type="dxa"/>
            <w:tcBorders>
              <w:top w:val="nil"/>
              <w:left w:val="nil"/>
              <w:bottom w:val="single" w:color="auto" w:sz="4" w:space="0"/>
              <w:right w:val="single" w:color="auto" w:sz="4" w:space="0"/>
            </w:tcBorders>
            <w:vAlign w:val="center"/>
          </w:tcPr>
          <w:p w14:paraId="1D76433F">
            <w:pPr>
              <w:widowControl/>
              <w:jc w:val="left"/>
              <w:rPr>
                <w:color w:val="auto"/>
                <w:szCs w:val="21"/>
              </w:rPr>
            </w:pPr>
            <w:r>
              <w:rPr>
                <w:rFonts w:hint="eastAsia"/>
                <w:color w:val="auto"/>
                <w:szCs w:val="21"/>
              </w:rPr>
              <w:t>营业收入（Y）</w:t>
            </w:r>
          </w:p>
        </w:tc>
        <w:tc>
          <w:tcPr>
            <w:tcW w:w="1134" w:type="dxa"/>
            <w:tcBorders>
              <w:top w:val="nil"/>
              <w:left w:val="nil"/>
              <w:bottom w:val="single" w:color="auto" w:sz="4" w:space="0"/>
              <w:right w:val="single" w:color="auto" w:sz="4" w:space="0"/>
            </w:tcBorders>
            <w:vAlign w:val="center"/>
          </w:tcPr>
          <w:p w14:paraId="5CFE8E3E">
            <w:pPr>
              <w:widowControl/>
              <w:jc w:val="left"/>
              <w:rPr>
                <w:color w:val="auto"/>
                <w:szCs w:val="21"/>
              </w:rPr>
            </w:pPr>
            <w:r>
              <w:rPr>
                <w:rFonts w:hint="eastAsia"/>
                <w:color w:val="auto"/>
                <w:szCs w:val="21"/>
              </w:rPr>
              <w:t>万元</w:t>
            </w:r>
          </w:p>
        </w:tc>
        <w:tc>
          <w:tcPr>
            <w:tcW w:w="1846" w:type="dxa"/>
            <w:tcBorders>
              <w:top w:val="nil"/>
              <w:left w:val="nil"/>
              <w:bottom w:val="single" w:color="auto" w:sz="4" w:space="0"/>
              <w:right w:val="single" w:color="auto" w:sz="4" w:space="0"/>
            </w:tcBorders>
            <w:vAlign w:val="center"/>
          </w:tcPr>
          <w:p w14:paraId="2CA3CFDE">
            <w:pPr>
              <w:widowControl/>
              <w:jc w:val="left"/>
              <w:rPr>
                <w:color w:val="auto"/>
                <w:szCs w:val="21"/>
              </w:rPr>
            </w:pPr>
            <w:r>
              <w:rPr>
                <w:rFonts w:hint="eastAsia"/>
                <w:color w:val="auto"/>
                <w:szCs w:val="21"/>
              </w:rPr>
              <w:t>2000≤Y＜10000</w:t>
            </w:r>
          </w:p>
        </w:tc>
        <w:tc>
          <w:tcPr>
            <w:tcW w:w="1570" w:type="dxa"/>
            <w:tcBorders>
              <w:top w:val="nil"/>
              <w:left w:val="nil"/>
              <w:bottom w:val="single" w:color="auto" w:sz="4" w:space="0"/>
              <w:right w:val="single" w:color="auto" w:sz="4" w:space="0"/>
            </w:tcBorders>
            <w:vAlign w:val="center"/>
          </w:tcPr>
          <w:p w14:paraId="236A4E58">
            <w:pPr>
              <w:widowControl/>
              <w:jc w:val="left"/>
              <w:rPr>
                <w:color w:val="auto"/>
                <w:szCs w:val="21"/>
              </w:rPr>
            </w:pPr>
            <w:r>
              <w:rPr>
                <w:rFonts w:hint="eastAsia"/>
                <w:color w:val="auto"/>
                <w:szCs w:val="21"/>
              </w:rPr>
              <w:t>100≤Y＜2000</w:t>
            </w:r>
          </w:p>
        </w:tc>
        <w:tc>
          <w:tcPr>
            <w:tcW w:w="1009" w:type="dxa"/>
            <w:tcBorders>
              <w:top w:val="nil"/>
              <w:left w:val="nil"/>
              <w:bottom w:val="single" w:color="auto" w:sz="4" w:space="0"/>
              <w:right w:val="single" w:color="auto" w:sz="4" w:space="0"/>
            </w:tcBorders>
            <w:vAlign w:val="center"/>
          </w:tcPr>
          <w:p w14:paraId="404C3F84">
            <w:pPr>
              <w:widowControl/>
              <w:jc w:val="left"/>
              <w:rPr>
                <w:color w:val="auto"/>
                <w:szCs w:val="21"/>
              </w:rPr>
            </w:pPr>
            <w:r>
              <w:rPr>
                <w:rFonts w:hint="eastAsia"/>
                <w:color w:val="auto"/>
                <w:szCs w:val="21"/>
              </w:rPr>
              <w:t>Y＜100</w:t>
            </w:r>
          </w:p>
        </w:tc>
      </w:tr>
      <w:tr w14:paraId="18C034A3">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126C5287">
            <w:pPr>
              <w:widowControl/>
              <w:jc w:val="center"/>
              <w:rPr>
                <w:color w:val="auto"/>
                <w:szCs w:val="21"/>
              </w:rPr>
            </w:pPr>
            <w:r>
              <w:rPr>
                <w:rFonts w:hint="eastAsia"/>
                <w:color w:val="auto"/>
                <w:szCs w:val="21"/>
              </w:rPr>
              <w:t>餐饮业</w:t>
            </w:r>
          </w:p>
        </w:tc>
        <w:tc>
          <w:tcPr>
            <w:tcW w:w="1701" w:type="dxa"/>
            <w:tcBorders>
              <w:top w:val="nil"/>
              <w:left w:val="nil"/>
              <w:bottom w:val="single" w:color="auto" w:sz="4" w:space="0"/>
              <w:right w:val="single" w:color="auto" w:sz="4" w:space="0"/>
            </w:tcBorders>
            <w:vAlign w:val="center"/>
          </w:tcPr>
          <w:p w14:paraId="60A6CB40">
            <w:pPr>
              <w:widowControl/>
              <w:jc w:val="left"/>
              <w:rPr>
                <w:color w:val="auto"/>
                <w:szCs w:val="21"/>
              </w:rPr>
            </w:pPr>
            <w:r>
              <w:rPr>
                <w:rFonts w:hint="eastAsia"/>
                <w:color w:val="auto"/>
                <w:szCs w:val="21"/>
              </w:rPr>
              <w:t>从业人员（X）</w:t>
            </w:r>
          </w:p>
        </w:tc>
        <w:tc>
          <w:tcPr>
            <w:tcW w:w="1134" w:type="dxa"/>
            <w:tcBorders>
              <w:top w:val="nil"/>
              <w:left w:val="nil"/>
              <w:bottom w:val="single" w:color="auto" w:sz="4" w:space="0"/>
              <w:right w:val="single" w:color="auto" w:sz="4" w:space="0"/>
            </w:tcBorders>
            <w:vAlign w:val="center"/>
          </w:tcPr>
          <w:p w14:paraId="79D037A7">
            <w:pPr>
              <w:widowControl/>
              <w:jc w:val="left"/>
              <w:rPr>
                <w:color w:val="auto"/>
                <w:szCs w:val="21"/>
              </w:rPr>
            </w:pPr>
            <w:r>
              <w:rPr>
                <w:rFonts w:hint="eastAsia"/>
                <w:color w:val="auto"/>
                <w:szCs w:val="21"/>
              </w:rPr>
              <w:t>人</w:t>
            </w:r>
          </w:p>
        </w:tc>
        <w:tc>
          <w:tcPr>
            <w:tcW w:w="1846" w:type="dxa"/>
            <w:tcBorders>
              <w:top w:val="nil"/>
              <w:left w:val="nil"/>
              <w:bottom w:val="single" w:color="auto" w:sz="4" w:space="0"/>
              <w:right w:val="single" w:color="auto" w:sz="4" w:space="0"/>
            </w:tcBorders>
            <w:vAlign w:val="center"/>
          </w:tcPr>
          <w:p w14:paraId="43F406F7">
            <w:pPr>
              <w:widowControl/>
              <w:jc w:val="left"/>
              <w:rPr>
                <w:color w:val="auto"/>
                <w:szCs w:val="21"/>
              </w:rPr>
            </w:pPr>
            <w:r>
              <w:rPr>
                <w:rFonts w:hint="eastAsia"/>
                <w:color w:val="auto"/>
                <w:szCs w:val="21"/>
              </w:rPr>
              <w:t>100≤X＜300</w:t>
            </w:r>
          </w:p>
        </w:tc>
        <w:tc>
          <w:tcPr>
            <w:tcW w:w="1570" w:type="dxa"/>
            <w:tcBorders>
              <w:top w:val="nil"/>
              <w:left w:val="nil"/>
              <w:bottom w:val="single" w:color="auto" w:sz="4" w:space="0"/>
              <w:right w:val="single" w:color="auto" w:sz="4" w:space="0"/>
            </w:tcBorders>
            <w:vAlign w:val="center"/>
          </w:tcPr>
          <w:p w14:paraId="03BC10F8">
            <w:pPr>
              <w:widowControl/>
              <w:jc w:val="left"/>
              <w:rPr>
                <w:color w:val="auto"/>
                <w:szCs w:val="21"/>
              </w:rPr>
            </w:pPr>
            <w:r>
              <w:rPr>
                <w:rFonts w:hint="eastAsia"/>
                <w:color w:val="auto"/>
                <w:szCs w:val="21"/>
              </w:rPr>
              <w:t>10≤X＜100</w:t>
            </w:r>
          </w:p>
        </w:tc>
        <w:tc>
          <w:tcPr>
            <w:tcW w:w="1009" w:type="dxa"/>
            <w:tcBorders>
              <w:top w:val="nil"/>
              <w:left w:val="nil"/>
              <w:bottom w:val="single" w:color="auto" w:sz="4" w:space="0"/>
              <w:right w:val="single" w:color="auto" w:sz="4" w:space="0"/>
            </w:tcBorders>
            <w:vAlign w:val="center"/>
          </w:tcPr>
          <w:p w14:paraId="60E3A866">
            <w:pPr>
              <w:widowControl/>
              <w:jc w:val="left"/>
              <w:rPr>
                <w:color w:val="auto"/>
                <w:szCs w:val="21"/>
              </w:rPr>
            </w:pPr>
            <w:r>
              <w:rPr>
                <w:rFonts w:hint="eastAsia"/>
                <w:color w:val="auto"/>
                <w:szCs w:val="21"/>
              </w:rPr>
              <w:t>X＜10</w:t>
            </w:r>
          </w:p>
        </w:tc>
      </w:tr>
      <w:tr w14:paraId="6C662D44">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20B0140E">
            <w:pPr>
              <w:widowControl/>
              <w:jc w:val="left"/>
              <w:rPr>
                <w:color w:val="auto"/>
                <w:szCs w:val="21"/>
              </w:rPr>
            </w:pPr>
          </w:p>
        </w:tc>
        <w:tc>
          <w:tcPr>
            <w:tcW w:w="1701" w:type="dxa"/>
            <w:tcBorders>
              <w:top w:val="nil"/>
              <w:left w:val="nil"/>
              <w:bottom w:val="single" w:color="auto" w:sz="4" w:space="0"/>
              <w:right w:val="single" w:color="auto" w:sz="4" w:space="0"/>
            </w:tcBorders>
            <w:vAlign w:val="center"/>
          </w:tcPr>
          <w:p w14:paraId="1DFE1177">
            <w:pPr>
              <w:widowControl/>
              <w:jc w:val="left"/>
              <w:rPr>
                <w:color w:val="auto"/>
                <w:szCs w:val="21"/>
              </w:rPr>
            </w:pPr>
            <w:r>
              <w:rPr>
                <w:rFonts w:hint="eastAsia"/>
                <w:color w:val="auto"/>
                <w:szCs w:val="21"/>
              </w:rPr>
              <w:t>营业收入（Y）</w:t>
            </w:r>
          </w:p>
        </w:tc>
        <w:tc>
          <w:tcPr>
            <w:tcW w:w="1134" w:type="dxa"/>
            <w:tcBorders>
              <w:top w:val="nil"/>
              <w:left w:val="nil"/>
              <w:bottom w:val="single" w:color="auto" w:sz="4" w:space="0"/>
              <w:right w:val="single" w:color="auto" w:sz="4" w:space="0"/>
            </w:tcBorders>
            <w:vAlign w:val="center"/>
          </w:tcPr>
          <w:p w14:paraId="36F0B46F">
            <w:pPr>
              <w:widowControl/>
              <w:jc w:val="left"/>
              <w:rPr>
                <w:color w:val="auto"/>
                <w:szCs w:val="21"/>
              </w:rPr>
            </w:pPr>
            <w:r>
              <w:rPr>
                <w:rFonts w:hint="eastAsia"/>
                <w:color w:val="auto"/>
                <w:szCs w:val="21"/>
              </w:rPr>
              <w:t>万元</w:t>
            </w:r>
          </w:p>
        </w:tc>
        <w:tc>
          <w:tcPr>
            <w:tcW w:w="1846" w:type="dxa"/>
            <w:tcBorders>
              <w:top w:val="nil"/>
              <w:left w:val="nil"/>
              <w:bottom w:val="single" w:color="auto" w:sz="4" w:space="0"/>
              <w:right w:val="single" w:color="auto" w:sz="4" w:space="0"/>
            </w:tcBorders>
            <w:vAlign w:val="center"/>
          </w:tcPr>
          <w:p w14:paraId="4B46D4A0">
            <w:pPr>
              <w:widowControl/>
              <w:jc w:val="left"/>
              <w:rPr>
                <w:color w:val="auto"/>
                <w:szCs w:val="21"/>
              </w:rPr>
            </w:pPr>
            <w:r>
              <w:rPr>
                <w:rFonts w:hint="eastAsia"/>
                <w:color w:val="auto"/>
                <w:szCs w:val="21"/>
              </w:rPr>
              <w:t>2000≤Y＜10000</w:t>
            </w:r>
          </w:p>
        </w:tc>
        <w:tc>
          <w:tcPr>
            <w:tcW w:w="1570" w:type="dxa"/>
            <w:tcBorders>
              <w:top w:val="nil"/>
              <w:left w:val="nil"/>
              <w:bottom w:val="single" w:color="auto" w:sz="4" w:space="0"/>
              <w:right w:val="single" w:color="auto" w:sz="4" w:space="0"/>
            </w:tcBorders>
            <w:vAlign w:val="center"/>
          </w:tcPr>
          <w:p w14:paraId="7757D0D8">
            <w:pPr>
              <w:widowControl/>
              <w:jc w:val="left"/>
              <w:rPr>
                <w:color w:val="auto"/>
                <w:szCs w:val="21"/>
              </w:rPr>
            </w:pPr>
            <w:r>
              <w:rPr>
                <w:rFonts w:hint="eastAsia"/>
                <w:color w:val="auto"/>
                <w:szCs w:val="21"/>
              </w:rPr>
              <w:t>100≤Y＜2000</w:t>
            </w:r>
          </w:p>
        </w:tc>
        <w:tc>
          <w:tcPr>
            <w:tcW w:w="1009" w:type="dxa"/>
            <w:tcBorders>
              <w:top w:val="nil"/>
              <w:left w:val="nil"/>
              <w:bottom w:val="single" w:color="auto" w:sz="4" w:space="0"/>
              <w:right w:val="single" w:color="auto" w:sz="4" w:space="0"/>
            </w:tcBorders>
            <w:vAlign w:val="center"/>
          </w:tcPr>
          <w:p w14:paraId="7EF3DCAF">
            <w:pPr>
              <w:widowControl/>
              <w:jc w:val="left"/>
              <w:rPr>
                <w:color w:val="auto"/>
                <w:szCs w:val="21"/>
              </w:rPr>
            </w:pPr>
            <w:r>
              <w:rPr>
                <w:rFonts w:hint="eastAsia"/>
                <w:color w:val="auto"/>
                <w:szCs w:val="21"/>
              </w:rPr>
              <w:t>Y＜100</w:t>
            </w:r>
          </w:p>
        </w:tc>
      </w:tr>
      <w:tr w14:paraId="5A853B8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26E3881C">
            <w:pPr>
              <w:widowControl/>
              <w:jc w:val="center"/>
              <w:rPr>
                <w:color w:val="auto"/>
                <w:szCs w:val="21"/>
              </w:rPr>
            </w:pPr>
            <w:r>
              <w:rPr>
                <w:rFonts w:hint="eastAsia"/>
                <w:color w:val="auto"/>
                <w:szCs w:val="21"/>
              </w:rPr>
              <w:t>信息传输业</w:t>
            </w:r>
          </w:p>
        </w:tc>
        <w:tc>
          <w:tcPr>
            <w:tcW w:w="1701" w:type="dxa"/>
            <w:tcBorders>
              <w:top w:val="nil"/>
              <w:left w:val="nil"/>
              <w:bottom w:val="single" w:color="auto" w:sz="4" w:space="0"/>
              <w:right w:val="single" w:color="auto" w:sz="4" w:space="0"/>
            </w:tcBorders>
            <w:vAlign w:val="center"/>
          </w:tcPr>
          <w:p w14:paraId="01E95E23">
            <w:pPr>
              <w:widowControl/>
              <w:jc w:val="left"/>
              <w:rPr>
                <w:color w:val="auto"/>
                <w:szCs w:val="21"/>
              </w:rPr>
            </w:pPr>
            <w:r>
              <w:rPr>
                <w:rFonts w:hint="eastAsia"/>
                <w:color w:val="auto"/>
                <w:szCs w:val="21"/>
              </w:rPr>
              <w:t>从业人员（X）</w:t>
            </w:r>
          </w:p>
        </w:tc>
        <w:tc>
          <w:tcPr>
            <w:tcW w:w="1134" w:type="dxa"/>
            <w:tcBorders>
              <w:top w:val="nil"/>
              <w:left w:val="nil"/>
              <w:bottom w:val="single" w:color="auto" w:sz="4" w:space="0"/>
              <w:right w:val="single" w:color="auto" w:sz="4" w:space="0"/>
            </w:tcBorders>
            <w:vAlign w:val="center"/>
          </w:tcPr>
          <w:p w14:paraId="70CD0E86">
            <w:pPr>
              <w:widowControl/>
              <w:jc w:val="left"/>
              <w:rPr>
                <w:color w:val="auto"/>
                <w:szCs w:val="21"/>
              </w:rPr>
            </w:pPr>
            <w:r>
              <w:rPr>
                <w:rFonts w:hint="eastAsia"/>
                <w:color w:val="auto"/>
                <w:szCs w:val="21"/>
              </w:rPr>
              <w:t>人</w:t>
            </w:r>
          </w:p>
        </w:tc>
        <w:tc>
          <w:tcPr>
            <w:tcW w:w="1846" w:type="dxa"/>
            <w:tcBorders>
              <w:top w:val="nil"/>
              <w:left w:val="nil"/>
              <w:bottom w:val="single" w:color="auto" w:sz="4" w:space="0"/>
              <w:right w:val="single" w:color="auto" w:sz="4" w:space="0"/>
            </w:tcBorders>
            <w:vAlign w:val="center"/>
          </w:tcPr>
          <w:p w14:paraId="05B31229">
            <w:pPr>
              <w:widowControl/>
              <w:jc w:val="left"/>
              <w:rPr>
                <w:color w:val="auto"/>
                <w:szCs w:val="21"/>
              </w:rPr>
            </w:pPr>
            <w:r>
              <w:rPr>
                <w:rFonts w:hint="eastAsia"/>
                <w:color w:val="auto"/>
                <w:szCs w:val="21"/>
              </w:rPr>
              <w:t>100≤X＜2000</w:t>
            </w:r>
          </w:p>
        </w:tc>
        <w:tc>
          <w:tcPr>
            <w:tcW w:w="1570" w:type="dxa"/>
            <w:tcBorders>
              <w:top w:val="nil"/>
              <w:left w:val="nil"/>
              <w:bottom w:val="single" w:color="auto" w:sz="4" w:space="0"/>
              <w:right w:val="single" w:color="auto" w:sz="4" w:space="0"/>
            </w:tcBorders>
            <w:vAlign w:val="center"/>
          </w:tcPr>
          <w:p w14:paraId="41CC7374">
            <w:pPr>
              <w:widowControl/>
              <w:jc w:val="left"/>
              <w:rPr>
                <w:color w:val="auto"/>
                <w:szCs w:val="21"/>
              </w:rPr>
            </w:pPr>
            <w:r>
              <w:rPr>
                <w:rFonts w:hint="eastAsia"/>
                <w:color w:val="auto"/>
                <w:szCs w:val="21"/>
              </w:rPr>
              <w:t>10≤X＜100</w:t>
            </w:r>
          </w:p>
        </w:tc>
        <w:tc>
          <w:tcPr>
            <w:tcW w:w="1009" w:type="dxa"/>
            <w:tcBorders>
              <w:top w:val="nil"/>
              <w:left w:val="nil"/>
              <w:bottom w:val="single" w:color="auto" w:sz="4" w:space="0"/>
              <w:right w:val="single" w:color="auto" w:sz="4" w:space="0"/>
            </w:tcBorders>
            <w:vAlign w:val="center"/>
          </w:tcPr>
          <w:p w14:paraId="5B760AB2">
            <w:pPr>
              <w:widowControl/>
              <w:jc w:val="left"/>
              <w:rPr>
                <w:color w:val="auto"/>
                <w:szCs w:val="21"/>
              </w:rPr>
            </w:pPr>
            <w:r>
              <w:rPr>
                <w:rFonts w:hint="eastAsia"/>
                <w:color w:val="auto"/>
                <w:szCs w:val="21"/>
              </w:rPr>
              <w:t>X＜10</w:t>
            </w:r>
          </w:p>
        </w:tc>
      </w:tr>
      <w:tr w14:paraId="4169E175">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4449CDB0">
            <w:pPr>
              <w:widowControl/>
              <w:jc w:val="left"/>
              <w:rPr>
                <w:color w:val="auto"/>
                <w:szCs w:val="21"/>
              </w:rPr>
            </w:pPr>
          </w:p>
        </w:tc>
        <w:tc>
          <w:tcPr>
            <w:tcW w:w="1701" w:type="dxa"/>
            <w:tcBorders>
              <w:top w:val="nil"/>
              <w:left w:val="nil"/>
              <w:bottom w:val="single" w:color="auto" w:sz="4" w:space="0"/>
              <w:right w:val="single" w:color="auto" w:sz="4" w:space="0"/>
            </w:tcBorders>
            <w:vAlign w:val="center"/>
          </w:tcPr>
          <w:p w14:paraId="5E64A763">
            <w:pPr>
              <w:widowControl/>
              <w:jc w:val="left"/>
              <w:rPr>
                <w:color w:val="auto"/>
                <w:szCs w:val="21"/>
              </w:rPr>
            </w:pPr>
            <w:r>
              <w:rPr>
                <w:rFonts w:hint="eastAsia"/>
                <w:color w:val="auto"/>
                <w:szCs w:val="21"/>
              </w:rPr>
              <w:t>营业收入（Y）</w:t>
            </w:r>
          </w:p>
        </w:tc>
        <w:tc>
          <w:tcPr>
            <w:tcW w:w="1134" w:type="dxa"/>
            <w:tcBorders>
              <w:top w:val="nil"/>
              <w:left w:val="nil"/>
              <w:bottom w:val="single" w:color="auto" w:sz="4" w:space="0"/>
              <w:right w:val="single" w:color="auto" w:sz="4" w:space="0"/>
            </w:tcBorders>
            <w:vAlign w:val="center"/>
          </w:tcPr>
          <w:p w14:paraId="5676619F">
            <w:pPr>
              <w:widowControl/>
              <w:jc w:val="left"/>
              <w:rPr>
                <w:color w:val="auto"/>
                <w:szCs w:val="21"/>
              </w:rPr>
            </w:pPr>
            <w:r>
              <w:rPr>
                <w:rFonts w:hint="eastAsia"/>
                <w:color w:val="auto"/>
                <w:szCs w:val="21"/>
              </w:rPr>
              <w:t>万元</w:t>
            </w:r>
          </w:p>
        </w:tc>
        <w:tc>
          <w:tcPr>
            <w:tcW w:w="1846" w:type="dxa"/>
            <w:tcBorders>
              <w:top w:val="nil"/>
              <w:left w:val="nil"/>
              <w:bottom w:val="single" w:color="auto" w:sz="4" w:space="0"/>
              <w:right w:val="single" w:color="auto" w:sz="4" w:space="0"/>
            </w:tcBorders>
            <w:vAlign w:val="center"/>
          </w:tcPr>
          <w:p w14:paraId="168BF6BE">
            <w:pPr>
              <w:widowControl/>
              <w:jc w:val="left"/>
              <w:rPr>
                <w:color w:val="auto"/>
                <w:szCs w:val="21"/>
              </w:rPr>
            </w:pPr>
            <w:r>
              <w:rPr>
                <w:rFonts w:hint="eastAsia"/>
                <w:color w:val="auto"/>
                <w:szCs w:val="21"/>
              </w:rPr>
              <w:t>1000≤Y＜100000</w:t>
            </w:r>
          </w:p>
        </w:tc>
        <w:tc>
          <w:tcPr>
            <w:tcW w:w="1570" w:type="dxa"/>
            <w:tcBorders>
              <w:top w:val="nil"/>
              <w:left w:val="nil"/>
              <w:bottom w:val="single" w:color="auto" w:sz="4" w:space="0"/>
              <w:right w:val="single" w:color="auto" w:sz="4" w:space="0"/>
            </w:tcBorders>
            <w:vAlign w:val="center"/>
          </w:tcPr>
          <w:p w14:paraId="128592AB">
            <w:pPr>
              <w:widowControl/>
              <w:jc w:val="left"/>
              <w:rPr>
                <w:color w:val="auto"/>
                <w:szCs w:val="21"/>
              </w:rPr>
            </w:pPr>
            <w:r>
              <w:rPr>
                <w:rFonts w:hint="eastAsia"/>
                <w:color w:val="auto"/>
                <w:szCs w:val="21"/>
              </w:rPr>
              <w:t>100≤Y＜1000</w:t>
            </w:r>
          </w:p>
        </w:tc>
        <w:tc>
          <w:tcPr>
            <w:tcW w:w="1009" w:type="dxa"/>
            <w:tcBorders>
              <w:top w:val="nil"/>
              <w:left w:val="nil"/>
              <w:bottom w:val="single" w:color="auto" w:sz="4" w:space="0"/>
              <w:right w:val="single" w:color="auto" w:sz="4" w:space="0"/>
            </w:tcBorders>
            <w:vAlign w:val="center"/>
          </w:tcPr>
          <w:p w14:paraId="29587414">
            <w:pPr>
              <w:widowControl/>
              <w:jc w:val="left"/>
              <w:rPr>
                <w:color w:val="auto"/>
                <w:szCs w:val="21"/>
              </w:rPr>
            </w:pPr>
            <w:r>
              <w:rPr>
                <w:rFonts w:hint="eastAsia"/>
                <w:color w:val="auto"/>
                <w:szCs w:val="21"/>
              </w:rPr>
              <w:t>Y＜100</w:t>
            </w:r>
          </w:p>
        </w:tc>
      </w:tr>
      <w:tr w14:paraId="1BA50500">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15FB1634">
            <w:pPr>
              <w:widowControl/>
              <w:jc w:val="center"/>
              <w:rPr>
                <w:color w:val="auto"/>
                <w:szCs w:val="21"/>
              </w:rPr>
            </w:pPr>
            <w:r>
              <w:rPr>
                <w:rFonts w:hint="eastAsia"/>
                <w:color w:val="auto"/>
                <w:szCs w:val="21"/>
              </w:rPr>
              <w:t>软件和信息技术服务业</w:t>
            </w:r>
          </w:p>
        </w:tc>
        <w:tc>
          <w:tcPr>
            <w:tcW w:w="1701" w:type="dxa"/>
            <w:tcBorders>
              <w:top w:val="nil"/>
              <w:left w:val="nil"/>
              <w:bottom w:val="single" w:color="auto" w:sz="4" w:space="0"/>
              <w:right w:val="single" w:color="auto" w:sz="4" w:space="0"/>
            </w:tcBorders>
            <w:vAlign w:val="center"/>
          </w:tcPr>
          <w:p w14:paraId="5C8F946B">
            <w:pPr>
              <w:widowControl/>
              <w:jc w:val="left"/>
              <w:rPr>
                <w:color w:val="auto"/>
                <w:szCs w:val="21"/>
              </w:rPr>
            </w:pPr>
            <w:r>
              <w:rPr>
                <w:rFonts w:hint="eastAsia"/>
                <w:color w:val="auto"/>
                <w:szCs w:val="21"/>
              </w:rPr>
              <w:t>从业人员（X）</w:t>
            </w:r>
          </w:p>
        </w:tc>
        <w:tc>
          <w:tcPr>
            <w:tcW w:w="1134" w:type="dxa"/>
            <w:tcBorders>
              <w:top w:val="nil"/>
              <w:left w:val="nil"/>
              <w:bottom w:val="single" w:color="auto" w:sz="4" w:space="0"/>
              <w:right w:val="single" w:color="auto" w:sz="4" w:space="0"/>
            </w:tcBorders>
            <w:vAlign w:val="center"/>
          </w:tcPr>
          <w:p w14:paraId="0B3DAA4F">
            <w:pPr>
              <w:widowControl/>
              <w:jc w:val="left"/>
              <w:rPr>
                <w:color w:val="auto"/>
                <w:szCs w:val="21"/>
              </w:rPr>
            </w:pPr>
            <w:r>
              <w:rPr>
                <w:rFonts w:hint="eastAsia"/>
                <w:color w:val="auto"/>
                <w:szCs w:val="21"/>
              </w:rPr>
              <w:t>人</w:t>
            </w:r>
          </w:p>
        </w:tc>
        <w:tc>
          <w:tcPr>
            <w:tcW w:w="1846" w:type="dxa"/>
            <w:tcBorders>
              <w:top w:val="nil"/>
              <w:left w:val="nil"/>
              <w:bottom w:val="single" w:color="auto" w:sz="4" w:space="0"/>
              <w:right w:val="single" w:color="auto" w:sz="4" w:space="0"/>
            </w:tcBorders>
            <w:vAlign w:val="center"/>
          </w:tcPr>
          <w:p w14:paraId="57BB5F95">
            <w:pPr>
              <w:widowControl/>
              <w:jc w:val="left"/>
              <w:rPr>
                <w:color w:val="auto"/>
                <w:szCs w:val="21"/>
              </w:rPr>
            </w:pPr>
            <w:r>
              <w:rPr>
                <w:rFonts w:hint="eastAsia"/>
                <w:color w:val="auto"/>
                <w:szCs w:val="21"/>
              </w:rPr>
              <w:t>100≤X＜300</w:t>
            </w:r>
          </w:p>
        </w:tc>
        <w:tc>
          <w:tcPr>
            <w:tcW w:w="1570" w:type="dxa"/>
            <w:tcBorders>
              <w:top w:val="nil"/>
              <w:left w:val="nil"/>
              <w:bottom w:val="single" w:color="auto" w:sz="4" w:space="0"/>
              <w:right w:val="single" w:color="auto" w:sz="4" w:space="0"/>
            </w:tcBorders>
            <w:vAlign w:val="center"/>
          </w:tcPr>
          <w:p w14:paraId="4A4EAA86">
            <w:pPr>
              <w:widowControl/>
              <w:jc w:val="left"/>
              <w:rPr>
                <w:color w:val="auto"/>
                <w:szCs w:val="21"/>
              </w:rPr>
            </w:pPr>
            <w:r>
              <w:rPr>
                <w:rFonts w:hint="eastAsia"/>
                <w:color w:val="auto"/>
                <w:szCs w:val="21"/>
              </w:rPr>
              <w:t>10≤X＜100</w:t>
            </w:r>
          </w:p>
        </w:tc>
        <w:tc>
          <w:tcPr>
            <w:tcW w:w="1009" w:type="dxa"/>
            <w:tcBorders>
              <w:top w:val="nil"/>
              <w:left w:val="nil"/>
              <w:bottom w:val="single" w:color="auto" w:sz="4" w:space="0"/>
              <w:right w:val="single" w:color="auto" w:sz="4" w:space="0"/>
            </w:tcBorders>
            <w:vAlign w:val="center"/>
          </w:tcPr>
          <w:p w14:paraId="46F0B6E3">
            <w:pPr>
              <w:widowControl/>
              <w:jc w:val="left"/>
              <w:rPr>
                <w:color w:val="auto"/>
                <w:szCs w:val="21"/>
              </w:rPr>
            </w:pPr>
            <w:r>
              <w:rPr>
                <w:rFonts w:hint="eastAsia"/>
                <w:color w:val="auto"/>
                <w:szCs w:val="21"/>
              </w:rPr>
              <w:t>X＜10</w:t>
            </w:r>
          </w:p>
        </w:tc>
      </w:tr>
      <w:tr w14:paraId="306F4CE3">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24BD7F02">
            <w:pPr>
              <w:widowControl/>
              <w:jc w:val="left"/>
              <w:rPr>
                <w:color w:val="auto"/>
                <w:szCs w:val="21"/>
              </w:rPr>
            </w:pPr>
          </w:p>
        </w:tc>
        <w:tc>
          <w:tcPr>
            <w:tcW w:w="1701" w:type="dxa"/>
            <w:tcBorders>
              <w:top w:val="nil"/>
              <w:left w:val="nil"/>
              <w:bottom w:val="single" w:color="auto" w:sz="4" w:space="0"/>
              <w:right w:val="single" w:color="auto" w:sz="4" w:space="0"/>
            </w:tcBorders>
            <w:vAlign w:val="center"/>
          </w:tcPr>
          <w:p w14:paraId="14BE3770">
            <w:pPr>
              <w:widowControl/>
              <w:jc w:val="left"/>
              <w:rPr>
                <w:color w:val="auto"/>
                <w:szCs w:val="21"/>
              </w:rPr>
            </w:pPr>
            <w:r>
              <w:rPr>
                <w:rFonts w:hint="eastAsia"/>
                <w:color w:val="auto"/>
                <w:szCs w:val="21"/>
              </w:rPr>
              <w:t>营业收入（Y）</w:t>
            </w:r>
          </w:p>
        </w:tc>
        <w:tc>
          <w:tcPr>
            <w:tcW w:w="1134" w:type="dxa"/>
            <w:tcBorders>
              <w:top w:val="nil"/>
              <w:left w:val="nil"/>
              <w:bottom w:val="single" w:color="auto" w:sz="4" w:space="0"/>
              <w:right w:val="single" w:color="auto" w:sz="4" w:space="0"/>
            </w:tcBorders>
            <w:vAlign w:val="center"/>
          </w:tcPr>
          <w:p w14:paraId="606170A5">
            <w:pPr>
              <w:widowControl/>
              <w:jc w:val="left"/>
              <w:rPr>
                <w:color w:val="auto"/>
                <w:szCs w:val="21"/>
              </w:rPr>
            </w:pPr>
            <w:r>
              <w:rPr>
                <w:rFonts w:hint="eastAsia"/>
                <w:color w:val="auto"/>
                <w:szCs w:val="21"/>
              </w:rPr>
              <w:t>万元</w:t>
            </w:r>
          </w:p>
        </w:tc>
        <w:tc>
          <w:tcPr>
            <w:tcW w:w="1846" w:type="dxa"/>
            <w:tcBorders>
              <w:top w:val="nil"/>
              <w:left w:val="nil"/>
              <w:bottom w:val="single" w:color="auto" w:sz="4" w:space="0"/>
              <w:right w:val="single" w:color="auto" w:sz="4" w:space="0"/>
            </w:tcBorders>
            <w:vAlign w:val="center"/>
          </w:tcPr>
          <w:p w14:paraId="152B432F">
            <w:pPr>
              <w:widowControl/>
              <w:jc w:val="left"/>
              <w:rPr>
                <w:color w:val="auto"/>
                <w:szCs w:val="21"/>
              </w:rPr>
            </w:pPr>
            <w:r>
              <w:rPr>
                <w:rFonts w:hint="eastAsia"/>
                <w:color w:val="auto"/>
                <w:szCs w:val="21"/>
              </w:rPr>
              <w:t>1000≤Y＜10000</w:t>
            </w:r>
          </w:p>
        </w:tc>
        <w:tc>
          <w:tcPr>
            <w:tcW w:w="1570" w:type="dxa"/>
            <w:tcBorders>
              <w:top w:val="nil"/>
              <w:left w:val="nil"/>
              <w:bottom w:val="single" w:color="auto" w:sz="4" w:space="0"/>
              <w:right w:val="single" w:color="auto" w:sz="4" w:space="0"/>
            </w:tcBorders>
            <w:vAlign w:val="center"/>
          </w:tcPr>
          <w:p w14:paraId="37BD225D">
            <w:pPr>
              <w:widowControl/>
              <w:jc w:val="left"/>
              <w:rPr>
                <w:color w:val="auto"/>
                <w:szCs w:val="21"/>
              </w:rPr>
            </w:pPr>
            <w:r>
              <w:rPr>
                <w:rFonts w:hint="eastAsia"/>
                <w:color w:val="auto"/>
                <w:szCs w:val="21"/>
              </w:rPr>
              <w:t>50≤Y＜1000</w:t>
            </w:r>
          </w:p>
        </w:tc>
        <w:tc>
          <w:tcPr>
            <w:tcW w:w="1009" w:type="dxa"/>
            <w:tcBorders>
              <w:top w:val="nil"/>
              <w:left w:val="nil"/>
              <w:bottom w:val="single" w:color="auto" w:sz="4" w:space="0"/>
              <w:right w:val="single" w:color="auto" w:sz="4" w:space="0"/>
            </w:tcBorders>
            <w:vAlign w:val="center"/>
          </w:tcPr>
          <w:p w14:paraId="6DDC1DC7">
            <w:pPr>
              <w:widowControl/>
              <w:jc w:val="left"/>
              <w:rPr>
                <w:color w:val="auto"/>
                <w:szCs w:val="21"/>
              </w:rPr>
            </w:pPr>
            <w:r>
              <w:rPr>
                <w:rFonts w:hint="eastAsia"/>
                <w:color w:val="auto"/>
                <w:szCs w:val="21"/>
              </w:rPr>
              <w:t>Y＜50</w:t>
            </w:r>
          </w:p>
        </w:tc>
      </w:tr>
      <w:tr w14:paraId="19DE27D2">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38E56207">
            <w:pPr>
              <w:widowControl/>
              <w:jc w:val="center"/>
              <w:rPr>
                <w:color w:val="auto"/>
                <w:szCs w:val="21"/>
              </w:rPr>
            </w:pPr>
            <w:r>
              <w:rPr>
                <w:rFonts w:hint="eastAsia"/>
                <w:color w:val="auto"/>
                <w:szCs w:val="21"/>
              </w:rPr>
              <w:t>房地产开发经营</w:t>
            </w:r>
          </w:p>
        </w:tc>
        <w:tc>
          <w:tcPr>
            <w:tcW w:w="1701" w:type="dxa"/>
            <w:tcBorders>
              <w:top w:val="nil"/>
              <w:left w:val="nil"/>
              <w:bottom w:val="single" w:color="auto" w:sz="4" w:space="0"/>
              <w:right w:val="single" w:color="auto" w:sz="4" w:space="0"/>
            </w:tcBorders>
            <w:vAlign w:val="center"/>
          </w:tcPr>
          <w:p w14:paraId="52EE7DE9">
            <w:pPr>
              <w:widowControl/>
              <w:jc w:val="left"/>
              <w:rPr>
                <w:color w:val="auto"/>
                <w:szCs w:val="21"/>
              </w:rPr>
            </w:pPr>
            <w:r>
              <w:rPr>
                <w:rFonts w:hint="eastAsia"/>
                <w:color w:val="auto"/>
                <w:szCs w:val="21"/>
              </w:rPr>
              <w:t>营业收入（Y）</w:t>
            </w:r>
          </w:p>
        </w:tc>
        <w:tc>
          <w:tcPr>
            <w:tcW w:w="1134" w:type="dxa"/>
            <w:tcBorders>
              <w:top w:val="nil"/>
              <w:left w:val="nil"/>
              <w:bottom w:val="single" w:color="auto" w:sz="4" w:space="0"/>
              <w:right w:val="single" w:color="auto" w:sz="4" w:space="0"/>
            </w:tcBorders>
            <w:vAlign w:val="center"/>
          </w:tcPr>
          <w:p w14:paraId="2261258B">
            <w:pPr>
              <w:widowControl/>
              <w:jc w:val="left"/>
              <w:rPr>
                <w:color w:val="auto"/>
                <w:szCs w:val="21"/>
              </w:rPr>
            </w:pPr>
            <w:r>
              <w:rPr>
                <w:rFonts w:hint="eastAsia"/>
                <w:color w:val="auto"/>
                <w:szCs w:val="21"/>
              </w:rPr>
              <w:t>万元</w:t>
            </w:r>
          </w:p>
        </w:tc>
        <w:tc>
          <w:tcPr>
            <w:tcW w:w="1846" w:type="dxa"/>
            <w:tcBorders>
              <w:top w:val="nil"/>
              <w:left w:val="nil"/>
              <w:bottom w:val="single" w:color="auto" w:sz="4" w:space="0"/>
              <w:right w:val="single" w:color="auto" w:sz="4" w:space="0"/>
            </w:tcBorders>
            <w:vAlign w:val="center"/>
          </w:tcPr>
          <w:p w14:paraId="03EA0D6E">
            <w:pPr>
              <w:widowControl/>
              <w:jc w:val="left"/>
              <w:rPr>
                <w:color w:val="auto"/>
                <w:szCs w:val="21"/>
              </w:rPr>
            </w:pPr>
            <w:r>
              <w:rPr>
                <w:rFonts w:hint="eastAsia"/>
                <w:color w:val="auto"/>
                <w:szCs w:val="21"/>
              </w:rPr>
              <w:t>1000≤Y＜200000</w:t>
            </w:r>
          </w:p>
        </w:tc>
        <w:tc>
          <w:tcPr>
            <w:tcW w:w="1570" w:type="dxa"/>
            <w:tcBorders>
              <w:top w:val="nil"/>
              <w:left w:val="nil"/>
              <w:bottom w:val="single" w:color="auto" w:sz="4" w:space="0"/>
              <w:right w:val="single" w:color="auto" w:sz="4" w:space="0"/>
            </w:tcBorders>
            <w:vAlign w:val="center"/>
          </w:tcPr>
          <w:p w14:paraId="4511F6D3">
            <w:pPr>
              <w:widowControl/>
              <w:jc w:val="left"/>
              <w:rPr>
                <w:color w:val="auto"/>
                <w:szCs w:val="21"/>
              </w:rPr>
            </w:pPr>
            <w:r>
              <w:rPr>
                <w:rFonts w:hint="eastAsia"/>
                <w:color w:val="auto"/>
                <w:szCs w:val="21"/>
              </w:rPr>
              <w:t>100≤X＜1000</w:t>
            </w:r>
          </w:p>
        </w:tc>
        <w:tc>
          <w:tcPr>
            <w:tcW w:w="1009" w:type="dxa"/>
            <w:tcBorders>
              <w:top w:val="nil"/>
              <w:left w:val="nil"/>
              <w:bottom w:val="single" w:color="auto" w:sz="4" w:space="0"/>
              <w:right w:val="single" w:color="auto" w:sz="4" w:space="0"/>
            </w:tcBorders>
            <w:vAlign w:val="center"/>
          </w:tcPr>
          <w:p w14:paraId="5D36C987">
            <w:pPr>
              <w:widowControl/>
              <w:jc w:val="left"/>
              <w:rPr>
                <w:color w:val="auto"/>
                <w:szCs w:val="21"/>
              </w:rPr>
            </w:pPr>
            <w:r>
              <w:rPr>
                <w:rFonts w:hint="eastAsia"/>
                <w:color w:val="auto"/>
                <w:szCs w:val="21"/>
              </w:rPr>
              <w:t>X＜100</w:t>
            </w:r>
          </w:p>
        </w:tc>
      </w:tr>
      <w:tr w14:paraId="3975D64A">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7AAA6CB7">
            <w:pPr>
              <w:widowControl/>
              <w:jc w:val="left"/>
              <w:rPr>
                <w:color w:val="auto"/>
                <w:szCs w:val="21"/>
              </w:rPr>
            </w:pPr>
          </w:p>
        </w:tc>
        <w:tc>
          <w:tcPr>
            <w:tcW w:w="1701" w:type="dxa"/>
            <w:tcBorders>
              <w:top w:val="nil"/>
              <w:left w:val="nil"/>
              <w:bottom w:val="single" w:color="auto" w:sz="4" w:space="0"/>
              <w:right w:val="single" w:color="auto" w:sz="4" w:space="0"/>
            </w:tcBorders>
            <w:vAlign w:val="center"/>
          </w:tcPr>
          <w:p w14:paraId="7719A8FB">
            <w:pPr>
              <w:widowControl/>
              <w:jc w:val="left"/>
              <w:rPr>
                <w:color w:val="auto"/>
                <w:szCs w:val="21"/>
              </w:rPr>
            </w:pPr>
            <w:r>
              <w:rPr>
                <w:rFonts w:hint="eastAsia"/>
                <w:color w:val="auto"/>
                <w:szCs w:val="21"/>
              </w:rPr>
              <w:t>资产总额（Z）</w:t>
            </w:r>
          </w:p>
        </w:tc>
        <w:tc>
          <w:tcPr>
            <w:tcW w:w="1134" w:type="dxa"/>
            <w:tcBorders>
              <w:top w:val="nil"/>
              <w:left w:val="nil"/>
              <w:bottom w:val="single" w:color="auto" w:sz="4" w:space="0"/>
              <w:right w:val="single" w:color="auto" w:sz="4" w:space="0"/>
            </w:tcBorders>
            <w:vAlign w:val="center"/>
          </w:tcPr>
          <w:p w14:paraId="2E7492CE">
            <w:pPr>
              <w:widowControl/>
              <w:jc w:val="left"/>
              <w:rPr>
                <w:color w:val="auto"/>
                <w:szCs w:val="21"/>
              </w:rPr>
            </w:pPr>
            <w:r>
              <w:rPr>
                <w:rFonts w:hint="eastAsia"/>
                <w:color w:val="auto"/>
                <w:szCs w:val="21"/>
              </w:rPr>
              <w:t>万元</w:t>
            </w:r>
          </w:p>
        </w:tc>
        <w:tc>
          <w:tcPr>
            <w:tcW w:w="1846" w:type="dxa"/>
            <w:tcBorders>
              <w:top w:val="nil"/>
              <w:left w:val="nil"/>
              <w:bottom w:val="single" w:color="auto" w:sz="4" w:space="0"/>
              <w:right w:val="single" w:color="auto" w:sz="4" w:space="0"/>
            </w:tcBorders>
            <w:vAlign w:val="center"/>
          </w:tcPr>
          <w:p w14:paraId="4930B8C9">
            <w:pPr>
              <w:widowControl/>
              <w:jc w:val="left"/>
              <w:rPr>
                <w:color w:val="auto"/>
                <w:szCs w:val="21"/>
              </w:rPr>
            </w:pPr>
            <w:r>
              <w:rPr>
                <w:rFonts w:hint="eastAsia"/>
                <w:color w:val="auto"/>
                <w:szCs w:val="21"/>
              </w:rPr>
              <w:t>5000≤Z＜10000</w:t>
            </w:r>
          </w:p>
        </w:tc>
        <w:tc>
          <w:tcPr>
            <w:tcW w:w="1570" w:type="dxa"/>
            <w:tcBorders>
              <w:top w:val="nil"/>
              <w:left w:val="nil"/>
              <w:bottom w:val="single" w:color="auto" w:sz="4" w:space="0"/>
              <w:right w:val="single" w:color="auto" w:sz="4" w:space="0"/>
            </w:tcBorders>
            <w:vAlign w:val="center"/>
          </w:tcPr>
          <w:p w14:paraId="6D2DC997">
            <w:pPr>
              <w:widowControl/>
              <w:jc w:val="left"/>
              <w:rPr>
                <w:color w:val="auto"/>
                <w:szCs w:val="21"/>
              </w:rPr>
            </w:pPr>
            <w:r>
              <w:rPr>
                <w:rFonts w:hint="eastAsia"/>
                <w:color w:val="auto"/>
                <w:szCs w:val="21"/>
              </w:rPr>
              <w:t>2000≤Y＜5000</w:t>
            </w:r>
          </w:p>
        </w:tc>
        <w:tc>
          <w:tcPr>
            <w:tcW w:w="1009" w:type="dxa"/>
            <w:tcBorders>
              <w:top w:val="nil"/>
              <w:left w:val="nil"/>
              <w:bottom w:val="single" w:color="auto" w:sz="4" w:space="0"/>
              <w:right w:val="single" w:color="auto" w:sz="4" w:space="0"/>
            </w:tcBorders>
            <w:vAlign w:val="center"/>
          </w:tcPr>
          <w:p w14:paraId="109B8624">
            <w:pPr>
              <w:widowControl/>
              <w:jc w:val="left"/>
              <w:rPr>
                <w:color w:val="auto"/>
                <w:szCs w:val="21"/>
              </w:rPr>
            </w:pPr>
            <w:r>
              <w:rPr>
                <w:rFonts w:hint="eastAsia"/>
                <w:color w:val="auto"/>
                <w:szCs w:val="21"/>
              </w:rPr>
              <w:t>Y＜2000</w:t>
            </w:r>
          </w:p>
        </w:tc>
      </w:tr>
      <w:tr w14:paraId="63E8CE0E">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78AAAC19">
            <w:pPr>
              <w:widowControl/>
              <w:jc w:val="center"/>
              <w:rPr>
                <w:color w:val="auto"/>
                <w:szCs w:val="21"/>
              </w:rPr>
            </w:pPr>
            <w:r>
              <w:rPr>
                <w:rFonts w:hint="eastAsia"/>
                <w:color w:val="auto"/>
                <w:szCs w:val="21"/>
              </w:rPr>
              <w:t>物业管理</w:t>
            </w:r>
          </w:p>
        </w:tc>
        <w:tc>
          <w:tcPr>
            <w:tcW w:w="1701" w:type="dxa"/>
            <w:tcBorders>
              <w:top w:val="nil"/>
              <w:left w:val="nil"/>
              <w:bottom w:val="single" w:color="auto" w:sz="4" w:space="0"/>
              <w:right w:val="single" w:color="auto" w:sz="4" w:space="0"/>
            </w:tcBorders>
            <w:vAlign w:val="center"/>
          </w:tcPr>
          <w:p w14:paraId="46992568">
            <w:pPr>
              <w:widowControl/>
              <w:jc w:val="left"/>
              <w:rPr>
                <w:color w:val="auto"/>
                <w:szCs w:val="21"/>
              </w:rPr>
            </w:pPr>
            <w:r>
              <w:rPr>
                <w:rFonts w:hint="eastAsia"/>
                <w:color w:val="auto"/>
                <w:szCs w:val="21"/>
              </w:rPr>
              <w:t>从业人员（X）</w:t>
            </w:r>
          </w:p>
        </w:tc>
        <w:tc>
          <w:tcPr>
            <w:tcW w:w="1134" w:type="dxa"/>
            <w:tcBorders>
              <w:top w:val="nil"/>
              <w:left w:val="nil"/>
              <w:bottom w:val="single" w:color="auto" w:sz="4" w:space="0"/>
              <w:right w:val="single" w:color="auto" w:sz="4" w:space="0"/>
            </w:tcBorders>
            <w:vAlign w:val="center"/>
          </w:tcPr>
          <w:p w14:paraId="7C3CD707">
            <w:pPr>
              <w:widowControl/>
              <w:jc w:val="left"/>
              <w:rPr>
                <w:color w:val="auto"/>
                <w:szCs w:val="21"/>
              </w:rPr>
            </w:pPr>
            <w:r>
              <w:rPr>
                <w:rFonts w:hint="eastAsia"/>
                <w:color w:val="auto"/>
                <w:szCs w:val="21"/>
              </w:rPr>
              <w:t>人</w:t>
            </w:r>
          </w:p>
        </w:tc>
        <w:tc>
          <w:tcPr>
            <w:tcW w:w="1846" w:type="dxa"/>
            <w:tcBorders>
              <w:top w:val="nil"/>
              <w:left w:val="nil"/>
              <w:bottom w:val="single" w:color="auto" w:sz="4" w:space="0"/>
              <w:right w:val="single" w:color="auto" w:sz="4" w:space="0"/>
            </w:tcBorders>
            <w:vAlign w:val="center"/>
          </w:tcPr>
          <w:p w14:paraId="451215FD">
            <w:pPr>
              <w:widowControl/>
              <w:jc w:val="left"/>
              <w:rPr>
                <w:color w:val="auto"/>
                <w:szCs w:val="21"/>
              </w:rPr>
            </w:pPr>
            <w:r>
              <w:rPr>
                <w:rFonts w:hint="eastAsia"/>
                <w:color w:val="auto"/>
                <w:szCs w:val="21"/>
              </w:rPr>
              <w:t>300≤X＜1000</w:t>
            </w:r>
          </w:p>
        </w:tc>
        <w:tc>
          <w:tcPr>
            <w:tcW w:w="1570" w:type="dxa"/>
            <w:tcBorders>
              <w:top w:val="nil"/>
              <w:left w:val="nil"/>
              <w:bottom w:val="single" w:color="auto" w:sz="4" w:space="0"/>
              <w:right w:val="single" w:color="auto" w:sz="4" w:space="0"/>
            </w:tcBorders>
            <w:vAlign w:val="center"/>
          </w:tcPr>
          <w:p w14:paraId="61E25ADB">
            <w:pPr>
              <w:widowControl/>
              <w:jc w:val="left"/>
              <w:rPr>
                <w:color w:val="auto"/>
                <w:szCs w:val="21"/>
              </w:rPr>
            </w:pPr>
            <w:r>
              <w:rPr>
                <w:rFonts w:hint="eastAsia"/>
                <w:color w:val="auto"/>
                <w:szCs w:val="21"/>
              </w:rPr>
              <w:t>100≤X＜300</w:t>
            </w:r>
          </w:p>
        </w:tc>
        <w:tc>
          <w:tcPr>
            <w:tcW w:w="1009" w:type="dxa"/>
            <w:tcBorders>
              <w:top w:val="nil"/>
              <w:left w:val="nil"/>
              <w:bottom w:val="single" w:color="auto" w:sz="4" w:space="0"/>
              <w:right w:val="single" w:color="auto" w:sz="4" w:space="0"/>
            </w:tcBorders>
            <w:vAlign w:val="center"/>
          </w:tcPr>
          <w:p w14:paraId="43C47C7E">
            <w:pPr>
              <w:widowControl/>
              <w:jc w:val="left"/>
              <w:rPr>
                <w:color w:val="auto"/>
                <w:szCs w:val="21"/>
              </w:rPr>
            </w:pPr>
            <w:r>
              <w:rPr>
                <w:rFonts w:hint="eastAsia"/>
                <w:color w:val="auto"/>
                <w:szCs w:val="21"/>
              </w:rPr>
              <w:t>X＜100</w:t>
            </w:r>
          </w:p>
        </w:tc>
      </w:tr>
      <w:tr w14:paraId="1306EF0B">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7535D895">
            <w:pPr>
              <w:widowControl/>
              <w:jc w:val="left"/>
              <w:rPr>
                <w:color w:val="auto"/>
                <w:szCs w:val="21"/>
              </w:rPr>
            </w:pPr>
          </w:p>
        </w:tc>
        <w:tc>
          <w:tcPr>
            <w:tcW w:w="1701" w:type="dxa"/>
            <w:tcBorders>
              <w:top w:val="nil"/>
              <w:left w:val="nil"/>
              <w:bottom w:val="single" w:color="auto" w:sz="4" w:space="0"/>
              <w:right w:val="single" w:color="auto" w:sz="4" w:space="0"/>
            </w:tcBorders>
            <w:vAlign w:val="center"/>
          </w:tcPr>
          <w:p w14:paraId="2DC2C2BE">
            <w:pPr>
              <w:widowControl/>
              <w:jc w:val="left"/>
              <w:rPr>
                <w:color w:val="auto"/>
                <w:szCs w:val="21"/>
              </w:rPr>
            </w:pPr>
            <w:r>
              <w:rPr>
                <w:rFonts w:hint="eastAsia"/>
                <w:color w:val="auto"/>
                <w:szCs w:val="21"/>
              </w:rPr>
              <w:t>营业收入（Y）</w:t>
            </w:r>
          </w:p>
        </w:tc>
        <w:tc>
          <w:tcPr>
            <w:tcW w:w="1134" w:type="dxa"/>
            <w:tcBorders>
              <w:top w:val="nil"/>
              <w:left w:val="nil"/>
              <w:bottom w:val="single" w:color="auto" w:sz="4" w:space="0"/>
              <w:right w:val="single" w:color="auto" w:sz="4" w:space="0"/>
            </w:tcBorders>
            <w:vAlign w:val="center"/>
          </w:tcPr>
          <w:p w14:paraId="23B5BB2E">
            <w:pPr>
              <w:widowControl/>
              <w:jc w:val="left"/>
              <w:rPr>
                <w:color w:val="auto"/>
                <w:szCs w:val="21"/>
              </w:rPr>
            </w:pPr>
            <w:r>
              <w:rPr>
                <w:rFonts w:hint="eastAsia"/>
                <w:color w:val="auto"/>
                <w:szCs w:val="21"/>
              </w:rPr>
              <w:t>万元</w:t>
            </w:r>
          </w:p>
        </w:tc>
        <w:tc>
          <w:tcPr>
            <w:tcW w:w="1846" w:type="dxa"/>
            <w:tcBorders>
              <w:top w:val="nil"/>
              <w:left w:val="nil"/>
              <w:bottom w:val="single" w:color="auto" w:sz="4" w:space="0"/>
              <w:right w:val="single" w:color="auto" w:sz="4" w:space="0"/>
            </w:tcBorders>
            <w:vAlign w:val="center"/>
          </w:tcPr>
          <w:p w14:paraId="0DDAAA7B">
            <w:pPr>
              <w:widowControl/>
              <w:jc w:val="left"/>
              <w:rPr>
                <w:color w:val="auto"/>
                <w:szCs w:val="21"/>
              </w:rPr>
            </w:pPr>
            <w:r>
              <w:rPr>
                <w:rFonts w:hint="eastAsia"/>
                <w:color w:val="auto"/>
                <w:szCs w:val="21"/>
              </w:rPr>
              <w:t>1000≤Y＜5000</w:t>
            </w:r>
          </w:p>
        </w:tc>
        <w:tc>
          <w:tcPr>
            <w:tcW w:w="1570" w:type="dxa"/>
            <w:tcBorders>
              <w:top w:val="nil"/>
              <w:left w:val="nil"/>
              <w:bottom w:val="single" w:color="auto" w:sz="4" w:space="0"/>
              <w:right w:val="single" w:color="auto" w:sz="4" w:space="0"/>
            </w:tcBorders>
            <w:vAlign w:val="center"/>
          </w:tcPr>
          <w:p w14:paraId="18CAF133">
            <w:pPr>
              <w:widowControl/>
              <w:jc w:val="left"/>
              <w:rPr>
                <w:color w:val="auto"/>
                <w:szCs w:val="21"/>
              </w:rPr>
            </w:pPr>
            <w:r>
              <w:rPr>
                <w:rFonts w:hint="eastAsia"/>
                <w:color w:val="auto"/>
                <w:szCs w:val="21"/>
              </w:rPr>
              <w:t>500≤Y＜1000</w:t>
            </w:r>
          </w:p>
        </w:tc>
        <w:tc>
          <w:tcPr>
            <w:tcW w:w="1009" w:type="dxa"/>
            <w:tcBorders>
              <w:top w:val="nil"/>
              <w:left w:val="nil"/>
              <w:bottom w:val="single" w:color="auto" w:sz="4" w:space="0"/>
              <w:right w:val="single" w:color="auto" w:sz="4" w:space="0"/>
            </w:tcBorders>
            <w:vAlign w:val="center"/>
          </w:tcPr>
          <w:p w14:paraId="3C93F410">
            <w:pPr>
              <w:widowControl/>
              <w:jc w:val="left"/>
              <w:rPr>
                <w:color w:val="auto"/>
                <w:szCs w:val="21"/>
              </w:rPr>
            </w:pPr>
            <w:r>
              <w:rPr>
                <w:rFonts w:hint="eastAsia"/>
                <w:color w:val="auto"/>
                <w:szCs w:val="21"/>
              </w:rPr>
              <w:t>Y＜500</w:t>
            </w:r>
          </w:p>
        </w:tc>
      </w:tr>
      <w:tr w14:paraId="310287B7">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0C0D3BB0">
            <w:pPr>
              <w:widowControl/>
              <w:jc w:val="center"/>
              <w:rPr>
                <w:color w:val="auto"/>
                <w:szCs w:val="21"/>
              </w:rPr>
            </w:pPr>
            <w:r>
              <w:rPr>
                <w:rFonts w:hint="eastAsia"/>
                <w:color w:val="auto"/>
                <w:szCs w:val="21"/>
              </w:rPr>
              <w:t>租赁和商务服务业</w:t>
            </w:r>
          </w:p>
        </w:tc>
        <w:tc>
          <w:tcPr>
            <w:tcW w:w="1701" w:type="dxa"/>
            <w:tcBorders>
              <w:top w:val="nil"/>
              <w:left w:val="nil"/>
              <w:bottom w:val="single" w:color="auto" w:sz="4" w:space="0"/>
              <w:right w:val="single" w:color="auto" w:sz="4" w:space="0"/>
            </w:tcBorders>
            <w:vAlign w:val="center"/>
          </w:tcPr>
          <w:p w14:paraId="72B7755F">
            <w:pPr>
              <w:widowControl/>
              <w:jc w:val="left"/>
              <w:rPr>
                <w:color w:val="auto"/>
                <w:szCs w:val="21"/>
              </w:rPr>
            </w:pPr>
            <w:r>
              <w:rPr>
                <w:rFonts w:hint="eastAsia"/>
                <w:color w:val="auto"/>
                <w:szCs w:val="21"/>
              </w:rPr>
              <w:t>从业人员（X）</w:t>
            </w:r>
          </w:p>
        </w:tc>
        <w:tc>
          <w:tcPr>
            <w:tcW w:w="1134" w:type="dxa"/>
            <w:tcBorders>
              <w:top w:val="nil"/>
              <w:left w:val="nil"/>
              <w:bottom w:val="single" w:color="auto" w:sz="4" w:space="0"/>
              <w:right w:val="single" w:color="auto" w:sz="4" w:space="0"/>
            </w:tcBorders>
            <w:vAlign w:val="center"/>
          </w:tcPr>
          <w:p w14:paraId="031EC4B0">
            <w:pPr>
              <w:widowControl/>
              <w:jc w:val="left"/>
              <w:rPr>
                <w:color w:val="auto"/>
                <w:szCs w:val="21"/>
              </w:rPr>
            </w:pPr>
            <w:r>
              <w:rPr>
                <w:rFonts w:hint="eastAsia"/>
                <w:color w:val="auto"/>
                <w:szCs w:val="21"/>
              </w:rPr>
              <w:t>人</w:t>
            </w:r>
          </w:p>
        </w:tc>
        <w:tc>
          <w:tcPr>
            <w:tcW w:w="1846" w:type="dxa"/>
            <w:tcBorders>
              <w:top w:val="nil"/>
              <w:left w:val="nil"/>
              <w:bottom w:val="single" w:color="auto" w:sz="4" w:space="0"/>
              <w:right w:val="single" w:color="auto" w:sz="4" w:space="0"/>
            </w:tcBorders>
            <w:vAlign w:val="center"/>
          </w:tcPr>
          <w:p w14:paraId="4E6C3B20">
            <w:pPr>
              <w:widowControl/>
              <w:jc w:val="left"/>
              <w:rPr>
                <w:color w:val="auto"/>
                <w:szCs w:val="21"/>
              </w:rPr>
            </w:pPr>
            <w:r>
              <w:rPr>
                <w:rFonts w:hint="eastAsia"/>
                <w:color w:val="auto"/>
                <w:szCs w:val="21"/>
              </w:rPr>
              <w:t>100≤X＜300</w:t>
            </w:r>
          </w:p>
        </w:tc>
        <w:tc>
          <w:tcPr>
            <w:tcW w:w="1570" w:type="dxa"/>
            <w:tcBorders>
              <w:top w:val="nil"/>
              <w:left w:val="nil"/>
              <w:bottom w:val="single" w:color="auto" w:sz="4" w:space="0"/>
              <w:right w:val="single" w:color="auto" w:sz="4" w:space="0"/>
            </w:tcBorders>
            <w:vAlign w:val="center"/>
          </w:tcPr>
          <w:p w14:paraId="29251465">
            <w:pPr>
              <w:widowControl/>
              <w:jc w:val="left"/>
              <w:rPr>
                <w:color w:val="auto"/>
                <w:szCs w:val="21"/>
              </w:rPr>
            </w:pPr>
            <w:r>
              <w:rPr>
                <w:rFonts w:hint="eastAsia"/>
                <w:color w:val="auto"/>
                <w:szCs w:val="21"/>
              </w:rPr>
              <w:t>10≤X＜100</w:t>
            </w:r>
          </w:p>
        </w:tc>
        <w:tc>
          <w:tcPr>
            <w:tcW w:w="1009" w:type="dxa"/>
            <w:tcBorders>
              <w:top w:val="nil"/>
              <w:left w:val="nil"/>
              <w:bottom w:val="single" w:color="auto" w:sz="4" w:space="0"/>
              <w:right w:val="single" w:color="auto" w:sz="4" w:space="0"/>
            </w:tcBorders>
            <w:vAlign w:val="center"/>
          </w:tcPr>
          <w:p w14:paraId="0E8C220A">
            <w:pPr>
              <w:widowControl/>
              <w:jc w:val="left"/>
              <w:rPr>
                <w:color w:val="auto"/>
                <w:szCs w:val="21"/>
              </w:rPr>
            </w:pPr>
            <w:r>
              <w:rPr>
                <w:rFonts w:hint="eastAsia"/>
                <w:color w:val="auto"/>
                <w:szCs w:val="21"/>
              </w:rPr>
              <w:t>X＜10</w:t>
            </w:r>
          </w:p>
        </w:tc>
      </w:tr>
      <w:tr w14:paraId="54B9BEAC">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491D4628">
            <w:pPr>
              <w:widowControl/>
              <w:jc w:val="left"/>
              <w:rPr>
                <w:color w:val="auto"/>
                <w:szCs w:val="21"/>
              </w:rPr>
            </w:pPr>
          </w:p>
        </w:tc>
        <w:tc>
          <w:tcPr>
            <w:tcW w:w="1701" w:type="dxa"/>
            <w:tcBorders>
              <w:top w:val="nil"/>
              <w:left w:val="nil"/>
              <w:bottom w:val="single" w:color="auto" w:sz="4" w:space="0"/>
              <w:right w:val="single" w:color="auto" w:sz="4" w:space="0"/>
            </w:tcBorders>
            <w:vAlign w:val="center"/>
          </w:tcPr>
          <w:p w14:paraId="03193BBC">
            <w:pPr>
              <w:widowControl/>
              <w:jc w:val="left"/>
              <w:rPr>
                <w:color w:val="auto"/>
                <w:szCs w:val="21"/>
              </w:rPr>
            </w:pPr>
            <w:r>
              <w:rPr>
                <w:rFonts w:hint="eastAsia"/>
                <w:color w:val="auto"/>
                <w:szCs w:val="21"/>
              </w:rPr>
              <w:t>资产总额（Z）</w:t>
            </w:r>
          </w:p>
        </w:tc>
        <w:tc>
          <w:tcPr>
            <w:tcW w:w="1134" w:type="dxa"/>
            <w:tcBorders>
              <w:top w:val="nil"/>
              <w:left w:val="nil"/>
              <w:bottom w:val="single" w:color="auto" w:sz="4" w:space="0"/>
              <w:right w:val="single" w:color="auto" w:sz="4" w:space="0"/>
            </w:tcBorders>
            <w:vAlign w:val="center"/>
          </w:tcPr>
          <w:p w14:paraId="7A154E8B">
            <w:pPr>
              <w:widowControl/>
              <w:jc w:val="left"/>
              <w:rPr>
                <w:color w:val="auto"/>
                <w:szCs w:val="21"/>
              </w:rPr>
            </w:pPr>
            <w:r>
              <w:rPr>
                <w:rFonts w:hint="eastAsia"/>
                <w:color w:val="auto"/>
                <w:szCs w:val="21"/>
              </w:rPr>
              <w:t>万元</w:t>
            </w:r>
          </w:p>
        </w:tc>
        <w:tc>
          <w:tcPr>
            <w:tcW w:w="1846" w:type="dxa"/>
            <w:tcBorders>
              <w:top w:val="nil"/>
              <w:left w:val="nil"/>
              <w:bottom w:val="single" w:color="auto" w:sz="4" w:space="0"/>
              <w:right w:val="single" w:color="auto" w:sz="4" w:space="0"/>
            </w:tcBorders>
            <w:vAlign w:val="center"/>
          </w:tcPr>
          <w:p w14:paraId="1E7333FF">
            <w:pPr>
              <w:widowControl/>
              <w:jc w:val="left"/>
              <w:rPr>
                <w:color w:val="auto"/>
                <w:szCs w:val="21"/>
              </w:rPr>
            </w:pPr>
            <w:r>
              <w:rPr>
                <w:rFonts w:hint="eastAsia"/>
                <w:color w:val="auto"/>
                <w:szCs w:val="21"/>
              </w:rPr>
              <w:t>8000≤Z＜120000</w:t>
            </w:r>
          </w:p>
        </w:tc>
        <w:tc>
          <w:tcPr>
            <w:tcW w:w="1570" w:type="dxa"/>
            <w:tcBorders>
              <w:top w:val="nil"/>
              <w:left w:val="nil"/>
              <w:bottom w:val="single" w:color="auto" w:sz="4" w:space="0"/>
              <w:right w:val="single" w:color="auto" w:sz="4" w:space="0"/>
            </w:tcBorders>
            <w:vAlign w:val="center"/>
          </w:tcPr>
          <w:p w14:paraId="449E6DAA">
            <w:pPr>
              <w:widowControl/>
              <w:jc w:val="left"/>
              <w:rPr>
                <w:color w:val="auto"/>
                <w:szCs w:val="21"/>
              </w:rPr>
            </w:pPr>
            <w:r>
              <w:rPr>
                <w:rFonts w:hint="eastAsia"/>
                <w:color w:val="auto"/>
                <w:szCs w:val="21"/>
              </w:rPr>
              <w:t>100≤Z＜8000</w:t>
            </w:r>
          </w:p>
        </w:tc>
        <w:tc>
          <w:tcPr>
            <w:tcW w:w="1009" w:type="dxa"/>
            <w:tcBorders>
              <w:top w:val="nil"/>
              <w:left w:val="nil"/>
              <w:bottom w:val="single" w:color="auto" w:sz="4" w:space="0"/>
              <w:right w:val="single" w:color="auto" w:sz="4" w:space="0"/>
            </w:tcBorders>
            <w:vAlign w:val="center"/>
          </w:tcPr>
          <w:p w14:paraId="0CE1FD29">
            <w:pPr>
              <w:widowControl/>
              <w:jc w:val="left"/>
              <w:rPr>
                <w:color w:val="auto"/>
                <w:szCs w:val="21"/>
              </w:rPr>
            </w:pPr>
            <w:r>
              <w:rPr>
                <w:rFonts w:hint="eastAsia"/>
                <w:color w:val="auto"/>
                <w:szCs w:val="21"/>
              </w:rPr>
              <w:t>Y＜100</w:t>
            </w:r>
          </w:p>
        </w:tc>
      </w:tr>
      <w:tr w14:paraId="7EC5E155">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vAlign w:val="bottom"/>
          </w:tcPr>
          <w:p w14:paraId="74D4AFD6">
            <w:pPr>
              <w:widowControl/>
              <w:jc w:val="center"/>
              <w:rPr>
                <w:color w:val="auto"/>
                <w:szCs w:val="21"/>
              </w:rPr>
            </w:pPr>
            <w:r>
              <w:rPr>
                <w:rFonts w:hint="eastAsia"/>
                <w:color w:val="auto"/>
                <w:szCs w:val="21"/>
              </w:rPr>
              <w:t>其他未列明行业</w:t>
            </w:r>
          </w:p>
        </w:tc>
        <w:tc>
          <w:tcPr>
            <w:tcW w:w="1701" w:type="dxa"/>
            <w:tcBorders>
              <w:top w:val="nil"/>
              <w:left w:val="nil"/>
              <w:bottom w:val="single" w:color="auto" w:sz="4" w:space="0"/>
              <w:right w:val="single" w:color="auto" w:sz="4" w:space="0"/>
            </w:tcBorders>
            <w:vAlign w:val="center"/>
          </w:tcPr>
          <w:p w14:paraId="1E6A9F67">
            <w:pPr>
              <w:widowControl/>
              <w:jc w:val="left"/>
              <w:rPr>
                <w:color w:val="auto"/>
                <w:szCs w:val="21"/>
              </w:rPr>
            </w:pPr>
            <w:r>
              <w:rPr>
                <w:rFonts w:hint="eastAsia"/>
                <w:color w:val="auto"/>
                <w:szCs w:val="21"/>
              </w:rPr>
              <w:t>从业人员（X）</w:t>
            </w:r>
          </w:p>
        </w:tc>
        <w:tc>
          <w:tcPr>
            <w:tcW w:w="1134" w:type="dxa"/>
            <w:tcBorders>
              <w:top w:val="nil"/>
              <w:left w:val="nil"/>
              <w:bottom w:val="single" w:color="auto" w:sz="4" w:space="0"/>
              <w:right w:val="single" w:color="auto" w:sz="4" w:space="0"/>
            </w:tcBorders>
            <w:vAlign w:val="center"/>
          </w:tcPr>
          <w:p w14:paraId="7B71F33A">
            <w:pPr>
              <w:widowControl/>
              <w:jc w:val="left"/>
              <w:rPr>
                <w:color w:val="auto"/>
                <w:szCs w:val="21"/>
              </w:rPr>
            </w:pPr>
            <w:r>
              <w:rPr>
                <w:rFonts w:hint="eastAsia"/>
                <w:color w:val="auto"/>
                <w:szCs w:val="21"/>
              </w:rPr>
              <w:t>人</w:t>
            </w:r>
          </w:p>
        </w:tc>
        <w:tc>
          <w:tcPr>
            <w:tcW w:w="1846" w:type="dxa"/>
            <w:tcBorders>
              <w:top w:val="nil"/>
              <w:left w:val="nil"/>
              <w:bottom w:val="single" w:color="auto" w:sz="4" w:space="0"/>
              <w:right w:val="single" w:color="auto" w:sz="4" w:space="0"/>
            </w:tcBorders>
            <w:vAlign w:val="center"/>
          </w:tcPr>
          <w:p w14:paraId="5D8CFCD7">
            <w:pPr>
              <w:widowControl/>
              <w:jc w:val="left"/>
              <w:rPr>
                <w:color w:val="auto"/>
                <w:szCs w:val="21"/>
              </w:rPr>
            </w:pPr>
            <w:r>
              <w:rPr>
                <w:rFonts w:hint="eastAsia"/>
                <w:color w:val="auto"/>
                <w:szCs w:val="21"/>
              </w:rPr>
              <w:t>100≤X＜300</w:t>
            </w:r>
          </w:p>
        </w:tc>
        <w:tc>
          <w:tcPr>
            <w:tcW w:w="1570" w:type="dxa"/>
            <w:tcBorders>
              <w:top w:val="nil"/>
              <w:left w:val="nil"/>
              <w:bottom w:val="single" w:color="auto" w:sz="4" w:space="0"/>
              <w:right w:val="single" w:color="auto" w:sz="4" w:space="0"/>
            </w:tcBorders>
            <w:vAlign w:val="center"/>
          </w:tcPr>
          <w:p w14:paraId="04CCBF37">
            <w:pPr>
              <w:widowControl/>
              <w:jc w:val="left"/>
              <w:rPr>
                <w:color w:val="auto"/>
                <w:szCs w:val="21"/>
              </w:rPr>
            </w:pPr>
            <w:r>
              <w:rPr>
                <w:rFonts w:hint="eastAsia"/>
                <w:color w:val="auto"/>
                <w:szCs w:val="21"/>
              </w:rPr>
              <w:t>10≤X＜100</w:t>
            </w:r>
          </w:p>
        </w:tc>
        <w:tc>
          <w:tcPr>
            <w:tcW w:w="1009" w:type="dxa"/>
            <w:tcBorders>
              <w:top w:val="nil"/>
              <w:left w:val="nil"/>
              <w:bottom w:val="single" w:color="auto" w:sz="4" w:space="0"/>
              <w:right w:val="single" w:color="auto" w:sz="4" w:space="0"/>
            </w:tcBorders>
            <w:vAlign w:val="center"/>
          </w:tcPr>
          <w:p w14:paraId="3DD0652A">
            <w:pPr>
              <w:widowControl/>
              <w:jc w:val="left"/>
              <w:rPr>
                <w:color w:val="auto"/>
                <w:szCs w:val="21"/>
              </w:rPr>
            </w:pPr>
            <w:r>
              <w:rPr>
                <w:rFonts w:hint="eastAsia"/>
                <w:color w:val="auto"/>
                <w:szCs w:val="21"/>
              </w:rPr>
              <w:t>X＜10</w:t>
            </w:r>
          </w:p>
        </w:tc>
      </w:tr>
    </w:tbl>
    <w:p w14:paraId="08627B5C">
      <w:pPr>
        <w:spacing w:line="360" w:lineRule="auto"/>
        <w:ind w:firstLine="525" w:firstLineChars="250"/>
        <w:rPr>
          <w:color w:val="auto"/>
          <w:szCs w:val="21"/>
        </w:rPr>
      </w:pPr>
      <w:r>
        <w:rPr>
          <w:rFonts w:hint="eastAsia"/>
          <w:color w:val="auto"/>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4523271A">
      <w:pPr>
        <w:widowControl/>
        <w:jc w:val="left"/>
        <w:rPr>
          <w:color w:val="auto"/>
          <w:szCs w:val="21"/>
        </w:rPr>
      </w:pPr>
      <w:r>
        <w:rPr>
          <w:color w:val="auto"/>
          <w:szCs w:val="21"/>
        </w:rPr>
        <w:br w:type="page"/>
      </w:r>
    </w:p>
    <w:bookmarkEnd w:id="32"/>
    <w:p w14:paraId="709FF080">
      <w:pPr>
        <w:spacing w:line="360" w:lineRule="auto"/>
        <w:rPr>
          <w:color w:val="auto"/>
          <w:sz w:val="28"/>
          <w:szCs w:val="28"/>
        </w:rPr>
      </w:pPr>
      <w:bookmarkStart w:id="33" w:name="_Hlk132788258"/>
      <w:r>
        <w:rPr>
          <w:rFonts w:hint="eastAsia"/>
          <w:color w:val="auto"/>
          <w:sz w:val="28"/>
          <w:szCs w:val="28"/>
        </w:rPr>
        <w:t>附件2：</w:t>
      </w:r>
    </w:p>
    <w:p w14:paraId="42DA5975">
      <w:pPr>
        <w:spacing w:line="360" w:lineRule="auto"/>
        <w:rPr>
          <w:color w:val="auto"/>
          <w:szCs w:val="21"/>
        </w:rPr>
      </w:pPr>
      <w:r>
        <w:rPr>
          <w:rFonts w:ascii="宋体" w:hAnsi="宋体" w:cs="宋体"/>
          <w:color w:val="auto"/>
          <w:position w:val="-335"/>
          <w:sz w:val="20"/>
          <w:szCs w:val="20"/>
        </w:rPr>
        <w:drawing>
          <wp:anchor distT="0" distB="0" distL="114300" distR="114300" simplePos="0" relativeHeight="251659264" behindDoc="0" locked="0" layoutInCell="1" allowOverlap="1">
            <wp:simplePos x="0" y="0"/>
            <wp:positionH relativeFrom="column">
              <wp:posOffset>1905</wp:posOffset>
            </wp:positionH>
            <wp:positionV relativeFrom="paragraph">
              <wp:posOffset>204470</wp:posOffset>
            </wp:positionV>
            <wp:extent cx="5573395" cy="8125460"/>
            <wp:effectExtent l="0" t="0" r="8255" b="889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5573395" cy="8125460"/>
                    </a:xfrm>
                    <a:prstGeom prst="rect">
                      <a:avLst/>
                    </a:prstGeom>
                    <a:noFill/>
                    <a:ln>
                      <a:noFill/>
                    </a:ln>
                  </pic:spPr>
                </pic:pic>
              </a:graphicData>
            </a:graphic>
          </wp:anchor>
        </w:drawing>
      </w:r>
      <w:r>
        <w:rPr>
          <w:color w:val="auto"/>
          <w:szCs w:val="21"/>
        </w:rPr>
        <w:br w:type="page"/>
      </w:r>
    </w:p>
    <w:bookmarkEnd w:id="29"/>
    <w:bookmarkEnd w:id="33"/>
    <w:p w14:paraId="4DA6BA31">
      <w:pPr>
        <w:rPr>
          <w:rFonts w:hint="eastAsia" w:ascii="黑体" w:hAnsi="黑体" w:eastAsia="黑体" w:cs="Arial"/>
          <w:b/>
          <w:color w:val="auto"/>
          <w:kern w:val="0"/>
          <w:sz w:val="28"/>
          <w:szCs w:val="28"/>
        </w:rPr>
      </w:pPr>
    </w:p>
    <w:p w14:paraId="1041B7BB">
      <w:pPr>
        <w:pStyle w:val="26"/>
        <w:snapToGrid w:val="0"/>
        <w:spacing w:before="120" w:after="120" w:line="320" w:lineRule="exact"/>
        <w:jc w:val="center"/>
        <w:outlineLvl w:val="0"/>
        <w:rPr>
          <w:rFonts w:ascii="Times New Roman" w:hAnsi="Times New Roman" w:cs="Times New Roman"/>
          <w:color w:val="auto"/>
          <w:sz w:val="32"/>
          <w:szCs w:val="32"/>
        </w:rPr>
      </w:pPr>
      <w:bookmarkStart w:id="34" w:name="_Toc142987207"/>
      <w:r>
        <w:rPr>
          <w:rFonts w:ascii="Times New Roman" w:hAnsi="Times New Roman" w:cs="Times New Roman"/>
          <w:color w:val="auto"/>
          <w:sz w:val="32"/>
          <w:szCs w:val="32"/>
        </w:rPr>
        <w:t>第三章  供应商须知</w:t>
      </w:r>
      <w:bookmarkEnd w:id="34"/>
      <w:bookmarkStart w:id="35" w:name="_Toc254970667"/>
      <w:bookmarkStart w:id="36" w:name="_Toc254970526"/>
    </w:p>
    <w:p w14:paraId="443230D0">
      <w:pPr>
        <w:pStyle w:val="3"/>
        <w:spacing w:before="40" w:after="40"/>
        <w:jc w:val="center"/>
        <w:rPr>
          <w:rFonts w:ascii="Times New Roman" w:hAnsi="Times New Roman" w:eastAsia="宋体"/>
          <w:color w:val="auto"/>
          <w:sz w:val="24"/>
          <w:szCs w:val="24"/>
        </w:rPr>
      </w:pPr>
      <w:r>
        <w:rPr>
          <w:rFonts w:ascii="Times New Roman" w:hAnsi="Times New Roman" w:eastAsia="宋体"/>
          <w:color w:val="auto"/>
          <w:sz w:val="24"/>
          <w:szCs w:val="24"/>
        </w:rPr>
        <w:t>供应商须知前附表</w:t>
      </w:r>
      <w:bookmarkEnd w:id="35"/>
      <w:bookmarkEnd w:id="36"/>
      <w:bookmarkStart w:id="37" w:name="_投标人须知前附表"/>
      <w:bookmarkEnd w:id="37"/>
      <w:bookmarkStart w:id="38" w:name="_Hlk19048934"/>
    </w:p>
    <w:tbl>
      <w:tblPr>
        <w:tblStyle w:val="51"/>
        <w:tblW w:w="9214"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5"/>
        <w:gridCol w:w="1230"/>
        <w:gridCol w:w="7229"/>
      </w:tblGrid>
      <w:tr w14:paraId="5BDEF5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55" w:type="dxa"/>
            <w:tcBorders>
              <w:top w:val="single" w:color="auto" w:sz="4" w:space="0"/>
              <w:left w:val="single" w:color="auto" w:sz="4" w:space="0"/>
              <w:bottom w:val="single" w:color="auto" w:sz="4" w:space="0"/>
              <w:right w:val="single" w:color="auto" w:sz="4" w:space="0"/>
            </w:tcBorders>
            <w:vAlign w:val="center"/>
          </w:tcPr>
          <w:p w14:paraId="54877806">
            <w:pPr>
              <w:jc w:val="center"/>
              <w:rPr>
                <w:b/>
                <w:color w:val="auto"/>
                <w:szCs w:val="21"/>
              </w:rPr>
            </w:pPr>
            <w:r>
              <w:rPr>
                <w:b/>
                <w:color w:val="auto"/>
                <w:szCs w:val="21"/>
              </w:rPr>
              <w:t>条款号</w:t>
            </w:r>
          </w:p>
        </w:tc>
        <w:tc>
          <w:tcPr>
            <w:tcW w:w="1230" w:type="dxa"/>
            <w:tcBorders>
              <w:top w:val="single" w:color="auto" w:sz="4" w:space="0"/>
              <w:left w:val="single" w:color="auto" w:sz="4" w:space="0"/>
              <w:bottom w:val="single" w:color="auto" w:sz="4" w:space="0"/>
              <w:right w:val="single" w:color="auto" w:sz="4" w:space="0"/>
            </w:tcBorders>
            <w:vAlign w:val="center"/>
          </w:tcPr>
          <w:p w14:paraId="6C145D90">
            <w:pPr>
              <w:jc w:val="center"/>
              <w:rPr>
                <w:b/>
                <w:color w:val="auto"/>
                <w:szCs w:val="21"/>
              </w:rPr>
            </w:pPr>
            <w:r>
              <w:rPr>
                <w:b/>
                <w:color w:val="auto"/>
                <w:szCs w:val="21"/>
              </w:rPr>
              <w:t>要点</w:t>
            </w:r>
          </w:p>
        </w:tc>
        <w:tc>
          <w:tcPr>
            <w:tcW w:w="7229" w:type="dxa"/>
            <w:tcBorders>
              <w:top w:val="single" w:color="auto" w:sz="4" w:space="0"/>
              <w:left w:val="single" w:color="auto" w:sz="4" w:space="0"/>
              <w:bottom w:val="single" w:color="auto" w:sz="4" w:space="0"/>
              <w:right w:val="single" w:color="auto" w:sz="4" w:space="0"/>
            </w:tcBorders>
            <w:vAlign w:val="center"/>
          </w:tcPr>
          <w:p w14:paraId="64563FEB">
            <w:pPr>
              <w:jc w:val="center"/>
              <w:rPr>
                <w:b/>
                <w:color w:val="auto"/>
                <w:szCs w:val="21"/>
              </w:rPr>
            </w:pPr>
            <w:r>
              <w:rPr>
                <w:b/>
                <w:color w:val="auto"/>
                <w:szCs w:val="21"/>
              </w:rPr>
              <w:t>内容、要求</w:t>
            </w:r>
          </w:p>
        </w:tc>
      </w:tr>
      <w:tr w14:paraId="50B1C4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755" w:type="dxa"/>
            <w:tcBorders>
              <w:top w:val="single" w:color="auto" w:sz="4" w:space="0"/>
              <w:left w:val="single" w:color="auto" w:sz="4" w:space="0"/>
              <w:bottom w:val="single" w:color="auto" w:sz="4" w:space="0"/>
              <w:right w:val="single" w:color="auto" w:sz="4" w:space="0"/>
            </w:tcBorders>
            <w:vAlign w:val="center"/>
          </w:tcPr>
          <w:p w14:paraId="13850AB5">
            <w:pPr>
              <w:spacing w:line="300" w:lineRule="exact"/>
              <w:jc w:val="center"/>
              <w:rPr>
                <w:b/>
                <w:color w:val="auto"/>
                <w:szCs w:val="21"/>
              </w:rPr>
            </w:pPr>
            <w:r>
              <w:rPr>
                <w:b/>
                <w:color w:val="auto"/>
                <w:szCs w:val="21"/>
              </w:rPr>
              <w:t>1.3.1</w:t>
            </w:r>
          </w:p>
        </w:tc>
        <w:tc>
          <w:tcPr>
            <w:tcW w:w="1230" w:type="dxa"/>
            <w:tcBorders>
              <w:top w:val="single" w:color="auto" w:sz="4" w:space="0"/>
              <w:left w:val="single" w:color="auto" w:sz="4" w:space="0"/>
              <w:bottom w:val="single" w:color="auto" w:sz="4" w:space="0"/>
              <w:right w:val="single" w:color="auto" w:sz="4" w:space="0"/>
            </w:tcBorders>
            <w:vAlign w:val="center"/>
          </w:tcPr>
          <w:p w14:paraId="71F86F15">
            <w:pPr>
              <w:spacing w:line="300" w:lineRule="exact"/>
              <w:jc w:val="center"/>
              <w:rPr>
                <w:color w:val="auto"/>
                <w:szCs w:val="21"/>
              </w:rPr>
            </w:pPr>
            <w:r>
              <w:rPr>
                <w:color w:val="auto"/>
                <w:szCs w:val="21"/>
              </w:rPr>
              <w:t>项目基本信息</w:t>
            </w:r>
          </w:p>
        </w:tc>
        <w:tc>
          <w:tcPr>
            <w:tcW w:w="7229" w:type="dxa"/>
            <w:tcBorders>
              <w:top w:val="single" w:color="auto" w:sz="4" w:space="0"/>
              <w:left w:val="single" w:color="auto" w:sz="4" w:space="0"/>
              <w:bottom w:val="single" w:color="auto" w:sz="4" w:space="0"/>
              <w:right w:val="single" w:color="auto" w:sz="4" w:space="0"/>
            </w:tcBorders>
            <w:vAlign w:val="center"/>
          </w:tcPr>
          <w:p w14:paraId="62CA74B5">
            <w:pPr>
              <w:spacing w:line="300" w:lineRule="exact"/>
              <w:jc w:val="left"/>
              <w:rPr>
                <w:rFonts w:hint="eastAsia" w:eastAsia="宋体"/>
                <w:color w:val="auto"/>
                <w:szCs w:val="21"/>
                <w:lang w:eastAsia="zh-CN"/>
              </w:rPr>
            </w:pPr>
            <w:r>
              <w:rPr>
                <w:color w:val="auto"/>
                <w:szCs w:val="21"/>
              </w:rPr>
              <w:t>项目名称：</w:t>
            </w:r>
            <w:r>
              <w:rPr>
                <w:rFonts w:hint="eastAsia"/>
                <w:color w:val="auto"/>
                <w:szCs w:val="21"/>
                <w:lang w:eastAsia="zh-CN"/>
              </w:rPr>
              <w:t>中草药专业群仪器设备采购项目（重）</w:t>
            </w:r>
          </w:p>
          <w:p w14:paraId="0BEC3C2B">
            <w:pPr>
              <w:spacing w:line="300" w:lineRule="exact"/>
              <w:jc w:val="left"/>
              <w:rPr>
                <w:rFonts w:hint="eastAsia" w:eastAsia="宋体"/>
                <w:color w:val="auto"/>
                <w:szCs w:val="21"/>
                <w:lang w:eastAsia="zh-CN"/>
              </w:rPr>
            </w:pPr>
            <w:r>
              <w:rPr>
                <w:color w:val="auto"/>
                <w:szCs w:val="21"/>
              </w:rPr>
              <w:t>项目编号：</w:t>
            </w:r>
            <w:r>
              <w:rPr>
                <w:rFonts w:hint="eastAsia"/>
                <w:color w:val="auto"/>
                <w:szCs w:val="21"/>
              </w:rPr>
              <w:t>GXZC2025-G1-003137-JDZB</w:t>
            </w:r>
          </w:p>
          <w:p w14:paraId="00CCED21">
            <w:pPr>
              <w:spacing w:line="300" w:lineRule="exact"/>
              <w:jc w:val="left"/>
              <w:rPr>
                <w:rFonts w:hint="default" w:eastAsia="宋体"/>
                <w:color w:val="auto"/>
                <w:szCs w:val="21"/>
                <w:u w:val="single"/>
                <w:lang w:val="en-US" w:eastAsia="zh-CN"/>
              </w:rPr>
            </w:pPr>
            <w:r>
              <w:rPr>
                <w:rFonts w:hint="eastAsia"/>
                <w:color w:val="auto"/>
                <w:szCs w:val="21"/>
              </w:rPr>
              <w:t>采购计划号：广西政采[2025]19150号</w:t>
            </w:r>
          </w:p>
        </w:tc>
      </w:tr>
      <w:tr w14:paraId="3F0CF4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55" w:type="dxa"/>
            <w:tcBorders>
              <w:top w:val="single" w:color="auto" w:sz="4" w:space="0"/>
              <w:left w:val="single" w:color="auto" w:sz="4" w:space="0"/>
              <w:bottom w:val="single" w:color="auto" w:sz="4" w:space="0"/>
              <w:right w:val="single" w:color="auto" w:sz="4" w:space="0"/>
            </w:tcBorders>
            <w:vAlign w:val="center"/>
          </w:tcPr>
          <w:p w14:paraId="4ED0624C">
            <w:pPr>
              <w:spacing w:line="300" w:lineRule="exact"/>
              <w:jc w:val="center"/>
              <w:rPr>
                <w:b/>
                <w:color w:val="auto"/>
                <w:szCs w:val="21"/>
              </w:rPr>
            </w:pPr>
            <w:r>
              <w:rPr>
                <w:b/>
                <w:color w:val="auto"/>
                <w:szCs w:val="21"/>
              </w:rPr>
              <w:t>1.3.2</w:t>
            </w:r>
          </w:p>
        </w:tc>
        <w:tc>
          <w:tcPr>
            <w:tcW w:w="1230" w:type="dxa"/>
            <w:tcBorders>
              <w:top w:val="single" w:color="auto" w:sz="4" w:space="0"/>
              <w:left w:val="single" w:color="auto" w:sz="4" w:space="0"/>
              <w:bottom w:val="single" w:color="auto" w:sz="4" w:space="0"/>
              <w:right w:val="single" w:color="auto" w:sz="4" w:space="0"/>
            </w:tcBorders>
            <w:vAlign w:val="center"/>
          </w:tcPr>
          <w:p w14:paraId="2B57E9CF">
            <w:pPr>
              <w:spacing w:line="300" w:lineRule="exact"/>
              <w:jc w:val="center"/>
              <w:rPr>
                <w:color w:val="auto"/>
                <w:szCs w:val="21"/>
                <w:lang w:val="zh-CN"/>
              </w:rPr>
            </w:pPr>
            <w:r>
              <w:rPr>
                <w:rFonts w:hint="eastAsia"/>
                <w:color w:val="auto"/>
                <w:szCs w:val="21"/>
                <w:lang w:val="zh-CN"/>
              </w:rPr>
              <w:t>采购方式</w:t>
            </w:r>
          </w:p>
        </w:tc>
        <w:tc>
          <w:tcPr>
            <w:tcW w:w="7229" w:type="dxa"/>
            <w:tcBorders>
              <w:top w:val="single" w:color="auto" w:sz="4" w:space="0"/>
              <w:left w:val="single" w:color="auto" w:sz="4" w:space="0"/>
              <w:bottom w:val="single" w:color="auto" w:sz="4" w:space="0"/>
              <w:right w:val="single" w:color="auto" w:sz="4" w:space="0"/>
            </w:tcBorders>
            <w:vAlign w:val="center"/>
          </w:tcPr>
          <w:p w14:paraId="66B168C3">
            <w:pPr>
              <w:spacing w:line="300" w:lineRule="exact"/>
              <w:jc w:val="left"/>
              <w:rPr>
                <w:color w:val="auto"/>
                <w:szCs w:val="21"/>
              </w:rPr>
            </w:pPr>
            <w:r>
              <w:rPr>
                <w:rFonts w:hint="eastAsia"/>
                <w:color w:val="auto"/>
                <w:szCs w:val="21"/>
              </w:rPr>
              <w:t>公开招标</w:t>
            </w:r>
          </w:p>
        </w:tc>
      </w:tr>
      <w:tr w14:paraId="240F68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55" w:type="dxa"/>
            <w:tcBorders>
              <w:top w:val="single" w:color="auto" w:sz="4" w:space="0"/>
              <w:left w:val="single" w:color="auto" w:sz="4" w:space="0"/>
              <w:bottom w:val="single" w:color="auto" w:sz="4" w:space="0"/>
              <w:right w:val="single" w:color="auto" w:sz="4" w:space="0"/>
            </w:tcBorders>
            <w:vAlign w:val="center"/>
          </w:tcPr>
          <w:p w14:paraId="6F080A85">
            <w:pPr>
              <w:spacing w:line="300" w:lineRule="exact"/>
              <w:jc w:val="center"/>
              <w:rPr>
                <w:b/>
                <w:color w:val="auto"/>
                <w:szCs w:val="21"/>
              </w:rPr>
            </w:pPr>
            <w:r>
              <w:rPr>
                <w:rFonts w:hint="eastAsia"/>
                <w:b/>
                <w:color w:val="auto"/>
                <w:szCs w:val="21"/>
              </w:rPr>
              <w:t>1</w:t>
            </w:r>
            <w:r>
              <w:rPr>
                <w:b/>
                <w:color w:val="auto"/>
                <w:szCs w:val="21"/>
              </w:rPr>
              <w:t>.4</w:t>
            </w:r>
          </w:p>
        </w:tc>
        <w:tc>
          <w:tcPr>
            <w:tcW w:w="1230" w:type="dxa"/>
            <w:tcBorders>
              <w:top w:val="single" w:color="auto" w:sz="4" w:space="0"/>
              <w:left w:val="single" w:color="auto" w:sz="4" w:space="0"/>
              <w:bottom w:val="single" w:color="auto" w:sz="4" w:space="0"/>
              <w:right w:val="single" w:color="auto" w:sz="4" w:space="0"/>
            </w:tcBorders>
            <w:vAlign w:val="center"/>
          </w:tcPr>
          <w:p w14:paraId="228895FE">
            <w:pPr>
              <w:spacing w:line="300" w:lineRule="exact"/>
              <w:jc w:val="center"/>
              <w:rPr>
                <w:color w:val="auto"/>
                <w:szCs w:val="21"/>
                <w:lang w:val="zh-CN"/>
              </w:rPr>
            </w:pPr>
            <w:r>
              <w:rPr>
                <w:rFonts w:hint="eastAsia"/>
                <w:color w:val="auto"/>
                <w:szCs w:val="21"/>
                <w:lang w:val="zh-CN"/>
              </w:rPr>
              <w:t>促进中小企业发展措施</w:t>
            </w:r>
          </w:p>
        </w:tc>
        <w:tc>
          <w:tcPr>
            <w:tcW w:w="7229" w:type="dxa"/>
            <w:tcBorders>
              <w:top w:val="single" w:color="auto" w:sz="4" w:space="0"/>
              <w:left w:val="single" w:color="auto" w:sz="4" w:space="0"/>
              <w:bottom w:val="single" w:color="auto" w:sz="4" w:space="0"/>
              <w:right w:val="single" w:color="auto" w:sz="4" w:space="0"/>
            </w:tcBorders>
            <w:vAlign w:val="center"/>
          </w:tcPr>
          <w:p w14:paraId="6CEEE68C">
            <w:pPr>
              <w:spacing w:line="300" w:lineRule="exact"/>
              <w:jc w:val="left"/>
              <w:rPr>
                <w:color w:val="auto"/>
                <w:szCs w:val="21"/>
              </w:rPr>
            </w:pPr>
            <w:r>
              <w:rPr>
                <w:color w:val="auto"/>
                <w:szCs w:val="21"/>
              </w:rPr>
              <w:sym w:font="Wingdings 2" w:char="F052"/>
            </w:r>
            <w:r>
              <w:rPr>
                <w:rFonts w:hint="eastAsia"/>
                <w:color w:val="auto"/>
                <w:szCs w:val="21"/>
              </w:rPr>
              <w:t>本项目非专门面向中小微企业采购。</w:t>
            </w:r>
          </w:p>
        </w:tc>
      </w:tr>
      <w:tr w14:paraId="313760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vAlign w:val="center"/>
          </w:tcPr>
          <w:p w14:paraId="7E21D525">
            <w:pPr>
              <w:spacing w:line="300" w:lineRule="exact"/>
              <w:jc w:val="center"/>
              <w:rPr>
                <w:b/>
                <w:color w:val="auto"/>
                <w:szCs w:val="21"/>
              </w:rPr>
            </w:pPr>
            <w:r>
              <w:rPr>
                <w:b/>
                <w:color w:val="auto"/>
                <w:szCs w:val="21"/>
              </w:rPr>
              <w:t>1.5.1</w:t>
            </w:r>
          </w:p>
        </w:tc>
        <w:tc>
          <w:tcPr>
            <w:tcW w:w="1230" w:type="dxa"/>
            <w:tcBorders>
              <w:top w:val="single" w:color="auto" w:sz="4" w:space="0"/>
              <w:left w:val="single" w:color="auto" w:sz="4" w:space="0"/>
              <w:bottom w:val="single" w:color="auto" w:sz="4" w:space="0"/>
              <w:right w:val="single" w:color="auto" w:sz="4" w:space="0"/>
            </w:tcBorders>
            <w:vAlign w:val="center"/>
          </w:tcPr>
          <w:p w14:paraId="72FAF7F5">
            <w:pPr>
              <w:spacing w:line="300" w:lineRule="exact"/>
              <w:jc w:val="center"/>
              <w:rPr>
                <w:color w:val="auto"/>
                <w:szCs w:val="21"/>
              </w:rPr>
            </w:pPr>
            <w:r>
              <w:rPr>
                <w:color w:val="auto"/>
                <w:szCs w:val="21"/>
                <w:lang w:val="zh-CN"/>
              </w:rPr>
              <w:t>供应商资格条件</w:t>
            </w:r>
          </w:p>
        </w:tc>
        <w:tc>
          <w:tcPr>
            <w:tcW w:w="7229" w:type="dxa"/>
            <w:tcBorders>
              <w:top w:val="single" w:color="auto" w:sz="4" w:space="0"/>
              <w:left w:val="single" w:color="auto" w:sz="4" w:space="0"/>
              <w:bottom w:val="single" w:color="auto" w:sz="4" w:space="0"/>
              <w:right w:val="single" w:color="auto" w:sz="4" w:space="0"/>
            </w:tcBorders>
            <w:vAlign w:val="center"/>
          </w:tcPr>
          <w:p w14:paraId="2107543D">
            <w:pPr>
              <w:spacing w:line="300" w:lineRule="exact"/>
              <w:jc w:val="left"/>
              <w:rPr>
                <w:color w:val="auto"/>
                <w:szCs w:val="21"/>
              </w:rPr>
            </w:pPr>
            <w:r>
              <w:rPr>
                <w:rFonts w:hint="eastAsia"/>
                <w:color w:val="auto"/>
                <w:szCs w:val="21"/>
              </w:rPr>
              <w:t>详</w:t>
            </w:r>
            <w:r>
              <w:rPr>
                <w:color w:val="auto"/>
                <w:szCs w:val="21"/>
              </w:rPr>
              <w:t>见招标公告</w:t>
            </w:r>
            <w:r>
              <w:rPr>
                <w:rFonts w:hint="eastAsia"/>
                <w:color w:val="auto"/>
                <w:szCs w:val="21"/>
              </w:rPr>
              <w:t>。</w:t>
            </w:r>
          </w:p>
        </w:tc>
      </w:tr>
      <w:tr w14:paraId="64FDE8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55" w:type="dxa"/>
            <w:tcBorders>
              <w:top w:val="single" w:color="auto" w:sz="4" w:space="0"/>
              <w:left w:val="single" w:color="auto" w:sz="4" w:space="0"/>
              <w:right w:val="single" w:color="auto" w:sz="4" w:space="0"/>
            </w:tcBorders>
            <w:vAlign w:val="center"/>
          </w:tcPr>
          <w:p w14:paraId="3486C518">
            <w:pPr>
              <w:spacing w:line="300" w:lineRule="exact"/>
              <w:jc w:val="center"/>
              <w:rPr>
                <w:b/>
                <w:color w:val="auto"/>
                <w:szCs w:val="21"/>
              </w:rPr>
            </w:pPr>
            <w:bookmarkStart w:id="39" w:name="_Hlk85555568"/>
            <w:r>
              <w:rPr>
                <w:b/>
                <w:color w:val="auto"/>
                <w:szCs w:val="21"/>
              </w:rPr>
              <w:t>1.5.3</w:t>
            </w:r>
          </w:p>
        </w:tc>
        <w:tc>
          <w:tcPr>
            <w:tcW w:w="1230" w:type="dxa"/>
            <w:tcBorders>
              <w:top w:val="single" w:color="auto" w:sz="4" w:space="0"/>
              <w:left w:val="single" w:color="auto" w:sz="4" w:space="0"/>
              <w:right w:val="single" w:color="auto" w:sz="4" w:space="0"/>
            </w:tcBorders>
            <w:vAlign w:val="center"/>
          </w:tcPr>
          <w:p w14:paraId="3143F76C">
            <w:pPr>
              <w:spacing w:line="300" w:lineRule="exact"/>
              <w:jc w:val="center"/>
              <w:rPr>
                <w:color w:val="auto"/>
                <w:szCs w:val="21"/>
              </w:rPr>
            </w:pPr>
            <w:r>
              <w:rPr>
                <w:rFonts w:hint="eastAsia"/>
                <w:color w:val="auto"/>
                <w:szCs w:val="21"/>
              </w:rPr>
              <w:t>联合体</w:t>
            </w:r>
          </w:p>
        </w:tc>
        <w:tc>
          <w:tcPr>
            <w:tcW w:w="7229" w:type="dxa"/>
            <w:tcBorders>
              <w:top w:val="single" w:color="auto" w:sz="4" w:space="0"/>
              <w:left w:val="single" w:color="auto" w:sz="4" w:space="0"/>
              <w:right w:val="single" w:color="auto" w:sz="4" w:space="0"/>
            </w:tcBorders>
            <w:vAlign w:val="center"/>
          </w:tcPr>
          <w:p w14:paraId="1777AB93">
            <w:pPr>
              <w:spacing w:line="300" w:lineRule="exact"/>
              <w:jc w:val="left"/>
              <w:rPr>
                <w:color w:val="auto"/>
                <w:szCs w:val="21"/>
              </w:rPr>
            </w:pPr>
            <w:r>
              <w:rPr>
                <w:rFonts w:hint="eastAsia"/>
                <w:color w:val="auto"/>
                <w:szCs w:val="21"/>
              </w:rPr>
              <w:t>是否接受联合体详见招标公告</w:t>
            </w:r>
          </w:p>
        </w:tc>
      </w:tr>
      <w:bookmarkEnd w:id="39"/>
      <w:tr w14:paraId="2887D8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vAlign w:val="center"/>
          </w:tcPr>
          <w:p w14:paraId="7BDB448B">
            <w:pPr>
              <w:spacing w:line="300" w:lineRule="exact"/>
              <w:jc w:val="center"/>
              <w:rPr>
                <w:b/>
                <w:color w:val="auto"/>
                <w:szCs w:val="21"/>
              </w:rPr>
            </w:pPr>
            <w:r>
              <w:rPr>
                <w:b/>
                <w:color w:val="auto"/>
                <w:szCs w:val="21"/>
              </w:rPr>
              <w:t>1.6</w:t>
            </w:r>
          </w:p>
        </w:tc>
        <w:tc>
          <w:tcPr>
            <w:tcW w:w="1230" w:type="dxa"/>
            <w:tcBorders>
              <w:top w:val="single" w:color="auto" w:sz="4" w:space="0"/>
              <w:left w:val="single" w:color="auto" w:sz="4" w:space="0"/>
              <w:bottom w:val="single" w:color="auto" w:sz="4" w:space="0"/>
              <w:right w:val="single" w:color="auto" w:sz="4" w:space="0"/>
            </w:tcBorders>
            <w:vAlign w:val="center"/>
          </w:tcPr>
          <w:p w14:paraId="25E175AB">
            <w:pPr>
              <w:spacing w:line="300" w:lineRule="exact"/>
              <w:jc w:val="center"/>
              <w:rPr>
                <w:color w:val="auto"/>
                <w:szCs w:val="21"/>
              </w:rPr>
            </w:pPr>
            <w:r>
              <w:rPr>
                <w:rFonts w:hint="eastAsia"/>
                <w:color w:val="auto"/>
                <w:szCs w:val="21"/>
              </w:rPr>
              <w:t>踏勘</w:t>
            </w:r>
          </w:p>
        </w:tc>
        <w:tc>
          <w:tcPr>
            <w:tcW w:w="7229" w:type="dxa"/>
            <w:tcBorders>
              <w:top w:val="single" w:color="auto" w:sz="4" w:space="0"/>
              <w:left w:val="single" w:color="auto" w:sz="4" w:space="0"/>
              <w:bottom w:val="single" w:color="auto" w:sz="4" w:space="0"/>
              <w:right w:val="single" w:color="auto" w:sz="4" w:space="0"/>
            </w:tcBorders>
            <w:vAlign w:val="center"/>
          </w:tcPr>
          <w:p w14:paraId="556BED9F">
            <w:pPr>
              <w:spacing w:line="300" w:lineRule="exact"/>
              <w:jc w:val="left"/>
              <w:rPr>
                <w:color w:val="auto"/>
                <w:szCs w:val="21"/>
                <w:u w:val="single"/>
              </w:rPr>
            </w:pPr>
            <w:r>
              <w:rPr>
                <w:color w:val="auto"/>
                <w:szCs w:val="21"/>
              </w:rPr>
              <w:sym w:font="Wingdings 2" w:char="F052"/>
            </w:r>
            <w:r>
              <w:rPr>
                <w:rFonts w:hint="eastAsia"/>
                <w:color w:val="auto"/>
                <w:szCs w:val="21"/>
              </w:rPr>
              <w:t>否</w:t>
            </w:r>
          </w:p>
        </w:tc>
      </w:tr>
      <w:tr w14:paraId="70BF2D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vAlign w:val="center"/>
          </w:tcPr>
          <w:p w14:paraId="7E78957B">
            <w:pPr>
              <w:spacing w:line="300" w:lineRule="exact"/>
              <w:jc w:val="center"/>
              <w:rPr>
                <w:b/>
                <w:color w:val="auto"/>
                <w:szCs w:val="21"/>
              </w:rPr>
            </w:pPr>
            <w:r>
              <w:rPr>
                <w:b/>
                <w:color w:val="auto"/>
                <w:szCs w:val="21"/>
              </w:rPr>
              <w:t>1.7.2</w:t>
            </w:r>
          </w:p>
        </w:tc>
        <w:tc>
          <w:tcPr>
            <w:tcW w:w="1230" w:type="dxa"/>
            <w:tcBorders>
              <w:top w:val="single" w:color="auto" w:sz="4" w:space="0"/>
              <w:left w:val="single" w:color="auto" w:sz="4" w:space="0"/>
              <w:bottom w:val="single" w:color="auto" w:sz="4" w:space="0"/>
              <w:right w:val="single" w:color="auto" w:sz="4" w:space="0"/>
            </w:tcBorders>
            <w:vAlign w:val="center"/>
          </w:tcPr>
          <w:p w14:paraId="730B8E4F">
            <w:pPr>
              <w:spacing w:line="300" w:lineRule="exact"/>
              <w:jc w:val="center"/>
              <w:rPr>
                <w:color w:val="auto"/>
                <w:szCs w:val="21"/>
              </w:rPr>
            </w:pPr>
            <w:r>
              <w:rPr>
                <w:color w:val="auto"/>
                <w:szCs w:val="21"/>
              </w:rPr>
              <w:t>分包</w:t>
            </w:r>
          </w:p>
        </w:tc>
        <w:tc>
          <w:tcPr>
            <w:tcW w:w="7229" w:type="dxa"/>
            <w:tcBorders>
              <w:top w:val="single" w:color="auto" w:sz="4" w:space="0"/>
              <w:left w:val="single" w:color="auto" w:sz="4" w:space="0"/>
              <w:bottom w:val="single" w:color="auto" w:sz="4" w:space="0"/>
              <w:right w:val="single" w:color="auto" w:sz="4" w:space="0"/>
            </w:tcBorders>
            <w:vAlign w:val="center"/>
          </w:tcPr>
          <w:p w14:paraId="1D5F6C01">
            <w:pPr>
              <w:spacing w:line="300" w:lineRule="exact"/>
              <w:jc w:val="left"/>
              <w:rPr>
                <w:color w:val="auto"/>
                <w:szCs w:val="21"/>
              </w:rPr>
            </w:pPr>
            <w:r>
              <w:rPr>
                <w:rFonts w:hint="eastAsia"/>
                <w:color w:val="auto"/>
                <w:szCs w:val="21"/>
              </w:rPr>
              <w:t>是否接受分包详见招标公告</w:t>
            </w:r>
          </w:p>
        </w:tc>
      </w:tr>
      <w:tr w14:paraId="4D14D3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vAlign w:val="center"/>
          </w:tcPr>
          <w:p w14:paraId="7136826D">
            <w:pPr>
              <w:spacing w:line="300" w:lineRule="exact"/>
              <w:jc w:val="center"/>
              <w:rPr>
                <w:b/>
                <w:color w:val="auto"/>
                <w:szCs w:val="21"/>
              </w:rPr>
            </w:pPr>
            <w:r>
              <w:rPr>
                <w:b/>
                <w:color w:val="auto"/>
                <w:szCs w:val="21"/>
              </w:rPr>
              <w:t>2.3</w:t>
            </w:r>
          </w:p>
        </w:tc>
        <w:tc>
          <w:tcPr>
            <w:tcW w:w="1230" w:type="dxa"/>
            <w:tcBorders>
              <w:top w:val="single" w:color="auto" w:sz="4" w:space="0"/>
              <w:left w:val="single" w:color="auto" w:sz="4" w:space="0"/>
              <w:bottom w:val="single" w:color="auto" w:sz="4" w:space="0"/>
              <w:right w:val="single" w:color="auto" w:sz="4" w:space="0"/>
            </w:tcBorders>
            <w:vAlign w:val="center"/>
          </w:tcPr>
          <w:p w14:paraId="53367BB8">
            <w:pPr>
              <w:spacing w:line="300" w:lineRule="exact"/>
              <w:jc w:val="center"/>
              <w:rPr>
                <w:color w:val="auto"/>
                <w:szCs w:val="21"/>
              </w:rPr>
            </w:pPr>
            <w:r>
              <w:rPr>
                <w:color w:val="auto"/>
                <w:szCs w:val="21"/>
              </w:rPr>
              <w:t>招标文件澄清、修改</w:t>
            </w:r>
          </w:p>
        </w:tc>
        <w:tc>
          <w:tcPr>
            <w:tcW w:w="7229" w:type="dxa"/>
            <w:tcBorders>
              <w:top w:val="single" w:color="auto" w:sz="4" w:space="0"/>
              <w:left w:val="single" w:color="auto" w:sz="4" w:space="0"/>
              <w:bottom w:val="single" w:color="auto" w:sz="4" w:space="0"/>
              <w:right w:val="single" w:color="auto" w:sz="4" w:space="0"/>
            </w:tcBorders>
            <w:vAlign w:val="center"/>
          </w:tcPr>
          <w:p w14:paraId="6C351FE0">
            <w:pPr>
              <w:spacing w:line="300" w:lineRule="exact"/>
              <w:jc w:val="left"/>
              <w:rPr>
                <w:color w:val="auto"/>
                <w:szCs w:val="21"/>
              </w:rPr>
            </w:pPr>
            <w:r>
              <w:rPr>
                <w:color w:val="auto"/>
                <w:szCs w:val="21"/>
              </w:rPr>
              <w:t>在招标公告发布媒介发布</w:t>
            </w:r>
            <w:r>
              <w:rPr>
                <w:rFonts w:hint="eastAsia"/>
                <w:color w:val="auto"/>
                <w:szCs w:val="21"/>
              </w:rPr>
              <w:t>。</w:t>
            </w:r>
          </w:p>
        </w:tc>
      </w:tr>
      <w:tr w14:paraId="27C45D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755" w:type="dxa"/>
            <w:tcBorders>
              <w:top w:val="single" w:color="auto" w:sz="4" w:space="0"/>
              <w:left w:val="single" w:color="auto" w:sz="4" w:space="0"/>
              <w:bottom w:val="single" w:color="auto" w:sz="4" w:space="0"/>
              <w:right w:val="single" w:color="auto" w:sz="4" w:space="0"/>
            </w:tcBorders>
            <w:vAlign w:val="center"/>
          </w:tcPr>
          <w:p w14:paraId="32EFA64E">
            <w:pPr>
              <w:spacing w:line="300" w:lineRule="exact"/>
              <w:jc w:val="center"/>
              <w:rPr>
                <w:b/>
                <w:color w:val="auto"/>
                <w:szCs w:val="21"/>
              </w:rPr>
            </w:pPr>
            <w:r>
              <w:rPr>
                <w:b/>
                <w:color w:val="auto"/>
                <w:szCs w:val="21"/>
              </w:rPr>
              <w:t>2.3</w:t>
            </w:r>
          </w:p>
        </w:tc>
        <w:tc>
          <w:tcPr>
            <w:tcW w:w="1230" w:type="dxa"/>
            <w:tcBorders>
              <w:top w:val="single" w:color="auto" w:sz="4" w:space="0"/>
              <w:left w:val="single" w:color="auto" w:sz="4" w:space="0"/>
              <w:bottom w:val="single" w:color="auto" w:sz="4" w:space="0"/>
              <w:right w:val="single" w:color="auto" w:sz="4" w:space="0"/>
            </w:tcBorders>
            <w:vAlign w:val="center"/>
          </w:tcPr>
          <w:p w14:paraId="2ECBC91E">
            <w:pPr>
              <w:spacing w:line="300" w:lineRule="exact"/>
              <w:jc w:val="center"/>
              <w:rPr>
                <w:color w:val="auto"/>
                <w:szCs w:val="21"/>
              </w:rPr>
            </w:pPr>
            <w:r>
              <w:rPr>
                <w:color w:val="auto"/>
                <w:szCs w:val="21"/>
              </w:rPr>
              <w:t>确认收到澄清、修改发布的方式</w:t>
            </w:r>
          </w:p>
        </w:tc>
        <w:tc>
          <w:tcPr>
            <w:tcW w:w="7229" w:type="dxa"/>
            <w:tcBorders>
              <w:top w:val="single" w:color="auto" w:sz="4" w:space="0"/>
              <w:left w:val="single" w:color="auto" w:sz="4" w:space="0"/>
              <w:bottom w:val="single" w:color="auto" w:sz="4" w:space="0"/>
              <w:right w:val="single" w:color="auto" w:sz="4" w:space="0"/>
            </w:tcBorders>
            <w:vAlign w:val="center"/>
          </w:tcPr>
          <w:p w14:paraId="5AEF4203">
            <w:pPr>
              <w:spacing w:line="300" w:lineRule="exact"/>
              <w:jc w:val="left"/>
              <w:rPr>
                <w:color w:val="auto"/>
                <w:szCs w:val="21"/>
              </w:rPr>
            </w:pPr>
            <w:r>
              <w:rPr>
                <w:color w:val="auto"/>
                <w:szCs w:val="21"/>
              </w:rPr>
              <w:t>澄清、修改文件</w:t>
            </w:r>
            <w:r>
              <w:rPr>
                <w:rFonts w:hint="eastAsia"/>
                <w:color w:val="auto"/>
                <w:szCs w:val="21"/>
              </w:rPr>
              <w:t>自招标</w:t>
            </w:r>
            <w:r>
              <w:rPr>
                <w:color w:val="auto"/>
                <w:szCs w:val="21"/>
              </w:rPr>
              <w:t>公告发布媒</w:t>
            </w:r>
            <w:r>
              <w:rPr>
                <w:rFonts w:hint="eastAsia"/>
                <w:color w:val="auto"/>
                <w:szCs w:val="21"/>
              </w:rPr>
              <w:t>体</w:t>
            </w:r>
            <w:r>
              <w:rPr>
                <w:color w:val="auto"/>
                <w:szCs w:val="21"/>
              </w:rPr>
              <w:t>发布之日起，视为供应商已收到该澄清、修改。供应商未及时关注</w:t>
            </w:r>
            <w:r>
              <w:rPr>
                <w:rFonts w:hint="eastAsia"/>
                <w:color w:val="auto"/>
                <w:szCs w:val="21"/>
              </w:rPr>
              <w:t>招标</w:t>
            </w:r>
            <w:r>
              <w:rPr>
                <w:color w:val="auto"/>
                <w:szCs w:val="21"/>
              </w:rPr>
              <w:t>公告发布媒</w:t>
            </w:r>
            <w:r>
              <w:rPr>
                <w:rFonts w:hint="eastAsia"/>
                <w:color w:val="auto"/>
                <w:szCs w:val="21"/>
              </w:rPr>
              <w:t>体</w:t>
            </w:r>
            <w:r>
              <w:rPr>
                <w:color w:val="auto"/>
                <w:szCs w:val="21"/>
              </w:rPr>
              <w:t>造成的损失，由供应商自行负责。</w:t>
            </w:r>
          </w:p>
        </w:tc>
      </w:tr>
      <w:tr w14:paraId="6575D5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755" w:type="dxa"/>
            <w:tcBorders>
              <w:top w:val="single" w:color="auto" w:sz="4" w:space="0"/>
              <w:left w:val="single" w:color="auto" w:sz="4" w:space="0"/>
              <w:bottom w:val="single" w:color="auto" w:sz="4" w:space="0"/>
              <w:right w:val="single" w:color="auto" w:sz="4" w:space="0"/>
            </w:tcBorders>
            <w:vAlign w:val="center"/>
          </w:tcPr>
          <w:p w14:paraId="3337A3B9">
            <w:pPr>
              <w:spacing w:line="300" w:lineRule="exact"/>
              <w:jc w:val="center"/>
              <w:rPr>
                <w:b/>
                <w:color w:val="auto"/>
                <w:szCs w:val="21"/>
              </w:rPr>
            </w:pPr>
            <w:r>
              <w:rPr>
                <w:b/>
                <w:color w:val="auto"/>
                <w:szCs w:val="21"/>
              </w:rPr>
              <w:t>3.4.1</w:t>
            </w:r>
          </w:p>
        </w:tc>
        <w:tc>
          <w:tcPr>
            <w:tcW w:w="1230" w:type="dxa"/>
            <w:tcBorders>
              <w:top w:val="single" w:color="auto" w:sz="4" w:space="0"/>
              <w:left w:val="single" w:color="auto" w:sz="4" w:space="0"/>
              <w:bottom w:val="single" w:color="auto" w:sz="4" w:space="0"/>
              <w:right w:val="single" w:color="auto" w:sz="4" w:space="0"/>
            </w:tcBorders>
            <w:vAlign w:val="center"/>
          </w:tcPr>
          <w:p w14:paraId="7890CD44">
            <w:pPr>
              <w:spacing w:line="300" w:lineRule="exact"/>
              <w:jc w:val="center"/>
              <w:rPr>
                <w:color w:val="auto"/>
                <w:szCs w:val="21"/>
              </w:rPr>
            </w:pPr>
            <w:r>
              <w:rPr>
                <w:color w:val="auto"/>
                <w:szCs w:val="21"/>
              </w:rPr>
              <w:t>投标有效期</w:t>
            </w:r>
          </w:p>
        </w:tc>
        <w:tc>
          <w:tcPr>
            <w:tcW w:w="7229" w:type="dxa"/>
            <w:tcBorders>
              <w:top w:val="single" w:color="auto" w:sz="4" w:space="0"/>
              <w:left w:val="single" w:color="auto" w:sz="4" w:space="0"/>
              <w:bottom w:val="single" w:color="auto" w:sz="4" w:space="0"/>
              <w:right w:val="single" w:color="auto" w:sz="4" w:space="0"/>
            </w:tcBorders>
            <w:vAlign w:val="center"/>
          </w:tcPr>
          <w:p w14:paraId="661F9A78">
            <w:pPr>
              <w:spacing w:line="300" w:lineRule="exact"/>
              <w:jc w:val="left"/>
              <w:rPr>
                <w:color w:val="auto"/>
                <w:szCs w:val="21"/>
              </w:rPr>
            </w:pPr>
            <w:r>
              <w:rPr>
                <w:color w:val="auto"/>
                <w:szCs w:val="21"/>
              </w:rPr>
              <w:t>投标截止之日起90天。</w:t>
            </w:r>
          </w:p>
        </w:tc>
      </w:tr>
      <w:tr w14:paraId="54103D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vAlign w:val="center"/>
          </w:tcPr>
          <w:p w14:paraId="7492E66C">
            <w:pPr>
              <w:spacing w:line="300" w:lineRule="exact"/>
              <w:jc w:val="center"/>
              <w:rPr>
                <w:b/>
                <w:color w:val="auto"/>
                <w:szCs w:val="21"/>
              </w:rPr>
            </w:pPr>
            <w:r>
              <w:rPr>
                <w:b/>
                <w:color w:val="auto"/>
                <w:szCs w:val="21"/>
              </w:rPr>
              <w:t>3.5</w:t>
            </w:r>
          </w:p>
        </w:tc>
        <w:tc>
          <w:tcPr>
            <w:tcW w:w="1230" w:type="dxa"/>
            <w:tcBorders>
              <w:top w:val="single" w:color="auto" w:sz="4" w:space="0"/>
              <w:left w:val="single" w:color="auto" w:sz="4" w:space="0"/>
              <w:bottom w:val="single" w:color="auto" w:sz="4" w:space="0"/>
              <w:right w:val="single" w:color="auto" w:sz="4" w:space="0"/>
            </w:tcBorders>
            <w:vAlign w:val="center"/>
          </w:tcPr>
          <w:p w14:paraId="429EAD41">
            <w:pPr>
              <w:spacing w:line="300" w:lineRule="exact"/>
              <w:jc w:val="center"/>
              <w:rPr>
                <w:color w:val="auto"/>
                <w:szCs w:val="21"/>
              </w:rPr>
            </w:pPr>
            <w:r>
              <w:rPr>
                <w:color w:val="auto"/>
                <w:szCs w:val="21"/>
              </w:rPr>
              <w:t>投标保证金</w:t>
            </w:r>
          </w:p>
        </w:tc>
        <w:tc>
          <w:tcPr>
            <w:tcW w:w="7229" w:type="dxa"/>
            <w:tcBorders>
              <w:top w:val="single" w:color="auto" w:sz="4" w:space="0"/>
              <w:left w:val="single" w:color="auto" w:sz="4" w:space="0"/>
              <w:bottom w:val="single" w:color="auto" w:sz="4" w:space="0"/>
              <w:right w:val="single" w:color="auto" w:sz="4" w:space="0"/>
            </w:tcBorders>
            <w:vAlign w:val="center"/>
          </w:tcPr>
          <w:p w14:paraId="5C695F5E">
            <w:pPr>
              <w:spacing w:line="312" w:lineRule="auto"/>
              <w:jc w:val="left"/>
              <w:rPr>
                <w:color w:val="auto"/>
                <w:kern w:val="0"/>
                <w:szCs w:val="21"/>
              </w:rPr>
            </w:pPr>
            <w:r>
              <w:rPr>
                <w:color w:val="auto"/>
                <w:szCs w:val="21"/>
              </w:rPr>
              <w:t>投标保证</w:t>
            </w:r>
            <w:r>
              <w:rPr>
                <w:rFonts w:hint="eastAsia"/>
                <w:color w:val="auto"/>
                <w:szCs w:val="21"/>
              </w:rPr>
              <w:t>金金额：人民币</w:t>
            </w:r>
            <w:r>
              <w:rPr>
                <w:rFonts w:hint="eastAsia"/>
                <w:color w:val="auto"/>
                <w:szCs w:val="21"/>
                <w:lang w:val="en-US" w:eastAsia="zh-CN"/>
              </w:rPr>
              <w:t>贰万贰仟</w:t>
            </w:r>
            <w:r>
              <w:rPr>
                <w:rFonts w:hint="eastAsia"/>
                <w:color w:val="auto"/>
                <w:szCs w:val="21"/>
              </w:rPr>
              <w:t>元整（</w:t>
            </w:r>
            <w:r>
              <w:rPr>
                <w:color w:val="auto"/>
                <w:szCs w:val="21"/>
              </w:rPr>
              <w:t>¥</w:t>
            </w:r>
            <w:r>
              <w:rPr>
                <w:rFonts w:hint="eastAsia"/>
                <w:color w:val="auto"/>
                <w:szCs w:val="21"/>
                <w:lang w:val="en-US" w:eastAsia="zh-CN"/>
              </w:rPr>
              <w:t>22</w:t>
            </w:r>
            <w:r>
              <w:rPr>
                <w:color w:val="auto"/>
                <w:szCs w:val="21"/>
              </w:rPr>
              <w:t>000.00</w:t>
            </w:r>
            <w:r>
              <w:rPr>
                <w:rFonts w:hint="eastAsia"/>
                <w:color w:val="auto"/>
                <w:szCs w:val="21"/>
              </w:rPr>
              <w:t>）。</w:t>
            </w:r>
          </w:p>
          <w:p w14:paraId="517C814C">
            <w:pPr>
              <w:spacing w:line="300" w:lineRule="exact"/>
              <w:jc w:val="left"/>
              <w:rPr>
                <w:color w:val="auto"/>
                <w:szCs w:val="21"/>
              </w:rPr>
            </w:pPr>
            <w:r>
              <w:rPr>
                <w:rFonts w:hint="eastAsia"/>
                <w:color w:val="auto"/>
                <w:szCs w:val="21"/>
              </w:rPr>
              <w:t>（1）缴纳方式一：</w:t>
            </w:r>
          </w:p>
          <w:p w14:paraId="30792CE2">
            <w:pPr>
              <w:spacing w:line="300" w:lineRule="exact"/>
              <w:jc w:val="left"/>
              <w:rPr>
                <w:color w:val="auto"/>
                <w:szCs w:val="21"/>
              </w:rPr>
            </w:pPr>
            <w:r>
              <w:rPr>
                <w:rFonts w:hint="eastAsia" w:ascii="宋体" w:hAnsi="宋体"/>
                <w:color w:val="auto"/>
                <w:szCs w:val="21"/>
              </w:rPr>
              <w:t>①</w:t>
            </w:r>
            <w:r>
              <w:rPr>
                <w:color w:val="auto"/>
                <w:szCs w:val="21"/>
              </w:rPr>
              <w:t>供应商应于</w:t>
            </w:r>
            <w:r>
              <w:rPr>
                <w:rFonts w:hint="eastAsia"/>
                <w:color w:val="auto"/>
                <w:szCs w:val="21"/>
              </w:rPr>
              <w:t>投标截止</w:t>
            </w:r>
            <w:r>
              <w:rPr>
                <w:color w:val="auto"/>
                <w:szCs w:val="21"/>
              </w:rPr>
              <w:t>时间前将投标保证金以电汇、转账形式从供应商账户一次性足额</w:t>
            </w:r>
            <w:r>
              <w:rPr>
                <w:rFonts w:hint="eastAsia"/>
                <w:color w:val="auto"/>
                <w:szCs w:val="21"/>
              </w:rPr>
              <w:t>缴</w:t>
            </w:r>
            <w:r>
              <w:rPr>
                <w:color w:val="auto"/>
                <w:szCs w:val="21"/>
              </w:rPr>
              <w:t>纳至本项目（各</w:t>
            </w:r>
            <w:r>
              <w:rPr>
                <w:rFonts w:hint="eastAsia"/>
                <w:color w:val="auto"/>
                <w:szCs w:val="21"/>
                <w:lang w:val="en-US" w:eastAsia="zh-CN"/>
              </w:rPr>
              <w:t>标段</w:t>
            </w:r>
            <w:r>
              <w:rPr>
                <w:color w:val="auto"/>
                <w:szCs w:val="21"/>
              </w:rPr>
              <w:t>）对应的专用虚拟账号，所交纳的投标保证金仅限当次项目（</w:t>
            </w:r>
            <w:r>
              <w:rPr>
                <w:rFonts w:hint="eastAsia"/>
                <w:color w:val="auto"/>
                <w:szCs w:val="21"/>
                <w:lang w:val="en-US" w:eastAsia="zh-CN"/>
              </w:rPr>
              <w:t>标段</w:t>
            </w:r>
            <w:r>
              <w:rPr>
                <w:color w:val="auto"/>
                <w:szCs w:val="21"/>
              </w:rPr>
              <w:t>）有效，不得重复替代使用。本项目投标保证金</w:t>
            </w:r>
            <w:r>
              <w:rPr>
                <w:rFonts w:hint="eastAsia"/>
                <w:color w:val="auto"/>
                <w:szCs w:val="21"/>
              </w:rPr>
              <w:t>缴</w:t>
            </w:r>
            <w:r>
              <w:rPr>
                <w:color w:val="auto"/>
                <w:szCs w:val="21"/>
              </w:rPr>
              <w:t>纳专用虚拟账号信息</w:t>
            </w:r>
            <w:r>
              <w:rPr>
                <w:rFonts w:hint="eastAsia"/>
                <w:color w:val="auto"/>
                <w:szCs w:val="21"/>
              </w:rPr>
              <w:t>如下：</w:t>
            </w:r>
          </w:p>
          <w:p w14:paraId="33BB9FA3">
            <w:pPr>
              <w:spacing w:line="300" w:lineRule="exact"/>
              <w:jc w:val="left"/>
              <w:rPr>
                <w:color w:val="auto"/>
                <w:szCs w:val="21"/>
              </w:rPr>
            </w:pPr>
            <w:r>
              <w:rPr>
                <w:rFonts w:hint="eastAsia"/>
                <w:color w:val="auto"/>
                <w:szCs w:val="21"/>
              </w:rPr>
              <w:t>开户名称：广西机电设备招标有限公司</w:t>
            </w:r>
          </w:p>
          <w:p w14:paraId="3FE7F945">
            <w:pPr>
              <w:spacing w:line="300" w:lineRule="exact"/>
              <w:jc w:val="left"/>
              <w:rPr>
                <w:color w:val="auto"/>
                <w:szCs w:val="21"/>
              </w:rPr>
            </w:pPr>
            <w:r>
              <w:rPr>
                <w:rFonts w:hint="eastAsia"/>
                <w:color w:val="auto"/>
                <w:szCs w:val="21"/>
              </w:rPr>
              <w:t>开户银行：</w:t>
            </w:r>
            <w:r>
              <w:rPr>
                <w:rFonts w:hint="eastAsia"/>
                <w:color w:val="auto"/>
              </w:rPr>
              <w:t>平安银行南宁分行营业部</w:t>
            </w:r>
          </w:p>
          <w:p w14:paraId="4152A9BA">
            <w:pPr>
              <w:spacing w:line="300" w:lineRule="exact"/>
              <w:jc w:val="left"/>
              <w:rPr>
                <w:rFonts w:hint="eastAsia"/>
                <w:color w:val="auto"/>
              </w:rPr>
            </w:pPr>
            <w:r>
              <w:rPr>
                <w:rFonts w:hint="eastAsia"/>
                <w:color w:val="auto"/>
              </w:rPr>
              <w:t>银行账号：30210485276330</w:t>
            </w:r>
          </w:p>
          <w:p w14:paraId="5060A0D2">
            <w:pPr>
              <w:spacing w:line="300" w:lineRule="exact"/>
              <w:jc w:val="left"/>
              <w:rPr>
                <w:rFonts w:hint="default"/>
                <w:color w:val="auto"/>
                <w:szCs w:val="21"/>
                <w:lang w:val="en-US" w:eastAsia="zh-CN"/>
              </w:rPr>
            </w:pPr>
          </w:p>
          <w:p w14:paraId="1B46205C">
            <w:pPr>
              <w:spacing w:line="300" w:lineRule="exact"/>
              <w:jc w:val="left"/>
              <w:rPr>
                <w:color w:val="auto"/>
                <w:szCs w:val="21"/>
              </w:rPr>
            </w:pPr>
            <w:r>
              <w:rPr>
                <w:color w:val="auto"/>
                <w:szCs w:val="21"/>
              </w:rPr>
              <w:t>特别说明：本项目保证金采用虚拟账号，为保证投标保证金与项目一一对应，供应商如</w:t>
            </w:r>
            <w:r>
              <w:rPr>
                <w:rFonts w:hint="eastAsia"/>
                <w:color w:val="auto"/>
                <w:szCs w:val="21"/>
              </w:rPr>
              <w:t>参加</w:t>
            </w:r>
            <w:r>
              <w:rPr>
                <w:color w:val="auto"/>
                <w:szCs w:val="21"/>
              </w:rPr>
              <w:t>本项目多个</w:t>
            </w:r>
            <w:r>
              <w:rPr>
                <w:rFonts w:hint="eastAsia"/>
                <w:color w:val="auto"/>
                <w:szCs w:val="21"/>
              </w:rPr>
              <w:t>分标</w:t>
            </w:r>
            <w:r>
              <w:rPr>
                <w:color w:val="auto"/>
                <w:szCs w:val="21"/>
              </w:rPr>
              <w:t>的</w:t>
            </w:r>
            <w:r>
              <w:rPr>
                <w:rFonts w:hint="eastAsia"/>
                <w:color w:val="auto"/>
                <w:szCs w:val="21"/>
              </w:rPr>
              <w:t>投标</w:t>
            </w:r>
            <w:r>
              <w:rPr>
                <w:color w:val="auto"/>
                <w:szCs w:val="21"/>
              </w:rPr>
              <w:t>，应按各</w:t>
            </w:r>
            <w:r>
              <w:rPr>
                <w:rFonts w:hint="eastAsia"/>
                <w:color w:val="auto"/>
                <w:szCs w:val="21"/>
              </w:rPr>
              <w:t>分标</w:t>
            </w:r>
            <w:r>
              <w:rPr>
                <w:color w:val="auto"/>
                <w:szCs w:val="21"/>
              </w:rPr>
              <w:t>对应的专用虚拟账号分别</w:t>
            </w:r>
            <w:r>
              <w:rPr>
                <w:rFonts w:hint="eastAsia"/>
                <w:color w:val="auto"/>
                <w:szCs w:val="21"/>
              </w:rPr>
              <w:t>缴纳</w:t>
            </w:r>
            <w:r>
              <w:rPr>
                <w:color w:val="auto"/>
                <w:szCs w:val="21"/>
              </w:rPr>
              <w:t>投标保证金。</w:t>
            </w:r>
          </w:p>
          <w:p w14:paraId="6C543074">
            <w:pPr>
              <w:spacing w:line="300" w:lineRule="exact"/>
              <w:jc w:val="left"/>
              <w:rPr>
                <w:color w:val="auto"/>
                <w:szCs w:val="21"/>
              </w:rPr>
            </w:pPr>
            <w:r>
              <w:rPr>
                <w:rFonts w:hint="eastAsia" w:ascii="宋体" w:hAnsi="宋体"/>
                <w:color w:val="auto"/>
                <w:szCs w:val="21"/>
              </w:rPr>
              <w:t>②</w:t>
            </w:r>
            <w:r>
              <w:rPr>
                <w:color w:val="auto"/>
                <w:szCs w:val="21"/>
              </w:rPr>
              <w:t>投标保证金币种应与投标报价币种相同。</w:t>
            </w:r>
            <w:r>
              <w:rPr>
                <w:rFonts w:hint="eastAsia"/>
                <w:color w:val="auto"/>
                <w:szCs w:val="21"/>
              </w:rPr>
              <w:t>投标</w:t>
            </w:r>
            <w:r>
              <w:rPr>
                <w:color w:val="auto"/>
                <w:szCs w:val="21"/>
              </w:rPr>
              <w:t>保证金</w:t>
            </w:r>
            <w:r>
              <w:rPr>
                <w:rFonts w:hint="eastAsia"/>
                <w:color w:val="auto"/>
                <w:szCs w:val="21"/>
              </w:rPr>
              <w:t>缴纳</w:t>
            </w:r>
            <w:r>
              <w:rPr>
                <w:color w:val="auto"/>
                <w:szCs w:val="21"/>
              </w:rPr>
              <w:t>后无需开具收据，但必须在</w:t>
            </w:r>
            <w:r>
              <w:rPr>
                <w:rFonts w:hint="eastAsia"/>
                <w:color w:val="auto"/>
                <w:szCs w:val="21"/>
              </w:rPr>
              <w:t>投标</w:t>
            </w:r>
            <w:r>
              <w:rPr>
                <w:color w:val="auto"/>
                <w:szCs w:val="21"/>
              </w:rPr>
              <w:t>截</w:t>
            </w:r>
            <w:r>
              <w:rPr>
                <w:rFonts w:hint="eastAsia"/>
                <w:color w:val="auto"/>
                <w:szCs w:val="21"/>
              </w:rPr>
              <w:t>止</w:t>
            </w:r>
            <w:r>
              <w:rPr>
                <w:color w:val="auto"/>
                <w:szCs w:val="21"/>
              </w:rPr>
              <w:t>时间之前到达指定账号，其到账时间以银行确认的到账时间为准。</w:t>
            </w:r>
          </w:p>
          <w:p w14:paraId="74D3B378">
            <w:pPr>
              <w:spacing w:line="300" w:lineRule="exact"/>
              <w:jc w:val="left"/>
              <w:rPr>
                <w:color w:val="auto"/>
                <w:szCs w:val="21"/>
              </w:rPr>
            </w:pPr>
            <w:r>
              <w:rPr>
                <w:rFonts w:hint="eastAsia" w:ascii="宋体" w:hAnsi="宋体"/>
                <w:color w:val="auto"/>
                <w:szCs w:val="21"/>
              </w:rPr>
              <w:t>③</w:t>
            </w:r>
            <w:r>
              <w:rPr>
                <w:color w:val="auto"/>
                <w:szCs w:val="21"/>
              </w:rPr>
              <w:t>除</w:t>
            </w:r>
            <w:r>
              <w:rPr>
                <w:rFonts w:hint="eastAsia"/>
                <w:color w:val="auto"/>
                <w:szCs w:val="21"/>
              </w:rPr>
              <w:t>招标文件</w:t>
            </w:r>
            <w:r>
              <w:rPr>
                <w:color w:val="auto"/>
                <w:szCs w:val="21"/>
              </w:rPr>
              <w:t>规定不予退还保证金的情形外，采购代理机构</w:t>
            </w:r>
            <w:r>
              <w:rPr>
                <w:rFonts w:hint="eastAsia"/>
                <w:color w:val="auto"/>
                <w:szCs w:val="21"/>
              </w:rPr>
              <w:t>在法定时间内通过银行原路</w:t>
            </w:r>
            <w:r>
              <w:rPr>
                <w:color w:val="auto"/>
                <w:szCs w:val="21"/>
              </w:rPr>
              <w:t>退</w:t>
            </w:r>
            <w:r>
              <w:rPr>
                <w:rFonts w:hint="eastAsia"/>
                <w:color w:val="auto"/>
                <w:szCs w:val="21"/>
              </w:rPr>
              <w:t>还保证金至供应商缴纳账户。供应商</w:t>
            </w:r>
            <w:r>
              <w:rPr>
                <w:color w:val="auto"/>
                <w:szCs w:val="21"/>
              </w:rPr>
              <w:t>自行承担</w:t>
            </w:r>
            <w:r>
              <w:rPr>
                <w:rFonts w:hint="eastAsia"/>
                <w:color w:val="auto"/>
                <w:szCs w:val="21"/>
              </w:rPr>
              <w:t>交纳保证金后未参加投标活动或投标保证金缴纳错误而</w:t>
            </w:r>
            <w:r>
              <w:rPr>
                <w:color w:val="auto"/>
                <w:szCs w:val="21"/>
              </w:rPr>
              <w:t>导致</w:t>
            </w:r>
            <w:r>
              <w:rPr>
                <w:rFonts w:hint="eastAsia"/>
                <w:color w:val="auto"/>
                <w:szCs w:val="21"/>
              </w:rPr>
              <w:t>投标</w:t>
            </w:r>
            <w:r>
              <w:rPr>
                <w:color w:val="auto"/>
                <w:szCs w:val="21"/>
              </w:rPr>
              <w:t>保证金无法及时退还的责任</w:t>
            </w:r>
            <w:r>
              <w:rPr>
                <w:rFonts w:hint="eastAsia"/>
                <w:color w:val="auto"/>
                <w:szCs w:val="21"/>
              </w:rPr>
              <w:t>。</w:t>
            </w:r>
          </w:p>
          <w:p w14:paraId="789900FF">
            <w:pPr>
              <w:spacing w:line="300" w:lineRule="exact"/>
              <w:jc w:val="left"/>
              <w:rPr>
                <w:color w:val="auto"/>
                <w:szCs w:val="21"/>
              </w:rPr>
            </w:pPr>
            <w:r>
              <w:rPr>
                <w:rFonts w:hint="eastAsia"/>
                <w:color w:val="auto"/>
                <w:szCs w:val="21"/>
              </w:rPr>
              <w:t>（2）缴纳方式二：</w:t>
            </w:r>
          </w:p>
          <w:p w14:paraId="20C820F6">
            <w:pPr>
              <w:spacing w:line="300" w:lineRule="exact"/>
              <w:jc w:val="left"/>
              <w:rPr>
                <w:color w:val="auto"/>
                <w:szCs w:val="21"/>
              </w:rPr>
            </w:pPr>
            <w:r>
              <w:rPr>
                <w:color w:val="auto"/>
                <w:szCs w:val="21"/>
              </w:rPr>
              <w:t>供应商</w:t>
            </w:r>
            <w:r>
              <w:rPr>
                <w:rFonts w:hint="eastAsia"/>
                <w:color w:val="auto"/>
                <w:szCs w:val="21"/>
              </w:rPr>
              <w:t>可</w:t>
            </w:r>
            <w:r>
              <w:rPr>
                <w:color w:val="auto"/>
                <w:szCs w:val="21"/>
              </w:rPr>
              <w:t>于</w:t>
            </w:r>
            <w:r>
              <w:rPr>
                <w:rFonts w:hint="eastAsia"/>
                <w:color w:val="auto"/>
                <w:szCs w:val="21"/>
              </w:rPr>
              <w:t>投标截止</w:t>
            </w:r>
            <w:r>
              <w:rPr>
                <w:color w:val="auto"/>
                <w:szCs w:val="21"/>
              </w:rPr>
              <w:t>时间前</w:t>
            </w:r>
            <w:r>
              <w:rPr>
                <w:rFonts w:hint="eastAsia"/>
                <w:color w:val="auto"/>
                <w:szCs w:val="21"/>
              </w:rPr>
              <w:t>选择政采云平台允许的其他非现金形式缴纳投标</w:t>
            </w:r>
            <w:r>
              <w:rPr>
                <w:color w:val="auto"/>
                <w:szCs w:val="21"/>
              </w:rPr>
              <w:t>保证金</w:t>
            </w:r>
            <w:r>
              <w:rPr>
                <w:rFonts w:hint="eastAsia"/>
                <w:color w:val="auto"/>
                <w:szCs w:val="21"/>
              </w:rPr>
              <w:t>。具体按照政采云平台的方式操作。</w:t>
            </w:r>
          </w:p>
          <w:p w14:paraId="38A54D9E">
            <w:pPr>
              <w:spacing w:line="300" w:lineRule="exact"/>
              <w:jc w:val="left"/>
              <w:rPr>
                <w:color w:val="auto"/>
                <w:szCs w:val="21"/>
              </w:rPr>
            </w:pPr>
            <w:r>
              <w:rPr>
                <w:rFonts w:hint="eastAsia"/>
                <w:color w:val="auto"/>
                <w:szCs w:val="21"/>
              </w:rPr>
              <w:t>（3）</w:t>
            </w:r>
            <w:r>
              <w:rPr>
                <w:color w:val="auto"/>
                <w:szCs w:val="21"/>
              </w:rPr>
              <w:t>财务部联系电话：0771-2821398</w:t>
            </w:r>
          </w:p>
          <w:p w14:paraId="389F6E7B">
            <w:pPr>
              <w:spacing w:line="300" w:lineRule="exact"/>
              <w:jc w:val="left"/>
              <w:rPr>
                <w:color w:val="auto"/>
                <w:szCs w:val="21"/>
              </w:rPr>
            </w:pPr>
            <w:r>
              <w:rPr>
                <w:rFonts w:hint="eastAsia"/>
                <w:color w:val="auto"/>
                <w:szCs w:val="21"/>
              </w:rPr>
              <w:t>（4）</w:t>
            </w:r>
            <w:r>
              <w:rPr>
                <w:color w:val="auto"/>
                <w:szCs w:val="21"/>
              </w:rPr>
              <w:t>未按</w:t>
            </w:r>
            <w:r>
              <w:rPr>
                <w:rFonts w:hint="eastAsia"/>
                <w:color w:val="auto"/>
                <w:szCs w:val="21"/>
              </w:rPr>
              <w:t>以上</w:t>
            </w:r>
            <w:r>
              <w:rPr>
                <w:color w:val="auto"/>
                <w:szCs w:val="21"/>
              </w:rPr>
              <w:t>要求</w:t>
            </w:r>
            <w:r>
              <w:rPr>
                <w:rFonts w:hint="eastAsia"/>
                <w:color w:val="auto"/>
                <w:szCs w:val="21"/>
              </w:rPr>
              <w:t>缴</w:t>
            </w:r>
            <w:r>
              <w:rPr>
                <w:color w:val="auto"/>
                <w:szCs w:val="21"/>
              </w:rPr>
              <w:t>纳</w:t>
            </w:r>
            <w:r>
              <w:rPr>
                <w:rFonts w:hint="eastAsia"/>
                <w:color w:val="auto"/>
                <w:szCs w:val="21"/>
              </w:rPr>
              <w:t>投标</w:t>
            </w:r>
            <w:r>
              <w:rPr>
                <w:color w:val="auto"/>
                <w:szCs w:val="21"/>
              </w:rPr>
              <w:t>保证金的</w:t>
            </w:r>
            <w:r>
              <w:rPr>
                <w:rFonts w:hint="eastAsia"/>
                <w:color w:val="auto"/>
                <w:szCs w:val="21"/>
              </w:rPr>
              <w:t>投标</w:t>
            </w:r>
            <w:r>
              <w:rPr>
                <w:color w:val="auto"/>
                <w:szCs w:val="21"/>
              </w:rPr>
              <w:t>文件，将作无效投标文件处理。</w:t>
            </w:r>
          </w:p>
          <w:p w14:paraId="575E347B">
            <w:pPr>
              <w:spacing w:line="300" w:lineRule="exact"/>
              <w:jc w:val="left"/>
              <w:rPr>
                <w:b/>
                <w:bCs/>
                <w:color w:val="auto"/>
                <w:szCs w:val="21"/>
              </w:rPr>
            </w:pPr>
            <w:r>
              <w:rPr>
                <w:rFonts w:hint="eastAsia"/>
                <w:b/>
                <w:bCs/>
                <w:color w:val="auto"/>
                <w:szCs w:val="21"/>
              </w:rPr>
              <w:t>注：为保证投标保证金退还的及时性与便利性，鼓励优先采用方式一递交投标保证金。</w:t>
            </w:r>
          </w:p>
        </w:tc>
      </w:tr>
      <w:tr w14:paraId="151339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755" w:type="dxa"/>
            <w:tcBorders>
              <w:left w:val="single" w:color="auto" w:sz="4" w:space="0"/>
              <w:right w:val="single" w:color="auto" w:sz="4" w:space="0"/>
            </w:tcBorders>
            <w:vAlign w:val="center"/>
          </w:tcPr>
          <w:p w14:paraId="0E1B24BD">
            <w:pPr>
              <w:spacing w:line="300" w:lineRule="exact"/>
              <w:jc w:val="center"/>
              <w:rPr>
                <w:b/>
                <w:color w:val="auto"/>
                <w:szCs w:val="21"/>
              </w:rPr>
            </w:pPr>
            <w:r>
              <w:rPr>
                <w:rFonts w:hint="eastAsia"/>
                <w:b/>
                <w:color w:val="auto"/>
                <w:szCs w:val="21"/>
              </w:rPr>
              <w:t>3</w:t>
            </w:r>
            <w:r>
              <w:rPr>
                <w:b/>
                <w:color w:val="auto"/>
                <w:szCs w:val="21"/>
              </w:rPr>
              <w:t>.6</w:t>
            </w:r>
          </w:p>
        </w:tc>
        <w:tc>
          <w:tcPr>
            <w:tcW w:w="1230" w:type="dxa"/>
            <w:tcBorders>
              <w:top w:val="single" w:color="auto" w:sz="4" w:space="0"/>
              <w:left w:val="single" w:color="auto" w:sz="4" w:space="0"/>
              <w:right w:val="single" w:color="auto" w:sz="4" w:space="0"/>
            </w:tcBorders>
            <w:vAlign w:val="center"/>
          </w:tcPr>
          <w:p w14:paraId="425D290C">
            <w:pPr>
              <w:spacing w:line="300" w:lineRule="exact"/>
              <w:jc w:val="center"/>
              <w:rPr>
                <w:color w:val="auto"/>
                <w:szCs w:val="21"/>
              </w:rPr>
            </w:pPr>
            <w:r>
              <w:rPr>
                <w:rFonts w:hint="eastAsia"/>
                <w:color w:val="auto"/>
                <w:szCs w:val="21"/>
              </w:rPr>
              <w:t>投标文件的编制</w:t>
            </w:r>
          </w:p>
        </w:tc>
        <w:tc>
          <w:tcPr>
            <w:tcW w:w="7229" w:type="dxa"/>
            <w:tcBorders>
              <w:top w:val="single" w:color="auto" w:sz="4" w:space="0"/>
              <w:left w:val="single" w:color="auto" w:sz="4" w:space="0"/>
              <w:right w:val="single" w:color="auto" w:sz="4" w:space="0"/>
            </w:tcBorders>
            <w:vAlign w:val="center"/>
          </w:tcPr>
          <w:p w14:paraId="0AFC88A8">
            <w:pPr>
              <w:spacing w:line="300" w:lineRule="exact"/>
              <w:jc w:val="left"/>
              <w:rPr>
                <w:color w:val="auto"/>
                <w:szCs w:val="21"/>
              </w:rPr>
            </w:pPr>
            <w:r>
              <w:rPr>
                <w:rFonts w:hint="eastAsia" w:hAnsi="宋体"/>
                <w:color w:val="auto"/>
                <w:szCs w:val="21"/>
              </w:rPr>
              <w:t>投标文件应按第六章投标文件格式分别编制并使用下载的政采云投标客户端制作并上传。</w:t>
            </w:r>
          </w:p>
        </w:tc>
      </w:tr>
      <w:tr w14:paraId="717764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755" w:type="dxa"/>
            <w:tcBorders>
              <w:top w:val="single" w:color="auto" w:sz="4" w:space="0"/>
              <w:left w:val="single" w:color="auto" w:sz="4" w:space="0"/>
              <w:bottom w:val="single" w:color="auto" w:sz="4" w:space="0"/>
              <w:right w:val="single" w:color="auto" w:sz="4" w:space="0"/>
            </w:tcBorders>
            <w:vAlign w:val="center"/>
          </w:tcPr>
          <w:p w14:paraId="1D956EA3">
            <w:pPr>
              <w:spacing w:line="300" w:lineRule="exact"/>
              <w:jc w:val="center"/>
              <w:rPr>
                <w:b/>
                <w:color w:val="auto"/>
                <w:szCs w:val="21"/>
              </w:rPr>
            </w:pPr>
            <w:r>
              <w:rPr>
                <w:b/>
                <w:color w:val="auto"/>
                <w:szCs w:val="21"/>
              </w:rPr>
              <w:t>3.7</w:t>
            </w:r>
          </w:p>
        </w:tc>
        <w:tc>
          <w:tcPr>
            <w:tcW w:w="1230" w:type="dxa"/>
            <w:tcBorders>
              <w:top w:val="single" w:color="auto" w:sz="4" w:space="0"/>
              <w:left w:val="single" w:color="auto" w:sz="4" w:space="0"/>
              <w:bottom w:val="single" w:color="auto" w:sz="4" w:space="0"/>
              <w:right w:val="single" w:color="auto" w:sz="4" w:space="0"/>
            </w:tcBorders>
            <w:vAlign w:val="center"/>
          </w:tcPr>
          <w:p w14:paraId="08C224B5">
            <w:pPr>
              <w:spacing w:line="300" w:lineRule="exact"/>
              <w:jc w:val="center"/>
              <w:rPr>
                <w:color w:val="auto"/>
                <w:szCs w:val="21"/>
              </w:rPr>
            </w:pPr>
            <w:r>
              <w:rPr>
                <w:color w:val="auto"/>
                <w:szCs w:val="21"/>
              </w:rPr>
              <w:t>投标文件递交</w:t>
            </w:r>
            <w:r>
              <w:rPr>
                <w:rFonts w:hint="eastAsia"/>
                <w:color w:val="auto"/>
                <w:szCs w:val="21"/>
              </w:rPr>
              <w:t>截止时间及开标时间</w:t>
            </w:r>
          </w:p>
        </w:tc>
        <w:tc>
          <w:tcPr>
            <w:tcW w:w="7229" w:type="dxa"/>
            <w:tcBorders>
              <w:top w:val="single" w:color="auto" w:sz="4" w:space="0"/>
              <w:left w:val="single" w:color="auto" w:sz="4" w:space="0"/>
              <w:bottom w:val="single" w:color="auto" w:sz="4" w:space="0"/>
              <w:right w:val="single" w:color="auto" w:sz="4" w:space="0"/>
            </w:tcBorders>
            <w:vAlign w:val="center"/>
          </w:tcPr>
          <w:p w14:paraId="1B06DDCB">
            <w:pPr>
              <w:spacing w:line="300" w:lineRule="exact"/>
              <w:jc w:val="left"/>
              <w:rPr>
                <w:color w:val="auto"/>
                <w:szCs w:val="21"/>
              </w:rPr>
            </w:pPr>
            <w:r>
              <w:rPr>
                <w:rFonts w:hint="eastAsia"/>
                <w:color w:val="auto"/>
                <w:kern w:val="0"/>
                <w:szCs w:val="21"/>
              </w:rPr>
              <w:t>见招标公告要求</w:t>
            </w:r>
            <w:r>
              <w:rPr>
                <w:rFonts w:hint="eastAsia"/>
                <w:color w:val="auto"/>
                <w:szCs w:val="21"/>
              </w:rPr>
              <w:t>。</w:t>
            </w:r>
          </w:p>
        </w:tc>
      </w:tr>
      <w:tr w14:paraId="002209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vAlign w:val="center"/>
          </w:tcPr>
          <w:p w14:paraId="0C538AFA">
            <w:pPr>
              <w:spacing w:line="300" w:lineRule="exact"/>
              <w:jc w:val="center"/>
              <w:rPr>
                <w:b/>
                <w:color w:val="auto"/>
                <w:szCs w:val="21"/>
              </w:rPr>
            </w:pPr>
            <w:r>
              <w:rPr>
                <w:rFonts w:hint="eastAsia"/>
                <w:b/>
                <w:color w:val="auto"/>
                <w:szCs w:val="21"/>
              </w:rPr>
              <w:t>4</w:t>
            </w:r>
            <w:r>
              <w:rPr>
                <w:b/>
                <w:color w:val="auto"/>
                <w:szCs w:val="21"/>
              </w:rPr>
              <w:t>.2</w:t>
            </w:r>
          </w:p>
        </w:tc>
        <w:tc>
          <w:tcPr>
            <w:tcW w:w="1230" w:type="dxa"/>
            <w:tcBorders>
              <w:top w:val="single" w:color="auto" w:sz="4" w:space="0"/>
              <w:left w:val="single" w:color="auto" w:sz="4" w:space="0"/>
              <w:bottom w:val="single" w:color="auto" w:sz="4" w:space="0"/>
              <w:right w:val="single" w:color="auto" w:sz="4" w:space="0"/>
            </w:tcBorders>
            <w:vAlign w:val="center"/>
          </w:tcPr>
          <w:p w14:paraId="7C075E47">
            <w:pPr>
              <w:spacing w:line="300" w:lineRule="exact"/>
              <w:jc w:val="center"/>
              <w:rPr>
                <w:color w:val="auto"/>
                <w:szCs w:val="20"/>
              </w:rPr>
            </w:pPr>
            <w:r>
              <w:rPr>
                <w:rFonts w:hint="eastAsia"/>
                <w:color w:val="auto"/>
                <w:szCs w:val="21"/>
              </w:rPr>
              <w:t>备份投标文件</w:t>
            </w:r>
          </w:p>
        </w:tc>
        <w:tc>
          <w:tcPr>
            <w:tcW w:w="7229" w:type="dxa"/>
            <w:tcBorders>
              <w:top w:val="single" w:color="auto" w:sz="4" w:space="0"/>
              <w:left w:val="single" w:color="auto" w:sz="4" w:space="0"/>
              <w:bottom w:val="single" w:color="auto" w:sz="4" w:space="0"/>
              <w:right w:val="single" w:color="auto" w:sz="4" w:space="0"/>
            </w:tcBorders>
            <w:vAlign w:val="center"/>
          </w:tcPr>
          <w:p w14:paraId="41B8B23E">
            <w:pPr>
              <w:spacing w:line="276" w:lineRule="auto"/>
              <w:rPr>
                <w:rFonts w:hint="eastAsia" w:ascii="宋体" w:hAnsi="宋体"/>
                <w:color w:val="auto"/>
                <w:szCs w:val="21"/>
              </w:rPr>
            </w:pPr>
            <w:r>
              <w:rPr>
                <w:rFonts w:hint="eastAsia" w:ascii="宋体" w:hAnsi="宋体"/>
                <w:color w:val="auto"/>
                <w:szCs w:val="21"/>
              </w:rPr>
              <w:t>本项目</w:t>
            </w:r>
            <w:r>
              <w:rPr>
                <w:color w:val="auto"/>
                <w:sz w:val="22"/>
                <w:szCs w:val="22"/>
              </w:rPr>
              <w:sym w:font="Wingdings 2" w:char="F052"/>
            </w:r>
            <w:r>
              <w:rPr>
                <w:rFonts w:hint="eastAsia"/>
                <w:color w:val="auto"/>
                <w:szCs w:val="21"/>
              </w:rPr>
              <w:t>不接受</w:t>
            </w:r>
            <w:r>
              <w:rPr>
                <w:rFonts w:hint="eastAsia" w:ascii="宋体" w:hAnsi="宋体"/>
                <w:color w:val="auto"/>
                <w:szCs w:val="21"/>
              </w:rPr>
              <w:t>备份投标文件</w:t>
            </w:r>
          </w:p>
          <w:p w14:paraId="659AD674">
            <w:pPr>
              <w:spacing w:line="276" w:lineRule="auto"/>
              <w:rPr>
                <w:color w:val="auto"/>
                <w:sz w:val="22"/>
                <w:szCs w:val="22"/>
              </w:rPr>
            </w:pPr>
            <w:r>
              <w:rPr>
                <w:rFonts w:hint="eastAsia" w:ascii="宋体" w:hAnsi="宋体"/>
                <w:color w:val="auto"/>
                <w:szCs w:val="21"/>
              </w:rPr>
              <w:t>以政采云系统自动生成的备份文件为依据，当项目允许接受备份投标文件时，供应商才可以按规定上传备份投标文件。</w:t>
            </w:r>
          </w:p>
        </w:tc>
      </w:tr>
      <w:tr w14:paraId="0ABB6E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vAlign w:val="center"/>
          </w:tcPr>
          <w:p w14:paraId="34D2E916">
            <w:pPr>
              <w:spacing w:line="300" w:lineRule="exact"/>
              <w:jc w:val="center"/>
              <w:rPr>
                <w:b/>
                <w:color w:val="auto"/>
                <w:szCs w:val="21"/>
              </w:rPr>
            </w:pPr>
            <w:r>
              <w:rPr>
                <w:rFonts w:hint="eastAsia"/>
                <w:b/>
                <w:color w:val="auto"/>
                <w:szCs w:val="21"/>
              </w:rPr>
              <w:t>4</w:t>
            </w:r>
            <w:r>
              <w:rPr>
                <w:b/>
                <w:color w:val="auto"/>
                <w:szCs w:val="21"/>
              </w:rPr>
              <w:t>.3</w:t>
            </w:r>
          </w:p>
        </w:tc>
        <w:tc>
          <w:tcPr>
            <w:tcW w:w="1230" w:type="dxa"/>
            <w:tcBorders>
              <w:top w:val="single" w:color="auto" w:sz="4" w:space="0"/>
              <w:left w:val="single" w:color="auto" w:sz="4" w:space="0"/>
              <w:bottom w:val="single" w:color="auto" w:sz="4" w:space="0"/>
              <w:right w:val="single" w:color="auto" w:sz="4" w:space="0"/>
            </w:tcBorders>
            <w:vAlign w:val="center"/>
          </w:tcPr>
          <w:p w14:paraId="1A44C152">
            <w:pPr>
              <w:spacing w:line="300" w:lineRule="exact"/>
              <w:jc w:val="center"/>
              <w:rPr>
                <w:color w:val="auto"/>
                <w:szCs w:val="21"/>
              </w:rPr>
            </w:pPr>
            <w:r>
              <w:rPr>
                <w:rFonts w:hint="eastAsia"/>
                <w:color w:val="auto"/>
                <w:szCs w:val="20"/>
              </w:rPr>
              <w:t>演示</w:t>
            </w:r>
          </w:p>
        </w:tc>
        <w:tc>
          <w:tcPr>
            <w:tcW w:w="7229" w:type="dxa"/>
            <w:tcBorders>
              <w:top w:val="single" w:color="auto" w:sz="4" w:space="0"/>
              <w:left w:val="single" w:color="auto" w:sz="4" w:space="0"/>
              <w:bottom w:val="single" w:color="auto" w:sz="4" w:space="0"/>
              <w:right w:val="single" w:color="auto" w:sz="4" w:space="0"/>
            </w:tcBorders>
            <w:vAlign w:val="center"/>
          </w:tcPr>
          <w:p w14:paraId="5AB91DDC">
            <w:pPr>
              <w:spacing w:line="276" w:lineRule="auto"/>
              <w:rPr>
                <w:color w:val="auto"/>
                <w:szCs w:val="21"/>
              </w:rPr>
            </w:pPr>
            <w:r>
              <w:rPr>
                <w:color w:val="auto"/>
                <w:sz w:val="22"/>
                <w:szCs w:val="22"/>
              </w:rPr>
              <w:sym w:font="Wingdings 2" w:char="F052"/>
            </w:r>
            <w:r>
              <w:rPr>
                <w:rFonts w:hint="eastAsia"/>
                <w:color w:val="auto"/>
                <w:szCs w:val="21"/>
              </w:rPr>
              <w:t xml:space="preserve">否  </w:t>
            </w:r>
          </w:p>
        </w:tc>
      </w:tr>
      <w:tr w14:paraId="7B67C1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vAlign w:val="center"/>
          </w:tcPr>
          <w:p w14:paraId="537E3B04">
            <w:pPr>
              <w:spacing w:line="300" w:lineRule="exact"/>
              <w:jc w:val="center"/>
              <w:rPr>
                <w:b/>
                <w:color w:val="auto"/>
                <w:szCs w:val="21"/>
              </w:rPr>
            </w:pPr>
            <w:r>
              <w:rPr>
                <w:rFonts w:hint="eastAsia"/>
                <w:b/>
                <w:color w:val="auto"/>
                <w:szCs w:val="21"/>
              </w:rPr>
              <w:t>4</w:t>
            </w:r>
            <w:r>
              <w:rPr>
                <w:b/>
                <w:color w:val="auto"/>
                <w:szCs w:val="21"/>
              </w:rPr>
              <w:t>.4</w:t>
            </w:r>
          </w:p>
        </w:tc>
        <w:tc>
          <w:tcPr>
            <w:tcW w:w="1230" w:type="dxa"/>
            <w:tcBorders>
              <w:top w:val="single" w:color="auto" w:sz="4" w:space="0"/>
              <w:left w:val="single" w:color="auto" w:sz="4" w:space="0"/>
              <w:bottom w:val="single" w:color="auto" w:sz="4" w:space="0"/>
              <w:right w:val="single" w:color="auto" w:sz="4" w:space="0"/>
            </w:tcBorders>
            <w:vAlign w:val="center"/>
          </w:tcPr>
          <w:p w14:paraId="2CAAE8AA">
            <w:pPr>
              <w:spacing w:line="300" w:lineRule="exact"/>
              <w:jc w:val="center"/>
              <w:rPr>
                <w:color w:val="auto"/>
                <w:szCs w:val="21"/>
              </w:rPr>
            </w:pPr>
            <w:r>
              <w:rPr>
                <w:rFonts w:hint="eastAsia"/>
                <w:color w:val="auto"/>
                <w:szCs w:val="20"/>
              </w:rPr>
              <w:t>样品</w:t>
            </w:r>
          </w:p>
        </w:tc>
        <w:tc>
          <w:tcPr>
            <w:tcW w:w="7229" w:type="dxa"/>
            <w:tcBorders>
              <w:top w:val="single" w:color="auto" w:sz="4" w:space="0"/>
              <w:left w:val="single" w:color="auto" w:sz="4" w:space="0"/>
              <w:bottom w:val="single" w:color="auto" w:sz="4" w:space="0"/>
              <w:right w:val="single" w:color="auto" w:sz="4" w:space="0"/>
            </w:tcBorders>
            <w:vAlign w:val="center"/>
          </w:tcPr>
          <w:p w14:paraId="33AC7DED">
            <w:pPr>
              <w:spacing w:line="276" w:lineRule="auto"/>
              <w:rPr>
                <w:color w:val="auto"/>
                <w:szCs w:val="21"/>
              </w:rPr>
            </w:pPr>
            <w:r>
              <w:rPr>
                <w:color w:val="auto"/>
                <w:sz w:val="24"/>
              </w:rPr>
              <w:sym w:font="Wingdings 2" w:char="F052"/>
            </w:r>
            <w:r>
              <w:rPr>
                <w:rFonts w:hint="eastAsia"/>
                <w:color w:val="auto"/>
                <w:szCs w:val="21"/>
              </w:rPr>
              <w:t xml:space="preserve">否   </w:t>
            </w:r>
          </w:p>
        </w:tc>
      </w:tr>
      <w:tr w14:paraId="0704B9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vAlign w:val="center"/>
          </w:tcPr>
          <w:p w14:paraId="5ED723DE">
            <w:pPr>
              <w:spacing w:line="300" w:lineRule="exact"/>
              <w:jc w:val="center"/>
              <w:rPr>
                <w:rFonts w:hint="default" w:eastAsia="宋体"/>
                <w:b/>
                <w:color w:val="auto"/>
                <w:szCs w:val="21"/>
                <w:lang w:val="en-US" w:eastAsia="zh-CN"/>
              </w:rPr>
            </w:pPr>
            <w:r>
              <w:rPr>
                <w:rFonts w:hint="eastAsia"/>
                <w:b/>
                <w:color w:val="auto"/>
                <w:szCs w:val="21"/>
                <w:lang w:val="en-US" w:eastAsia="zh-CN"/>
              </w:rPr>
              <w:t>6.3.</w:t>
            </w:r>
            <w:r>
              <w:rPr>
                <w:rFonts w:hint="default"/>
                <w:b/>
                <w:color w:val="auto"/>
                <w:szCs w:val="21"/>
                <w:lang w:val="en-US" w:eastAsia="zh-CN"/>
              </w:rPr>
              <w:t>1</w:t>
            </w:r>
          </w:p>
        </w:tc>
        <w:tc>
          <w:tcPr>
            <w:tcW w:w="1230" w:type="dxa"/>
            <w:tcBorders>
              <w:top w:val="single" w:color="auto" w:sz="4" w:space="0"/>
              <w:left w:val="single" w:color="auto" w:sz="4" w:space="0"/>
              <w:bottom w:val="single" w:color="auto" w:sz="4" w:space="0"/>
              <w:right w:val="single" w:color="auto" w:sz="4" w:space="0"/>
            </w:tcBorders>
            <w:vAlign w:val="center"/>
          </w:tcPr>
          <w:p w14:paraId="24D71BEF">
            <w:pPr>
              <w:spacing w:line="300" w:lineRule="exact"/>
              <w:jc w:val="center"/>
              <w:rPr>
                <w:rFonts w:hint="eastAsia"/>
                <w:color w:val="auto"/>
                <w:szCs w:val="20"/>
              </w:rPr>
            </w:pPr>
            <w:r>
              <w:rPr>
                <w:rFonts w:hint="eastAsia" w:ascii="宋体" w:hAnsi="宋体" w:cs="宋体"/>
                <w:color w:val="auto"/>
                <w:szCs w:val="21"/>
              </w:rPr>
              <w:t>允许负偏离项</w:t>
            </w:r>
          </w:p>
        </w:tc>
        <w:tc>
          <w:tcPr>
            <w:tcW w:w="7229" w:type="dxa"/>
            <w:tcBorders>
              <w:top w:val="single" w:color="auto" w:sz="4" w:space="0"/>
              <w:left w:val="single" w:color="auto" w:sz="4" w:space="0"/>
              <w:bottom w:val="single" w:color="auto" w:sz="4" w:space="0"/>
              <w:right w:val="single" w:color="auto" w:sz="4" w:space="0"/>
            </w:tcBorders>
            <w:vAlign w:val="center"/>
          </w:tcPr>
          <w:p w14:paraId="26FA96A2">
            <w:pPr>
              <w:snapToGrid w:val="0"/>
              <w:spacing w:line="320" w:lineRule="exact"/>
              <w:rPr>
                <w:rFonts w:ascii="宋体" w:hAnsi="宋体" w:cs="宋体"/>
                <w:color w:val="auto"/>
                <w:szCs w:val="21"/>
              </w:rPr>
            </w:pPr>
            <w:r>
              <w:rPr>
                <w:rFonts w:hint="eastAsia" w:ascii="宋体" w:hAnsi="宋体" w:cs="宋体"/>
                <w:color w:val="auto"/>
                <w:szCs w:val="21"/>
              </w:rPr>
              <w:t>各</w:t>
            </w:r>
            <w:r>
              <w:rPr>
                <w:rFonts w:hint="eastAsia" w:ascii="宋体" w:hAnsi="宋体" w:cs="宋体"/>
                <w:color w:val="auto"/>
                <w:szCs w:val="21"/>
                <w:lang w:val="en-US" w:eastAsia="zh-CN"/>
              </w:rPr>
              <w:t>标段</w:t>
            </w:r>
            <w:r>
              <w:rPr>
                <w:rFonts w:hint="eastAsia" w:ascii="宋体" w:hAnsi="宋体" w:cs="宋体"/>
                <w:color w:val="auto"/>
                <w:szCs w:val="21"/>
              </w:rPr>
              <w:t>商务条款评审中允许负偏离的条款数为</w:t>
            </w:r>
            <w:r>
              <w:rPr>
                <w:rFonts w:hint="eastAsia" w:ascii="宋体" w:hAnsi="宋体" w:cs="宋体"/>
                <w:color w:val="auto"/>
                <w:szCs w:val="21"/>
                <w:u w:val="single"/>
                <w:lang w:val="en-US" w:eastAsia="zh-CN"/>
              </w:rPr>
              <w:t>0</w:t>
            </w:r>
            <w:r>
              <w:rPr>
                <w:rFonts w:hint="eastAsia" w:ascii="宋体" w:hAnsi="宋体" w:cs="宋体"/>
                <w:color w:val="auto"/>
                <w:szCs w:val="21"/>
              </w:rPr>
              <w:t>项。</w:t>
            </w:r>
          </w:p>
          <w:p w14:paraId="458ED903">
            <w:pPr>
              <w:spacing w:line="276" w:lineRule="auto"/>
              <w:rPr>
                <w:color w:val="auto"/>
                <w:sz w:val="24"/>
              </w:rPr>
            </w:pPr>
            <w:r>
              <w:rPr>
                <w:rFonts w:hint="eastAsia" w:ascii="宋体" w:hAnsi="宋体" w:cs="宋体"/>
                <w:color w:val="auto"/>
                <w:szCs w:val="21"/>
              </w:rPr>
              <w:t>各</w:t>
            </w:r>
            <w:r>
              <w:rPr>
                <w:rFonts w:hint="eastAsia" w:ascii="宋体" w:hAnsi="宋体" w:cs="宋体"/>
                <w:color w:val="auto"/>
                <w:szCs w:val="21"/>
                <w:lang w:val="en-US" w:eastAsia="zh-CN"/>
              </w:rPr>
              <w:t>标段</w:t>
            </w:r>
            <w:r>
              <w:rPr>
                <w:rFonts w:hint="eastAsia" w:ascii="宋体" w:hAnsi="宋体" w:cs="宋体"/>
                <w:color w:val="auto"/>
                <w:szCs w:val="21"/>
              </w:rPr>
              <w:t>技术需求评审</w:t>
            </w:r>
            <w:r>
              <w:rPr>
                <w:rFonts w:hint="eastAsia" w:ascii="宋体" w:hAnsi="宋体" w:cs="宋体"/>
                <w:color w:val="auto"/>
                <w:szCs w:val="21"/>
                <w:lang w:val="en-US" w:eastAsia="zh-CN"/>
              </w:rPr>
              <w:t>一般性参数</w:t>
            </w:r>
            <w:r>
              <w:rPr>
                <w:rFonts w:hint="eastAsia" w:ascii="宋体" w:hAnsi="宋体" w:cs="宋体"/>
                <w:color w:val="auto"/>
                <w:szCs w:val="21"/>
              </w:rPr>
              <w:t>允许负偏离的条款数为</w:t>
            </w:r>
            <w:r>
              <w:rPr>
                <w:rFonts w:hint="eastAsia" w:ascii="宋体" w:hAnsi="宋体" w:cs="宋体"/>
                <w:color w:val="auto"/>
                <w:szCs w:val="21"/>
                <w:u w:val="single"/>
                <w:lang w:val="en-US" w:eastAsia="zh-CN"/>
              </w:rPr>
              <w:t>2</w:t>
            </w:r>
            <w:r>
              <w:rPr>
                <w:rFonts w:hint="eastAsia" w:ascii="宋体" w:hAnsi="宋体" w:cs="宋体"/>
                <w:color w:val="auto"/>
                <w:szCs w:val="21"/>
              </w:rPr>
              <w:t>项（负偏离达到</w:t>
            </w:r>
            <w:r>
              <w:rPr>
                <w:rFonts w:hint="eastAsia" w:ascii="宋体" w:hAnsi="宋体" w:cs="宋体"/>
                <w:color w:val="auto"/>
                <w:szCs w:val="21"/>
                <w:lang w:val="en-US" w:eastAsia="zh-CN"/>
              </w:rPr>
              <w:t>3</w:t>
            </w:r>
            <w:r>
              <w:rPr>
                <w:rFonts w:hint="eastAsia" w:ascii="宋体" w:hAnsi="宋体" w:cs="宋体"/>
                <w:color w:val="auto"/>
                <w:szCs w:val="21"/>
              </w:rPr>
              <w:t>项或以上则投标无效）。</w:t>
            </w:r>
          </w:p>
        </w:tc>
      </w:tr>
      <w:tr w14:paraId="018148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vAlign w:val="center"/>
          </w:tcPr>
          <w:p w14:paraId="5675E04D">
            <w:pPr>
              <w:spacing w:line="300" w:lineRule="exact"/>
              <w:jc w:val="center"/>
              <w:rPr>
                <w:rFonts w:hint="eastAsia" w:eastAsia="宋体"/>
                <w:b/>
                <w:color w:val="auto"/>
                <w:szCs w:val="21"/>
                <w:lang w:eastAsia="zh-CN"/>
              </w:rPr>
            </w:pPr>
            <w:r>
              <w:rPr>
                <w:rFonts w:hint="eastAsia"/>
                <w:b/>
                <w:color w:val="auto"/>
                <w:szCs w:val="21"/>
              </w:rPr>
              <w:t>6.</w:t>
            </w:r>
            <w:r>
              <w:rPr>
                <w:b/>
                <w:color w:val="auto"/>
                <w:szCs w:val="21"/>
              </w:rPr>
              <w:t>3</w:t>
            </w:r>
            <w:r>
              <w:rPr>
                <w:rFonts w:hint="eastAsia"/>
                <w:b/>
                <w:color w:val="auto"/>
                <w:szCs w:val="21"/>
              </w:rPr>
              <w:t>.</w:t>
            </w:r>
            <w:r>
              <w:rPr>
                <w:rFonts w:hint="eastAsia"/>
                <w:b/>
                <w:color w:val="auto"/>
                <w:szCs w:val="21"/>
                <w:lang w:val="en-US" w:eastAsia="zh-CN"/>
              </w:rPr>
              <w:t>6</w:t>
            </w:r>
          </w:p>
        </w:tc>
        <w:tc>
          <w:tcPr>
            <w:tcW w:w="1230" w:type="dxa"/>
            <w:tcBorders>
              <w:top w:val="single" w:color="auto" w:sz="4" w:space="0"/>
              <w:left w:val="single" w:color="auto" w:sz="4" w:space="0"/>
              <w:bottom w:val="single" w:color="auto" w:sz="4" w:space="0"/>
              <w:right w:val="single" w:color="auto" w:sz="4" w:space="0"/>
            </w:tcBorders>
            <w:vAlign w:val="center"/>
          </w:tcPr>
          <w:p w14:paraId="032ABD5F">
            <w:pPr>
              <w:spacing w:line="300" w:lineRule="exact"/>
              <w:jc w:val="center"/>
              <w:rPr>
                <w:color w:val="auto"/>
                <w:szCs w:val="21"/>
              </w:rPr>
            </w:pPr>
            <w:r>
              <w:rPr>
                <w:rFonts w:hint="eastAsia"/>
                <w:color w:val="auto"/>
                <w:szCs w:val="21"/>
              </w:rPr>
              <w:t>相同品牌推荐方式</w:t>
            </w:r>
          </w:p>
        </w:tc>
        <w:tc>
          <w:tcPr>
            <w:tcW w:w="7229" w:type="dxa"/>
            <w:tcBorders>
              <w:top w:val="single" w:color="auto" w:sz="4" w:space="0"/>
              <w:left w:val="single" w:color="auto" w:sz="4" w:space="0"/>
              <w:bottom w:val="single" w:color="auto" w:sz="4" w:space="0"/>
              <w:right w:val="single" w:color="auto" w:sz="4" w:space="0"/>
            </w:tcBorders>
            <w:vAlign w:val="center"/>
          </w:tcPr>
          <w:p w14:paraId="19AF9F5C">
            <w:pPr>
              <w:spacing w:line="276" w:lineRule="auto"/>
              <w:rPr>
                <w:color w:val="auto"/>
                <w:szCs w:val="21"/>
              </w:rPr>
            </w:pPr>
            <w:r>
              <w:rPr>
                <w:color w:val="auto"/>
                <w:sz w:val="22"/>
                <w:szCs w:val="22"/>
              </w:rPr>
              <w:sym w:font="Wingdings 2" w:char="F052"/>
            </w:r>
            <w:r>
              <w:rPr>
                <w:rFonts w:hint="eastAsia"/>
                <w:color w:val="auto"/>
                <w:szCs w:val="21"/>
              </w:rPr>
              <w:t>采购人委托评审委员会确定   □采购人确定</w:t>
            </w:r>
          </w:p>
        </w:tc>
      </w:tr>
      <w:tr w14:paraId="526C94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vAlign w:val="center"/>
          </w:tcPr>
          <w:p w14:paraId="57CAB43A">
            <w:pPr>
              <w:spacing w:line="300" w:lineRule="exact"/>
              <w:jc w:val="center"/>
              <w:rPr>
                <w:b/>
                <w:color w:val="auto"/>
                <w:szCs w:val="21"/>
              </w:rPr>
            </w:pPr>
            <w:r>
              <w:rPr>
                <w:b/>
                <w:color w:val="auto"/>
                <w:szCs w:val="21"/>
              </w:rPr>
              <w:t>6.5</w:t>
            </w:r>
            <w:r>
              <w:rPr>
                <w:rFonts w:hint="eastAsia"/>
                <w:b/>
                <w:color w:val="auto"/>
                <w:szCs w:val="21"/>
              </w:rPr>
              <w:t>.1</w:t>
            </w:r>
          </w:p>
        </w:tc>
        <w:tc>
          <w:tcPr>
            <w:tcW w:w="1230" w:type="dxa"/>
            <w:tcBorders>
              <w:top w:val="single" w:color="auto" w:sz="4" w:space="0"/>
              <w:left w:val="single" w:color="auto" w:sz="4" w:space="0"/>
              <w:bottom w:val="single" w:color="auto" w:sz="4" w:space="0"/>
              <w:right w:val="single" w:color="auto" w:sz="4" w:space="0"/>
            </w:tcBorders>
            <w:vAlign w:val="center"/>
          </w:tcPr>
          <w:p w14:paraId="1670FA14">
            <w:pPr>
              <w:spacing w:line="300" w:lineRule="exact"/>
              <w:jc w:val="center"/>
              <w:rPr>
                <w:color w:val="auto"/>
                <w:szCs w:val="21"/>
              </w:rPr>
            </w:pPr>
            <w:r>
              <w:rPr>
                <w:rFonts w:hint="eastAsia"/>
                <w:color w:val="auto"/>
                <w:szCs w:val="21"/>
              </w:rPr>
              <w:t>结果</w:t>
            </w:r>
            <w:r>
              <w:rPr>
                <w:color w:val="auto"/>
                <w:szCs w:val="21"/>
              </w:rPr>
              <w:t>公告</w:t>
            </w:r>
          </w:p>
        </w:tc>
        <w:tc>
          <w:tcPr>
            <w:tcW w:w="7229" w:type="dxa"/>
            <w:tcBorders>
              <w:top w:val="single" w:color="auto" w:sz="4" w:space="0"/>
              <w:left w:val="single" w:color="auto" w:sz="4" w:space="0"/>
              <w:bottom w:val="single" w:color="auto" w:sz="4" w:space="0"/>
              <w:right w:val="single" w:color="auto" w:sz="4" w:space="0"/>
            </w:tcBorders>
            <w:vAlign w:val="center"/>
          </w:tcPr>
          <w:p w14:paraId="07368A84">
            <w:pPr>
              <w:spacing w:line="300" w:lineRule="exact"/>
              <w:jc w:val="left"/>
              <w:rPr>
                <w:color w:val="auto"/>
                <w:szCs w:val="21"/>
              </w:rPr>
            </w:pPr>
            <w:r>
              <w:rPr>
                <w:color w:val="auto"/>
                <w:szCs w:val="21"/>
              </w:rPr>
              <w:t>采购代理机构在采购人依法确认中标人后2个工作日内在招标公告发布的媒体上发布</w:t>
            </w:r>
            <w:r>
              <w:rPr>
                <w:rFonts w:hint="eastAsia"/>
                <w:color w:val="auto"/>
                <w:szCs w:val="21"/>
              </w:rPr>
              <w:t>结果</w:t>
            </w:r>
            <w:r>
              <w:rPr>
                <w:color w:val="auto"/>
                <w:szCs w:val="21"/>
              </w:rPr>
              <w:t>公告</w:t>
            </w:r>
            <w:r>
              <w:rPr>
                <w:rFonts w:hint="eastAsia"/>
                <w:color w:val="auto"/>
                <w:szCs w:val="21"/>
              </w:rPr>
              <w:t>。</w:t>
            </w:r>
          </w:p>
        </w:tc>
      </w:tr>
      <w:tr w14:paraId="0FF42A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vAlign w:val="center"/>
          </w:tcPr>
          <w:p w14:paraId="2A92E5A3">
            <w:pPr>
              <w:spacing w:line="300" w:lineRule="exact"/>
              <w:jc w:val="center"/>
              <w:rPr>
                <w:b/>
                <w:color w:val="auto"/>
                <w:szCs w:val="21"/>
              </w:rPr>
            </w:pPr>
            <w:r>
              <w:rPr>
                <w:b/>
                <w:color w:val="auto"/>
                <w:szCs w:val="21"/>
              </w:rPr>
              <w:t>6.5.2</w:t>
            </w:r>
          </w:p>
        </w:tc>
        <w:tc>
          <w:tcPr>
            <w:tcW w:w="1230" w:type="dxa"/>
            <w:tcBorders>
              <w:top w:val="single" w:color="auto" w:sz="4" w:space="0"/>
              <w:left w:val="single" w:color="auto" w:sz="4" w:space="0"/>
              <w:bottom w:val="single" w:color="auto" w:sz="4" w:space="0"/>
              <w:right w:val="single" w:color="auto" w:sz="4" w:space="0"/>
            </w:tcBorders>
            <w:vAlign w:val="center"/>
          </w:tcPr>
          <w:p w14:paraId="608062EC">
            <w:pPr>
              <w:spacing w:line="300" w:lineRule="exact"/>
              <w:jc w:val="center"/>
              <w:rPr>
                <w:color w:val="auto"/>
                <w:szCs w:val="21"/>
              </w:rPr>
            </w:pPr>
            <w:r>
              <w:rPr>
                <w:rFonts w:hint="eastAsia"/>
                <w:color w:val="auto"/>
                <w:szCs w:val="21"/>
              </w:rPr>
              <w:t>中标通知书</w:t>
            </w:r>
          </w:p>
        </w:tc>
        <w:tc>
          <w:tcPr>
            <w:tcW w:w="7229" w:type="dxa"/>
            <w:tcBorders>
              <w:top w:val="single" w:color="auto" w:sz="4" w:space="0"/>
              <w:left w:val="single" w:color="auto" w:sz="4" w:space="0"/>
              <w:bottom w:val="single" w:color="auto" w:sz="4" w:space="0"/>
              <w:right w:val="single" w:color="auto" w:sz="4" w:space="0"/>
            </w:tcBorders>
            <w:vAlign w:val="center"/>
          </w:tcPr>
          <w:p w14:paraId="385FE73A">
            <w:pPr>
              <w:spacing w:line="300" w:lineRule="exact"/>
              <w:jc w:val="left"/>
              <w:rPr>
                <w:color w:val="auto"/>
                <w:szCs w:val="21"/>
              </w:rPr>
            </w:pPr>
            <w:r>
              <w:rPr>
                <w:rFonts w:hint="eastAsia"/>
                <w:color w:val="auto"/>
                <w:szCs w:val="21"/>
              </w:rPr>
              <w:t>采购代理机构通过政采云平台发出</w:t>
            </w:r>
            <w:r>
              <w:rPr>
                <w:color w:val="auto"/>
                <w:szCs w:val="21"/>
              </w:rPr>
              <w:t>中标通知书。</w:t>
            </w:r>
          </w:p>
          <w:p w14:paraId="523680B3">
            <w:pPr>
              <w:spacing w:line="300" w:lineRule="exact"/>
              <w:jc w:val="left"/>
              <w:rPr>
                <w:color w:val="auto"/>
                <w:szCs w:val="21"/>
              </w:rPr>
            </w:pPr>
            <w:r>
              <w:rPr>
                <w:rFonts w:hint="eastAsia"/>
                <w:color w:val="auto"/>
                <w:szCs w:val="21"/>
              </w:rPr>
              <w:t>中标通知书在政采云平台推送之日起，视为中标人已收到，中标人自行承担未及时查收的后果。</w:t>
            </w:r>
          </w:p>
        </w:tc>
      </w:tr>
      <w:tr w14:paraId="7F41DC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vAlign w:val="center"/>
          </w:tcPr>
          <w:p w14:paraId="2516B613">
            <w:pPr>
              <w:spacing w:line="300" w:lineRule="exact"/>
              <w:jc w:val="center"/>
              <w:rPr>
                <w:b/>
                <w:color w:val="auto"/>
                <w:szCs w:val="21"/>
              </w:rPr>
            </w:pPr>
            <w:r>
              <w:rPr>
                <w:b/>
                <w:color w:val="auto"/>
                <w:szCs w:val="21"/>
              </w:rPr>
              <w:t>6.5.3</w:t>
            </w:r>
          </w:p>
        </w:tc>
        <w:tc>
          <w:tcPr>
            <w:tcW w:w="1230" w:type="dxa"/>
            <w:tcBorders>
              <w:top w:val="single" w:color="auto" w:sz="4" w:space="0"/>
              <w:left w:val="single" w:color="auto" w:sz="4" w:space="0"/>
              <w:bottom w:val="single" w:color="auto" w:sz="4" w:space="0"/>
              <w:right w:val="single" w:color="auto" w:sz="4" w:space="0"/>
            </w:tcBorders>
            <w:vAlign w:val="center"/>
          </w:tcPr>
          <w:p w14:paraId="7353AE59">
            <w:pPr>
              <w:spacing w:line="300" w:lineRule="exact"/>
              <w:jc w:val="center"/>
              <w:rPr>
                <w:color w:val="auto"/>
                <w:szCs w:val="21"/>
              </w:rPr>
            </w:pPr>
            <w:r>
              <w:rPr>
                <w:rFonts w:hint="eastAsia"/>
                <w:color w:val="auto"/>
                <w:szCs w:val="21"/>
              </w:rPr>
              <w:t>招标结果通知书</w:t>
            </w:r>
          </w:p>
        </w:tc>
        <w:tc>
          <w:tcPr>
            <w:tcW w:w="7229" w:type="dxa"/>
            <w:tcBorders>
              <w:top w:val="single" w:color="auto" w:sz="4" w:space="0"/>
              <w:left w:val="single" w:color="auto" w:sz="4" w:space="0"/>
              <w:bottom w:val="single" w:color="auto" w:sz="4" w:space="0"/>
              <w:right w:val="single" w:color="auto" w:sz="4" w:space="0"/>
            </w:tcBorders>
            <w:vAlign w:val="center"/>
          </w:tcPr>
          <w:p w14:paraId="6C54760E">
            <w:pPr>
              <w:spacing w:line="300" w:lineRule="exact"/>
              <w:jc w:val="left"/>
              <w:rPr>
                <w:color w:val="auto"/>
                <w:szCs w:val="21"/>
              </w:rPr>
            </w:pPr>
            <w:r>
              <w:rPr>
                <w:rFonts w:hint="eastAsia"/>
                <w:color w:val="auto"/>
                <w:szCs w:val="21"/>
              </w:rPr>
              <w:t>采购代理机构通过电子邮件或书面方式发出招标结果</w:t>
            </w:r>
            <w:r>
              <w:rPr>
                <w:color w:val="auto"/>
                <w:szCs w:val="21"/>
              </w:rPr>
              <w:t>通知书</w:t>
            </w:r>
            <w:r>
              <w:rPr>
                <w:rFonts w:hint="eastAsia"/>
                <w:color w:val="auto"/>
                <w:szCs w:val="21"/>
              </w:rPr>
              <w:t>，供应商自行承担未及时查收的后果。</w:t>
            </w:r>
          </w:p>
        </w:tc>
      </w:tr>
      <w:tr w14:paraId="37734D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vAlign w:val="center"/>
          </w:tcPr>
          <w:p w14:paraId="1CADD230">
            <w:pPr>
              <w:spacing w:line="300" w:lineRule="exact"/>
              <w:jc w:val="center"/>
              <w:rPr>
                <w:b/>
                <w:color w:val="auto"/>
                <w:szCs w:val="21"/>
              </w:rPr>
            </w:pPr>
            <w:r>
              <w:rPr>
                <w:b/>
                <w:color w:val="auto"/>
                <w:szCs w:val="21"/>
              </w:rPr>
              <w:t>8.1</w:t>
            </w:r>
          </w:p>
        </w:tc>
        <w:tc>
          <w:tcPr>
            <w:tcW w:w="1230" w:type="dxa"/>
            <w:tcBorders>
              <w:top w:val="single" w:color="auto" w:sz="4" w:space="0"/>
              <w:left w:val="single" w:color="auto" w:sz="4" w:space="0"/>
              <w:bottom w:val="single" w:color="auto" w:sz="4" w:space="0"/>
              <w:right w:val="single" w:color="auto" w:sz="4" w:space="0"/>
            </w:tcBorders>
            <w:vAlign w:val="center"/>
          </w:tcPr>
          <w:p w14:paraId="53654F48">
            <w:pPr>
              <w:spacing w:line="300" w:lineRule="exact"/>
              <w:jc w:val="center"/>
              <w:rPr>
                <w:color w:val="auto"/>
                <w:szCs w:val="21"/>
              </w:rPr>
            </w:pPr>
            <w:r>
              <w:rPr>
                <w:rFonts w:hint="eastAsia"/>
                <w:color w:val="auto"/>
                <w:szCs w:val="21"/>
              </w:rPr>
              <w:t>质疑</w:t>
            </w:r>
          </w:p>
        </w:tc>
        <w:tc>
          <w:tcPr>
            <w:tcW w:w="7229" w:type="dxa"/>
            <w:tcBorders>
              <w:top w:val="single" w:color="auto" w:sz="4" w:space="0"/>
              <w:left w:val="single" w:color="auto" w:sz="4" w:space="0"/>
              <w:bottom w:val="single" w:color="auto" w:sz="4" w:space="0"/>
              <w:right w:val="single" w:color="auto" w:sz="4" w:space="0"/>
            </w:tcBorders>
            <w:vAlign w:val="center"/>
          </w:tcPr>
          <w:p w14:paraId="709F60CF">
            <w:pPr>
              <w:spacing w:line="300" w:lineRule="exact"/>
              <w:jc w:val="left"/>
              <w:rPr>
                <w:color w:val="auto"/>
                <w:szCs w:val="21"/>
              </w:rPr>
            </w:pPr>
            <w:r>
              <w:rPr>
                <w:rFonts w:hint="eastAsia"/>
                <w:color w:val="auto"/>
                <w:szCs w:val="21"/>
              </w:rPr>
              <w:t>（1）供应商</w:t>
            </w:r>
            <w:r>
              <w:rPr>
                <w:color w:val="auto"/>
                <w:szCs w:val="21"/>
              </w:rPr>
              <w:t>认为</w:t>
            </w:r>
            <w:r>
              <w:rPr>
                <w:rFonts w:hint="eastAsia"/>
                <w:color w:val="auto"/>
                <w:szCs w:val="21"/>
              </w:rPr>
              <w:t>招标文件</w:t>
            </w:r>
            <w:r>
              <w:rPr>
                <w:color w:val="auto"/>
                <w:szCs w:val="21"/>
              </w:rPr>
              <w:t>、</w:t>
            </w:r>
            <w:r>
              <w:rPr>
                <w:rFonts w:hint="eastAsia"/>
                <w:color w:val="auto"/>
                <w:szCs w:val="21"/>
              </w:rPr>
              <w:t>采购</w:t>
            </w:r>
            <w:r>
              <w:rPr>
                <w:color w:val="auto"/>
                <w:szCs w:val="21"/>
              </w:rPr>
              <w:t>过程、中标</w:t>
            </w:r>
            <w:r>
              <w:rPr>
                <w:rFonts w:hint="eastAsia"/>
                <w:color w:val="auto"/>
                <w:szCs w:val="21"/>
              </w:rPr>
              <w:t>或者成交</w:t>
            </w:r>
            <w:r>
              <w:rPr>
                <w:color w:val="auto"/>
                <w:szCs w:val="21"/>
              </w:rPr>
              <w:t>结果使自己的权益受到损害的，可以在知道或者应知其权益受到损害之日起7个工作日内，</w:t>
            </w:r>
            <w:r>
              <w:rPr>
                <w:rFonts w:hint="eastAsia"/>
                <w:color w:val="auto"/>
                <w:szCs w:val="21"/>
              </w:rPr>
              <w:t>通过以下方式</w:t>
            </w:r>
            <w:r>
              <w:rPr>
                <w:color w:val="auto"/>
                <w:szCs w:val="21"/>
              </w:rPr>
              <w:t>向采购人、采购代理机构提出质疑。提出质疑的</w:t>
            </w:r>
            <w:r>
              <w:rPr>
                <w:rFonts w:hint="eastAsia"/>
                <w:color w:val="auto"/>
                <w:szCs w:val="21"/>
              </w:rPr>
              <w:t>供应商</w:t>
            </w:r>
            <w:r>
              <w:rPr>
                <w:color w:val="auto"/>
                <w:szCs w:val="21"/>
              </w:rPr>
              <w:t>必须是参与本项目采购活动的供应商</w:t>
            </w:r>
            <w:r>
              <w:rPr>
                <w:rFonts w:hint="eastAsia"/>
                <w:color w:val="auto"/>
                <w:szCs w:val="21"/>
              </w:rPr>
              <w:t>，并须在</w:t>
            </w:r>
            <w:r>
              <w:rPr>
                <w:color w:val="auto"/>
                <w:szCs w:val="21"/>
              </w:rPr>
              <w:t>法定质疑期内一次性提出针对同一采购程序环节的质疑。质疑函应使用财政部发布的</w:t>
            </w:r>
            <w:r>
              <w:rPr>
                <w:rFonts w:hint="eastAsia"/>
                <w:color w:val="auto"/>
                <w:szCs w:val="21"/>
              </w:rPr>
              <w:t>政府采购供应商质疑函范本，并应按照“质疑函制作说明”进行制作。</w:t>
            </w:r>
          </w:p>
          <w:p w14:paraId="2D51D55E">
            <w:pPr>
              <w:spacing w:line="300" w:lineRule="exact"/>
              <w:jc w:val="left"/>
              <w:rPr>
                <w:color w:val="auto"/>
                <w:szCs w:val="21"/>
              </w:rPr>
            </w:pPr>
            <w:r>
              <w:rPr>
                <w:rFonts w:hint="eastAsia"/>
                <w:color w:val="auto"/>
                <w:szCs w:val="21"/>
              </w:rPr>
              <w:t>（2）</w:t>
            </w:r>
            <w:r>
              <w:rPr>
                <w:color w:val="auto"/>
                <w:szCs w:val="21"/>
              </w:rPr>
              <w:t>本项目不接受传真、移动通信</w:t>
            </w:r>
            <w:r>
              <w:rPr>
                <w:rFonts w:hint="eastAsia"/>
                <w:color w:val="auto"/>
                <w:szCs w:val="21"/>
              </w:rPr>
              <w:t>、政采云平台</w:t>
            </w:r>
            <w:r>
              <w:rPr>
                <w:color w:val="auto"/>
                <w:szCs w:val="21"/>
              </w:rPr>
              <w:t>等</w:t>
            </w:r>
            <w:r>
              <w:rPr>
                <w:rFonts w:hint="eastAsia"/>
                <w:color w:val="auto"/>
                <w:szCs w:val="21"/>
              </w:rPr>
              <w:t>方式</w:t>
            </w:r>
            <w:r>
              <w:rPr>
                <w:color w:val="auto"/>
                <w:szCs w:val="21"/>
              </w:rPr>
              <w:t>送达的质疑材料</w:t>
            </w:r>
            <w:r>
              <w:rPr>
                <w:rFonts w:hint="eastAsia"/>
                <w:color w:val="auto"/>
                <w:szCs w:val="21"/>
              </w:rPr>
              <w:t>，供应商可通过现场或邮寄方式递交书面质疑材料。供应商应于质疑有效期内将质疑函原件递交或邮寄至招标公告中采购代理机构信息中的联系人。</w:t>
            </w:r>
          </w:p>
        </w:tc>
      </w:tr>
      <w:tr w14:paraId="573D66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58" w:hRule="atLeast"/>
        </w:trPr>
        <w:tc>
          <w:tcPr>
            <w:tcW w:w="755" w:type="dxa"/>
            <w:tcBorders>
              <w:top w:val="single" w:color="auto" w:sz="4" w:space="0"/>
              <w:left w:val="single" w:color="auto" w:sz="4" w:space="0"/>
              <w:bottom w:val="single" w:color="auto" w:sz="4" w:space="0"/>
              <w:right w:val="single" w:color="auto" w:sz="4" w:space="0"/>
            </w:tcBorders>
            <w:vAlign w:val="center"/>
          </w:tcPr>
          <w:p w14:paraId="5D7E1103">
            <w:pPr>
              <w:spacing w:line="300" w:lineRule="exact"/>
              <w:jc w:val="center"/>
              <w:rPr>
                <w:b/>
                <w:color w:val="auto"/>
                <w:szCs w:val="21"/>
              </w:rPr>
            </w:pPr>
            <w:r>
              <w:rPr>
                <w:b/>
                <w:color w:val="auto"/>
                <w:szCs w:val="21"/>
              </w:rPr>
              <w:t>9.1</w:t>
            </w:r>
          </w:p>
        </w:tc>
        <w:tc>
          <w:tcPr>
            <w:tcW w:w="1230" w:type="dxa"/>
            <w:tcBorders>
              <w:top w:val="single" w:color="auto" w:sz="4" w:space="0"/>
              <w:left w:val="single" w:color="auto" w:sz="4" w:space="0"/>
              <w:bottom w:val="single" w:color="auto" w:sz="4" w:space="0"/>
              <w:right w:val="single" w:color="auto" w:sz="4" w:space="0"/>
            </w:tcBorders>
            <w:vAlign w:val="center"/>
          </w:tcPr>
          <w:p w14:paraId="485F8D1C">
            <w:pPr>
              <w:spacing w:line="300" w:lineRule="exact"/>
              <w:jc w:val="center"/>
              <w:rPr>
                <w:color w:val="auto"/>
                <w:szCs w:val="21"/>
              </w:rPr>
            </w:pPr>
            <w:r>
              <w:rPr>
                <w:color w:val="auto"/>
                <w:szCs w:val="20"/>
              </w:rPr>
              <w:t>代理服务费</w:t>
            </w:r>
          </w:p>
        </w:tc>
        <w:tc>
          <w:tcPr>
            <w:tcW w:w="7229" w:type="dxa"/>
            <w:tcBorders>
              <w:top w:val="single" w:color="auto" w:sz="4" w:space="0"/>
              <w:left w:val="single" w:color="auto" w:sz="4" w:space="0"/>
              <w:bottom w:val="single" w:color="auto" w:sz="4" w:space="0"/>
              <w:right w:val="single" w:color="auto" w:sz="4" w:space="0"/>
            </w:tcBorders>
            <w:vAlign w:val="center"/>
          </w:tcPr>
          <w:p w14:paraId="14B55007">
            <w:pPr>
              <w:rPr>
                <w:color w:val="auto"/>
                <w:szCs w:val="21"/>
              </w:rPr>
            </w:pPr>
            <w:r>
              <w:rPr>
                <w:color w:val="auto"/>
                <w:szCs w:val="21"/>
              </w:rPr>
              <w:t>（1）</w:t>
            </w:r>
            <w:r>
              <w:rPr>
                <w:color w:val="auto"/>
                <w:szCs w:val="20"/>
              </w:rPr>
              <w:t>代理服务费</w:t>
            </w:r>
          </w:p>
          <w:p w14:paraId="0ACBE2C1">
            <w:pPr>
              <w:spacing w:line="300" w:lineRule="exact"/>
              <w:jc w:val="left"/>
              <w:rPr>
                <w:color w:val="auto"/>
                <w:szCs w:val="21"/>
              </w:rPr>
            </w:pPr>
            <w:r>
              <w:rPr>
                <w:color w:val="auto"/>
                <w:szCs w:val="21"/>
              </w:rPr>
              <w:sym w:font="Wingdings 2" w:char="F052"/>
            </w:r>
            <w:r>
              <w:rPr>
                <w:color w:val="auto"/>
                <w:szCs w:val="21"/>
              </w:rPr>
              <w:t>采购代理机构向中标人收取代理服务费。本项目代理服务费</w:t>
            </w:r>
            <w:r>
              <w:rPr>
                <w:rFonts w:hint="eastAsia"/>
                <w:color w:val="auto"/>
                <w:szCs w:val="21"/>
              </w:rPr>
              <w:t>按照</w:t>
            </w:r>
            <w:r>
              <w:rPr>
                <w:color w:val="auto"/>
                <w:szCs w:val="21"/>
              </w:rPr>
              <w:t>《招标代理服务费管理暂行办法》 (计价格﹝2002﹞1980号)、《国家发展改革委关于降低部分建设项目收费标准规范收费行为等有关问题的通知》(发改价格﹝2011﹞534号)</w:t>
            </w:r>
            <w:r>
              <w:rPr>
                <w:rFonts w:hint="eastAsia"/>
                <w:color w:val="auto"/>
                <w:szCs w:val="21"/>
              </w:rPr>
              <w:t>的</w:t>
            </w:r>
            <w:r>
              <w:rPr>
                <w:color w:val="auto"/>
                <w:szCs w:val="21"/>
              </w:rPr>
              <w:t>规定</w:t>
            </w:r>
            <w:r>
              <w:rPr>
                <w:rFonts w:hint="eastAsia"/>
                <w:color w:val="auto"/>
                <w:szCs w:val="21"/>
              </w:rPr>
              <w:t>采用</w:t>
            </w:r>
            <w:r>
              <w:rPr>
                <w:color w:val="auto"/>
                <w:szCs w:val="21"/>
              </w:rPr>
              <w:t>差额定率累进</w:t>
            </w:r>
            <w:r>
              <w:rPr>
                <w:rFonts w:hint="eastAsia"/>
                <w:color w:val="auto"/>
                <w:szCs w:val="21"/>
              </w:rPr>
              <w:t>法</w:t>
            </w:r>
            <w:r>
              <w:rPr>
                <w:color w:val="auto"/>
                <w:szCs w:val="21"/>
              </w:rPr>
              <w:t>计算</w:t>
            </w:r>
            <w:r>
              <w:rPr>
                <w:rFonts w:hint="eastAsia"/>
                <w:color w:val="auto"/>
                <w:szCs w:val="21"/>
              </w:rPr>
              <w:t>。</w:t>
            </w:r>
            <w:r>
              <w:rPr>
                <w:color w:val="auto"/>
                <w:szCs w:val="21"/>
              </w:rPr>
              <w:t>具体费率</w:t>
            </w:r>
            <w:r>
              <w:rPr>
                <w:rFonts w:hint="eastAsia"/>
                <w:color w:val="auto"/>
                <w:szCs w:val="21"/>
              </w:rPr>
              <w:t>如下：</w:t>
            </w:r>
          </w:p>
          <w:p w14:paraId="4AC6C128">
            <w:pPr>
              <w:spacing w:line="300" w:lineRule="exact"/>
              <w:jc w:val="left"/>
              <w:rPr>
                <w:color w:val="auto"/>
                <w:szCs w:val="21"/>
              </w:rPr>
            </w:pPr>
            <w:r>
              <w:rPr>
                <w:rFonts w:hint="eastAsia"/>
                <w:color w:val="auto"/>
                <w:szCs w:val="21"/>
              </w:rPr>
              <w:t>①中标金额在1</w:t>
            </w:r>
            <w:r>
              <w:rPr>
                <w:color w:val="auto"/>
                <w:szCs w:val="21"/>
              </w:rPr>
              <w:t>00</w:t>
            </w:r>
            <w:r>
              <w:rPr>
                <w:rFonts w:hint="eastAsia"/>
                <w:color w:val="auto"/>
                <w:szCs w:val="21"/>
              </w:rPr>
              <w:t>万元以下的：</w:t>
            </w:r>
          </w:p>
          <w:p w14:paraId="45ECFA77">
            <w:pPr>
              <w:spacing w:line="300" w:lineRule="exact"/>
              <w:jc w:val="left"/>
              <w:rPr>
                <w:color w:val="auto"/>
                <w:szCs w:val="21"/>
              </w:rPr>
            </w:pPr>
            <w:r>
              <w:rPr>
                <w:rFonts w:hint="eastAsia"/>
                <w:color w:val="auto"/>
                <w:szCs w:val="21"/>
              </w:rPr>
              <w:t>货物</w:t>
            </w:r>
            <w:r>
              <w:rPr>
                <w:color w:val="auto"/>
                <w:szCs w:val="21"/>
              </w:rPr>
              <w:t>1.5％</w:t>
            </w:r>
            <w:r>
              <w:rPr>
                <w:rFonts w:hint="eastAsia"/>
                <w:color w:val="auto"/>
                <w:szCs w:val="21"/>
              </w:rPr>
              <w:t>；</w:t>
            </w:r>
            <w:r>
              <w:rPr>
                <w:color w:val="auto"/>
                <w:szCs w:val="21"/>
              </w:rPr>
              <w:t>服务招标1.5％</w:t>
            </w:r>
            <w:r>
              <w:rPr>
                <w:rFonts w:hint="eastAsia"/>
                <w:color w:val="auto"/>
                <w:szCs w:val="21"/>
              </w:rPr>
              <w:t>；</w:t>
            </w:r>
            <w:r>
              <w:rPr>
                <w:color w:val="auto"/>
                <w:szCs w:val="21"/>
              </w:rPr>
              <w:t>工程招标1.0％</w:t>
            </w:r>
            <w:r>
              <w:rPr>
                <w:rFonts w:hint="eastAsia"/>
                <w:color w:val="auto"/>
                <w:szCs w:val="21"/>
              </w:rPr>
              <w:t>；</w:t>
            </w:r>
          </w:p>
          <w:p w14:paraId="2F518664">
            <w:pPr>
              <w:spacing w:line="300" w:lineRule="exact"/>
              <w:jc w:val="left"/>
              <w:rPr>
                <w:color w:val="auto"/>
                <w:szCs w:val="21"/>
              </w:rPr>
            </w:pPr>
            <w:r>
              <w:rPr>
                <w:rFonts w:hint="eastAsia"/>
                <w:color w:val="auto"/>
                <w:szCs w:val="21"/>
              </w:rPr>
              <w:t>②中标金额在</w:t>
            </w:r>
            <w:r>
              <w:rPr>
                <w:color w:val="auto"/>
                <w:szCs w:val="21"/>
              </w:rPr>
              <w:t>100-500</w:t>
            </w:r>
            <w:r>
              <w:rPr>
                <w:rFonts w:hint="eastAsia"/>
                <w:color w:val="auto"/>
                <w:szCs w:val="21"/>
              </w:rPr>
              <w:t>万元之间：</w:t>
            </w:r>
          </w:p>
          <w:p w14:paraId="659D7807">
            <w:pPr>
              <w:spacing w:line="300" w:lineRule="exact"/>
              <w:jc w:val="left"/>
              <w:rPr>
                <w:color w:val="auto"/>
                <w:szCs w:val="21"/>
              </w:rPr>
            </w:pPr>
            <w:r>
              <w:rPr>
                <w:rFonts w:hint="eastAsia"/>
                <w:color w:val="auto"/>
                <w:szCs w:val="21"/>
              </w:rPr>
              <w:t>货物</w:t>
            </w:r>
            <w:r>
              <w:rPr>
                <w:color w:val="auto"/>
                <w:szCs w:val="21"/>
              </w:rPr>
              <w:t>1.1％</w:t>
            </w:r>
            <w:r>
              <w:rPr>
                <w:rFonts w:hint="eastAsia"/>
                <w:color w:val="auto"/>
                <w:szCs w:val="21"/>
              </w:rPr>
              <w:t>；</w:t>
            </w:r>
            <w:r>
              <w:rPr>
                <w:color w:val="auto"/>
                <w:szCs w:val="21"/>
              </w:rPr>
              <w:t>服务招标0.8％</w:t>
            </w:r>
            <w:r>
              <w:rPr>
                <w:rFonts w:hint="eastAsia"/>
                <w:color w:val="auto"/>
                <w:szCs w:val="21"/>
              </w:rPr>
              <w:t>；</w:t>
            </w:r>
            <w:r>
              <w:rPr>
                <w:color w:val="auto"/>
                <w:szCs w:val="21"/>
              </w:rPr>
              <w:t>工程招标0.7％</w:t>
            </w:r>
            <w:r>
              <w:rPr>
                <w:rFonts w:hint="eastAsia"/>
                <w:color w:val="auto"/>
                <w:szCs w:val="21"/>
              </w:rPr>
              <w:t>；</w:t>
            </w:r>
          </w:p>
          <w:p w14:paraId="65128C3E">
            <w:pPr>
              <w:spacing w:line="300" w:lineRule="exact"/>
              <w:jc w:val="left"/>
              <w:rPr>
                <w:color w:val="auto"/>
                <w:szCs w:val="21"/>
              </w:rPr>
            </w:pPr>
            <w:r>
              <w:rPr>
                <w:rFonts w:hint="eastAsia"/>
                <w:color w:val="auto"/>
                <w:szCs w:val="21"/>
              </w:rPr>
              <w:t>③中标金额在</w:t>
            </w:r>
            <w:r>
              <w:rPr>
                <w:color w:val="auto"/>
                <w:szCs w:val="21"/>
              </w:rPr>
              <w:t>5</w:t>
            </w:r>
            <w:r>
              <w:rPr>
                <w:rFonts w:hint="eastAsia"/>
                <w:color w:val="auto"/>
                <w:szCs w:val="21"/>
              </w:rPr>
              <w:t>0</w:t>
            </w:r>
            <w:r>
              <w:rPr>
                <w:color w:val="auto"/>
                <w:szCs w:val="21"/>
              </w:rPr>
              <w:t>0-1</w:t>
            </w:r>
            <w:r>
              <w:rPr>
                <w:rFonts w:hint="eastAsia"/>
                <w:color w:val="auto"/>
                <w:szCs w:val="21"/>
              </w:rPr>
              <w:t>00</w:t>
            </w:r>
            <w:r>
              <w:rPr>
                <w:color w:val="auto"/>
                <w:szCs w:val="21"/>
              </w:rPr>
              <w:t>0</w:t>
            </w:r>
            <w:r>
              <w:rPr>
                <w:rFonts w:hint="eastAsia"/>
                <w:color w:val="auto"/>
                <w:szCs w:val="21"/>
              </w:rPr>
              <w:t>万元之间：</w:t>
            </w:r>
          </w:p>
          <w:p w14:paraId="139B0F5A">
            <w:pPr>
              <w:spacing w:line="300" w:lineRule="exact"/>
              <w:jc w:val="left"/>
              <w:rPr>
                <w:color w:val="auto"/>
                <w:szCs w:val="21"/>
              </w:rPr>
            </w:pPr>
            <w:r>
              <w:rPr>
                <w:rFonts w:hint="eastAsia"/>
                <w:color w:val="auto"/>
                <w:szCs w:val="21"/>
              </w:rPr>
              <w:t>货物</w:t>
            </w:r>
            <w:r>
              <w:rPr>
                <w:color w:val="auto"/>
                <w:szCs w:val="21"/>
              </w:rPr>
              <w:t>0.8％</w:t>
            </w:r>
            <w:r>
              <w:rPr>
                <w:rFonts w:hint="eastAsia"/>
                <w:color w:val="auto"/>
                <w:szCs w:val="21"/>
              </w:rPr>
              <w:t>；</w:t>
            </w:r>
            <w:r>
              <w:rPr>
                <w:color w:val="auto"/>
                <w:szCs w:val="21"/>
              </w:rPr>
              <w:t>服务招标0.45％</w:t>
            </w:r>
            <w:r>
              <w:rPr>
                <w:rFonts w:hint="eastAsia"/>
                <w:color w:val="auto"/>
                <w:szCs w:val="21"/>
              </w:rPr>
              <w:t>；</w:t>
            </w:r>
            <w:r>
              <w:rPr>
                <w:color w:val="auto"/>
                <w:szCs w:val="21"/>
              </w:rPr>
              <w:t>工程招标0.55％</w:t>
            </w:r>
            <w:r>
              <w:rPr>
                <w:rFonts w:hint="eastAsia"/>
                <w:color w:val="auto"/>
                <w:szCs w:val="21"/>
              </w:rPr>
              <w:t>；</w:t>
            </w:r>
          </w:p>
          <w:p w14:paraId="3EA8A798">
            <w:pPr>
              <w:spacing w:line="300" w:lineRule="exact"/>
              <w:jc w:val="left"/>
              <w:rPr>
                <w:color w:val="auto"/>
                <w:szCs w:val="21"/>
              </w:rPr>
            </w:pPr>
            <w:r>
              <w:rPr>
                <w:rFonts w:hint="eastAsia"/>
                <w:color w:val="auto"/>
                <w:szCs w:val="21"/>
              </w:rPr>
              <w:t>④中标金额在</w:t>
            </w:r>
            <w:r>
              <w:rPr>
                <w:color w:val="auto"/>
                <w:szCs w:val="21"/>
              </w:rPr>
              <w:t>1000-5000</w:t>
            </w:r>
            <w:r>
              <w:rPr>
                <w:rFonts w:hint="eastAsia"/>
                <w:color w:val="auto"/>
                <w:szCs w:val="21"/>
              </w:rPr>
              <w:t>万元之间：</w:t>
            </w:r>
          </w:p>
          <w:p w14:paraId="67323906">
            <w:pPr>
              <w:spacing w:line="300" w:lineRule="exact"/>
              <w:jc w:val="left"/>
              <w:rPr>
                <w:color w:val="auto"/>
                <w:szCs w:val="21"/>
              </w:rPr>
            </w:pPr>
            <w:r>
              <w:rPr>
                <w:rFonts w:hint="eastAsia"/>
                <w:color w:val="auto"/>
                <w:szCs w:val="21"/>
              </w:rPr>
              <w:t>货物</w:t>
            </w:r>
            <w:r>
              <w:rPr>
                <w:color w:val="auto"/>
                <w:szCs w:val="21"/>
              </w:rPr>
              <w:t>0.5％</w:t>
            </w:r>
            <w:r>
              <w:rPr>
                <w:rFonts w:hint="eastAsia"/>
                <w:color w:val="auto"/>
                <w:szCs w:val="21"/>
              </w:rPr>
              <w:t>；</w:t>
            </w:r>
            <w:r>
              <w:rPr>
                <w:color w:val="auto"/>
                <w:szCs w:val="21"/>
              </w:rPr>
              <w:t>服务招标0.25％</w:t>
            </w:r>
            <w:r>
              <w:rPr>
                <w:rFonts w:hint="eastAsia"/>
                <w:color w:val="auto"/>
                <w:szCs w:val="21"/>
              </w:rPr>
              <w:t>；</w:t>
            </w:r>
            <w:r>
              <w:rPr>
                <w:color w:val="auto"/>
                <w:szCs w:val="21"/>
              </w:rPr>
              <w:t>工程招标0.35％</w:t>
            </w:r>
            <w:r>
              <w:rPr>
                <w:rFonts w:hint="eastAsia"/>
                <w:color w:val="auto"/>
                <w:szCs w:val="21"/>
              </w:rPr>
              <w:t>；</w:t>
            </w:r>
          </w:p>
          <w:p w14:paraId="0CC28DF9">
            <w:pPr>
              <w:spacing w:line="300" w:lineRule="exact"/>
              <w:jc w:val="left"/>
              <w:rPr>
                <w:color w:val="auto"/>
                <w:szCs w:val="21"/>
              </w:rPr>
            </w:pPr>
            <w:r>
              <w:rPr>
                <w:rFonts w:hint="eastAsia"/>
                <w:color w:val="auto"/>
                <w:szCs w:val="21"/>
              </w:rPr>
              <w:t>……</w:t>
            </w:r>
          </w:p>
          <w:p w14:paraId="1ECD476D">
            <w:pPr>
              <w:spacing w:line="300" w:lineRule="exact"/>
              <w:jc w:val="left"/>
              <w:rPr>
                <w:color w:val="auto"/>
                <w:szCs w:val="21"/>
              </w:rPr>
            </w:pPr>
            <w:r>
              <w:rPr>
                <w:color w:val="auto"/>
                <w:szCs w:val="21"/>
              </w:rPr>
              <w:t>差额定率累进</w:t>
            </w:r>
            <w:r>
              <w:rPr>
                <w:rFonts w:hint="eastAsia"/>
                <w:color w:val="auto"/>
                <w:szCs w:val="21"/>
              </w:rPr>
              <w:t>法</w:t>
            </w:r>
            <w:r>
              <w:rPr>
                <w:color w:val="auto"/>
                <w:szCs w:val="21"/>
              </w:rPr>
              <w:t>计算</w:t>
            </w:r>
            <w:r>
              <w:rPr>
                <w:rFonts w:hint="eastAsia"/>
                <w:color w:val="auto"/>
                <w:szCs w:val="21"/>
              </w:rPr>
              <w:t>过程示例：</w:t>
            </w:r>
          </w:p>
          <w:p w14:paraId="4439DC64">
            <w:pPr>
              <w:spacing w:line="300" w:lineRule="exact"/>
              <w:jc w:val="left"/>
              <w:rPr>
                <w:color w:val="auto"/>
                <w:szCs w:val="21"/>
              </w:rPr>
            </w:pPr>
            <w:r>
              <w:rPr>
                <w:color w:val="auto"/>
                <w:szCs w:val="21"/>
              </w:rPr>
              <w:t>例如：某货物招标代理业务成交金额为300万元，招标代理服务费金额按如下计算：</w:t>
            </w:r>
          </w:p>
          <w:p w14:paraId="7AC8C037">
            <w:pPr>
              <w:spacing w:line="300" w:lineRule="exact"/>
              <w:jc w:val="left"/>
              <w:rPr>
                <w:color w:val="auto"/>
                <w:szCs w:val="21"/>
              </w:rPr>
            </w:pPr>
            <w:r>
              <w:rPr>
                <w:color w:val="auto"/>
                <w:szCs w:val="21"/>
              </w:rPr>
              <w:t>100万元×1.5%＝1.5万元</w:t>
            </w:r>
          </w:p>
          <w:p w14:paraId="028300A9">
            <w:pPr>
              <w:spacing w:line="300" w:lineRule="exact"/>
              <w:jc w:val="left"/>
              <w:rPr>
                <w:color w:val="auto"/>
                <w:szCs w:val="21"/>
              </w:rPr>
            </w:pPr>
            <w:r>
              <w:rPr>
                <w:color w:val="auto"/>
                <w:szCs w:val="21"/>
              </w:rPr>
              <w:t>（300－100）万元×1.1%＝2.2万元</w:t>
            </w:r>
          </w:p>
          <w:p w14:paraId="76BCFE7A">
            <w:pPr>
              <w:spacing w:line="300" w:lineRule="exact"/>
              <w:jc w:val="left"/>
              <w:rPr>
                <w:color w:val="auto"/>
                <w:szCs w:val="21"/>
              </w:rPr>
            </w:pPr>
            <w:r>
              <w:rPr>
                <w:color w:val="auto"/>
                <w:szCs w:val="21"/>
              </w:rPr>
              <w:t>合计收费＝</w:t>
            </w:r>
            <w:r>
              <w:rPr>
                <w:rFonts w:hint="eastAsia"/>
                <w:color w:val="auto"/>
                <w:szCs w:val="21"/>
              </w:rPr>
              <w:t>（</w:t>
            </w:r>
            <w:r>
              <w:rPr>
                <w:color w:val="auto"/>
                <w:szCs w:val="21"/>
              </w:rPr>
              <w:t>1.5＋2.2</w:t>
            </w:r>
            <w:r>
              <w:rPr>
                <w:rFonts w:hint="eastAsia"/>
                <w:color w:val="auto"/>
                <w:szCs w:val="21"/>
              </w:rPr>
              <w:t>）</w:t>
            </w:r>
            <w:r>
              <w:rPr>
                <w:color w:val="auto"/>
                <w:szCs w:val="21"/>
              </w:rPr>
              <w:t>×(1-36%)</w:t>
            </w:r>
            <w:r>
              <w:rPr>
                <w:rFonts w:hint="eastAsia"/>
                <w:color w:val="auto"/>
                <w:szCs w:val="21"/>
              </w:rPr>
              <w:t>下浮3</w:t>
            </w:r>
            <w:r>
              <w:rPr>
                <w:color w:val="auto"/>
                <w:szCs w:val="21"/>
              </w:rPr>
              <w:t>6%=2.368万元</w:t>
            </w:r>
          </w:p>
          <w:p w14:paraId="4B7B792C">
            <w:pPr>
              <w:spacing w:line="300" w:lineRule="exact"/>
              <w:jc w:val="left"/>
              <w:rPr>
                <w:color w:val="auto"/>
                <w:szCs w:val="21"/>
              </w:rPr>
            </w:pPr>
            <w:r>
              <w:rPr>
                <w:color w:val="auto"/>
                <w:szCs w:val="21"/>
              </w:rPr>
              <w:t>（2）中标人在中标通知书发出前以银行转账或现金形式支付代理服务费；采购代理机构也可以从中标人的投标保证金中扣除上述金额的代理服务费，余款按供应商所汇入投标保证金的账户原路退回，如无法原路返回，则按《代理服务费承诺书》列明的账户退回。</w:t>
            </w:r>
          </w:p>
          <w:p w14:paraId="5AE45849">
            <w:pPr>
              <w:spacing w:line="300" w:lineRule="exact"/>
              <w:jc w:val="left"/>
              <w:rPr>
                <w:color w:val="auto"/>
                <w:kern w:val="0"/>
                <w:szCs w:val="21"/>
              </w:rPr>
            </w:pPr>
            <w:r>
              <w:rPr>
                <w:rFonts w:hint="eastAsia"/>
                <w:color w:val="auto"/>
                <w:kern w:val="0"/>
                <w:szCs w:val="21"/>
              </w:rPr>
              <w:t>开户银行：广西北部湾银行南宁市金湖支行</w:t>
            </w:r>
          </w:p>
          <w:p w14:paraId="051BD76B">
            <w:pPr>
              <w:spacing w:line="300" w:lineRule="exact"/>
              <w:jc w:val="left"/>
              <w:rPr>
                <w:color w:val="auto"/>
                <w:kern w:val="0"/>
                <w:szCs w:val="21"/>
              </w:rPr>
            </w:pPr>
            <w:r>
              <w:rPr>
                <w:rFonts w:hint="eastAsia"/>
                <w:color w:val="auto"/>
                <w:kern w:val="0"/>
                <w:szCs w:val="21"/>
              </w:rPr>
              <w:t>（银行地址：南宁市金湖路57号文德大厦1楼）</w:t>
            </w:r>
          </w:p>
          <w:p w14:paraId="1823D0C2">
            <w:pPr>
              <w:spacing w:line="300" w:lineRule="exact"/>
              <w:jc w:val="left"/>
              <w:rPr>
                <w:color w:val="auto"/>
                <w:kern w:val="0"/>
                <w:szCs w:val="21"/>
              </w:rPr>
            </w:pPr>
            <w:r>
              <w:rPr>
                <w:rFonts w:hint="eastAsia"/>
                <w:color w:val="auto"/>
                <w:kern w:val="0"/>
                <w:szCs w:val="21"/>
              </w:rPr>
              <w:t>开户名称：广西机电设备招标有限公司</w:t>
            </w:r>
          </w:p>
          <w:p w14:paraId="310C4E63">
            <w:pPr>
              <w:spacing w:line="300" w:lineRule="exact"/>
              <w:jc w:val="left"/>
              <w:rPr>
                <w:color w:val="auto"/>
                <w:kern w:val="0"/>
                <w:szCs w:val="21"/>
              </w:rPr>
            </w:pPr>
            <w:r>
              <w:rPr>
                <w:rFonts w:hint="eastAsia"/>
                <w:color w:val="auto"/>
                <w:kern w:val="0"/>
                <w:szCs w:val="21"/>
              </w:rPr>
              <w:t>银行账号：1705012090027723 (联行号 313611017053)</w:t>
            </w:r>
          </w:p>
          <w:p w14:paraId="4027F060">
            <w:pPr>
              <w:spacing w:line="300" w:lineRule="exact"/>
              <w:jc w:val="left"/>
              <w:rPr>
                <w:color w:val="auto"/>
                <w:kern w:val="0"/>
                <w:szCs w:val="21"/>
              </w:rPr>
            </w:pPr>
            <w:r>
              <w:rPr>
                <w:rFonts w:hint="eastAsia"/>
                <w:color w:val="auto"/>
                <w:kern w:val="0"/>
                <w:szCs w:val="21"/>
              </w:rPr>
              <w:t>财务联系人：吴茜（电话：0771-2821398）</w:t>
            </w:r>
          </w:p>
        </w:tc>
      </w:tr>
      <w:tr w14:paraId="0471DD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55" w:type="dxa"/>
            <w:tcBorders>
              <w:top w:val="single" w:color="auto" w:sz="4" w:space="0"/>
              <w:left w:val="single" w:color="auto" w:sz="4" w:space="0"/>
              <w:bottom w:val="single" w:color="auto" w:sz="4" w:space="0"/>
              <w:right w:val="single" w:color="auto" w:sz="4" w:space="0"/>
            </w:tcBorders>
            <w:vAlign w:val="center"/>
          </w:tcPr>
          <w:p w14:paraId="6991E4E2">
            <w:pPr>
              <w:spacing w:line="300" w:lineRule="exact"/>
              <w:jc w:val="center"/>
              <w:rPr>
                <w:b/>
                <w:color w:val="auto"/>
                <w:szCs w:val="21"/>
              </w:rPr>
            </w:pPr>
            <w:r>
              <w:rPr>
                <w:b/>
                <w:color w:val="auto"/>
                <w:szCs w:val="21"/>
              </w:rPr>
              <w:t>9.3</w:t>
            </w:r>
          </w:p>
        </w:tc>
        <w:tc>
          <w:tcPr>
            <w:tcW w:w="1230" w:type="dxa"/>
            <w:tcBorders>
              <w:top w:val="single" w:color="auto" w:sz="4" w:space="0"/>
              <w:left w:val="single" w:color="auto" w:sz="4" w:space="0"/>
              <w:bottom w:val="single" w:color="auto" w:sz="4" w:space="0"/>
              <w:right w:val="single" w:color="auto" w:sz="4" w:space="0"/>
            </w:tcBorders>
            <w:vAlign w:val="center"/>
          </w:tcPr>
          <w:p w14:paraId="1D06AEA3">
            <w:pPr>
              <w:spacing w:line="300" w:lineRule="exact"/>
              <w:jc w:val="center"/>
              <w:rPr>
                <w:color w:val="auto"/>
                <w:szCs w:val="20"/>
              </w:rPr>
            </w:pPr>
            <w:r>
              <w:rPr>
                <w:rFonts w:hint="eastAsia"/>
                <w:color w:val="auto"/>
                <w:szCs w:val="20"/>
              </w:rPr>
              <w:t>附件</w:t>
            </w:r>
          </w:p>
        </w:tc>
        <w:tc>
          <w:tcPr>
            <w:tcW w:w="7229" w:type="dxa"/>
            <w:tcBorders>
              <w:top w:val="single" w:color="auto" w:sz="4" w:space="0"/>
              <w:left w:val="single" w:color="auto" w:sz="4" w:space="0"/>
              <w:bottom w:val="single" w:color="auto" w:sz="4" w:space="0"/>
              <w:right w:val="single" w:color="auto" w:sz="4" w:space="0"/>
            </w:tcBorders>
            <w:vAlign w:val="center"/>
          </w:tcPr>
          <w:p w14:paraId="24665259">
            <w:pPr>
              <w:spacing w:line="276" w:lineRule="auto"/>
              <w:rPr>
                <w:color w:val="auto"/>
                <w:szCs w:val="21"/>
              </w:rPr>
            </w:pPr>
            <w:r>
              <w:rPr>
                <w:color w:val="auto"/>
                <w:sz w:val="22"/>
                <w:szCs w:val="22"/>
              </w:rPr>
              <w:sym w:font="Wingdings 2" w:char="F052"/>
            </w:r>
            <w:r>
              <w:rPr>
                <w:rFonts w:hint="eastAsia"/>
                <w:color w:val="auto"/>
                <w:szCs w:val="21"/>
              </w:rPr>
              <w:t>无</w:t>
            </w:r>
            <w:r>
              <w:rPr>
                <w:color w:val="auto"/>
                <w:szCs w:val="21"/>
                <w:u w:val="single"/>
              </w:rPr>
              <w:t xml:space="preserve">      </w:t>
            </w:r>
          </w:p>
        </w:tc>
      </w:tr>
      <w:tr w14:paraId="2DE70A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6" w:hRule="atLeast"/>
        </w:trPr>
        <w:tc>
          <w:tcPr>
            <w:tcW w:w="755" w:type="dxa"/>
            <w:tcBorders>
              <w:top w:val="single" w:color="auto" w:sz="4" w:space="0"/>
              <w:left w:val="single" w:color="auto" w:sz="4" w:space="0"/>
              <w:bottom w:val="single" w:color="auto" w:sz="4" w:space="0"/>
              <w:right w:val="single" w:color="auto" w:sz="4" w:space="0"/>
            </w:tcBorders>
            <w:vAlign w:val="center"/>
          </w:tcPr>
          <w:p w14:paraId="1F4A4D31">
            <w:pPr>
              <w:spacing w:line="300" w:lineRule="exact"/>
              <w:jc w:val="center"/>
              <w:rPr>
                <w:b/>
                <w:color w:val="auto"/>
                <w:szCs w:val="21"/>
              </w:rPr>
            </w:pPr>
            <w:r>
              <w:rPr>
                <w:b/>
                <w:color w:val="auto"/>
                <w:szCs w:val="21"/>
              </w:rPr>
              <w:t>9.3</w:t>
            </w:r>
          </w:p>
        </w:tc>
        <w:tc>
          <w:tcPr>
            <w:tcW w:w="1230" w:type="dxa"/>
            <w:tcBorders>
              <w:top w:val="single" w:color="auto" w:sz="4" w:space="0"/>
              <w:left w:val="single" w:color="auto" w:sz="4" w:space="0"/>
              <w:bottom w:val="single" w:color="auto" w:sz="4" w:space="0"/>
              <w:right w:val="single" w:color="auto" w:sz="4" w:space="0"/>
            </w:tcBorders>
            <w:vAlign w:val="center"/>
          </w:tcPr>
          <w:p w14:paraId="0080094D">
            <w:pPr>
              <w:spacing w:line="300" w:lineRule="exact"/>
              <w:jc w:val="center"/>
              <w:rPr>
                <w:color w:val="auto"/>
                <w:szCs w:val="20"/>
              </w:rPr>
            </w:pPr>
            <w:r>
              <w:rPr>
                <w:rFonts w:hint="eastAsia"/>
                <w:color w:val="auto"/>
                <w:szCs w:val="20"/>
              </w:rPr>
              <w:t>图纸</w:t>
            </w:r>
          </w:p>
        </w:tc>
        <w:tc>
          <w:tcPr>
            <w:tcW w:w="7229" w:type="dxa"/>
            <w:tcBorders>
              <w:top w:val="single" w:color="auto" w:sz="4" w:space="0"/>
              <w:left w:val="single" w:color="auto" w:sz="4" w:space="0"/>
              <w:bottom w:val="single" w:color="auto" w:sz="4" w:space="0"/>
              <w:right w:val="single" w:color="auto" w:sz="4" w:space="0"/>
            </w:tcBorders>
            <w:vAlign w:val="center"/>
          </w:tcPr>
          <w:p w14:paraId="4AF180CD">
            <w:pPr>
              <w:spacing w:line="276" w:lineRule="auto"/>
              <w:rPr>
                <w:color w:val="auto"/>
                <w:szCs w:val="21"/>
              </w:rPr>
            </w:pPr>
            <w:r>
              <w:rPr>
                <w:color w:val="auto"/>
                <w:sz w:val="22"/>
                <w:szCs w:val="22"/>
              </w:rPr>
              <w:sym w:font="Wingdings 2" w:char="F052"/>
            </w:r>
            <w:r>
              <w:rPr>
                <w:rFonts w:hint="eastAsia"/>
                <w:color w:val="auto"/>
                <w:szCs w:val="21"/>
              </w:rPr>
              <w:t>无</w:t>
            </w:r>
            <w:r>
              <w:rPr>
                <w:color w:val="auto"/>
                <w:szCs w:val="21"/>
                <w:u w:val="single"/>
              </w:rPr>
              <w:t xml:space="preserve">           </w:t>
            </w:r>
          </w:p>
        </w:tc>
      </w:tr>
      <w:tr w14:paraId="37BA5C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755" w:type="dxa"/>
            <w:tcBorders>
              <w:top w:val="single" w:color="auto" w:sz="4" w:space="0"/>
              <w:left w:val="single" w:color="auto" w:sz="4" w:space="0"/>
              <w:bottom w:val="single" w:color="auto" w:sz="4" w:space="0"/>
              <w:right w:val="single" w:color="auto" w:sz="4" w:space="0"/>
            </w:tcBorders>
            <w:vAlign w:val="center"/>
          </w:tcPr>
          <w:p w14:paraId="1382D20A">
            <w:pPr>
              <w:spacing w:line="300" w:lineRule="exact"/>
              <w:jc w:val="center"/>
              <w:rPr>
                <w:b/>
                <w:color w:val="auto"/>
                <w:szCs w:val="21"/>
              </w:rPr>
            </w:pPr>
            <w:r>
              <w:rPr>
                <w:b/>
                <w:color w:val="auto"/>
                <w:szCs w:val="21"/>
              </w:rPr>
              <w:t>9.4</w:t>
            </w:r>
          </w:p>
        </w:tc>
        <w:tc>
          <w:tcPr>
            <w:tcW w:w="1230" w:type="dxa"/>
            <w:tcBorders>
              <w:top w:val="single" w:color="auto" w:sz="4" w:space="0"/>
              <w:left w:val="single" w:color="auto" w:sz="4" w:space="0"/>
              <w:bottom w:val="single" w:color="auto" w:sz="4" w:space="0"/>
              <w:right w:val="single" w:color="auto" w:sz="4" w:space="0"/>
            </w:tcBorders>
            <w:vAlign w:val="center"/>
          </w:tcPr>
          <w:p w14:paraId="1CC0879A">
            <w:pPr>
              <w:spacing w:line="300" w:lineRule="exact"/>
              <w:jc w:val="center"/>
              <w:rPr>
                <w:color w:val="auto"/>
                <w:szCs w:val="20"/>
              </w:rPr>
            </w:pPr>
            <w:r>
              <w:rPr>
                <w:rFonts w:hint="eastAsia"/>
                <w:color w:val="auto"/>
                <w:szCs w:val="20"/>
              </w:rPr>
              <w:t>其他事项</w:t>
            </w:r>
          </w:p>
        </w:tc>
        <w:tc>
          <w:tcPr>
            <w:tcW w:w="7229" w:type="dxa"/>
            <w:tcBorders>
              <w:top w:val="single" w:color="auto" w:sz="4" w:space="0"/>
              <w:left w:val="single" w:color="auto" w:sz="4" w:space="0"/>
              <w:bottom w:val="single" w:color="auto" w:sz="4" w:space="0"/>
              <w:right w:val="single" w:color="auto" w:sz="4" w:space="0"/>
            </w:tcBorders>
            <w:vAlign w:val="center"/>
          </w:tcPr>
          <w:p w14:paraId="211EDABE">
            <w:pPr>
              <w:spacing w:line="276" w:lineRule="auto"/>
              <w:rPr>
                <w:color w:val="auto"/>
                <w:sz w:val="24"/>
              </w:rPr>
            </w:pPr>
            <w:r>
              <w:rPr>
                <w:rFonts w:hint="eastAsia"/>
                <w:color w:val="auto"/>
                <w:szCs w:val="21"/>
              </w:rPr>
              <w:t>本文件中内容如有前后不一致，以在招标文件先出现的为准。</w:t>
            </w:r>
          </w:p>
        </w:tc>
      </w:tr>
      <w:bookmarkEnd w:id="38"/>
    </w:tbl>
    <w:p w14:paraId="77E25377">
      <w:pPr>
        <w:spacing w:before="120" w:line="320" w:lineRule="atLeast"/>
        <w:outlineLvl w:val="1"/>
        <w:rPr>
          <w:bCs/>
          <w:color w:val="auto"/>
          <w:kern w:val="0"/>
          <w:sz w:val="28"/>
          <w:szCs w:val="28"/>
        </w:rPr>
        <w:sectPr>
          <w:headerReference r:id="rId10" w:type="first"/>
          <w:headerReference r:id="rId9" w:type="default"/>
          <w:pgSz w:w="11906" w:h="16838"/>
          <w:pgMar w:top="993" w:right="1133" w:bottom="1246" w:left="1418" w:header="851" w:footer="992" w:gutter="0"/>
          <w:cols w:space="720" w:num="1"/>
          <w:titlePg/>
          <w:docGrid w:linePitch="312" w:charSpace="0"/>
        </w:sectPr>
      </w:pPr>
    </w:p>
    <w:p w14:paraId="7D467E37">
      <w:pPr>
        <w:spacing w:before="120" w:line="320" w:lineRule="atLeast"/>
        <w:ind w:firstLine="426"/>
        <w:outlineLvl w:val="1"/>
        <w:rPr>
          <w:b/>
          <w:bCs/>
          <w:color w:val="auto"/>
          <w:kern w:val="0"/>
          <w:szCs w:val="21"/>
        </w:rPr>
      </w:pPr>
      <w:bookmarkStart w:id="40" w:name="_Hlk88949215"/>
      <w:bookmarkStart w:id="41" w:name="_Toc254970690"/>
      <w:bookmarkStart w:id="42" w:name="_Toc254970549"/>
      <w:r>
        <w:rPr>
          <w:b/>
          <w:bCs/>
          <w:color w:val="auto"/>
          <w:kern w:val="0"/>
          <w:szCs w:val="21"/>
        </w:rPr>
        <w:t>1．总则</w:t>
      </w:r>
    </w:p>
    <w:p w14:paraId="1464EED5">
      <w:pPr>
        <w:spacing w:before="120" w:line="320" w:lineRule="atLeast"/>
        <w:ind w:firstLine="422" w:firstLineChars="200"/>
        <w:outlineLvl w:val="2"/>
        <w:rPr>
          <w:b/>
          <w:bCs/>
          <w:color w:val="auto"/>
          <w:kern w:val="0"/>
          <w:szCs w:val="21"/>
        </w:rPr>
      </w:pPr>
      <w:bookmarkStart w:id="43" w:name="_Toc254970527"/>
      <w:bookmarkStart w:id="44" w:name="_Toc254970668"/>
      <w:r>
        <w:rPr>
          <w:b/>
          <w:bCs/>
          <w:color w:val="auto"/>
          <w:kern w:val="0"/>
          <w:szCs w:val="21"/>
        </w:rPr>
        <w:t>1.1适用范围</w:t>
      </w:r>
      <w:bookmarkEnd w:id="43"/>
      <w:bookmarkEnd w:id="44"/>
    </w:p>
    <w:p w14:paraId="7F2B15C0">
      <w:pPr>
        <w:spacing w:before="120" w:line="320" w:lineRule="atLeast"/>
        <w:ind w:firstLine="420" w:firstLineChars="200"/>
        <w:rPr>
          <w:color w:val="auto"/>
          <w:szCs w:val="21"/>
        </w:rPr>
      </w:pPr>
      <w:r>
        <w:rPr>
          <w:color w:val="auto"/>
          <w:szCs w:val="21"/>
        </w:rPr>
        <w:t>本招标文件适用于供应商须知前附表所述项目的</w:t>
      </w:r>
      <w:r>
        <w:rPr>
          <w:rFonts w:hint="eastAsia"/>
          <w:color w:val="auto"/>
          <w:szCs w:val="21"/>
        </w:rPr>
        <w:t>政府采购活动。</w:t>
      </w:r>
    </w:p>
    <w:p w14:paraId="32EE65AE">
      <w:pPr>
        <w:spacing w:before="120" w:line="320" w:lineRule="atLeast"/>
        <w:ind w:firstLine="422" w:firstLineChars="200"/>
        <w:outlineLvl w:val="2"/>
        <w:rPr>
          <w:b/>
          <w:bCs/>
          <w:color w:val="auto"/>
          <w:kern w:val="0"/>
          <w:szCs w:val="21"/>
        </w:rPr>
      </w:pPr>
      <w:bookmarkStart w:id="45" w:name="_Toc254970528"/>
      <w:bookmarkStart w:id="46" w:name="_Toc254970669"/>
      <w:r>
        <w:rPr>
          <w:b/>
          <w:bCs/>
          <w:color w:val="auto"/>
          <w:kern w:val="0"/>
          <w:szCs w:val="21"/>
        </w:rPr>
        <w:t>1.2定义</w:t>
      </w:r>
      <w:bookmarkEnd w:id="45"/>
      <w:bookmarkEnd w:id="46"/>
    </w:p>
    <w:p w14:paraId="7EBF92A8">
      <w:pPr>
        <w:spacing w:before="120" w:line="320" w:lineRule="atLeast"/>
        <w:ind w:firstLine="420" w:firstLineChars="200"/>
        <w:rPr>
          <w:color w:val="auto"/>
          <w:szCs w:val="21"/>
        </w:rPr>
      </w:pPr>
      <w:r>
        <w:rPr>
          <w:color w:val="auto"/>
          <w:szCs w:val="21"/>
        </w:rPr>
        <w:t>1.2.1“采购人”系指依法进行政府采购的国家机关、事业单位、团体组织。</w:t>
      </w:r>
    </w:p>
    <w:p w14:paraId="166A3E0E">
      <w:pPr>
        <w:spacing w:before="120" w:line="320" w:lineRule="atLeast"/>
        <w:ind w:firstLine="420" w:firstLineChars="200"/>
        <w:rPr>
          <w:color w:val="auto"/>
          <w:szCs w:val="21"/>
        </w:rPr>
      </w:pPr>
      <w:r>
        <w:rPr>
          <w:color w:val="auto"/>
          <w:szCs w:val="21"/>
        </w:rPr>
        <w:t>1.2.2“供应商”系</w:t>
      </w:r>
      <w:r>
        <w:rPr>
          <w:color w:val="auto"/>
        </w:rPr>
        <w:t>指响应招标、参加投标竞争的法人、其他组织或者自然人</w:t>
      </w:r>
      <w:r>
        <w:rPr>
          <w:color w:val="auto"/>
          <w:szCs w:val="21"/>
        </w:rPr>
        <w:t>。</w:t>
      </w:r>
    </w:p>
    <w:p w14:paraId="04DB5EDB">
      <w:pPr>
        <w:spacing w:before="120" w:line="360" w:lineRule="auto"/>
        <w:ind w:firstLine="420" w:firstLineChars="200"/>
        <w:rPr>
          <w:color w:val="auto"/>
        </w:rPr>
      </w:pPr>
      <w:r>
        <w:rPr>
          <w:rFonts w:hint="eastAsia"/>
          <w:color w:val="auto"/>
        </w:rPr>
        <w:t>1.2.3</w:t>
      </w:r>
      <w:r>
        <w:rPr>
          <w:color w:val="auto"/>
        </w:rPr>
        <w:t>本</w:t>
      </w:r>
      <w:r>
        <w:rPr>
          <w:rFonts w:hint="eastAsia"/>
          <w:color w:val="auto"/>
        </w:rPr>
        <w:t>文件</w:t>
      </w:r>
      <w:r>
        <w:rPr>
          <w:color w:val="auto"/>
        </w:rPr>
        <w:t>中的</w:t>
      </w:r>
      <w:r>
        <w:rPr>
          <w:rFonts w:hint="eastAsia"/>
          <w:color w:val="auto"/>
        </w:rPr>
        <w:t>“法定代表人”若无特别说明，当</w:t>
      </w:r>
      <w:r>
        <w:rPr>
          <w:color w:val="auto"/>
        </w:rPr>
        <w:t>供应商是</w:t>
      </w:r>
      <w:r>
        <w:rPr>
          <w:rFonts w:hint="eastAsia"/>
          <w:color w:val="auto"/>
        </w:rPr>
        <w:t>企业的，是指企业法人营业执照上的法定代表人；当</w:t>
      </w:r>
      <w:r>
        <w:rPr>
          <w:color w:val="auto"/>
        </w:rPr>
        <w:t>供应商是</w:t>
      </w:r>
      <w:r>
        <w:rPr>
          <w:rFonts w:hint="eastAsia"/>
          <w:color w:val="auto"/>
        </w:rPr>
        <w:t>事业单位的，是指事业单位法人证书上的法定代表人；当</w:t>
      </w:r>
      <w:r>
        <w:rPr>
          <w:color w:val="auto"/>
        </w:rPr>
        <w:t>供应商是</w:t>
      </w:r>
      <w:r>
        <w:rPr>
          <w:rFonts w:hint="eastAsia"/>
          <w:color w:val="auto"/>
        </w:rPr>
        <w:t>社会团体、民办非企业的，是指法人登记证书中的法定代表人；当</w:t>
      </w:r>
      <w:r>
        <w:rPr>
          <w:color w:val="auto"/>
        </w:rPr>
        <w:t>供应商是</w:t>
      </w:r>
      <w:r>
        <w:rPr>
          <w:rFonts w:hint="eastAsia"/>
          <w:color w:val="auto"/>
        </w:rPr>
        <w:t>个体工商户的，是指个体工商户营业执照上的经营者；</w:t>
      </w:r>
      <w:r>
        <w:rPr>
          <w:color w:val="auto"/>
        </w:rPr>
        <w:t>当供应商是自然人</w:t>
      </w:r>
      <w:r>
        <w:rPr>
          <w:rFonts w:hint="eastAsia"/>
          <w:color w:val="auto"/>
        </w:rPr>
        <w:t>的，是指参与本项目响应的自然人本人。</w:t>
      </w:r>
    </w:p>
    <w:p w14:paraId="6ED29AC6">
      <w:pPr>
        <w:spacing w:before="120" w:line="360" w:lineRule="auto"/>
        <w:ind w:firstLine="420" w:firstLineChars="200"/>
        <w:rPr>
          <w:color w:val="auto"/>
        </w:rPr>
      </w:pPr>
      <w:r>
        <w:rPr>
          <w:rFonts w:hint="eastAsia"/>
          <w:color w:val="auto"/>
        </w:rPr>
        <w:t>1.2.4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20888602">
      <w:pPr>
        <w:widowControl/>
        <w:spacing w:line="360" w:lineRule="auto"/>
        <w:ind w:firstLine="420" w:firstLineChars="200"/>
        <w:jc w:val="left"/>
        <w:rPr>
          <w:color w:val="auto"/>
          <w:szCs w:val="21"/>
        </w:rPr>
      </w:pPr>
      <w:r>
        <w:rPr>
          <w:color w:val="auto"/>
          <w:szCs w:val="21"/>
        </w:rPr>
        <w:t>1.2.</w:t>
      </w:r>
      <w:r>
        <w:rPr>
          <w:rFonts w:hint="eastAsia"/>
          <w:color w:val="auto"/>
          <w:szCs w:val="21"/>
        </w:rPr>
        <w:t>5</w:t>
      </w:r>
      <w:r>
        <w:rPr>
          <w:color w:val="auto"/>
          <w:szCs w:val="21"/>
        </w:rPr>
        <w:t>“书面形式”如无特殊规定，</w:t>
      </w:r>
      <w:r>
        <w:rPr>
          <w:rFonts w:hint="eastAsia"/>
          <w:color w:val="auto"/>
          <w:szCs w:val="21"/>
        </w:rPr>
        <w:t>书面形式是合同书、信件、电报、电传等可以有形地表现所载内容的形式。以电子数据交换、电子邮件等方式能够有形地表现所载内容，并可以随时调取查用的数据电文，视为书面形式。</w:t>
      </w:r>
      <w:r>
        <w:rPr>
          <w:color w:val="auto"/>
          <w:szCs w:val="21"/>
        </w:rPr>
        <w:t xml:space="preserve">招标文件如有特殊规定，以招标文件规定为准。 </w:t>
      </w:r>
    </w:p>
    <w:p w14:paraId="3089B9BE">
      <w:pPr>
        <w:spacing w:before="120" w:line="320" w:lineRule="atLeast"/>
        <w:ind w:firstLine="420" w:firstLineChars="200"/>
        <w:rPr>
          <w:color w:val="auto"/>
          <w:szCs w:val="21"/>
        </w:rPr>
      </w:pPr>
      <w:r>
        <w:rPr>
          <w:color w:val="auto"/>
          <w:szCs w:val="21"/>
        </w:rPr>
        <w:t>1.2.</w:t>
      </w:r>
      <w:r>
        <w:rPr>
          <w:rFonts w:hint="eastAsia"/>
          <w:color w:val="auto"/>
          <w:szCs w:val="21"/>
        </w:rPr>
        <w:t>6本项目的技术商务要求重要性分为“▲”（如有）、“#”（如有）和一般无标识指标。▲代表实质性要求指标，</w:t>
      </w:r>
      <w:r>
        <w:rPr>
          <w:rFonts w:hint="eastAsia"/>
          <w:b/>
          <w:bCs/>
          <w:color w:val="auto"/>
          <w:szCs w:val="21"/>
        </w:rPr>
        <w:t>不满足该指标项将导致投标被否决</w:t>
      </w:r>
      <w:r>
        <w:rPr>
          <w:rFonts w:hint="eastAsia"/>
          <w:color w:val="auto"/>
          <w:szCs w:val="21"/>
        </w:rPr>
        <w:t>，#代表重要指标，无标识则表示一般指标项。</w:t>
      </w:r>
    </w:p>
    <w:p w14:paraId="2EA77EA6">
      <w:pPr>
        <w:spacing w:before="120" w:line="320" w:lineRule="atLeast"/>
        <w:ind w:firstLine="420" w:firstLineChars="200"/>
        <w:rPr>
          <w:color w:val="auto"/>
          <w:szCs w:val="21"/>
        </w:rPr>
      </w:pPr>
      <w:r>
        <w:rPr>
          <w:color w:val="auto"/>
          <w:szCs w:val="21"/>
        </w:rPr>
        <w:t>1.2.</w:t>
      </w:r>
      <w:r>
        <w:rPr>
          <w:rFonts w:hint="eastAsia"/>
          <w:color w:val="auto"/>
          <w:szCs w:val="21"/>
        </w:rPr>
        <w:t>7 本</w:t>
      </w:r>
      <w:r>
        <w:rPr>
          <w:color w:val="auto"/>
          <w:szCs w:val="21"/>
        </w:rPr>
        <w:t>招标文件</w:t>
      </w:r>
      <w:r>
        <w:rPr>
          <w:rFonts w:hint="eastAsia"/>
          <w:color w:val="auto"/>
          <w:szCs w:val="21"/>
        </w:rPr>
        <w:t>出现多种选项的条款，以“</w:t>
      </w:r>
      <w:r>
        <w:rPr>
          <w:color w:val="auto"/>
        </w:rPr>
        <w:sym w:font="Wingdings 2" w:char="F052"/>
      </w:r>
      <w:r>
        <w:rPr>
          <w:rFonts w:hint="eastAsia"/>
          <w:color w:val="auto"/>
          <w:szCs w:val="21"/>
        </w:rPr>
        <w:t>”表示本条款所选择的方式。</w:t>
      </w:r>
    </w:p>
    <w:p w14:paraId="6AB26ADD">
      <w:pPr>
        <w:spacing w:before="120" w:line="320" w:lineRule="atLeast"/>
        <w:ind w:firstLine="420" w:firstLineChars="200"/>
        <w:rPr>
          <w:color w:val="auto"/>
          <w:szCs w:val="21"/>
        </w:rPr>
      </w:pPr>
      <w:r>
        <w:rPr>
          <w:rFonts w:hint="eastAsia"/>
          <w:color w:val="auto"/>
          <w:szCs w:val="21"/>
        </w:rPr>
        <w:t>1.</w:t>
      </w:r>
      <w:r>
        <w:rPr>
          <w:color w:val="auto"/>
          <w:szCs w:val="21"/>
        </w:rPr>
        <w:t>2</w:t>
      </w:r>
      <w:r>
        <w:rPr>
          <w:rFonts w:hint="eastAsia"/>
          <w:color w:val="auto"/>
          <w:szCs w:val="21"/>
        </w:rPr>
        <w:t>.</w:t>
      </w:r>
      <w:r>
        <w:rPr>
          <w:color w:val="auto"/>
          <w:szCs w:val="21"/>
        </w:rPr>
        <w:t>8 “</w:t>
      </w:r>
      <w:r>
        <w:rPr>
          <w:rFonts w:hint="eastAsia"/>
          <w:color w:val="auto"/>
          <w:szCs w:val="21"/>
        </w:rPr>
        <w:t>电子交易平台</w:t>
      </w:r>
      <w:r>
        <w:rPr>
          <w:color w:val="auto"/>
          <w:szCs w:val="21"/>
        </w:rPr>
        <w:t>”</w:t>
      </w:r>
      <w:r>
        <w:rPr>
          <w:rFonts w:hint="eastAsia"/>
          <w:color w:val="auto"/>
          <w:szCs w:val="21"/>
        </w:rPr>
        <w:t>是指以数据电文形式在线完成采购活动的信息平台，本招标文件中也称</w:t>
      </w:r>
      <w:r>
        <w:rPr>
          <w:color w:val="auto"/>
          <w:szCs w:val="21"/>
        </w:rPr>
        <w:t>“</w:t>
      </w:r>
      <w:r>
        <w:rPr>
          <w:rFonts w:hint="eastAsia"/>
          <w:color w:val="auto"/>
          <w:szCs w:val="21"/>
        </w:rPr>
        <w:t>广西政府采购云平台</w:t>
      </w:r>
      <w:r>
        <w:rPr>
          <w:color w:val="auto"/>
          <w:szCs w:val="21"/>
        </w:rPr>
        <w:t>”</w:t>
      </w:r>
      <w:r>
        <w:rPr>
          <w:rFonts w:hint="eastAsia"/>
          <w:color w:val="auto"/>
          <w:szCs w:val="21"/>
        </w:rPr>
        <w:t>。</w:t>
      </w:r>
    </w:p>
    <w:p w14:paraId="59BA81D7">
      <w:pPr>
        <w:spacing w:before="120" w:line="320" w:lineRule="atLeast"/>
        <w:ind w:firstLine="422" w:firstLineChars="200"/>
        <w:outlineLvl w:val="2"/>
        <w:rPr>
          <w:b/>
          <w:bCs/>
          <w:color w:val="auto"/>
          <w:kern w:val="0"/>
          <w:szCs w:val="21"/>
        </w:rPr>
      </w:pPr>
      <w:r>
        <w:rPr>
          <w:rFonts w:hint="eastAsia"/>
          <w:b/>
          <w:bCs/>
          <w:color w:val="auto"/>
          <w:kern w:val="0"/>
          <w:szCs w:val="21"/>
        </w:rPr>
        <w:t>1</w:t>
      </w:r>
      <w:r>
        <w:rPr>
          <w:b/>
          <w:bCs/>
          <w:color w:val="auto"/>
          <w:kern w:val="0"/>
          <w:szCs w:val="21"/>
        </w:rPr>
        <w:t>.3</w:t>
      </w:r>
      <w:r>
        <w:rPr>
          <w:rFonts w:hint="eastAsia"/>
          <w:b/>
          <w:bCs/>
          <w:color w:val="auto"/>
          <w:kern w:val="0"/>
          <w:szCs w:val="21"/>
        </w:rPr>
        <w:t>项目信息</w:t>
      </w:r>
    </w:p>
    <w:p w14:paraId="631401F9">
      <w:pPr>
        <w:spacing w:before="120" w:line="320" w:lineRule="atLeast"/>
        <w:ind w:firstLine="420" w:firstLineChars="200"/>
        <w:rPr>
          <w:color w:val="auto"/>
          <w:szCs w:val="21"/>
        </w:rPr>
      </w:pPr>
      <w:r>
        <w:rPr>
          <w:rFonts w:hint="eastAsia"/>
          <w:color w:val="auto"/>
          <w:szCs w:val="21"/>
        </w:rPr>
        <w:t>1</w:t>
      </w:r>
      <w:r>
        <w:rPr>
          <w:color w:val="auto"/>
          <w:szCs w:val="21"/>
        </w:rPr>
        <w:t>.3.1</w:t>
      </w:r>
      <w:r>
        <w:rPr>
          <w:rFonts w:hint="eastAsia"/>
          <w:color w:val="auto"/>
          <w:szCs w:val="21"/>
        </w:rPr>
        <w:t>项目名称及编号：详见供应商须知前附表</w:t>
      </w:r>
    </w:p>
    <w:p w14:paraId="119CAABE">
      <w:pPr>
        <w:spacing w:before="120" w:line="320" w:lineRule="atLeast"/>
        <w:ind w:firstLine="420" w:firstLineChars="200"/>
        <w:rPr>
          <w:color w:val="auto"/>
          <w:szCs w:val="21"/>
        </w:rPr>
      </w:pPr>
      <w:r>
        <w:rPr>
          <w:rFonts w:hint="eastAsia"/>
          <w:color w:val="auto"/>
          <w:szCs w:val="21"/>
        </w:rPr>
        <w:t>1</w:t>
      </w:r>
      <w:r>
        <w:rPr>
          <w:color w:val="auto"/>
          <w:szCs w:val="21"/>
        </w:rPr>
        <w:t>.3.2</w:t>
      </w:r>
      <w:r>
        <w:rPr>
          <w:rFonts w:hint="eastAsia"/>
          <w:color w:val="auto"/>
          <w:szCs w:val="21"/>
        </w:rPr>
        <w:t>采购方式：详见供应商须知前附表</w:t>
      </w:r>
    </w:p>
    <w:p w14:paraId="424EE31C">
      <w:pPr>
        <w:spacing w:before="120" w:line="320" w:lineRule="atLeast"/>
        <w:ind w:firstLine="422" w:firstLineChars="200"/>
        <w:outlineLvl w:val="2"/>
        <w:rPr>
          <w:b/>
          <w:bCs/>
          <w:color w:val="auto"/>
          <w:kern w:val="0"/>
          <w:szCs w:val="21"/>
        </w:rPr>
      </w:pPr>
      <w:bookmarkStart w:id="47" w:name="_Hlk132812137"/>
      <w:r>
        <w:rPr>
          <w:rFonts w:hint="eastAsia"/>
          <w:b/>
          <w:bCs/>
          <w:color w:val="auto"/>
          <w:kern w:val="0"/>
          <w:szCs w:val="21"/>
        </w:rPr>
        <w:t>1</w:t>
      </w:r>
      <w:r>
        <w:rPr>
          <w:b/>
          <w:bCs/>
          <w:color w:val="auto"/>
          <w:kern w:val="0"/>
          <w:szCs w:val="21"/>
        </w:rPr>
        <w:t>.4</w:t>
      </w:r>
      <w:r>
        <w:rPr>
          <w:rFonts w:hint="eastAsia"/>
          <w:b/>
          <w:bCs/>
          <w:color w:val="auto"/>
          <w:kern w:val="0"/>
          <w:szCs w:val="21"/>
        </w:rPr>
        <w:t>促进中小企业发展政策</w:t>
      </w:r>
    </w:p>
    <w:p w14:paraId="676B89D4">
      <w:pPr>
        <w:spacing w:before="120" w:line="320" w:lineRule="atLeast"/>
        <w:ind w:left="2" w:leftChars="1" w:firstLine="420" w:firstLineChars="200"/>
        <w:rPr>
          <w:color w:val="auto"/>
          <w:szCs w:val="21"/>
        </w:rPr>
      </w:pPr>
      <w:r>
        <w:rPr>
          <w:color w:val="auto"/>
          <w:szCs w:val="21"/>
        </w:rPr>
        <w:t>1.4.1</w:t>
      </w:r>
      <w:r>
        <w:rPr>
          <w:rFonts w:hint="eastAsia"/>
          <w:color w:val="auto"/>
          <w:szCs w:val="21"/>
        </w:rPr>
        <w:t>本项目落实促进中小企业发展政策措施在前附表规定。依据促进中小企业发展政策获得政府采购合同的，小微企业不得将合同分包给大中型企业，中型企业不得将合同分包给大型企业。</w:t>
      </w:r>
    </w:p>
    <w:p w14:paraId="23936FFF">
      <w:pPr>
        <w:spacing w:before="120" w:line="320" w:lineRule="atLeast"/>
        <w:ind w:left="2" w:leftChars="1" w:firstLine="420" w:firstLineChars="200"/>
        <w:rPr>
          <w:color w:val="auto"/>
          <w:szCs w:val="21"/>
        </w:rPr>
      </w:pPr>
      <w:bookmarkStart w:id="48" w:name="_Hlk138842976"/>
      <w:r>
        <w:rPr>
          <w:rFonts w:hint="eastAsia"/>
          <w:color w:val="auto"/>
          <w:szCs w:val="21"/>
        </w:rPr>
        <w:t>根据《政府采购促进中小企业发展管理办法》（财库[2020]46号）第九条以及《广西壮族自治区财政厅 广西壮族自治区工业和信息化厅转发财政部 工业和信息化部政府采购促进中小企业发展管理办法的通知》（桂财采[2021]70号）规定，</w:t>
      </w:r>
      <w:bookmarkEnd w:id="48"/>
      <w:bookmarkStart w:id="49" w:name="_Hlk92205820"/>
      <w:r>
        <w:rPr>
          <w:rFonts w:hint="eastAsia"/>
          <w:color w:val="auto"/>
          <w:szCs w:val="21"/>
        </w:rPr>
        <w:t>价格扣除比例在第四章评审方法及标准中规定，对小型企业和微型企业同等对待，不作区分。</w:t>
      </w:r>
    </w:p>
    <w:p w14:paraId="6A3C4547">
      <w:pPr>
        <w:spacing w:before="120" w:line="320" w:lineRule="atLeast"/>
        <w:ind w:left="2" w:leftChars="1" w:firstLine="420" w:firstLineChars="200"/>
        <w:rPr>
          <w:color w:val="auto"/>
          <w:szCs w:val="21"/>
        </w:rPr>
      </w:pPr>
      <w:r>
        <w:rPr>
          <w:color w:val="auto"/>
          <w:szCs w:val="21"/>
        </w:rPr>
        <w:t>1.4.2</w:t>
      </w:r>
      <w:r>
        <w:rPr>
          <w:rFonts w:hint="eastAsia"/>
          <w:color w:val="auto"/>
          <w:szCs w:val="21"/>
        </w:rPr>
        <w:t>中小企业定义</w:t>
      </w:r>
    </w:p>
    <w:p w14:paraId="253AA51D">
      <w:pPr>
        <w:spacing w:before="120" w:line="320" w:lineRule="atLeast"/>
        <w:ind w:firstLine="420" w:firstLineChars="200"/>
        <w:rPr>
          <w:color w:val="auto"/>
          <w:szCs w:val="21"/>
        </w:rPr>
      </w:pPr>
      <w:r>
        <w:rPr>
          <w:color w:val="auto"/>
          <w:szCs w:val="21"/>
        </w:rPr>
        <w:t>1.4.2.1</w:t>
      </w:r>
      <w:r>
        <w:rPr>
          <w:rFonts w:hint="eastAsia"/>
          <w:color w:val="auto"/>
          <w:szCs w:val="21"/>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55DD07BA">
      <w:pPr>
        <w:spacing w:before="120" w:line="320" w:lineRule="atLeast"/>
        <w:ind w:left="2" w:leftChars="1" w:firstLine="420" w:firstLineChars="200"/>
        <w:rPr>
          <w:color w:val="auto"/>
          <w:szCs w:val="21"/>
        </w:rPr>
      </w:pPr>
      <w:r>
        <w:rPr>
          <w:color w:val="auto"/>
          <w:szCs w:val="21"/>
        </w:rPr>
        <w:t>1.4.2.2</w:t>
      </w:r>
      <w:r>
        <w:rPr>
          <w:rFonts w:hint="eastAsia"/>
          <w:color w:val="auto"/>
          <w:szCs w:val="21"/>
        </w:rPr>
        <w:t>供应商提供的货物、工程或者服务符合下列情形的，享受本款规定的促进中小企业发展政策：</w:t>
      </w:r>
    </w:p>
    <w:p w14:paraId="1B7E3B45">
      <w:pPr>
        <w:spacing w:before="120" w:line="320" w:lineRule="atLeast"/>
        <w:ind w:left="2" w:leftChars="1" w:firstLine="420" w:firstLineChars="200"/>
        <w:rPr>
          <w:color w:val="auto"/>
          <w:szCs w:val="21"/>
        </w:rPr>
      </w:pPr>
      <w:r>
        <w:rPr>
          <w:rFonts w:hint="eastAsia"/>
          <w:color w:val="auto"/>
          <w:szCs w:val="21"/>
        </w:rPr>
        <w:t>在货物采购项目中，货物由中小企业制造，即货物由中小企业生产且使用该中小企业商号或者注册商标；</w:t>
      </w:r>
    </w:p>
    <w:p w14:paraId="54B49198">
      <w:pPr>
        <w:spacing w:before="120" w:line="320" w:lineRule="atLeast"/>
        <w:ind w:left="2" w:leftChars="1" w:firstLine="420" w:firstLineChars="200"/>
        <w:rPr>
          <w:color w:val="auto"/>
          <w:szCs w:val="21"/>
        </w:rPr>
      </w:pPr>
      <w:r>
        <w:rPr>
          <w:rFonts w:hint="eastAsia"/>
          <w:color w:val="auto"/>
          <w:szCs w:val="21"/>
        </w:rPr>
        <w:t>在工程采购项目中，工程由中小企业承建，即工程施工单位为中小企业；</w:t>
      </w:r>
    </w:p>
    <w:p w14:paraId="2E4251A8">
      <w:pPr>
        <w:spacing w:before="120" w:line="320" w:lineRule="atLeast"/>
        <w:ind w:left="2" w:leftChars="1" w:firstLine="420" w:firstLineChars="200"/>
        <w:rPr>
          <w:color w:val="auto"/>
          <w:szCs w:val="21"/>
        </w:rPr>
      </w:pPr>
      <w:r>
        <w:rPr>
          <w:rFonts w:hint="eastAsia"/>
          <w:color w:val="auto"/>
          <w:szCs w:val="21"/>
        </w:rPr>
        <w:t>在服务采购项目中，服务由中小企业承接，即提供服务的人员为中小企业依照《中华人民共和国劳动合同法》订立劳动合同的从业人员。</w:t>
      </w:r>
    </w:p>
    <w:p w14:paraId="414360EA">
      <w:pPr>
        <w:spacing w:before="120" w:line="320" w:lineRule="atLeast"/>
        <w:ind w:left="2" w:leftChars="1" w:firstLine="420" w:firstLineChars="200"/>
        <w:rPr>
          <w:color w:val="auto"/>
          <w:szCs w:val="21"/>
        </w:rPr>
      </w:pPr>
      <w:r>
        <w:rPr>
          <w:rFonts w:hint="eastAsia"/>
          <w:color w:val="auto"/>
          <w:szCs w:val="21"/>
        </w:rPr>
        <w:t>在货物采购项目中，供应商提供的货物既有中小企业制造货物，也有大型企业制造货物的，不享受本款规定的促进中小企业发展政策。</w:t>
      </w:r>
    </w:p>
    <w:p w14:paraId="50E9C467">
      <w:pPr>
        <w:spacing w:before="120" w:line="320" w:lineRule="atLeast"/>
        <w:ind w:firstLine="420" w:firstLineChars="200"/>
        <w:rPr>
          <w:color w:val="auto"/>
          <w:szCs w:val="21"/>
        </w:rPr>
      </w:pPr>
      <w:r>
        <w:rPr>
          <w:color w:val="auto"/>
          <w:szCs w:val="21"/>
        </w:rPr>
        <w:t>1.4.2</w:t>
      </w:r>
      <w:r>
        <w:rPr>
          <w:rFonts w:hint="eastAsia"/>
          <w:color w:val="auto"/>
          <w:szCs w:val="21"/>
        </w:rPr>
        <w:t>.</w:t>
      </w:r>
      <w:r>
        <w:rPr>
          <w:color w:val="auto"/>
          <w:szCs w:val="21"/>
        </w:rPr>
        <w:t>3</w:t>
      </w:r>
      <w:r>
        <w:rPr>
          <w:rFonts w:hint="eastAsia"/>
          <w:color w:val="auto"/>
          <w:szCs w:val="21"/>
        </w:rPr>
        <w:t>本项目标的所属行业在第二章采购需求中规定。供应商根据中小企业划分标准（《关于印发中小企业划型标准规定的通知》（工信部联企业〔2011〕300号）判断是否为中小企业。（见附件）</w:t>
      </w:r>
    </w:p>
    <w:p w14:paraId="332083A1">
      <w:pPr>
        <w:spacing w:before="120" w:line="320" w:lineRule="atLeast"/>
        <w:ind w:firstLine="420" w:firstLineChars="200"/>
        <w:rPr>
          <w:color w:val="auto"/>
          <w:szCs w:val="21"/>
        </w:rPr>
      </w:pPr>
      <w:r>
        <w:rPr>
          <w:rFonts w:hint="eastAsia"/>
          <w:color w:val="auto"/>
          <w:szCs w:val="21"/>
        </w:rPr>
        <w:t>符合条件的货物制造商、工程施工单位、服务承接单位为中小企业的，应按招标文件规定在投标文件中提供声明函。</w:t>
      </w:r>
    </w:p>
    <w:p w14:paraId="016673A9">
      <w:pPr>
        <w:spacing w:before="120" w:line="320" w:lineRule="atLeast"/>
        <w:ind w:firstLine="420" w:firstLineChars="200"/>
        <w:rPr>
          <w:color w:val="auto"/>
          <w:szCs w:val="21"/>
        </w:rPr>
      </w:pPr>
      <w:r>
        <w:rPr>
          <w:color w:val="auto"/>
          <w:szCs w:val="21"/>
        </w:rPr>
        <w:t>1.4</w:t>
      </w:r>
      <w:r>
        <w:rPr>
          <w:rFonts w:hint="eastAsia"/>
          <w:color w:val="auto"/>
          <w:szCs w:val="21"/>
        </w:rPr>
        <w:t>.</w:t>
      </w:r>
      <w:r>
        <w:rPr>
          <w:color w:val="auto"/>
          <w:szCs w:val="21"/>
        </w:rPr>
        <w:t>2</w:t>
      </w:r>
      <w:r>
        <w:rPr>
          <w:rFonts w:hint="eastAsia"/>
          <w:color w:val="auto"/>
          <w:szCs w:val="21"/>
        </w:rPr>
        <w:t>.</w:t>
      </w:r>
      <w:r>
        <w:rPr>
          <w:color w:val="auto"/>
          <w:szCs w:val="21"/>
        </w:rPr>
        <w:t>4</w:t>
      </w:r>
      <w:r>
        <w:rPr>
          <w:rFonts w:hint="eastAsia"/>
          <w:color w:val="auto"/>
          <w:szCs w:val="21"/>
        </w:rPr>
        <w:t>视同中小企业情形</w:t>
      </w:r>
    </w:p>
    <w:p w14:paraId="526FC866">
      <w:pPr>
        <w:spacing w:before="120" w:line="320" w:lineRule="atLeast"/>
        <w:ind w:firstLine="420" w:firstLineChars="200"/>
        <w:rPr>
          <w:color w:val="auto"/>
          <w:szCs w:val="21"/>
        </w:rPr>
      </w:pPr>
      <w:r>
        <w:rPr>
          <w:rFonts w:hint="eastAsia"/>
          <w:color w:val="auto"/>
          <w:szCs w:val="21"/>
        </w:rPr>
        <w:t>（1）符合中小企业划分标准的个体工商户，视同中小企业。</w:t>
      </w:r>
    </w:p>
    <w:p w14:paraId="2567DF21">
      <w:pPr>
        <w:spacing w:before="120" w:line="320" w:lineRule="atLeast"/>
        <w:ind w:firstLine="420" w:firstLineChars="200"/>
        <w:rPr>
          <w:color w:val="auto"/>
          <w:szCs w:val="21"/>
        </w:rPr>
      </w:pPr>
      <w:r>
        <w:rPr>
          <w:rFonts w:hint="eastAsia"/>
          <w:color w:val="auto"/>
          <w:szCs w:val="21"/>
        </w:rPr>
        <w:t>（2）以联合体形式参加政府采购活动，联合体各方均为中小企业的，联合体视同中小企业。其中，联合体各方均为小微企业的，联合体视同小微企业。</w:t>
      </w:r>
    </w:p>
    <w:p w14:paraId="1CE7AD69">
      <w:pPr>
        <w:spacing w:before="120" w:line="320" w:lineRule="atLeast"/>
        <w:ind w:firstLine="420" w:firstLineChars="200"/>
        <w:rPr>
          <w:color w:val="auto"/>
          <w:szCs w:val="21"/>
        </w:rPr>
      </w:pPr>
      <w:r>
        <w:rPr>
          <w:rFonts w:hint="eastAsia"/>
          <w:color w:val="auto"/>
          <w:szCs w:val="21"/>
        </w:rPr>
        <w:t>（3）符合《财政部、司法部关于政府采购支持监狱企业发展有关问题的通知》（财库〔2014〕68号）规定的监狱企业，或符合《关于促进残疾人就业政府采购政策的通知》（财库〔2017〕141号）规定的残疾人福利性单位，视同小型、微型企业。</w:t>
      </w:r>
    </w:p>
    <w:p w14:paraId="7EF4665D">
      <w:pPr>
        <w:spacing w:before="120" w:line="320" w:lineRule="atLeast"/>
        <w:ind w:left="2" w:leftChars="1" w:firstLine="420" w:firstLineChars="200"/>
        <w:rPr>
          <w:color w:val="auto"/>
          <w:szCs w:val="21"/>
        </w:rPr>
      </w:pPr>
      <w:r>
        <w:rPr>
          <w:rFonts w:hint="eastAsia"/>
          <w:color w:val="auto"/>
          <w:szCs w:val="21"/>
        </w:rPr>
        <w:t>符合条件的货物制造商、工程施工单位、服务承接单位为监狱企业或残疾人福利性单位的，应按招标文件规定在投标文件中提供相关证明文件。</w:t>
      </w:r>
      <w:bookmarkEnd w:id="49"/>
    </w:p>
    <w:bookmarkEnd w:id="47"/>
    <w:p w14:paraId="0107FA18">
      <w:pPr>
        <w:spacing w:before="120" w:line="320" w:lineRule="atLeast"/>
        <w:ind w:firstLine="422" w:firstLineChars="200"/>
        <w:outlineLvl w:val="2"/>
        <w:rPr>
          <w:b/>
          <w:bCs/>
          <w:color w:val="auto"/>
          <w:kern w:val="0"/>
          <w:szCs w:val="21"/>
        </w:rPr>
      </w:pPr>
      <w:r>
        <w:rPr>
          <w:b/>
          <w:bCs/>
          <w:color w:val="auto"/>
          <w:kern w:val="0"/>
          <w:szCs w:val="21"/>
        </w:rPr>
        <w:t>1.5供应商资格</w:t>
      </w:r>
      <w:r>
        <w:rPr>
          <w:rFonts w:hint="eastAsia"/>
          <w:b/>
          <w:bCs/>
          <w:color w:val="auto"/>
          <w:kern w:val="0"/>
          <w:szCs w:val="21"/>
        </w:rPr>
        <w:t>要求</w:t>
      </w:r>
    </w:p>
    <w:p w14:paraId="2A122B62">
      <w:pPr>
        <w:spacing w:before="120" w:line="320" w:lineRule="atLeast"/>
        <w:ind w:firstLine="420" w:firstLineChars="200"/>
        <w:rPr>
          <w:color w:val="auto"/>
          <w:szCs w:val="21"/>
        </w:rPr>
      </w:pPr>
      <w:r>
        <w:rPr>
          <w:color w:val="auto"/>
          <w:szCs w:val="21"/>
        </w:rPr>
        <w:t>1.5.1</w:t>
      </w:r>
      <w:r>
        <w:rPr>
          <w:rFonts w:hint="eastAsia"/>
          <w:color w:val="auto"/>
          <w:szCs w:val="21"/>
        </w:rPr>
        <w:t>供应商资格要求：详见供应商须知前附表</w:t>
      </w:r>
    </w:p>
    <w:p w14:paraId="16171F14">
      <w:pPr>
        <w:spacing w:before="120" w:line="320" w:lineRule="atLeast"/>
        <w:ind w:firstLine="420" w:firstLineChars="200"/>
        <w:rPr>
          <w:color w:val="auto"/>
          <w:szCs w:val="21"/>
        </w:rPr>
      </w:pPr>
      <w:r>
        <w:rPr>
          <w:color w:val="auto"/>
          <w:szCs w:val="21"/>
        </w:rPr>
        <w:t>1.5.2按照招标公告的规定获得招标文件。</w:t>
      </w:r>
    </w:p>
    <w:p w14:paraId="10100465">
      <w:pPr>
        <w:spacing w:before="120" w:line="320" w:lineRule="atLeast"/>
        <w:ind w:firstLine="420" w:firstLineChars="200"/>
        <w:rPr>
          <w:color w:val="auto"/>
          <w:szCs w:val="21"/>
        </w:rPr>
      </w:pPr>
      <w:r>
        <w:rPr>
          <w:color w:val="auto"/>
          <w:szCs w:val="21"/>
        </w:rPr>
        <w:t>1.5.3本项目是否接受联合体投标，见“供应商须知前附表”规定。</w:t>
      </w:r>
    </w:p>
    <w:p w14:paraId="51854269">
      <w:pPr>
        <w:spacing w:before="120" w:line="320" w:lineRule="atLeast"/>
        <w:ind w:firstLine="420" w:firstLineChars="200"/>
        <w:rPr>
          <w:color w:val="auto"/>
          <w:szCs w:val="21"/>
        </w:rPr>
      </w:pPr>
      <w:r>
        <w:rPr>
          <w:rFonts w:hint="eastAsia"/>
          <w:color w:val="auto"/>
          <w:szCs w:val="21"/>
        </w:rPr>
        <w:t xml:space="preserve">如接受联合体投标，联合体投标要求如下： </w:t>
      </w:r>
    </w:p>
    <w:p w14:paraId="0051A2AF">
      <w:pPr>
        <w:spacing w:before="120" w:line="320" w:lineRule="atLeast"/>
        <w:ind w:firstLine="420" w:firstLineChars="200"/>
        <w:rPr>
          <w:color w:val="auto"/>
          <w:szCs w:val="21"/>
        </w:rPr>
      </w:pPr>
      <w:r>
        <w:rPr>
          <w:color w:val="auto"/>
          <w:szCs w:val="21"/>
        </w:rPr>
        <w:t>（1</w:t>
      </w:r>
      <w:r>
        <w:rPr>
          <w:rFonts w:hint="eastAsia"/>
          <w:color w:val="auto"/>
          <w:szCs w:val="21"/>
        </w:rPr>
        <w:t>）供应商可以组成一个投标联合体，以一个供应商的身份共同参加投标。联合体投标的，须提供《联合体协议书》（格式后附）</w:t>
      </w:r>
    </w:p>
    <w:p w14:paraId="56DAB7FD">
      <w:pPr>
        <w:spacing w:before="120" w:line="320" w:lineRule="atLeast"/>
        <w:ind w:firstLine="420" w:firstLineChars="200"/>
        <w:rPr>
          <w:color w:val="auto"/>
          <w:szCs w:val="21"/>
        </w:rPr>
      </w:pPr>
      <w:r>
        <w:rPr>
          <w:color w:val="auto"/>
          <w:szCs w:val="21"/>
        </w:rPr>
        <w:t>（2</w:t>
      </w:r>
      <w:r>
        <w:rPr>
          <w:rFonts w:hint="eastAsia"/>
          <w:color w:val="auto"/>
          <w:szCs w:val="21"/>
        </w:rPr>
        <w:t>）以联合体形式参加投标的，联合体各方均必须具备《中华人民共和国政府采购法》第二十二条第一款规定的基本条件。本项目有特殊要求规定供应商特定条件的，联合体各方中至少有一方必须符合招标文件规定的特定条件。</w:t>
      </w:r>
    </w:p>
    <w:p w14:paraId="1FD14965">
      <w:pPr>
        <w:spacing w:before="120" w:line="320" w:lineRule="atLeast"/>
        <w:ind w:firstLine="420" w:firstLineChars="200"/>
        <w:rPr>
          <w:color w:val="auto"/>
          <w:szCs w:val="21"/>
        </w:rPr>
      </w:pPr>
      <w:r>
        <w:rPr>
          <w:color w:val="auto"/>
          <w:szCs w:val="21"/>
        </w:rPr>
        <w:t>（3</w:t>
      </w:r>
      <w:r>
        <w:rPr>
          <w:rFonts w:hint="eastAsia"/>
          <w:color w:val="auto"/>
          <w:szCs w:val="21"/>
        </w:rPr>
        <w:t>）联合体各方之间必须签订联合体协议，协议书必须明确主体方（或者牵头方）并明确约定联合体各方承担的工作和相应的责任，并将联合投标协议放入投标文件。联合体各方必须共同与采购人签订采购合同，就采购合同约定的事项对采购人承担连带责任。</w:t>
      </w:r>
    </w:p>
    <w:p w14:paraId="3AF95972">
      <w:pPr>
        <w:spacing w:before="120" w:line="320" w:lineRule="atLeast"/>
        <w:ind w:firstLine="420" w:firstLineChars="200"/>
        <w:rPr>
          <w:color w:val="auto"/>
          <w:szCs w:val="21"/>
        </w:rPr>
      </w:pPr>
      <w:r>
        <w:rPr>
          <w:color w:val="auto"/>
          <w:szCs w:val="21"/>
        </w:rPr>
        <w:t>（4</w:t>
      </w:r>
      <w:r>
        <w:rPr>
          <w:rFonts w:hint="eastAsia"/>
          <w:color w:val="auto"/>
          <w:szCs w:val="21"/>
        </w:rPr>
        <w:t>）以联合体形式参加政府采购活动的，联合体各方不得再单独参加或者与其他供应商另外组成联合体参加同一合同项下的政府采购活动。</w:t>
      </w:r>
    </w:p>
    <w:p w14:paraId="0AE93545">
      <w:pPr>
        <w:spacing w:before="120" w:line="320" w:lineRule="atLeast"/>
        <w:ind w:firstLine="420" w:firstLineChars="200"/>
        <w:rPr>
          <w:color w:val="auto"/>
          <w:szCs w:val="21"/>
        </w:rPr>
      </w:pPr>
      <w:r>
        <w:rPr>
          <w:color w:val="auto"/>
          <w:szCs w:val="21"/>
        </w:rPr>
        <w:t>（5</w:t>
      </w:r>
      <w:r>
        <w:rPr>
          <w:rFonts w:hint="eastAsia"/>
          <w:color w:val="auto"/>
          <w:szCs w:val="21"/>
        </w:rPr>
        <w:t>）联合体中有同类资质的供应商按照联合体分工承担相同工作的，应当按照资质等级较低的供应商确定资质等级。</w:t>
      </w:r>
    </w:p>
    <w:p w14:paraId="2FAD5D27">
      <w:pPr>
        <w:spacing w:before="120" w:line="320" w:lineRule="atLeast"/>
        <w:ind w:firstLine="420" w:firstLineChars="200"/>
        <w:rPr>
          <w:color w:val="auto"/>
          <w:szCs w:val="21"/>
        </w:rPr>
      </w:pPr>
      <w:r>
        <w:rPr>
          <w:color w:val="auto"/>
          <w:szCs w:val="21"/>
        </w:rPr>
        <w:t>（6</w:t>
      </w:r>
      <w:r>
        <w:rPr>
          <w:rFonts w:hint="eastAsia"/>
          <w:color w:val="auto"/>
          <w:szCs w:val="21"/>
        </w:rPr>
        <w:t>）联合体投标业绩、履约能力按照联合体各方其中较高的一方认定并计算（招标文件其他章节另有规定的除外）。</w:t>
      </w:r>
    </w:p>
    <w:p w14:paraId="28DB66C7">
      <w:pPr>
        <w:spacing w:before="120" w:line="320" w:lineRule="atLeast"/>
        <w:ind w:firstLine="420" w:firstLineChars="200"/>
        <w:rPr>
          <w:color w:val="auto"/>
          <w:szCs w:val="21"/>
        </w:rPr>
      </w:pPr>
      <w:r>
        <w:rPr>
          <w:color w:val="auto"/>
          <w:szCs w:val="21"/>
        </w:rPr>
        <w:t>（7</w:t>
      </w:r>
      <w:r>
        <w:rPr>
          <w:rFonts w:hint="eastAsia"/>
          <w:color w:val="auto"/>
          <w:szCs w:val="21"/>
        </w:rPr>
        <w:t>）供应商为联合体的，可以由联合体中的一方或者多方共同交纳投标保证金，其交纳的保证金对联合体各方均具有约束力。</w:t>
      </w:r>
    </w:p>
    <w:p w14:paraId="0402B052">
      <w:pPr>
        <w:spacing w:before="120" w:line="320" w:lineRule="atLeast"/>
        <w:ind w:firstLine="420" w:firstLineChars="200"/>
        <w:rPr>
          <w:color w:val="auto"/>
          <w:szCs w:val="21"/>
        </w:rPr>
      </w:pPr>
      <w:r>
        <w:rPr>
          <w:color w:val="auto"/>
          <w:szCs w:val="21"/>
        </w:rPr>
        <w:t>（8</w:t>
      </w:r>
      <w:r>
        <w:rPr>
          <w:rFonts w:hint="eastAsia"/>
          <w:color w:val="auto"/>
          <w:szCs w:val="21"/>
        </w:rPr>
        <w:t>）联合体各方均应按照招标文件的规定提交资格证明文件。</w:t>
      </w:r>
    </w:p>
    <w:p w14:paraId="7632ECF6">
      <w:pPr>
        <w:spacing w:before="120" w:line="320" w:lineRule="atLeast"/>
        <w:ind w:firstLine="422" w:firstLineChars="200"/>
        <w:outlineLvl w:val="2"/>
        <w:rPr>
          <w:b/>
          <w:bCs/>
          <w:color w:val="auto"/>
          <w:kern w:val="0"/>
          <w:szCs w:val="21"/>
        </w:rPr>
      </w:pPr>
      <w:bookmarkStart w:id="50" w:name="_Toc254970672"/>
      <w:bookmarkStart w:id="51" w:name="_Toc254970531"/>
      <w:r>
        <w:rPr>
          <w:b/>
          <w:bCs/>
          <w:color w:val="auto"/>
          <w:kern w:val="0"/>
          <w:szCs w:val="21"/>
        </w:rPr>
        <w:t>1.6现场踏勘及投标费用</w:t>
      </w:r>
      <w:bookmarkEnd w:id="50"/>
      <w:bookmarkEnd w:id="51"/>
    </w:p>
    <w:p w14:paraId="1AB99BE5">
      <w:pPr>
        <w:spacing w:before="120" w:line="320" w:lineRule="atLeast"/>
        <w:ind w:firstLine="420" w:firstLineChars="200"/>
        <w:rPr>
          <w:color w:val="auto"/>
          <w:szCs w:val="21"/>
        </w:rPr>
      </w:pPr>
      <w:r>
        <w:rPr>
          <w:color w:val="auto"/>
          <w:szCs w:val="21"/>
        </w:rPr>
        <w:t>1.6.1前附表如规定现场踏勘的，供应商应按规定时间地点参加踏勘。</w:t>
      </w:r>
    </w:p>
    <w:p w14:paraId="5D9E63DA">
      <w:pPr>
        <w:spacing w:before="120" w:line="320" w:lineRule="atLeast"/>
        <w:ind w:firstLine="420" w:firstLineChars="200"/>
        <w:rPr>
          <w:color w:val="auto"/>
          <w:szCs w:val="21"/>
        </w:rPr>
      </w:pPr>
      <w:r>
        <w:rPr>
          <w:color w:val="auto"/>
          <w:szCs w:val="21"/>
        </w:rPr>
        <w:t>1.6.2供应商均应自行承担所有与投标有关的全部费用（招标文件有相关的规定除外）。</w:t>
      </w:r>
    </w:p>
    <w:p w14:paraId="20697CDC">
      <w:pPr>
        <w:spacing w:before="120" w:line="320" w:lineRule="atLeast"/>
        <w:ind w:firstLine="422" w:firstLineChars="200"/>
        <w:outlineLvl w:val="2"/>
        <w:rPr>
          <w:b/>
          <w:bCs/>
          <w:color w:val="auto"/>
          <w:kern w:val="0"/>
          <w:szCs w:val="21"/>
        </w:rPr>
      </w:pPr>
      <w:r>
        <w:rPr>
          <w:b/>
          <w:bCs/>
          <w:color w:val="auto"/>
          <w:kern w:val="0"/>
          <w:szCs w:val="21"/>
        </w:rPr>
        <w:t>1.7转包与分包</w:t>
      </w:r>
    </w:p>
    <w:p w14:paraId="09E7D586">
      <w:pPr>
        <w:spacing w:before="120" w:line="320" w:lineRule="atLeast"/>
        <w:ind w:firstLine="420" w:firstLineChars="200"/>
        <w:rPr>
          <w:color w:val="auto"/>
          <w:szCs w:val="21"/>
        </w:rPr>
      </w:pPr>
      <w:r>
        <w:rPr>
          <w:color w:val="auto"/>
          <w:szCs w:val="21"/>
        </w:rPr>
        <w:t>1.7.1如</w:t>
      </w:r>
      <w:r>
        <w:rPr>
          <w:rFonts w:hint="eastAsia"/>
          <w:color w:val="auto"/>
          <w:szCs w:val="21"/>
        </w:rPr>
        <w:t>招标</w:t>
      </w:r>
      <w:r>
        <w:rPr>
          <w:color w:val="auto"/>
          <w:szCs w:val="21"/>
        </w:rPr>
        <w:t>文件其他地方无特别规定</w:t>
      </w:r>
      <w:r>
        <w:rPr>
          <w:rFonts w:hint="eastAsia"/>
          <w:color w:val="auto"/>
          <w:szCs w:val="21"/>
        </w:rPr>
        <w:t>，</w:t>
      </w:r>
      <w:r>
        <w:rPr>
          <w:color w:val="auto"/>
          <w:szCs w:val="21"/>
        </w:rPr>
        <w:t>本项目不允许转包。</w:t>
      </w:r>
    </w:p>
    <w:p w14:paraId="1DF721BD">
      <w:pPr>
        <w:spacing w:before="120" w:line="320" w:lineRule="atLeast"/>
        <w:ind w:firstLine="420" w:firstLineChars="200"/>
        <w:rPr>
          <w:color w:val="auto"/>
          <w:szCs w:val="21"/>
        </w:rPr>
      </w:pPr>
      <w:r>
        <w:rPr>
          <w:color w:val="auto"/>
          <w:szCs w:val="21"/>
        </w:rPr>
        <w:t>1.7.2</w:t>
      </w:r>
      <w:r>
        <w:rPr>
          <w:rFonts w:hint="eastAsia"/>
          <w:color w:val="auto"/>
          <w:szCs w:val="21"/>
        </w:rPr>
        <w:t>本项目是否允许分包详见“供应商须知前附表”，本项目不允许违法分包。供应商根据招标文件的规定和采购项目的实际情况，拟在中标后将中标项目的非主体、非关键性工作分包的，应当在投标文件中载明分包承担主体，分包承担主体应当具备相应资质条件且不得再次分包。</w:t>
      </w:r>
    </w:p>
    <w:p w14:paraId="2CD62202">
      <w:pPr>
        <w:spacing w:before="120" w:line="276" w:lineRule="auto"/>
        <w:ind w:firstLine="422" w:firstLineChars="200"/>
        <w:outlineLvl w:val="2"/>
        <w:rPr>
          <w:b/>
          <w:bCs/>
          <w:color w:val="auto"/>
          <w:kern w:val="0"/>
          <w:szCs w:val="21"/>
        </w:rPr>
      </w:pPr>
      <w:bookmarkStart w:id="52" w:name="_Toc254970532"/>
      <w:bookmarkStart w:id="53" w:name="_Toc254970673"/>
      <w:r>
        <w:rPr>
          <w:b/>
          <w:bCs/>
          <w:color w:val="auto"/>
          <w:kern w:val="0"/>
          <w:szCs w:val="21"/>
        </w:rPr>
        <w:t>1.8特别说明</w:t>
      </w:r>
      <w:bookmarkEnd w:id="52"/>
      <w:bookmarkEnd w:id="53"/>
    </w:p>
    <w:p w14:paraId="2DE3721B">
      <w:pPr>
        <w:spacing w:line="276" w:lineRule="auto"/>
        <w:ind w:firstLine="420" w:firstLineChars="200"/>
        <w:rPr>
          <w:color w:val="auto"/>
          <w:szCs w:val="21"/>
        </w:rPr>
      </w:pPr>
      <w:r>
        <w:rPr>
          <w:color w:val="auto"/>
          <w:szCs w:val="21"/>
        </w:rPr>
        <w:t>1.8.1 供应商应保证其提供的联系方式（电话、传真、电子邮件）有效，以保证往来函件（澄清、修改等）能及时通知供应商，并能及时反馈，否则采购人</w:t>
      </w:r>
      <w:r>
        <w:rPr>
          <w:rFonts w:hint="eastAsia"/>
          <w:color w:val="auto"/>
          <w:szCs w:val="21"/>
        </w:rPr>
        <w:t>及代理机构</w:t>
      </w:r>
      <w:r>
        <w:rPr>
          <w:color w:val="auto"/>
          <w:szCs w:val="21"/>
        </w:rPr>
        <w:t>不承担由此引起的一切后果。</w:t>
      </w:r>
    </w:p>
    <w:p w14:paraId="099D4550">
      <w:pPr>
        <w:spacing w:before="120" w:line="320" w:lineRule="atLeast"/>
        <w:ind w:firstLine="420" w:firstLineChars="200"/>
        <w:rPr>
          <w:color w:val="auto"/>
          <w:szCs w:val="21"/>
        </w:rPr>
      </w:pPr>
      <w:r>
        <w:rPr>
          <w:color w:val="auto"/>
          <w:szCs w:val="21"/>
        </w:rPr>
        <w:t>1.8.2供应商应仔细阅读招标文件的所有内容，按照招标文件的要求提交投标文件，并对所提供的全部资料的真实性承担法律责任。</w:t>
      </w:r>
    </w:p>
    <w:p w14:paraId="7178B6D2">
      <w:pPr>
        <w:spacing w:before="120" w:line="360" w:lineRule="auto"/>
        <w:ind w:firstLine="420" w:firstLineChars="200"/>
        <w:rPr>
          <w:color w:val="auto"/>
          <w:szCs w:val="21"/>
        </w:rPr>
      </w:pPr>
      <w:r>
        <w:rPr>
          <w:color w:val="auto"/>
          <w:szCs w:val="21"/>
        </w:rPr>
        <w:t>1.8.3供应商在投标活动中提供任何虚假材料，</w:t>
      </w:r>
      <w:r>
        <w:rPr>
          <w:rFonts w:hint="eastAsia"/>
          <w:color w:val="auto"/>
          <w:szCs w:val="21"/>
        </w:rPr>
        <w:t>将</w:t>
      </w:r>
      <w:r>
        <w:rPr>
          <w:color w:val="auto"/>
          <w:szCs w:val="21"/>
        </w:rPr>
        <w:t xml:space="preserve">报监管部门查处； </w:t>
      </w:r>
    </w:p>
    <w:p w14:paraId="3F0A8F4C">
      <w:pPr>
        <w:spacing w:before="120" w:line="320" w:lineRule="atLeast"/>
        <w:ind w:left="2" w:leftChars="1" w:firstLine="422" w:firstLineChars="200"/>
        <w:outlineLvl w:val="1"/>
        <w:rPr>
          <w:b/>
          <w:bCs/>
          <w:color w:val="auto"/>
          <w:kern w:val="0"/>
          <w:szCs w:val="21"/>
        </w:rPr>
      </w:pPr>
      <w:bookmarkStart w:id="54" w:name="_Toc254970675"/>
      <w:bookmarkStart w:id="55" w:name="_Toc254970534"/>
      <w:r>
        <w:rPr>
          <w:b/>
          <w:bCs/>
          <w:color w:val="auto"/>
          <w:kern w:val="0"/>
          <w:szCs w:val="21"/>
        </w:rPr>
        <w:t>2．招标文件</w:t>
      </w:r>
      <w:bookmarkEnd w:id="54"/>
      <w:bookmarkEnd w:id="55"/>
    </w:p>
    <w:p w14:paraId="13283DF0">
      <w:pPr>
        <w:spacing w:before="120" w:line="320" w:lineRule="atLeast"/>
        <w:ind w:firstLine="422" w:firstLineChars="200"/>
        <w:outlineLvl w:val="2"/>
        <w:rPr>
          <w:b/>
          <w:bCs/>
          <w:color w:val="auto"/>
          <w:kern w:val="0"/>
          <w:szCs w:val="21"/>
        </w:rPr>
      </w:pPr>
      <w:r>
        <w:rPr>
          <w:b/>
          <w:bCs/>
          <w:color w:val="auto"/>
          <w:kern w:val="0"/>
          <w:szCs w:val="21"/>
        </w:rPr>
        <w:t>2.1招标文件的构成</w:t>
      </w:r>
    </w:p>
    <w:p w14:paraId="09DCE62D">
      <w:pPr>
        <w:spacing w:before="120" w:line="320" w:lineRule="atLeast"/>
        <w:ind w:firstLine="420" w:firstLineChars="200"/>
        <w:rPr>
          <w:color w:val="auto"/>
          <w:szCs w:val="21"/>
        </w:rPr>
      </w:pPr>
      <w:r>
        <w:rPr>
          <w:color w:val="auto"/>
          <w:szCs w:val="21"/>
        </w:rPr>
        <w:t>第一章 招标公告</w:t>
      </w:r>
    </w:p>
    <w:p w14:paraId="7A76F27C">
      <w:pPr>
        <w:spacing w:before="120" w:line="320" w:lineRule="atLeast"/>
        <w:ind w:firstLine="420" w:firstLineChars="200"/>
        <w:rPr>
          <w:color w:val="auto"/>
          <w:szCs w:val="21"/>
        </w:rPr>
      </w:pPr>
      <w:r>
        <w:rPr>
          <w:color w:val="auto"/>
          <w:szCs w:val="21"/>
        </w:rPr>
        <w:t>第二章 采购需求</w:t>
      </w:r>
    </w:p>
    <w:p w14:paraId="40416A58">
      <w:pPr>
        <w:spacing w:before="120" w:line="320" w:lineRule="atLeast"/>
        <w:ind w:firstLine="420" w:firstLineChars="200"/>
        <w:rPr>
          <w:color w:val="auto"/>
          <w:szCs w:val="21"/>
        </w:rPr>
      </w:pPr>
      <w:r>
        <w:rPr>
          <w:color w:val="auto"/>
          <w:szCs w:val="21"/>
        </w:rPr>
        <w:t>第三章 供应商须知</w:t>
      </w:r>
    </w:p>
    <w:p w14:paraId="28999001">
      <w:pPr>
        <w:spacing w:before="120" w:line="320" w:lineRule="atLeast"/>
        <w:ind w:firstLine="420" w:firstLineChars="200"/>
        <w:rPr>
          <w:color w:val="auto"/>
          <w:szCs w:val="21"/>
        </w:rPr>
      </w:pPr>
      <w:r>
        <w:rPr>
          <w:color w:val="auto"/>
          <w:szCs w:val="21"/>
        </w:rPr>
        <w:t>第四章 评审方法及标准</w:t>
      </w:r>
    </w:p>
    <w:p w14:paraId="26364EA1">
      <w:pPr>
        <w:spacing w:before="120" w:line="320" w:lineRule="atLeast"/>
        <w:ind w:firstLine="420" w:firstLineChars="200"/>
        <w:rPr>
          <w:color w:val="auto"/>
          <w:szCs w:val="21"/>
        </w:rPr>
      </w:pPr>
      <w:r>
        <w:rPr>
          <w:color w:val="auto"/>
          <w:szCs w:val="21"/>
        </w:rPr>
        <w:t>第五章 合同主要条款格式</w:t>
      </w:r>
    </w:p>
    <w:p w14:paraId="0C734F48">
      <w:pPr>
        <w:spacing w:before="120" w:line="320" w:lineRule="atLeast"/>
        <w:ind w:firstLine="420" w:firstLineChars="200"/>
        <w:rPr>
          <w:color w:val="auto"/>
          <w:szCs w:val="21"/>
        </w:rPr>
      </w:pPr>
      <w:r>
        <w:rPr>
          <w:color w:val="auto"/>
          <w:szCs w:val="21"/>
        </w:rPr>
        <w:t>第六章 投标文件格式</w:t>
      </w:r>
    </w:p>
    <w:p w14:paraId="3EB53A00">
      <w:pPr>
        <w:spacing w:before="120" w:line="320" w:lineRule="atLeast"/>
        <w:ind w:firstLine="422" w:firstLineChars="200"/>
        <w:outlineLvl w:val="2"/>
        <w:rPr>
          <w:b/>
          <w:bCs/>
          <w:color w:val="auto"/>
          <w:kern w:val="0"/>
          <w:szCs w:val="21"/>
        </w:rPr>
      </w:pPr>
      <w:r>
        <w:rPr>
          <w:b/>
          <w:bCs/>
          <w:color w:val="auto"/>
          <w:kern w:val="0"/>
          <w:szCs w:val="21"/>
        </w:rPr>
        <w:t>2.2供应商的风险</w:t>
      </w:r>
    </w:p>
    <w:p w14:paraId="497ED85B">
      <w:pPr>
        <w:spacing w:before="120" w:line="320" w:lineRule="atLeast"/>
        <w:ind w:firstLine="420" w:firstLineChars="200"/>
        <w:rPr>
          <w:color w:val="auto"/>
          <w:szCs w:val="21"/>
        </w:rPr>
      </w:pPr>
      <w:r>
        <w:rPr>
          <w:color w:val="auto"/>
          <w:szCs w:val="21"/>
        </w:rPr>
        <w:t>供应商没有按照招标文件要求提供全部资料，或者供应商没有对招标文件在各方面作出实质性响应是供应商的风险，并可能导致其投标被否决。</w:t>
      </w:r>
    </w:p>
    <w:p w14:paraId="223F0A67">
      <w:pPr>
        <w:spacing w:before="120" w:line="320" w:lineRule="atLeast"/>
        <w:ind w:firstLine="422" w:firstLineChars="200"/>
        <w:outlineLvl w:val="2"/>
        <w:rPr>
          <w:b/>
          <w:color w:val="auto"/>
          <w:szCs w:val="21"/>
        </w:rPr>
      </w:pPr>
      <w:r>
        <w:rPr>
          <w:b/>
          <w:bCs/>
          <w:color w:val="auto"/>
          <w:kern w:val="0"/>
          <w:szCs w:val="21"/>
        </w:rPr>
        <w:t>2.3招标文件的澄清与修改</w:t>
      </w:r>
    </w:p>
    <w:p w14:paraId="677EE81C">
      <w:pPr>
        <w:spacing w:before="120" w:line="320" w:lineRule="atLeast"/>
        <w:ind w:firstLine="420" w:firstLineChars="200"/>
        <w:rPr>
          <w:color w:val="auto"/>
          <w:szCs w:val="21"/>
        </w:rPr>
      </w:pPr>
      <w:r>
        <w:rPr>
          <w:color w:val="auto"/>
          <w:szCs w:val="21"/>
        </w:rPr>
        <w:t>2.3.1</w:t>
      </w:r>
      <w:r>
        <w:rPr>
          <w:rFonts w:hint="eastAsia"/>
          <w:color w:val="auto"/>
          <w:szCs w:val="21"/>
        </w:rPr>
        <w:t>任何已获得招标文件的潜在供应商，均可</w:t>
      </w:r>
      <w:r>
        <w:rPr>
          <w:color w:val="auto"/>
          <w:szCs w:val="21"/>
        </w:rPr>
        <w:t>以书面形式要求采购代理机构作出书面解释、澄清</w:t>
      </w:r>
      <w:r>
        <w:rPr>
          <w:rFonts w:hint="eastAsia"/>
          <w:color w:val="auto"/>
          <w:szCs w:val="21"/>
        </w:rPr>
        <w:t>。</w:t>
      </w:r>
    </w:p>
    <w:p w14:paraId="0A9B5A15">
      <w:pPr>
        <w:spacing w:before="120" w:line="320" w:lineRule="atLeast"/>
        <w:ind w:firstLine="420" w:firstLineChars="200"/>
        <w:rPr>
          <w:color w:val="auto"/>
          <w:szCs w:val="21"/>
        </w:rPr>
      </w:pPr>
      <w:r>
        <w:rPr>
          <w:color w:val="auto"/>
          <w:szCs w:val="21"/>
        </w:rPr>
        <w:t>2.3.2</w:t>
      </w:r>
      <w:r>
        <w:rPr>
          <w:rFonts w:hint="eastAsia"/>
          <w:color w:val="auto"/>
          <w:szCs w:val="21"/>
        </w:rPr>
        <w:t>采购人或者采购代理机构可以对已发出的招标文件进行必要的澄清或者修改。澄清或者修改的内容可能影响投标文件编制的，采购人或者采购代理机构应当在投标截止时间至少15日前，</w:t>
      </w:r>
      <w:bookmarkStart w:id="56" w:name="_Hlk132790706"/>
      <w:r>
        <w:rPr>
          <w:rFonts w:hint="eastAsia"/>
          <w:color w:val="auto"/>
          <w:szCs w:val="21"/>
        </w:rPr>
        <w:t>在投标人须知前附表规定的方式通知所有获取招标文件的潜在投标人</w:t>
      </w:r>
      <w:bookmarkEnd w:id="56"/>
      <w:r>
        <w:rPr>
          <w:rFonts w:hint="eastAsia"/>
          <w:color w:val="auto"/>
          <w:szCs w:val="21"/>
        </w:rPr>
        <w:t>；不足15日的，采购人或者采购代理机构应当顺延提交投标文件的截止时间。</w:t>
      </w:r>
    </w:p>
    <w:p w14:paraId="04DB9E4A">
      <w:pPr>
        <w:spacing w:before="120" w:line="320" w:lineRule="atLeast"/>
        <w:ind w:firstLine="420" w:firstLineChars="200"/>
        <w:rPr>
          <w:color w:val="auto"/>
          <w:szCs w:val="21"/>
        </w:rPr>
      </w:pPr>
      <w:r>
        <w:rPr>
          <w:color w:val="auto"/>
          <w:szCs w:val="21"/>
        </w:rPr>
        <w:t>2.3.3招标文件澄清、答复、修改、补充的内容为招标文件的组成部分。当招标文件与招标文件的答复、澄清、修改、补充通知就同一内容的表述不一致时，以最后发出的公告或书面文件为准。</w:t>
      </w:r>
    </w:p>
    <w:p w14:paraId="78543B5F">
      <w:pPr>
        <w:spacing w:before="120" w:line="320" w:lineRule="atLeast"/>
        <w:ind w:left="2" w:leftChars="1" w:firstLine="422" w:firstLineChars="200"/>
        <w:outlineLvl w:val="1"/>
        <w:rPr>
          <w:b/>
          <w:bCs/>
          <w:color w:val="auto"/>
          <w:kern w:val="0"/>
          <w:szCs w:val="21"/>
        </w:rPr>
      </w:pPr>
      <w:bookmarkStart w:id="57" w:name="_Toc254970535"/>
      <w:bookmarkStart w:id="58" w:name="_Toc254970676"/>
      <w:r>
        <w:rPr>
          <w:b/>
          <w:bCs/>
          <w:color w:val="auto"/>
          <w:kern w:val="0"/>
          <w:szCs w:val="21"/>
        </w:rPr>
        <w:t>3．投标文件</w:t>
      </w:r>
      <w:bookmarkEnd w:id="57"/>
      <w:bookmarkEnd w:id="58"/>
    </w:p>
    <w:p w14:paraId="52769815">
      <w:pPr>
        <w:spacing w:before="120" w:line="320" w:lineRule="atLeast"/>
        <w:ind w:firstLine="422" w:firstLineChars="200"/>
        <w:outlineLvl w:val="2"/>
        <w:rPr>
          <w:b/>
          <w:bCs/>
          <w:color w:val="auto"/>
          <w:kern w:val="0"/>
          <w:szCs w:val="21"/>
        </w:rPr>
      </w:pPr>
      <w:bookmarkStart w:id="59" w:name="_Toc254970677"/>
      <w:bookmarkStart w:id="60" w:name="_Toc254970536"/>
      <w:r>
        <w:rPr>
          <w:b/>
          <w:bCs/>
          <w:color w:val="auto"/>
          <w:kern w:val="0"/>
          <w:szCs w:val="21"/>
        </w:rPr>
        <w:t>3.1投标文件的组成</w:t>
      </w:r>
      <w:bookmarkEnd w:id="59"/>
      <w:bookmarkEnd w:id="60"/>
    </w:p>
    <w:p w14:paraId="2AB53F1D">
      <w:pPr>
        <w:spacing w:before="120" w:line="320" w:lineRule="atLeast"/>
        <w:ind w:firstLine="420" w:firstLineChars="200"/>
        <w:rPr>
          <w:color w:val="auto"/>
          <w:szCs w:val="21"/>
        </w:rPr>
      </w:pPr>
      <w:r>
        <w:rPr>
          <w:color w:val="auto"/>
          <w:szCs w:val="21"/>
        </w:rPr>
        <w:t>投标文件由第六章“投标文件格式”规定的</w:t>
      </w:r>
      <w:r>
        <w:rPr>
          <w:rFonts w:hint="eastAsia"/>
          <w:color w:val="auto"/>
          <w:szCs w:val="21"/>
        </w:rPr>
        <w:t>内容</w:t>
      </w:r>
      <w:r>
        <w:rPr>
          <w:color w:val="auto"/>
          <w:szCs w:val="21"/>
        </w:rPr>
        <w:t>和供应商所作的一切有效补充、修改和承诺等文件组成</w:t>
      </w:r>
      <w:r>
        <w:rPr>
          <w:rFonts w:hint="eastAsia"/>
          <w:color w:val="auto"/>
          <w:szCs w:val="21"/>
        </w:rPr>
        <w:t>。</w:t>
      </w:r>
    </w:p>
    <w:p w14:paraId="0642FB14">
      <w:pPr>
        <w:spacing w:before="120" w:line="320" w:lineRule="atLeast"/>
        <w:ind w:firstLine="422" w:firstLineChars="200"/>
        <w:outlineLvl w:val="2"/>
        <w:rPr>
          <w:b/>
          <w:bCs/>
          <w:color w:val="auto"/>
          <w:kern w:val="0"/>
          <w:szCs w:val="21"/>
        </w:rPr>
      </w:pPr>
      <w:bookmarkStart w:id="61" w:name="_Toc254970537"/>
      <w:bookmarkStart w:id="62" w:name="_Toc254970678"/>
      <w:r>
        <w:rPr>
          <w:b/>
          <w:color w:val="auto"/>
          <w:szCs w:val="21"/>
        </w:rPr>
        <w:t>3.2</w:t>
      </w:r>
      <w:r>
        <w:rPr>
          <w:b/>
          <w:bCs/>
          <w:color w:val="auto"/>
          <w:kern w:val="0"/>
          <w:szCs w:val="21"/>
        </w:rPr>
        <w:t>投标文件的语言及计量</w:t>
      </w:r>
      <w:bookmarkEnd w:id="61"/>
      <w:bookmarkEnd w:id="62"/>
    </w:p>
    <w:p w14:paraId="52A6E2F0">
      <w:pPr>
        <w:spacing w:before="120" w:line="320" w:lineRule="atLeast"/>
        <w:ind w:firstLine="420" w:firstLineChars="200"/>
        <w:rPr>
          <w:color w:val="auto"/>
          <w:szCs w:val="21"/>
        </w:rPr>
      </w:pPr>
      <w:r>
        <w:rPr>
          <w:color w:val="auto"/>
          <w:szCs w:val="21"/>
        </w:rPr>
        <w:t>3.2.1</w:t>
      </w:r>
      <w:r>
        <w:rPr>
          <w:rFonts w:hint="eastAsia"/>
          <w:color w:val="auto"/>
          <w:szCs w:val="21"/>
        </w:rPr>
        <w:t>投标文件以及供应商与采购人就有关投标事宜的所有来往函电，均应以中文书写（除专用术语外，与招标投标有关的语言均使用中文。必要时专用术语应附有中文注释）。供应商提交的支持文件和印刷的文献可以使用别的语言，但其相应内容应同时附中文翻译文本，在解释投标文件时以中文翻译文本为主。对不同文字文本投标文件的解释发生异议的，以中文文本为准。</w:t>
      </w:r>
    </w:p>
    <w:p w14:paraId="675D05A0">
      <w:pPr>
        <w:spacing w:before="120" w:line="320" w:lineRule="atLeast"/>
        <w:ind w:firstLine="420" w:firstLineChars="200"/>
        <w:rPr>
          <w:color w:val="auto"/>
          <w:szCs w:val="21"/>
        </w:rPr>
      </w:pPr>
      <w:r>
        <w:rPr>
          <w:color w:val="auto"/>
          <w:szCs w:val="21"/>
        </w:rPr>
        <w:t>3.2.2计量单位招标文件已有明确规定的，投标使用招标文件规定的计量单位；招标文件没有规定的，应采用中华人民共和国法定计量单位。</w:t>
      </w:r>
    </w:p>
    <w:p w14:paraId="76ADAF4D">
      <w:pPr>
        <w:spacing w:before="120" w:line="320" w:lineRule="atLeast"/>
        <w:ind w:firstLine="422" w:firstLineChars="200"/>
        <w:outlineLvl w:val="2"/>
        <w:rPr>
          <w:b/>
          <w:bCs/>
          <w:color w:val="auto"/>
          <w:kern w:val="0"/>
          <w:szCs w:val="21"/>
        </w:rPr>
      </w:pPr>
      <w:bookmarkStart w:id="63" w:name="_Toc254970679"/>
      <w:bookmarkStart w:id="64" w:name="_Toc254970538"/>
      <w:r>
        <w:rPr>
          <w:b/>
          <w:bCs/>
          <w:color w:val="auto"/>
          <w:kern w:val="0"/>
          <w:szCs w:val="21"/>
        </w:rPr>
        <w:t>3.3投标报价</w:t>
      </w:r>
      <w:bookmarkEnd w:id="63"/>
      <w:bookmarkEnd w:id="64"/>
    </w:p>
    <w:p w14:paraId="002B178F">
      <w:pPr>
        <w:spacing w:before="120" w:line="320" w:lineRule="atLeast"/>
        <w:ind w:firstLine="420" w:firstLineChars="200"/>
        <w:rPr>
          <w:color w:val="auto"/>
          <w:szCs w:val="21"/>
        </w:rPr>
      </w:pPr>
      <w:r>
        <w:rPr>
          <w:color w:val="auto"/>
          <w:szCs w:val="21"/>
        </w:rPr>
        <w:t>3.3.1投标报价应按招标文件中相关附表格式填写。</w:t>
      </w:r>
    </w:p>
    <w:p w14:paraId="103382B9">
      <w:pPr>
        <w:spacing w:before="120" w:line="320" w:lineRule="atLeast"/>
        <w:ind w:firstLine="420" w:firstLineChars="200"/>
        <w:rPr>
          <w:color w:val="auto"/>
          <w:szCs w:val="21"/>
        </w:rPr>
      </w:pPr>
      <w:r>
        <w:rPr>
          <w:color w:val="auto"/>
          <w:szCs w:val="21"/>
        </w:rPr>
        <w:t>3.3.2投标文件只允许有一个报价，有选择的或有条件的报价将不予接受。</w:t>
      </w:r>
    </w:p>
    <w:p w14:paraId="232AA869">
      <w:pPr>
        <w:suppressAutoHyphens/>
        <w:spacing w:before="120" w:line="320" w:lineRule="atLeast"/>
        <w:ind w:firstLine="420" w:firstLineChars="200"/>
        <w:rPr>
          <w:color w:val="auto"/>
          <w:kern w:val="1"/>
          <w:szCs w:val="21"/>
        </w:rPr>
      </w:pPr>
      <w:r>
        <w:rPr>
          <w:color w:val="auto"/>
          <w:kern w:val="1"/>
          <w:szCs w:val="21"/>
        </w:rPr>
        <w:t>3.3.3对于本文件中未列明，而供应商认为必需的费用也需列入</w:t>
      </w:r>
      <w:r>
        <w:rPr>
          <w:rFonts w:hint="eastAsia"/>
          <w:color w:val="auto"/>
          <w:kern w:val="1"/>
          <w:szCs w:val="21"/>
        </w:rPr>
        <w:t>投标报价</w:t>
      </w:r>
      <w:r>
        <w:rPr>
          <w:color w:val="auto"/>
          <w:kern w:val="1"/>
          <w:szCs w:val="21"/>
        </w:rPr>
        <w:t>。在合同实施时，采购人将不予支付中标人没有列入的项目费用，并认为此项目的费用已包括在</w:t>
      </w:r>
      <w:r>
        <w:rPr>
          <w:rFonts w:hint="eastAsia"/>
          <w:color w:val="auto"/>
          <w:kern w:val="1"/>
          <w:szCs w:val="21"/>
        </w:rPr>
        <w:t>投标报价</w:t>
      </w:r>
      <w:r>
        <w:rPr>
          <w:color w:val="auto"/>
          <w:kern w:val="1"/>
          <w:szCs w:val="21"/>
        </w:rPr>
        <w:t>中。</w:t>
      </w:r>
    </w:p>
    <w:p w14:paraId="368B84A4">
      <w:pPr>
        <w:suppressAutoHyphens/>
        <w:spacing w:before="120" w:line="320" w:lineRule="atLeast"/>
        <w:ind w:firstLine="420" w:firstLineChars="200"/>
        <w:rPr>
          <w:b/>
          <w:bCs/>
          <w:color w:val="auto"/>
          <w:kern w:val="1"/>
          <w:szCs w:val="21"/>
        </w:rPr>
      </w:pPr>
      <w:r>
        <w:rPr>
          <w:rFonts w:hint="eastAsia"/>
          <w:color w:val="auto"/>
          <w:kern w:val="1"/>
          <w:szCs w:val="21"/>
        </w:rPr>
        <w:t>3</w:t>
      </w:r>
      <w:r>
        <w:rPr>
          <w:color w:val="auto"/>
          <w:kern w:val="1"/>
          <w:szCs w:val="21"/>
        </w:rPr>
        <w:t>.3.4</w:t>
      </w:r>
      <w:r>
        <w:rPr>
          <w:rFonts w:hint="eastAsia"/>
          <w:color w:val="auto"/>
          <w:kern w:val="1"/>
          <w:szCs w:val="21"/>
        </w:rPr>
        <w:t>采购人不接受供应商给予的赠品、回扣或者与采购无关的其他商品、服务。</w:t>
      </w:r>
    </w:p>
    <w:p w14:paraId="216C51FC">
      <w:pPr>
        <w:spacing w:before="120" w:line="320" w:lineRule="atLeast"/>
        <w:ind w:firstLine="422" w:firstLineChars="200"/>
        <w:outlineLvl w:val="2"/>
        <w:rPr>
          <w:b/>
          <w:bCs/>
          <w:color w:val="auto"/>
          <w:kern w:val="0"/>
          <w:szCs w:val="21"/>
        </w:rPr>
      </w:pPr>
      <w:r>
        <w:rPr>
          <w:b/>
          <w:bCs/>
          <w:color w:val="auto"/>
          <w:kern w:val="0"/>
          <w:szCs w:val="21"/>
        </w:rPr>
        <w:t>3.4投标有效期</w:t>
      </w:r>
    </w:p>
    <w:p w14:paraId="5391F22F">
      <w:pPr>
        <w:spacing w:before="120" w:line="320" w:lineRule="atLeast"/>
        <w:ind w:firstLine="420" w:firstLineChars="200"/>
        <w:rPr>
          <w:color w:val="auto"/>
          <w:szCs w:val="21"/>
        </w:rPr>
      </w:pPr>
      <w:r>
        <w:rPr>
          <w:color w:val="auto"/>
          <w:szCs w:val="21"/>
        </w:rPr>
        <w:t>3.4.1如招标文件其他地方无特别规定</w:t>
      </w:r>
      <w:r>
        <w:rPr>
          <w:rFonts w:hint="eastAsia"/>
          <w:color w:val="auto"/>
          <w:szCs w:val="21"/>
        </w:rPr>
        <w:t>，</w:t>
      </w:r>
      <w:r>
        <w:rPr>
          <w:color w:val="auto"/>
          <w:szCs w:val="21"/>
        </w:rPr>
        <w:t>投标有效期则为投标截止之日起90天</w:t>
      </w:r>
      <w:r>
        <w:rPr>
          <w:rFonts w:hint="eastAsia"/>
          <w:color w:val="auto"/>
          <w:szCs w:val="21"/>
        </w:rPr>
        <w:t>。</w:t>
      </w:r>
      <w:r>
        <w:rPr>
          <w:color w:val="auto"/>
          <w:szCs w:val="21"/>
        </w:rPr>
        <w:t>在投标有效期内投标文件应保持有效。</w:t>
      </w:r>
      <w:r>
        <w:rPr>
          <w:b/>
          <w:bCs/>
          <w:color w:val="auto"/>
          <w:szCs w:val="21"/>
        </w:rPr>
        <w:t>有效期不足的投标文件将被否决</w:t>
      </w:r>
      <w:r>
        <w:rPr>
          <w:color w:val="auto"/>
          <w:szCs w:val="21"/>
        </w:rPr>
        <w:t>。</w:t>
      </w:r>
    </w:p>
    <w:p w14:paraId="2104D369">
      <w:pPr>
        <w:spacing w:before="120" w:line="320" w:lineRule="atLeast"/>
        <w:ind w:firstLine="420" w:firstLineChars="200"/>
        <w:rPr>
          <w:color w:val="auto"/>
          <w:szCs w:val="21"/>
        </w:rPr>
      </w:pPr>
      <w:r>
        <w:rPr>
          <w:color w:val="auto"/>
          <w:szCs w:val="21"/>
        </w:rPr>
        <w:t>3.4.2在特殊情况下，采购人可与供应商协商延长投标文件的有效期，这种要求和答复均以书面形式进行。</w:t>
      </w:r>
    </w:p>
    <w:p w14:paraId="512F30EB">
      <w:pPr>
        <w:spacing w:before="120" w:line="320" w:lineRule="atLeast"/>
        <w:ind w:firstLine="420" w:firstLineChars="200"/>
        <w:rPr>
          <w:color w:val="auto"/>
          <w:szCs w:val="21"/>
        </w:rPr>
      </w:pPr>
      <w:r>
        <w:rPr>
          <w:color w:val="auto"/>
          <w:szCs w:val="21"/>
        </w:rPr>
        <w:t>3.4.3</w:t>
      </w:r>
      <w:r>
        <w:rPr>
          <w:rFonts w:hint="eastAsia"/>
          <w:color w:val="auto"/>
          <w:szCs w:val="21"/>
        </w:rPr>
        <w:t>供应商同意延长的投标有效期的，如本项目要求提交保证金则应相应延长其投标保证金的有效期，但不得要求或被允许修改或撤销其投标文件；供应商拒绝延长的，其投标无效，但供应商有权收回其投标保证金。</w:t>
      </w:r>
    </w:p>
    <w:p w14:paraId="1A74960B">
      <w:pPr>
        <w:spacing w:before="120" w:line="320" w:lineRule="atLeast"/>
        <w:ind w:firstLine="422" w:firstLineChars="200"/>
        <w:outlineLvl w:val="2"/>
        <w:rPr>
          <w:b/>
          <w:bCs/>
          <w:color w:val="auto"/>
          <w:kern w:val="0"/>
          <w:szCs w:val="21"/>
        </w:rPr>
      </w:pPr>
      <w:bookmarkStart w:id="65" w:name="_Toc254970541"/>
      <w:bookmarkStart w:id="66" w:name="_Toc254970682"/>
      <w:r>
        <w:rPr>
          <w:b/>
          <w:bCs/>
          <w:color w:val="auto"/>
          <w:kern w:val="0"/>
          <w:szCs w:val="21"/>
        </w:rPr>
        <w:t>3.5投标保证金</w:t>
      </w:r>
      <w:bookmarkEnd w:id="65"/>
      <w:bookmarkEnd w:id="66"/>
    </w:p>
    <w:p w14:paraId="05ACE257">
      <w:pPr>
        <w:spacing w:before="120" w:line="320" w:lineRule="atLeast"/>
        <w:ind w:firstLine="420" w:firstLineChars="200"/>
        <w:rPr>
          <w:color w:val="auto"/>
          <w:szCs w:val="21"/>
        </w:rPr>
      </w:pPr>
      <w:r>
        <w:rPr>
          <w:color w:val="auto"/>
          <w:szCs w:val="21"/>
        </w:rPr>
        <w:t>3.5.1供应商须按须知前附表规定提交投标保证金，</w:t>
      </w:r>
      <w:r>
        <w:rPr>
          <w:b/>
          <w:bCs/>
          <w:color w:val="auto"/>
          <w:szCs w:val="21"/>
        </w:rPr>
        <w:t>否则其投标将被否决</w:t>
      </w:r>
      <w:r>
        <w:rPr>
          <w:color w:val="auto"/>
          <w:szCs w:val="21"/>
        </w:rPr>
        <w:t>。除招标文件规定不予退还保证金的情形外，代理机构在规定时间内退回供应商的投标保证金（供应商自行承担因未按供应商须知前附表要求交纳导致投标保证金无法及时退还的责任）。</w:t>
      </w:r>
    </w:p>
    <w:p w14:paraId="5473DBE0">
      <w:pPr>
        <w:spacing w:before="120" w:line="320" w:lineRule="atLeast"/>
        <w:ind w:firstLine="420" w:firstLineChars="200"/>
        <w:rPr>
          <w:color w:val="auto"/>
          <w:szCs w:val="21"/>
        </w:rPr>
      </w:pPr>
      <w:r>
        <w:rPr>
          <w:color w:val="auto"/>
          <w:szCs w:val="21"/>
        </w:rPr>
        <w:t>3.5.2投标保证金币种应与投标报价币种相同。</w:t>
      </w:r>
    </w:p>
    <w:p w14:paraId="7BC70A05">
      <w:pPr>
        <w:spacing w:before="120" w:line="320" w:lineRule="atLeast"/>
        <w:ind w:firstLine="420" w:firstLineChars="200"/>
        <w:rPr>
          <w:color w:val="auto"/>
          <w:szCs w:val="21"/>
        </w:rPr>
      </w:pPr>
      <w:r>
        <w:rPr>
          <w:color w:val="auto"/>
          <w:szCs w:val="21"/>
        </w:rPr>
        <w:t>3.5.3未中标人的投标保证金在中标通知书发出后5个工作日内退还。中标人的投标保证金在合同签订后5个工作日内退还（办理退还手续时需要向采购代理机构提供两份合同复印件）。</w:t>
      </w:r>
    </w:p>
    <w:p w14:paraId="1DD8665E">
      <w:pPr>
        <w:spacing w:before="120" w:line="320" w:lineRule="atLeast"/>
        <w:ind w:firstLine="420" w:firstLineChars="200"/>
        <w:rPr>
          <w:color w:val="auto"/>
          <w:szCs w:val="21"/>
        </w:rPr>
      </w:pPr>
      <w:r>
        <w:rPr>
          <w:color w:val="auto"/>
          <w:szCs w:val="21"/>
        </w:rPr>
        <w:t>3.5.4供应商有下列情形之一的，投标保证金将不予退还：</w:t>
      </w:r>
    </w:p>
    <w:p w14:paraId="11DBE411">
      <w:pPr>
        <w:keepNext w:val="0"/>
        <w:keepLines w:val="0"/>
        <w:pageBreakBefore w:val="0"/>
        <w:widowControl w:val="0"/>
        <w:numPr>
          <w:ilvl w:val="0"/>
          <w:numId w:val="5"/>
        </w:numPr>
        <w:kinsoku/>
        <w:wordWrap/>
        <w:overflowPunct/>
        <w:topLinePunct w:val="0"/>
        <w:autoSpaceDE/>
        <w:autoSpaceDN/>
        <w:bidi w:val="0"/>
        <w:adjustRightInd/>
        <w:snapToGrid/>
        <w:spacing w:before="120" w:line="320" w:lineRule="atLeast"/>
        <w:ind w:left="0" w:firstLine="420"/>
        <w:textAlignment w:val="auto"/>
        <w:rPr>
          <w:color w:val="auto"/>
          <w:szCs w:val="21"/>
        </w:rPr>
      </w:pPr>
      <w:r>
        <w:rPr>
          <w:color w:val="auto"/>
          <w:szCs w:val="21"/>
        </w:rPr>
        <w:t>供应商在投标有效期内撤销投标文件的；</w:t>
      </w:r>
    </w:p>
    <w:p w14:paraId="3BC91154">
      <w:pPr>
        <w:keepNext w:val="0"/>
        <w:keepLines w:val="0"/>
        <w:pageBreakBefore w:val="0"/>
        <w:widowControl w:val="0"/>
        <w:numPr>
          <w:ilvl w:val="0"/>
          <w:numId w:val="5"/>
        </w:numPr>
        <w:kinsoku/>
        <w:wordWrap/>
        <w:overflowPunct/>
        <w:topLinePunct w:val="0"/>
        <w:autoSpaceDE/>
        <w:autoSpaceDN/>
        <w:bidi w:val="0"/>
        <w:adjustRightInd/>
        <w:snapToGrid/>
        <w:spacing w:before="120" w:line="320" w:lineRule="atLeast"/>
        <w:ind w:left="0" w:firstLine="420"/>
        <w:textAlignment w:val="auto"/>
        <w:rPr>
          <w:color w:val="auto"/>
          <w:szCs w:val="21"/>
        </w:rPr>
      </w:pPr>
      <w:r>
        <w:rPr>
          <w:color w:val="auto"/>
          <w:szCs w:val="21"/>
        </w:rPr>
        <w:t>供应商在投标过程中弄虚作假，提供虚假材料的；</w:t>
      </w:r>
    </w:p>
    <w:p w14:paraId="2BAAA35A">
      <w:pPr>
        <w:keepNext w:val="0"/>
        <w:keepLines w:val="0"/>
        <w:pageBreakBefore w:val="0"/>
        <w:widowControl w:val="0"/>
        <w:numPr>
          <w:ilvl w:val="0"/>
          <w:numId w:val="5"/>
        </w:numPr>
        <w:kinsoku/>
        <w:wordWrap/>
        <w:overflowPunct/>
        <w:topLinePunct w:val="0"/>
        <w:autoSpaceDE/>
        <w:autoSpaceDN/>
        <w:bidi w:val="0"/>
        <w:adjustRightInd/>
        <w:snapToGrid/>
        <w:spacing w:before="120" w:line="320" w:lineRule="atLeast"/>
        <w:ind w:left="0" w:firstLine="420"/>
        <w:textAlignment w:val="auto"/>
        <w:rPr>
          <w:color w:val="auto"/>
          <w:szCs w:val="21"/>
        </w:rPr>
      </w:pPr>
      <w:r>
        <w:rPr>
          <w:color w:val="auto"/>
          <w:szCs w:val="21"/>
        </w:rPr>
        <w:t>中标人无正当理由不与采购人签订合同的；</w:t>
      </w:r>
    </w:p>
    <w:p w14:paraId="4C497362">
      <w:pPr>
        <w:keepNext w:val="0"/>
        <w:keepLines w:val="0"/>
        <w:pageBreakBefore w:val="0"/>
        <w:widowControl w:val="0"/>
        <w:numPr>
          <w:ilvl w:val="0"/>
          <w:numId w:val="5"/>
        </w:numPr>
        <w:kinsoku/>
        <w:wordWrap/>
        <w:overflowPunct/>
        <w:topLinePunct w:val="0"/>
        <w:autoSpaceDE/>
        <w:autoSpaceDN/>
        <w:bidi w:val="0"/>
        <w:adjustRightInd/>
        <w:snapToGrid/>
        <w:spacing w:before="120" w:line="320" w:lineRule="atLeast"/>
        <w:ind w:left="0" w:firstLine="420"/>
        <w:textAlignment w:val="auto"/>
        <w:rPr>
          <w:color w:val="auto"/>
          <w:szCs w:val="21"/>
        </w:rPr>
      </w:pPr>
      <w:r>
        <w:rPr>
          <w:color w:val="auto"/>
          <w:szCs w:val="21"/>
        </w:rPr>
        <w:t>将中标项目转让给他人或者在投标文件中未说明且未经采购人同意，将中标项目分包给他人的；</w:t>
      </w:r>
    </w:p>
    <w:p w14:paraId="38DC5F94">
      <w:pPr>
        <w:keepNext w:val="0"/>
        <w:keepLines w:val="0"/>
        <w:pageBreakBefore w:val="0"/>
        <w:widowControl w:val="0"/>
        <w:numPr>
          <w:ilvl w:val="0"/>
          <w:numId w:val="5"/>
        </w:numPr>
        <w:kinsoku/>
        <w:wordWrap/>
        <w:overflowPunct/>
        <w:topLinePunct w:val="0"/>
        <w:autoSpaceDE/>
        <w:autoSpaceDN/>
        <w:bidi w:val="0"/>
        <w:adjustRightInd/>
        <w:snapToGrid/>
        <w:spacing w:before="120" w:line="320" w:lineRule="atLeast"/>
        <w:ind w:left="0" w:firstLine="420"/>
        <w:textAlignment w:val="auto"/>
        <w:rPr>
          <w:color w:val="auto"/>
          <w:szCs w:val="21"/>
        </w:rPr>
      </w:pPr>
      <w:r>
        <w:rPr>
          <w:color w:val="auto"/>
          <w:szCs w:val="21"/>
        </w:rPr>
        <w:t>拒绝履行合同义务的；</w:t>
      </w:r>
    </w:p>
    <w:p w14:paraId="794B7698">
      <w:pPr>
        <w:keepNext w:val="0"/>
        <w:keepLines w:val="0"/>
        <w:pageBreakBefore w:val="0"/>
        <w:widowControl w:val="0"/>
        <w:numPr>
          <w:ilvl w:val="0"/>
          <w:numId w:val="5"/>
        </w:numPr>
        <w:kinsoku/>
        <w:wordWrap/>
        <w:overflowPunct/>
        <w:topLinePunct w:val="0"/>
        <w:autoSpaceDE/>
        <w:autoSpaceDN/>
        <w:bidi w:val="0"/>
        <w:adjustRightInd/>
        <w:snapToGrid/>
        <w:spacing w:before="120" w:line="320" w:lineRule="atLeast"/>
        <w:ind w:left="0" w:firstLine="420"/>
        <w:textAlignment w:val="auto"/>
        <w:rPr>
          <w:color w:val="auto"/>
          <w:szCs w:val="21"/>
        </w:rPr>
      </w:pPr>
      <w:r>
        <w:rPr>
          <w:color w:val="auto"/>
          <w:szCs w:val="21"/>
        </w:rPr>
        <w:t>其他严重扰乱招投标程序的</w:t>
      </w:r>
      <w:r>
        <w:rPr>
          <w:rFonts w:hint="eastAsia"/>
          <w:color w:val="auto"/>
          <w:szCs w:val="21"/>
        </w:rPr>
        <w:t>。</w:t>
      </w:r>
    </w:p>
    <w:p w14:paraId="5F11B082">
      <w:pPr>
        <w:spacing w:before="120" w:line="320" w:lineRule="atLeast"/>
        <w:ind w:firstLine="422" w:firstLineChars="200"/>
        <w:outlineLvl w:val="2"/>
        <w:rPr>
          <w:b/>
          <w:bCs/>
          <w:color w:val="auto"/>
          <w:kern w:val="0"/>
          <w:szCs w:val="21"/>
        </w:rPr>
      </w:pPr>
      <w:bookmarkStart w:id="67" w:name="_Toc254970542"/>
      <w:bookmarkStart w:id="68" w:name="_Toc254970683"/>
      <w:r>
        <w:rPr>
          <w:b/>
          <w:bCs/>
          <w:color w:val="auto"/>
          <w:kern w:val="0"/>
          <w:szCs w:val="21"/>
        </w:rPr>
        <w:t>3.6投标文件的</w:t>
      </w:r>
      <w:bookmarkEnd w:id="67"/>
      <w:bookmarkEnd w:id="68"/>
      <w:r>
        <w:rPr>
          <w:b/>
          <w:bCs/>
          <w:color w:val="auto"/>
          <w:kern w:val="0"/>
          <w:szCs w:val="21"/>
        </w:rPr>
        <w:t>编制要求</w:t>
      </w:r>
    </w:p>
    <w:p w14:paraId="44AD5ED7">
      <w:pPr>
        <w:spacing w:before="120" w:line="320" w:lineRule="atLeast"/>
        <w:ind w:firstLine="420" w:firstLineChars="200"/>
        <w:rPr>
          <w:b/>
          <w:bCs/>
          <w:color w:val="auto"/>
          <w:kern w:val="0"/>
          <w:szCs w:val="21"/>
        </w:rPr>
      </w:pPr>
      <w:r>
        <w:rPr>
          <w:rFonts w:hint="eastAsia"/>
          <w:color w:val="auto"/>
          <w:kern w:val="0"/>
          <w:szCs w:val="21"/>
        </w:rPr>
        <w:t>3</w:t>
      </w:r>
      <w:r>
        <w:rPr>
          <w:color w:val="auto"/>
          <w:kern w:val="0"/>
          <w:szCs w:val="21"/>
        </w:rPr>
        <w:t>.6.1</w:t>
      </w:r>
      <w:r>
        <w:rPr>
          <w:rFonts w:hint="eastAsia"/>
          <w:color w:val="auto"/>
          <w:szCs w:val="21"/>
        </w:rPr>
        <w:t>供应商应先安装</w:t>
      </w:r>
      <w:bookmarkStart w:id="69" w:name="_Hlk160184301"/>
      <w:r>
        <w:rPr>
          <w:rFonts w:hint="eastAsia"/>
          <w:color w:val="auto"/>
          <w:szCs w:val="21"/>
        </w:rPr>
        <w:t>广西政府采购云平台新版客户端</w:t>
      </w:r>
      <w:bookmarkEnd w:id="69"/>
      <w:r>
        <w:rPr>
          <w:rFonts w:hint="eastAsia"/>
          <w:color w:val="auto"/>
          <w:szCs w:val="21"/>
        </w:rPr>
        <w:t>，通过账号密码或C</w:t>
      </w:r>
      <w:r>
        <w:rPr>
          <w:color w:val="auto"/>
          <w:szCs w:val="21"/>
        </w:rPr>
        <w:t>A</w:t>
      </w:r>
      <w:r>
        <w:rPr>
          <w:rFonts w:hint="eastAsia"/>
          <w:color w:val="auto"/>
          <w:szCs w:val="21"/>
        </w:rPr>
        <w:t>登录客户端制作投标文件。</w:t>
      </w:r>
    </w:p>
    <w:p w14:paraId="4A1C425C">
      <w:pPr>
        <w:spacing w:before="120" w:line="320" w:lineRule="atLeast"/>
        <w:ind w:firstLine="420" w:firstLineChars="200"/>
        <w:rPr>
          <w:color w:val="auto"/>
          <w:szCs w:val="21"/>
        </w:rPr>
      </w:pPr>
      <w:bookmarkStart w:id="70" w:name="_Hlk132791136"/>
      <w:r>
        <w:rPr>
          <w:color w:val="auto"/>
          <w:szCs w:val="21"/>
        </w:rPr>
        <w:t>3.6.2供应商应按本招标文件规定的格式和顺序编制投标文件</w:t>
      </w:r>
      <w:r>
        <w:rPr>
          <w:rFonts w:hint="eastAsia"/>
          <w:color w:val="auto"/>
          <w:szCs w:val="21"/>
        </w:rPr>
        <w:t>并进行关联定位</w:t>
      </w:r>
      <w:r>
        <w:rPr>
          <w:color w:val="auto"/>
          <w:szCs w:val="21"/>
        </w:rPr>
        <w:t>，</w:t>
      </w:r>
      <w:r>
        <w:rPr>
          <w:rFonts w:hint="eastAsia"/>
          <w:color w:val="auto"/>
          <w:szCs w:val="21"/>
        </w:rPr>
        <w:t>以便评审委员会在评审时，点击评分项可直接定位到该评分项内容。如对招标文件的某项要求，供应商的投标文件未能关联定位提供相应的内容与其对应，则评审委员会在评审时如做出对供应商不利的评审由供应商自行承担。投标文件如内容不完整、编排混乱导致投标文件被误读、漏读，或者在按招标文件规定的部位查找不到相关内容的，由供应商自行承担。</w:t>
      </w:r>
    </w:p>
    <w:p w14:paraId="392A9E9C">
      <w:pPr>
        <w:spacing w:before="120" w:line="320" w:lineRule="atLeast"/>
        <w:ind w:firstLine="420" w:firstLineChars="200"/>
        <w:rPr>
          <w:color w:val="auto"/>
          <w:szCs w:val="21"/>
        </w:rPr>
      </w:pPr>
      <w:bookmarkStart w:id="71" w:name="_Hlk93046800"/>
      <w:r>
        <w:rPr>
          <w:color w:val="auto"/>
          <w:szCs w:val="21"/>
        </w:rPr>
        <w:t xml:space="preserve">3.6.3 </w:t>
      </w:r>
      <w:r>
        <w:rPr>
          <w:rFonts w:hint="eastAsia"/>
          <w:color w:val="auto"/>
          <w:szCs w:val="21"/>
        </w:rPr>
        <w:t>投标人的投标文件未按照招标文件要求签署、盖章的，</w:t>
      </w:r>
      <w:r>
        <w:rPr>
          <w:rFonts w:hint="eastAsia"/>
          <w:b/>
          <w:bCs/>
          <w:color w:val="auto"/>
          <w:szCs w:val="21"/>
        </w:rPr>
        <w:t>其投标无效</w:t>
      </w:r>
      <w:r>
        <w:rPr>
          <w:rFonts w:hint="eastAsia"/>
          <w:color w:val="auto"/>
          <w:szCs w:val="21"/>
        </w:rPr>
        <w:t>。</w:t>
      </w:r>
    </w:p>
    <w:bookmarkEnd w:id="70"/>
    <w:bookmarkEnd w:id="71"/>
    <w:p w14:paraId="3313A2AF">
      <w:pPr>
        <w:spacing w:before="120" w:line="320" w:lineRule="atLeast"/>
        <w:ind w:firstLine="420" w:firstLineChars="200"/>
        <w:rPr>
          <w:color w:val="auto"/>
          <w:szCs w:val="21"/>
        </w:rPr>
      </w:pPr>
      <w:r>
        <w:rPr>
          <w:color w:val="auto"/>
          <w:szCs w:val="21"/>
        </w:rPr>
        <w:t>3.6.4</w:t>
      </w:r>
      <w:r>
        <w:rPr>
          <w:rFonts w:hint="eastAsia"/>
          <w:color w:val="auto"/>
          <w:szCs w:val="21"/>
        </w:rPr>
        <w:t>为确保网上操作合法、有效和安全，供应商应当在投标截止时间前完成在广西政府采购云平台的身份认证，确保在电子投标过程中能够对相关数据电文进行加密和使用电子签名。</w:t>
      </w:r>
    </w:p>
    <w:p w14:paraId="1354EF84">
      <w:pPr>
        <w:spacing w:before="120" w:line="320" w:lineRule="atLeast"/>
        <w:ind w:firstLine="420" w:firstLineChars="200"/>
        <w:rPr>
          <w:b/>
          <w:bCs/>
          <w:color w:val="auto"/>
          <w:szCs w:val="21"/>
        </w:rPr>
      </w:pPr>
      <w:r>
        <w:rPr>
          <w:rFonts w:hint="eastAsia"/>
          <w:color w:val="auto"/>
          <w:szCs w:val="21"/>
        </w:rPr>
        <w:t>3</w:t>
      </w:r>
      <w:r>
        <w:rPr>
          <w:color w:val="auto"/>
          <w:szCs w:val="21"/>
        </w:rPr>
        <w:t>.6.5</w:t>
      </w:r>
      <w:r>
        <w:rPr>
          <w:rFonts w:hint="eastAsia"/>
          <w:color w:val="auto"/>
          <w:szCs w:val="21"/>
        </w:rPr>
        <w:t>投标文件中标注的供应商名称应与主体资格证明（如营业执照、事业单位法人证书、执业许可证、个体工商户营业执照、自然人身份证等）和公章/电子签章一致，</w:t>
      </w:r>
      <w:r>
        <w:rPr>
          <w:rFonts w:hint="eastAsia"/>
          <w:b/>
          <w:bCs/>
          <w:color w:val="auto"/>
          <w:szCs w:val="21"/>
        </w:rPr>
        <w:t>否则作无效投标处理。</w:t>
      </w:r>
    </w:p>
    <w:p w14:paraId="3C75498F">
      <w:pPr>
        <w:spacing w:before="120" w:line="320" w:lineRule="atLeast"/>
        <w:ind w:firstLine="422" w:firstLineChars="200"/>
        <w:outlineLvl w:val="2"/>
        <w:rPr>
          <w:b/>
          <w:bCs/>
          <w:color w:val="auto"/>
          <w:kern w:val="0"/>
          <w:szCs w:val="21"/>
        </w:rPr>
      </w:pPr>
      <w:r>
        <w:rPr>
          <w:b/>
          <w:bCs/>
          <w:color w:val="auto"/>
          <w:kern w:val="0"/>
          <w:szCs w:val="21"/>
        </w:rPr>
        <w:t>3.7投标文件的递交、修改和撤回</w:t>
      </w:r>
    </w:p>
    <w:p w14:paraId="7A93CC09">
      <w:pPr>
        <w:spacing w:before="120" w:line="320" w:lineRule="atLeast"/>
        <w:ind w:firstLine="420" w:firstLineChars="200"/>
        <w:rPr>
          <w:color w:val="auto"/>
          <w:szCs w:val="21"/>
        </w:rPr>
      </w:pPr>
      <w:r>
        <w:rPr>
          <w:color w:val="auto"/>
          <w:szCs w:val="21"/>
        </w:rPr>
        <w:t>3.7.1</w:t>
      </w:r>
      <w:r>
        <w:rPr>
          <w:rFonts w:hint="eastAsia"/>
          <w:color w:val="auto"/>
          <w:szCs w:val="21"/>
        </w:rPr>
        <w:t>供应商必须在供应商须知前附表规定的投标文件开标时间和投标地点提交电子版投标文件。电子投标文件应在制作完成后，在投标截止时间前通过有效数字证书（CA认证锁）进行电子签章、加密，然后通过网络将加密的电子投标文件递交至广西政府采购云平台。</w:t>
      </w:r>
    </w:p>
    <w:p w14:paraId="1307745A">
      <w:pPr>
        <w:spacing w:before="120" w:line="320" w:lineRule="atLeast"/>
        <w:ind w:firstLine="420" w:firstLineChars="200"/>
        <w:rPr>
          <w:color w:val="auto"/>
          <w:szCs w:val="21"/>
        </w:rPr>
      </w:pPr>
      <w:r>
        <w:rPr>
          <w:rFonts w:hint="eastAsia"/>
          <w:color w:val="auto"/>
          <w:szCs w:val="21"/>
        </w:rPr>
        <w:t>3</w:t>
      </w:r>
      <w:r>
        <w:rPr>
          <w:color w:val="auto"/>
          <w:szCs w:val="21"/>
        </w:rPr>
        <w:t>.7.2</w:t>
      </w:r>
      <w:r>
        <w:rPr>
          <w:rFonts w:hint="eastAsia"/>
          <w:color w:val="auto"/>
          <w:szCs w:val="21"/>
        </w:rPr>
        <w:t xml:space="preserve">未在规定时间内提交或者未按照招标文件要求签章、加密的电子投标文件，广西政府采购云平台将拒收。 </w:t>
      </w:r>
    </w:p>
    <w:p w14:paraId="20075692">
      <w:pPr>
        <w:spacing w:before="120" w:line="320" w:lineRule="atLeast"/>
        <w:ind w:left="2" w:leftChars="1" w:firstLine="420" w:firstLineChars="200"/>
        <w:rPr>
          <w:color w:val="auto"/>
          <w:szCs w:val="21"/>
        </w:rPr>
      </w:pPr>
      <w:bookmarkStart w:id="72" w:name="_Toc254970544"/>
      <w:bookmarkStart w:id="73" w:name="_Toc254970685"/>
      <w:r>
        <w:rPr>
          <w:rFonts w:hint="eastAsia"/>
          <w:color w:val="auto"/>
          <w:szCs w:val="21"/>
        </w:rPr>
        <w:t>3</w:t>
      </w:r>
      <w:r>
        <w:rPr>
          <w:color w:val="auto"/>
          <w:szCs w:val="21"/>
        </w:rPr>
        <w:t>.7.3</w:t>
      </w:r>
      <w:r>
        <w:rPr>
          <w:rFonts w:hint="eastAsia"/>
          <w:color w:val="auto"/>
          <w:szCs w:val="21"/>
        </w:rPr>
        <w:t>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w:t>
      </w:r>
    </w:p>
    <w:p w14:paraId="5490E984">
      <w:pPr>
        <w:spacing w:before="120" w:line="320" w:lineRule="atLeast"/>
        <w:ind w:left="2" w:leftChars="1" w:firstLine="420" w:firstLineChars="200"/>
        <w:rPr>
          <w:color w:val="auto"/>
          <w:szCs w:val="21"/>
        </w:rPr>
      </w:pPr>
      <w:r>
        <w:rPr>
          <w:color w:val="auto"/>
          <w:szCs w:val="21"/>
        </w:rPr>
        <w:t>3.7.4</w:t>
      </w:r>
      <w:r>
        <w:rPr>
          <w:rFonts w:hint="eastAsia"/>
          <w:color w:val="auto"/>
          <w:szCs w:val="21"/>
        </w:rPr>
        <w:t>在投标截止时间前，除供应商补充、修改或者撤回投标文件外，任何单位和个人不得解密或提取投标文件。</w:t>
      </w:r>
    </w:p>
    <w:p w14:paraId="565B5BEC">
      <w:pPr>
        <w:spacing w:before="120" w:line="320" w:lineRule="atLeast"/>
        <w:ind w:left="2" w:leftChars="1" w:firstLine="420" w:firstLineChars="200"/>
        <w:rPr>
          <w:color w:val="auto"/>
          <w:szCs w:val="21"/>
        </w:rPr>
      </w:pPr>
      <w:r>
        <w:rPr>
          <w:color w:val="auto"/>
          <w:szCs w:val="21"/>
        </w:rPr>
        <w:t>3.7.5</w:t>
      </w:r>
      <w:r>
        <w:rPr>
          <w:rFonts w:hint="eastAsia"/>
          <w:color w:val="auto"/>
          <w:szCs w:val="21"/>
        </w:rPr>
        <w:t>在投标截止时间止提交电子版投标文件的供应商不足3家时，电子版投标文件由代理机构在广西政府采购云平台操作退回，除此之外采购人和采购代理机构对已提交的投标文件概不退回。</w:t>
      </w:r>
    </w:p>
    <w:p w14:paraId="09E246F4">
      <w:pPr>
        <w:spacing w:before="120" w:line="320" w:lineRule="atLeast"/>
        <w:ind w:left="2" w:leftChars="1" w:firstLine="420" w:firstLineChars="200"/>
        <w:rPr>
          <w:color w:val="auto"/>
          <w:szCs w:val="21"/>
        </w:rPr>
      </w:pPr>
      <w:bookmarkStart w:id="74" w:name="_Hlk93046827"/>
      <w:r>
        <w:rPr>
          <w:rFonts w:hint="eastAsia"/>
          <w:color w:val="auto"/>
          <w:szCs w:val="21"/>
        </w:rPr>
        <w:t>3</w:t>
      </w:r>
      <w:r>
        <w:rPr>
          <w:color w:val="auto"/>
          <w:szCs w:val="21"/>
        </w:rPr>
        <w:t>.7.6</w:t>
      </w:r>
      <w:r>
        <w:rPr>
          <w:rFonts w:hint="eastAsia"/>
          <w:color w:val="auto"/>
          <w:szCs w:val="21"/>
        </w:rPr>
        <w:t>招标文件未允许同一供应商提交两个或以上不同的投标文件，但存在</w:t>
      </w:r>
      <w:r>
        <w:rPr>
          <w:rFonts w:hint="eastAsia"/>
          <w:color w:val="auto"/>
        </w:rPr>
        <w:t>同</w:t>
      </w:r>
      <w:r>
        <w:rPr>
          <w:rFonts w:hint="eastAsia"/>
          <w:color w:val="auto"/>
          <w:szCs w:val="21"/>
        </w:rPr>
        <w:t>一供应商提交两个或以上不同的投标文件的，</w:t>
      </w:r>
      <w:r>
        <w:rPr>
          <w:rFonts w:hint="eastAsia"/>
          <w:b/>
          <w:bCs/>
          <w:color w:val="auto"/>
          <w:szCs w:val="21"/>
        </w:rPr>
        <w:t>其投标无效。</w:t>
      </w:r>
    </w:p>
    <w:bookmarkEnd w:id="74"/>
    <w:p w14:paraId="48C8A66D">
      <w:pPr>
        <w:spacing w:before="120" w:line="320" w:lineRule="atLeast"/>
        <w:ind w:left="2" w:leftChars="1" w:firstLine="422" w:firstLineChars="200"/>
        <w:outlineLvl w:val="1"/>
        <w:rPr>
          <w:b/>
          <w:bCs/>
          <w:color w:val="auto"/>
          <w:kern w:val="0"/>
          <w:szCs w:val="21"/>
        </w:rPr>
      </w:pPr>
      <w:r>
        <w:rPr>
          <w:b/>
          <w:bCs/>
          <w:color w:val="auto"/>
          <w:kern w:val="0"/>
          <w:szCs w:val="21"/>
        </w:rPr>
        <w:t>4．开标</w:t>
      </w:r>
      <w:bookmarkEnd w:id="72"/>
      <w:bookmarkEnd w:id="73"/>
    </w:p>
    <w:p w14:paraId="54A58EBF">
      <w:pPr>
        <w:spacing w:before="120" w:line="320" w:lineRule="atLeast"/>
        <w:ind w:firstLine="422" w:firstLineChars="200"/>
        <w:outlineLvl w:val="2"/>
        <w:rPr>
          <w:b/>
          <w:bCs/>
          <w:color w:val="auto"/>
          <w:kern w:val="0"/>
          <w:szCs w:val="21"/>
        </w:rPr>
      </w:pPr>
      <w:r>
        <w:rPr>
          <w:b/>
          <w:bCs/>
          <w:color w:val="auto"/>
          <w:kern w:val="0"/>
          <w:szCs w:val="21"/>
        </w:rPr>
        <w:t>4.1开标准备</w:t>
      </w:r>
    </w:p>
    <w:p w14:paraId="6E62057C">
      <w:pPr>
        <w:spacing w:before="120" w:line="276" w:lineRule="auto"/>
        <w:ind w:firstLine="420" w:firstLineChars="200"/>
        <w:rPr>
          <w:color w:val="auto"/>
          <w:szCs w:val="21"/>
        </w:rPr>
      </w:pPr>
      <w:r>
        <w:rPr>
          <w:color w:val="auto"/>
          <w:szCs w:val="21"/>
        </w:rPr>
        <w:t>本项目投标截止时间及地点见“供应商须知前附表”规定。</w:t>
      </w:r>
    </w:p>
    <w:p w14:paraId="4179468E">
      <w:pPr>
        <w:autoSpaceDE w:val="0"/>
        <w:autoSpaceDN w:val="0"/>
        <w:adjustRightInd w:val="0"/>
        <w:spacing w:line="276" w:lineRule="auto"/>
        <w:ind w:firstLine="420" w:firstLineChars="200"/>
        <w:rPr>
          <w:color w:val="auto"/>
          <w:szCs w:val="21"/>
        </w:rPr>
      </w:pPr>
      <w:r>
        <w:rPr>
          <w:rFonts w:hint="eastAsia"/>
          <w:color w:val="auto"/>
          <w:szCs w:val="21"/>
        </w:rPr>
        <w:t>全流程电子化项目没有现场递交投标文件及现场开标环节。采购代理机构将按照招标文件规定的时间通过广西政府采购云平台组织线上开标活动、开启投标文件，所有供应商均应当准时在线参加。供应商</w:t>
      </w:r>
      <w:r>
        <w:rPr>
          <w:color w:val="auto"/>
          <w:szCs w:val="21"/>
        </w:rPr>
        <w:t>如不</w:t>
      </w:r>
      <w:r>
        <w:rPr>
          <w:rFonts w:hint="eastAsia"/>
          <w:color w:val="auto"/>
          <w:szCs w:val="21"/>
        </w:rPr>
        <w:t>参加</w:t>
      </w:r>
      <w:r>
        <w:rPr>
          <w:color w:val="auto"/>
          <w:szCs w:val="21"/>
        </w:rPr>
        <w:t>开标大会的，</w:t>
      </w:r>
      <w:r>
        <w:rPr>
          <w:rFonts w:hint="eastAsia"/>
          <w:color w:val="auto"/>
          <w:szCs w:val="21"/>
        </w:rPr>
        <w:t>视同认可开标结果，</w:t>
      </w:r>
      <w:r>
        <w:rPr>
          <w:color w:val="auto"/>
          <w:szCs w:val="21"/>
        </w:rPr>
        <w:t>事后不得对采购相关人员、开标过程和开标结果提出异议</w:t>
      </w:r>
      <w:r>
        <w:rPr>
          <w:rFonts w:hint="eastAsia"/>
          <w:color w:val="auto"/>
          <w:szCs w:val="21"/>
        </w:rPr>
        <w:t>，同时供应商因未在线参加开标而导致投标文件无法按时解密等一切后果由供应商自己承担。</w:t>
      </w:r>
    </w:p>
    <w:p w14:paraId="64948DA0">
      <w:pPr>
        <w:spacing w:before="120" w:line="276" w:lineRule="auto"/>
        <w:ind w:firstLine="420" w:firstLineChars="200"/>
        <w:rPr>
          <w:color w:val="auto"/>
          <w:szCs w:val="21"/>
        </w:rPr>
      </w:pPr>
      <w:r>
        <w:rPr>
          <w:rFonts w:hint="eastAsia"/>
          <w:color w:val="auto"/>
          <w:szCs w:val="21"/>
        </w:rPr>
        <w:t xml:space="preserve">如供应商成功解密投标文件，但未在广西政府采购云平台电子开标大厅参加开标的，视同认可开标过程和结果，由此产生的后果由供应商自行负责。 </w:t>
      </w:r>
    </w:p>
    <w:p w14:paraId="320A1D60">
      <w:pPr>
        <w:spacing w:before="120" w:line="320" w:lineRule="atLeast"/>
        <w:ind w:firstLine="422" w:firstLineChars="200"/>
        <w:outlineLvl w:val="2"/>
        <w:rPr>
          <w:b/>
          <w:bCs/>
          <w:color w:val="auto"/>
          <w:kern w:val="0"/>
          <w:szCs w:val="21"/>
        </w:rPr>
      </w:pPr>
      <w:r>
        <w:rPr>
          <w:b/>
          <w:bCs/>
          <w:color w:val="auto"/>
          <w:kern w:val="0"/>
          <w:szCs w:val="21"/>
        </w:rPr>
        <w:t>4.2开标程序</w:t>
      </w:r>
    </w:p>
    <w:p w14:paraId="4915B514">
      <w:pPr>
        <w:spacing w:before="120" w:line="320" w:lineRule="atLeast"/>
        <w:ind w:firstLine="420" w:firstLineChars="200"/>
        <w:rPr>
          <w:color w:val="auto"/>
          <w:szCs w:val="21"/>
        </w:rPr>
      </w:pPr>
      <w:r>
        <w:rPr>
          <w:color w:val="auto"/>
          <w:szCs w:val="21"/>
        </w:rPr>
        <w:t>4.2.1</w:t>
      </w:r>
      <w:r>
        <w:rPr>
          <w:rFonts w:hint="eastAsia"/>
          <w:color w:val="auto"/>
          <w:szCs w:val="21"/>
        </w:rPr>
        <w:t>供应商登录广西政府采购云平台进入开标大厅签到。</w:t>
      </w:r>
    </w:p>
    <w:p w14:paraId="60D0ABDC">
      <w:pPr>
        <w:spacing w:before="120" w:line="320" w:lineRule="atLeast"/>
        <w:ind w:firstLine="420" w:firstLineChars="200"/>
        <w:rPr>
          <w:color w:val="auto"/>
          <w:szCs w:val="21"/>
        </w:rPr>
      </w:pPr>
      <w:r>
        <w:rPr>
          <w:rFonts w:hint="eastAsia"/>
          <w:color w:val="auto"/>
          <w:szCs w:val="21"/>
        </w:rPr>
        <w:t>4</w:t>
      </w:r>
      <w:r>
        <w:rPr>
          <w:color w:val="auto"/>
          <w:szCs w:val="21"/>
        </w:rPr>
        <w:t>.2.2</w:t>
      </w:r>
      <w:r>
        <w:rPr>
          <w:rFonts w:hint="eastAsia"/>
          <w:color w:val="auto"/>
          <w:szCs w:val="21"/>
        </w:rPr>
        <w:t>解密电子投标文件。广西政府采购云平台按开标时间自动提取所有投标文件。采购代理机构在广西政府采购云平台向各供应商发出电子加密投标文件开始解密通知，由供应商平台设置时间内自行进行投标文件解密。供应商须使用加密时所用的CA锁准时登录到广西政府采购云平台电子开标大厅签到并对电子投标文件解密。开标后供应商未及时进行解密的，代理机构可通知供应商。</w:t>
      </w:r>
      <w:r>
        <w:rPr>
          <w:rFonts w:hint="eastAsia"/>
          <w:color w:val="auto"/>
        </w:rPr>
        <w:t>通知后供应商仍未在上述规定时间内解密投标文件</w:t>
      </w:r>
      <w:r>
        <w:rPr>
          <w:rFonts w:hint="eastAsia"/>
          <w:color w:val="auto"/>
          <w:szCs w:val="21"/>
        </w:rPr>
        <w:t>，或者供应商没预留联系方式或预留联系方式无效导致代理机构无法联系到供应商进行解密的，均视为无效投标。</w:t>
      </w:r>
    </w:p>
    <w:p w14:paraId="405E10D5">
      <w:pPr>
        <w:spacing w:before="120" w:line="320" w:lineRule="atLeast"/>
        <w:ind w:firstLine="420" w:firstLineChars="200"/>
        <w:rPr>
          <w:color w:val="auto"/>
          <w:szCs w:val="21"/>
        </w:rPr>
      </w:pPr>
      <w:r>
        <w:rPr>
          <w:rFonts w:hint="eastAsia"/>
          <w:color w:val="auto"/>
          <w:szCs w:val="21"/>
        </w:rPr>
        <w:t>4</w:t>
      </w:r>
      <w:r>
        <w:rPr>
          <w:color w:val="auto"/>
          <w:szCs w:val="21"/>
        </w:rPr>
        <w:t>.2.3</w:t>
      </w:r>
      <w:r>
        <w:rPr>
          <w:rFonts w:hint="eastAsia"/>
          <w:color w:val="auto"/>
          <w:szCs w:val="21"/>
        </w:rPr>
        <w:t>广西政府采购云平台设置有备份投标文件功能。备份投标文件是指平台设置为接受备份投标文件时，如出现供应商上传的投标文件存在问题或其他供应商原因引起解密异常时，供应商可以在规定时间内将备份投标文件通过邮箱发送至采购代理机构，由代理机构上传备份投标文件后自动解密从而避免被视为无效响应。是否接受备份投标文件详见供应商须知前附表，如接受备份文件，供应商未在规定时间内发送备份投标文件的将视为无效响应。</w:t>
      </w:r>
    </w:p>
    <w:p w14:paraId="73B88328">
      <w:pPr>
        <w:spacing w:before="120" w:line="320" w:lineRule="atLeast"/>
        <w:ind w:firstLine="420" w:firstLineChars="200"/>
        <w:rPr>
          <w:color w:val="auto"/>
          <w:szCs w:val="21"/>
        </w:rPr>
      </w:pPr>
      <w:r>
        <w:rPr>
          <w:rFonts w:hint="eastAsia"/>
          <w:color w:val="auto"/>
          <w:szCs w:val="21"/>
        </w:rPr>
        <w:t>4</w:t>
      </w:r>
      <w:r>
        <w:rPr>
          <w:color w:val="auto"/>
          <w:szCs w:val="21"/>
        </w:rPr>
        <w:t>.2.4</w:t>
      </w:r>
      <w:r>
        <w:rPr>
          <w:rFonts w:hint="eastAsia"/>
          <w:color w:val="auto"/>
          <w:szCs w:val="21"/>
        </w:rPr>
        <w:t>解密异常情况处理：详见本章</w:t>
      </w:r>
      <w:r>
        <w:rPr>
          <w:color w:val="auto"/>
          <w:szCs w:val="21"/>
        </w:rPr>
        <w:t>9.2</w:t>
      </w:r>
      <w:r>
        <w:rPr>
          <w:rFonts w:hint="eastAsia"/>
          <w:color w:val="auto"/>
          <w:szCs w:val="21"/>
        </w:rPr>
        <w:t>电子交易活动的中止。</w:t>
      </w:r>
    </w:p>
    <w:p w14:paraId="088C9630">
      <w:pPr>
        <w:spacing w:before="120" w:line="320" w:lineRule="atLeast"/>
        <w:ind w:firstLine="420" w:firstLineChars="200"/>
        <w:rPr>
          <w:color w:val="auto"/>
          <w:szCs w:val="21"/>
        </w:rPr>
      </w:pPr>
      <w:r>
        <w:rPr>
          <w:rFonts w:hint="eastAsia"/>
          <w:color w:val="auto"/>
          <w:szCs w:val="21"/>
        </w:rPr>
        <w:t>4</w:t>
      </w:r>
      <w:r>
        <w:rPr>
          <w:color w:val="auto"/>
          <w:szCs w:val="21"/>
        </w:rPr>
        <w:t>.2.5</w:t>
      </w:r>
      <w:r>
        <w:rPr>
          <w:rFonts w:hint="eastAsia"/>
          <w:color w:val="auto"/>
          <w:szCs w:val="21"/>
        </w:rPr>
        <w:t>供应商对报价进行确认。</w:t>
      </w:r>
    </w:p>
    <w:p w14:paraId="146A5E45">
      <w:pPr>
        <w:spacing w:before="120" w:line="320" w:lineRule="atLeast"/>
        <w:ind w:firstLine="420" w:firstLineChars="200"/>
        <w:rPr>
          <w:color w:val="auto"/>
          <w:szCs w:val="21"/>
        </w:rPr>
      </w:pPr>
      <w:r>
        <w:rPr>
          <w:color w:val="auto"/>
          <w:szCs w:val="21"/>
        </w:rPr>
        <w:t>4.2.6开标结束。</w:t>
      </w:r>
    </w:p>
    <w:p w14:paraId="4FAF44B2">
      <w:pPr>
        <w:pStyle w:val="26"/>
        <w:rPr>
          <w:color w:val="auto"/>
        </w:rPr>
      </w:pPr>
      <w:r>
        <w:rPr>
          <w:rFonts w:hint="eastAsia"/>
          <w:b/>
          <w:bCs/>
          <w:color w:val="auto"/>
        </w:rPr>
        <w:t>特别说明：</w:t>
      </w:r>
      <w:r>
        <w:rPr>
          <w:rFonts w:hint="eastAsia"/>
          <w:color w:val="auto"/>
        </w:rPr>
        <w:t>如遇广西政府采购云平台电子化开标或评审程序调整的，按调整后的程序执行。</w:t>
      </w:r>
    </w:p>
    <w:p w14:paraId="11EB5362">
      <w:pPr>
        <w:spacing w:before="120" w:line="320" w:lineRule="atLeast"/>
        <w:ind w:firstLine="422" w:firstLineChars="200"/>
        <w:outlineLvl w:val="2"/>
        <w:rPr>
          <w:b/>
          <w:bCs/>
          <w:color w:val="auto"/>
          <w:kern w:val="0"/>
          <w:szCs w:val="21"/>
        </w:rPr>
      </w:pPr>
      <w:r>
        <w:rPr>
          <w:b/>
          <w:bCs/>
          <w:color w:val="auto"/>
          <w:kern w:val="0"/>
          <w:szCs w:val="21"/>
        </w:rPr>
        <w:t>4.3演示</w:t>
      </w:r>
    </w:p>
    <w:p w14:paraId="0BEA8D9A">
      <w:pPr>
        <w:spacing w:before="120" w:line="320" w:lineRule="atLeast"/>
        <w:ind w:firstLine="420" w:firstLineChars="200"/>
        <w:rPr>
          <w:color w:val="auto"/>
          <w:szCs w:val="21"/>
        </w:rPr>
      </w:pPr>
      <w:r>
        <w:rPr>
          <w:color w:val="auto"/>
          <w:szCs w:val="21"/>
        </w:rPr>
        <w:t>4.3.1“供应商须知前附表”规定在开标会议结束后进行演示的，供应商应按规定进行演示。</w:t>
      </w:r>
    </w:p>
    <w:p w14:paraId="40470CDC">
      <w:pPr>
        <w:spacing w:before="120" w:line="320" w:lineRule="atLeast"/>
        <w:ind w:firstLine="420" w:firstLineChars="200"/>
        <w:rPr>
          <w:color w:val="auto"/>
          <w:szCs w:val="21"/>
        </w:rPr>
      </w:pPr>
      <w:r>
        <w:rPr>
          <w:color w:val="auto"/>
          <w:szCs w:val="21"/>
        </w:rPr>
        <w:t>4.3.2未按规定时间进行演示可能引起的演示分数被计为0分或投标无效等后果由供应商自行承担。</w:t>
      </w:r>
    </w:p>
    <w:p w14:paraId="00C52B71">
      <w:pPr>
        <w:spacing w:before="120" w:line="320" w:lineRule="atLeast"/>
        <w:ind w:firstLine="422" w:firstLineChars="200"/>
        <w:outlineLvl w:val="2"/>
        <w:rPr>
          <w:color w:val="auto"/>
          <w:szCs w:val="21"/>
        </w:rPr>
      </w:pPr>
      <w:r>
        <w:rPr>
          <w:b/>
          <w:bCs/>
          <w:color w:val="auto"/>
          <w:kern w:val="0"/>
          <w:szCs w:val="21"/>
        </w:rPr>
        <w:t>4.4样品</w:t>
      </w:r>
    </w:p>
    <w:p w14:paraId="27204786">
      <w:pPr>
        <w:spacing w:before="120" w:line="320" w:lineRule="atLeast"/>
        <w:ind w:firstLine="420" w:firstLineChars="200"/>
        <w:rPr>
          <w:color w:val="auto"/>
          <w:szCs w:val="21"/>
        </w:rPr>
      </w:pPr>
      <w:r>
        <w:rPr>
          <w:color w:val="auto"/>
          <w:szCs w:val="21"/>
        </w:rPr>
        <w:t>4.4.1“供应商须知前附表”规定递交样品的，供应商应按前附表规定递交样品，递交样品时应附样品递交表（格式见第六章）。</w:t>
      </w:r>
    </w:p>
    <w:p w14:paraId="1C649F5F">
      <w:pPr>
        <w:spacing w:before="120" w:line="320" w:lineRule="atLeast"/>
        <w:ind w:firstLine="420" w:firstLineChars="200"/>
        <w:rPr>
          <w:color w:val="auto"/>
          <w:szCs w:val="21"/>
        </w:rPr>
      </w:pPr>
      <w:r>
        <w:rPr>
          <w:color w:val="auto"/>
          <w:szCs w:val="21"/>
        </w:rPr>
        <w:t>4.4.2未按规定时间递交样品可能引起的样品分数被计为0分或投标无效等后果由供应商自行承担。</w:t>
      </w:r>
    </w:p>
    <w:p w14:paraId="5B42CDA0">
      <w:pPr>
        <w:spacing w:before="120" w:line="320" w:lineRule="atLeast"/>
        <w:ind w:firstLine="420" w:firstLineChars="200"/>
        <w:rPr>
          <w:color w:val="auto"/>
          <w:szCs w:val="21"/>
        </w:rPr>
      </w:pPr>
      <w:bookmarkStart w:id="75" w:name="_Toc254970545"/>
      <w:bookmarkStart w:id="76" w:name="_Toc254970686"/>
      <w:r>
        <w:rPr>
          <w:color w:val="auto"/>
          <w:szCs w:val="21"/>
        </w:rPr>
        <w:t>4.4.3样品封存或退还的说明请见第六章投标文件格式所附样品递交表。</w:t>
      </w:r>
    </w:p>
    <w:p w14:paraId="2CD7479C">
      <w:pPr>
        <w:spacing w:before="120" w:line="320" w:lineRule="atLeast"/>
        <w:ind w:left="2" w:leftChars="1" w:firstLine="422" w:firstLineChars="200"/>
        <w:outlineLvl w:val="1"/>
        <w:rPr>
          <w:b/>
          <w:bCs/>
          <w:color w:val="auto"/>
          <w:kern w:val="0"/>
          <w:szCs w:val="21"/>
        </w:rPr>
      </w:pPr>
      <w:bookmarkStart w:id="77" w:name="_Hlk93420947"/>
      <w:r>
        <w:rPr>
          <w:b/>
          <w:bCs/>
          <w:color w:val="auto"/>
          <w:kern w:val="0"/>
          <w:szCs w:val="21"/>
        </w:rPr>
        <w:t>5．</w:t>
      </w:r>
      <w:r>
        <w:rPr>
          <w:rFonts w:hint="eastAsia"/>
          <w:b/>
          <w:bCs/>
          <w:color w:val="auto"/>
          <w:kern w:val="0"/>
          <w:szCs w:val="21"/>
        </w:rPr>
        <w:t>资格审查</w:t>
      </w:r>
    </w:p>
    <w:p w14:paraId="59E2EA9C">
      <w:pPr>
        <w:spacing w:before="120" w:line="320" w:lineRule="atLeast"/>
        <w:ind w:left="2" w:leftChars="1" w:firstLine="420" w:firstLineChars="200"/>
        <w:outlineLvl w:val="1"/>
        <w:rPr>
          <w:bCs/>
          <w:color w:val="auto"/>
          <w:kern w:val="0"/>
          <w:szCs w:val="21"/>
        </w:rPr>
      </w:pPr>
      <w:r>
        <w:rPr>
          <w:rFonts w:hint="eastAsia"/>
          <w:bCs/>
          <w:color w:val="auto"/>
          <w:kern w:val="0"/>
          <w:szCs w:val="21"/>
        </w:rPr>
        <w:t>5</w:t>
      </w:r>
      <w:r>
        <w:rPr>
          <w:bCs/>
          <w:color w:val="auto"/>
          <w:kern w:val="0"/>
          <w:szCs w:val="21"/>
        </w:rPr>
        <w:t>.1</w:t>
      </w:r>
      <w:r>
        <w:rPr>
          <w:rFonts w:ascii="宋体" w:hAnsi="宋体"/>
          <w:bCs/>
          <w:color w:val="auto"/>
          <w:szCs w:val="21"/>
        </w:rPr>
        <w:t>开标结束后，</w:t>
      </w:r>
      <w:r>
        <w:rPr>
          <w:rFonts w:hint="eastAsia" w:ascii="宋体" w:hAnsi="宋体"/>
          <w:bCs/>
          <w:color w:val="auto"/>
          <w:szCs w:val="21"/>
        </w:rPr>
        <w:t>采购人或者采购代理机构通过电子交易平台</w:t>
      </w:r>
      <w:r>
        <w:rPr>
          <w:rFonts w:ascii="宋体" w:hAnsi="宋体"/>
          <w:bCs/>
          <w:color w:val="auto"/>
          <w:szCs w:val="21"/>
        </w:rPr>
        <w:t>对供应商的资格进行审查。</w:t>
      </w:r>
      <w:r>
        <w:rPr>
          <w:rFonts w:hint="eastAsia" w:ascii="宋体" w:hAnsi="宋体"/>
          <w:bCs/>
          <w:color w:val="auto"/>
          <w:szCs w:val="21"/>
        </w:rPr>
        <w:t>资格审查</w:t>
      </w:r>
      <w:r>
        <w:rPr>
          <w:rFonts w:hint="eastAsia"/>
          <w:bCs/>
          <w:color w:val="auto"/>
          <w:kern w:val="0"/>
          <w:szCs w:val="21"/>
        </w:rPr>
        <w:t>是根据法律法规和招标文件的规定，对供应商的基本资格条件、特定资格条件进行审查。</w:t>
      </w:r>
    </w:p>
    <w:p w14:paraId="714F52B0">
      <w:pPr>
        <w:spacing w:before="120" w:line="320" w:lineRule="atLeast"/>
        <w:ind w:left="2" w:leftChars="1" w:firstLine="420" w:firstLineChars="200"/>
        <w:outlineLvl w:val="1"/>
        <w:rPr>
          <w:bCs/>
          <w:color w:val="auto"/>
          <w:kern w:val="0"/>
          <w:szCs w:val="21"/>
        </w:rPr>
      </w:pPr>
      <w:r>
        <w:rPr>
          <w:rFonts w:hint="eastAsia"/>
          <w:bCs/>
          <w:color w:val="auto"/>
          <w:kern w:val="0"/>
          <w:szCs w:val="21"/>
        </w:rPr>
        <w:t>5.</w:t>
      </w:r>
      <w:r>
        <w:rPr>
          <w:bCs/>
          <w:color w:val="auto"/>
          <w:kern w:val="0"/>
          <w:szCs w:val="21"/>
        </w:rPr>
        <w:t>2</w:t>
      </w:r>
      <w:r>
        <w:rPr>
          <w:rFonts w:hint="eastAsia"/>
          <w:bCs/>
          <w:color w:val="auto"/>
          <w:kern w:val="0"/>
          <w:szCs w:val="21"/>
        </w:rPr>
        <w:t>资格审查标准在第四章评审方法及标准中规定，符合资格审查标准要求的供应商即为资格审查合格。</w:t>
      </w:r>
    </w:p>
    <w:p w14:paraId="0B2418FC">
      <w:pPr>
        <w:spacing w:before="120" w:line="276" w:lineRule="auto"/>
        <w:ind w:left="2" w:leftChars="1" w:firstLine="420" w:firstLineChars="200"/>
        <w:outlineLvl w:val="1"/>
        <w:rPr>
          <w:bCs/>
          <w:color w:val="auto"/>
          <w:kern w:val="0"/>
          <w:szCs w:val="21"/>
        </w:rPr>
      </w:pPr>
      <w:r>
        <w:rPr>
          <w:bCs/>
          <w:color w:val="auto"/>
          <w:kern w:val="0"/>
          <w:szCs w:val="21"/>
        </w:rPr>
        <w:t>5.3</w:t>
      </w:r>
      <w:r>
        <w:rPr>
          <w:rFonts w:hint="eastAsia"/>
          <w:bCs/>
          <w:color w:val="auto"/>
          <w:kern w:val="0"/>
          <w:szCs w:val="21"/>
        </w:rPr>
        <w:t>供应商有下列情形之一的，资格审查不合格，作无效投标处理：</w:t>
      </w:r>
    </w:p>
    <w:p w14:paraId="02DF3685">
      <w:pPr>
        <w:spacing w:line="276" w:lineRule="auto"/>
        <w:ind w:firstLine="420" w:firstLineChars="200"/>
        <w:rPr>
          <w:rFonts w:hint="eastAsia" w:hAnsi="宋体"/>
          <w:color w:val="auto"/>
        </w:rPr>
      </w:pPr>
      <w:r>
        <w:rPr>
          <w:rFonts w:hint="eastAsia"/>
          <w:color w:val="auto"/>
          <w:szCs w:val="21"/>
        </w:rPr>
        <w:t>5</w:t>
      </w:r>
      <w:r>
        <w:rPr>
          <w:color w:val="auto"/>
          <w:szCs w:val="21"/>
        </w:rPr>
        <w:t>.3.1</w:t>
      </w:r>
      <w:r>
        <w:rPr>
          <w:rFonts w:hint="eastAsia"/>
          <w:color w:val="auto"/>
          <w:szCs w:val="21"/>
        </w:rPr>
        <w:t>不具备招标文件中规定的资格要求或资格条件的；</w:t>
      </w:r>
      <w:r>
        <w:rPr>
          <w:color w:val="auto"/>
          <w:szCs w:val="21"/>
        </w:rPr>
        <w:t xml:space="preserve"> </w:t>
      </w:r>
      <w:r>
        <w:rPr>
          <w:rFonts w:hint="eastAsia" w:hAnsi="宋体"/>
          <w:color w:val="auto"/>
        </w:rPr>
        <w:t>（注：其中信用查询规则见“投标人须知前附表”，</w:t>
      </w:r>
      <w:r>
        <w:rPr>
          <w:rFonts w:hint="eastAsia"/>
          <w:color w:val="auto"/>
          <w:szCs w:val="21"/>
        </w:rPr>
        <w:t>广西政府采购云平台</w:t>
      </w:r>
      <w:r>
        <w:rPr>
          <w:rFonts w:hint="eastAsia" w:hAnsi="宋体"/>
          <w:color w:val="auto"/>
        </w:rPr>
        <w:t>已与“信用中国”平台做接口，可直接在线查询）</w:t>
      </w:r>
    </w:p>
    <w:p w14:paraId="483B3DEB">
      <w:pPr>
        <w:spacing w:before="120" w:line="276" w:lineRule="auto"/>
        <w:ind w:firstLine="420" w:firstLineChars="200"/>
        <w:rPr>
          <w:color w:val="auto"/>
          <w:szCs w:val="21"/>
        </w:rPr>
      </w:pPr>
      <w:r>
        <w:rPr>
          <w:rFonts w:hint="eastAsia"/>
          <w:color w:val="auto"/>
          <w:szCs w:val="21"/>
        </w:rPr>
        <w:t>5</w:t>
      </w:r>
      <w:r>
        <w:rPr>
          <w:color w:val="auto"/>
          <w:szCs w:val="21"/>
        </w:rPr>
        <w:t>.3.2</w:t>
      </w:r>
      <w:r>
        <w:rPr>
          <w:rFonts w:hint="eastAsia"/>
          <w:color w:val="auto"/>
          <w:szCs w:val="21"/>
        </w:rPr>
        <w:t>投标文件缺少任何一项资格证明文件或不符合第四章评审方法及标准中资格审查标准规定的评审内容的；</w:t>
      </w:r>
    </w:p>
    <w:p w14:paraId="23C343A8">
      <w:pPr>
        <w:spacing w:before="120" w:line="276" w:lineRule="auto"/>
        <w:ind w:left="2" w:leftChars="1" w:firstLine="420" w:firstLineChars="200"/>
        <w:outlineLvl w:val="1"/>
        <w:rPr>
          <w:bCs/>
          <w:color w:val="auto"/>
          <w:kern w:val="0"/>
          <w:szCs w:val="21"/>
        </w:rPr>
      </w:pPr>
      <w:r>
        <w:rPr>
          <w:bCs/>
          <w:color w:val="auto"/>
          <w:kern w:val="0"/>
          <w:szCs w:val="21"/>
        </w:rPr>
        <w:t>5.4</w:t>
      </w:r>
      <w:r>
        <w:rPr>
          <w:rFonts w:hint="eastAsia"/>
          <w:bCs/>
          <w:color w:val="auto"/>
          <w:kern w:val="0"/>
          <w:szCs w:val="21"/>
        </w:rPr>
        <w:t>资格审查合格的供应商不足3家的，不得评审。</w:t>
      </w:r>
    </w:p>
    <w:bookmarkEnd w:id="77"/>
    <w:p w14:paraId="15074200">
      <w:pPr>
        <w:spacing w:before="120" w:line="320" w:lineRule="atLeast"/>
        <w:ind w:left="2" w:leftChars="1" w:firstLine="422" w:firstLineChars="200"/>
        <w:outlineLvl w:val="1"/>
        <w:rPr>
          <w:b/>
          <w:bCs/>
          <w:color w:val="auto"/>
          <w:kern w:val="0"/>
          <w:szCs w:val="21"/>
        </w:rPr>
      </w:pPr>
      <w:bookmarkStart w:id="78" w:name="_Hlk93420990"/>
      <w:r>
        <w:rPr>
          <w:b/>
          <w:bCs/>
          <w:color w:val="auto"/>
          <w:kern w:val="0"/>
          <w:szCs w:val="21"/>
        </w:rPr>
        <w:t>6．评审</w:t>
      </w:r>
      <w:bookmarkEnd w:id="75"/>
      <w:bookmarkEnd w:id="76"/>
    </w:p>
    <w:p w14:paraId="527BB5CB">
      <w:pPr>
        <w:spacing w:before="120" w:line="320" w:lineRule="atLeast"/>
        <w:ind w:firstLine="422" w:firstLineChars="200"/>
        <w:outlineLvl w:val="2"/>
        <w:rPr>
          <w:b/>
          <w:bCs/>
          <w:color w:val="auto"/>
          <w:kern w:val="0"/>
          <w:szCs w:val="21"/>
        </w:rPr>
      </w:pPr>
      <w:r>
        <w:rPr>
          <w:b/>
          <w:bCs/>
          <w:color w:val="auto"/>
          <w:kern w:val="0"/>
          <w:szCs w:val="21"/>
        </w:rPr>
        <w:t>6.1评审委员会</w:t>
      </w:r>
      <w:r>
        <w:rPr>
          <w:rFonts w:hint="eastAsia"/>
          <w:b/>
          <w:bCs/>
          <w:color w:val="auto"/>
          <w:kern w:val="0"/>
          <w:szCs w:val="21"/>
        </w:rPr>
        <w:t>及评审原则</w:t>
      </w:r>
    </w:p>
    <w:p w14:paraId="6EFA04A2">
      <w:pPr>
        <w:spacing w:before="120" w:line="320" w:lineRule="atLeast"/>
        <w:ind w:firstLine="420" w:firstLineChars="200"/>
        <w:rPr>
          <w:color w:val="auto"/>
          <w:szCs w:val="21"/>
        </w:rPr>
      </w:pPr>
      <w:bookmarkStart w:id="79" w:name="_Hlk91249317"/>
      <w:r>
        <w:rPr>
          <w:rFonts w:hint="eastAsia"/>
          <w:color w:val="auto"/>
          <w:szCs w:val="21"/>
        </w:rPr>
        <w:t>6.1.1</w:t>
      </w:r>
      <w:r>
        <w:rPr>
          <w:color w:val="auto"/>
          <w:szCs w:val="21"/>
        </w:rPr>
        <w:t>本项目</w:t>
      </w:r>
      <w:r>
        <w:rPr>
          <w:rFonts w:hint="eastAsia"/>
          <w:color w:val="auto"/>
          <w:szCs w:val="21"/>
        </w:rPr>
        <w:t>评审工作由</w:t>
      </w:r>
      <w:r>
        <w:rPr>
          <w:color w:val="auto"/>
          <w:szCs w:val="21"/>
        </w:rPr>
        <w:t>评审委员会</w:t>
      </w:r>
      <w:r>
        <w:rPr>
          <w:rFonts w:hint="eastAsia"/>
          <w:color w:val="auto"/>
          <w:szCs w:val="21"/>
        </w:rPr>
        <w:t>负责，评审委员会</w:t>
      </w:r>
      <w:r>
        <w:rPr>
          <w:color w:val="auto"/>
          <w:szCs w:val="21"/>
        </w:rPr>
        <w:t>由</w:t>
      </w:r>
      <w:r>
        <w:rPr>
          <w:rFonts w:hint="eastAsia"/>
          <w:color w:val="auto"/>
          <w:szCs w:val="21"/>
        </w:rPr>
        <w:t>评审专家</w:t>
      </w:r>
      <w:r>
        <w:rPr>
          <w:color w:val="auto"/>
          <w:szCs w:val="21"/>
        </w:rPr>
        <w:t>和采购人代表</w:t>
      </w:r>
      <w:r>
        <w:rPr>
          <w:rFonts w:hint="eastAsia"/>
          <w:color w:val="auto"/>
          <w:szCs w:val="21"/>
        </w:rPr>
        <w:t>（如有）</w:t>
      </w:r>
      <w:r>
        <w:rPr>
          <w:color w:val="auto"/>
          <w:szCs w:val="21"/>
        </w:rPr>
        <w:t>组成。</w:t>
      </w:r>
      <w:r>
        <w:rPr>
          <w:rFonts w:hint="eastAsia"/>
          <w:color w:val="auto"/>
          <w:szCs w:val="21"/>
        </w:rPr>
        <w:t>评审委员会评审时必须公平、公正、客观，不带任何倾向性和启发性；不得向外界透露任何与评审有关的内容；任何单位和个人不得干扰、影响评标的正常进行；评审委员会及有关工作人员不得私下与投标人接触，不得收受利害关系人的财物或者其他好处；</w:t>
      </w:r>
      <w:r>
        <w:rPr>
          <w:color w:val="auto"/>
          <w:szCs w:val="21"/>
        </w:rPr>
        <w:t>评审专家发现本人与参加采购活动的供应商有利害关系的，应当主动提出回避</w:t>
      </w:r>
      <w:r>
        <w:rPr>
          <w:rFonts w:hint="eastAsia"/>
          <w:color w:val="auto"/>
          <w:szCs w:val="21"/>
        </w:rPr>
        <w:t>。</w:t>
      </w:r>
    </w:p>
    <w:p w14:paraId="0890BD88">
      <w:pPr>
        <w:spacing w:before="120" w:line="320" w:lineRule="atLeast"/>
        <w:ind w:firstLine="420" w:firstLineChars="200"/>
        <w:rPr>
          <w:color w:val="auto"/>
          <w:szCs w:val="21"/>
        </w:rPr>
      </w:pPr>
      <w:r>
        <w:rPr>
          <w:rFonts w:hint="eastAsia"/>
          <w:color w:val="auto"/>
          <w:szCs w:val="21"/>
        </w:rPr>
        <w:t>6.1.2评审委员会成员应当通过电子交易平台进行独立评审，评审委员会成员对需要共同认定的事项存在争议的，应当按照少数服从多数的原则作出结论。持不同意见的评审委员会成员应当在评审报告上签署不同意见及理由，否则视为同意评审报告。如果在评审过程中出现法律法规和招标文件均没有明确规定的情形时，由评审委员会现场协商确定，协商不一致的，由全体评审委员会成员投票表决，应当按照少数服从多数的原则作出结论并记录在评审报告中。</w:t>
      </w:r>
    </w:p>
    <w:p w14:paraId="33C3B57E">
      <w:pPr>
        <w:spacing w:before="120" w:line="320" w:lineRule="atLeast"/>
        <w:ind w:firstLine="420" w:firstLineChars="200"/>
        <w:rPr>
          <w:color w:val="auto"/>
          <w:szCs w:val="21"/>
        </w:rPr>
      </w:pPr>
      <w:r>
        <w:rPr>
          <w:rFonts w:hint="eastAsia"/>
          <w:color w:val="auto"/>
          <w:szCs w:val="21"/>
        </w:rPr>
        <w:t>6.1.3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76166741">
      <w:pPr>
        <w:spacing w:before="120" w:line="320" w:lineRule="atLeast"/>
        <w:ind w:firstLine="420" w:firstLineChars="200"/>
        <w:rPr>
          <w:color w:val="auto"/>
          <w:szCs w:val="21"/>
        </w:rPr>
      </w:pPr>
      <w:r>
        <w:rPr>
          <w:rFonts w:hint="eastAsia"/>
          <w:color w:val="auto"/>
          <w:szCs w:val="21"/>
        </w:rPr>
        <w:t>6.1.4本项目评审过程实行全程网上留痕及录音、录像监控，供应商在评审过程中所进行的试图影响评审结果的不公正活动，可能导致其投标按无效处理。</w:t>
      </w:r>
    </w:p>
    <w:bookmarkEnd w:id="79"/>
    <w:p w14:paraId="54842990">
      <w:pPr>
        <w:spacing w:before="120" w:line="320" w:lineRule="atLeast"/>
        <w:ind w:firstLine="422" w:firstLineChars="200"/>
        <w:outlineLvl w:val="2"/>
        <w:rPr>
          <w:b/>
          <w:bCs/>
          <w:color w:val="auto"/>
          <w:kern w:val="0"/>
          <w:szCs w:val="21"/>
        </w:rPr>
      </w:pPr>
      <w:bookmarkStart w:id="80" w:name="_Hlk91324148"/>
      <w:r>
        <w:rPr>
          <w:b/>
          <w:bCs/>
          <w:color w:val="auto"/>
          <w:kern w:val="0"/>
          <w:szCs w:val="21"/>
        </w:rPr>
        <w:t>6.2</w:t>
      </w:r>
      <w:r>
        <w:rPr>
          <w:rFonts w:hint="eastAsia"/>
          <w:b/>
          <w:bCs/>
          <w:color w:val="auto"/>
          <w:kern w:val="0"/>
          <w:szCs w:val="21"/>
        </w:rPr>
        <w:t>评审方法及依据</w:t>
      </w:r>
    </w:p>
    <w:p w14:paraId="6D3B6A60">
      <w:pPr>
        <w:spacing w:before="120" w:line="320" w:lineRule="atLeast"/>
        <w:ind w:firstLine="420" w:firstLineChars="200"/>
        <w:rPr>
          <w:bCs/>
          <w:color w:val="auto"/>
          <w:kern w:val="0"/>
          <w:szCs w:val="21"/>
        </w:rPr>
      </w:pPr>
      <w:r>
        <w:rPr>
          <w:bCs/>
          <w:color w:val="auto"/>
          <w:kern w:val="0"/>
          <w:szCs w:val="21"/>
        </w:rPr>
        <w:t>6.2.1</w:t>
      </w:r>
      <w:r>
        <w:rPr>
          <w:rFonts w:hint="eastAsia"/>
          <w:bCs/>
          <w:color w:val="auto"/>
          <w:kern w:val="0"/>
          <w:szCs w:val="21"/>
        </w:rPr>
        <w:t>本项目采用第四章评审方法及标准规定的方法进行评审。</w:t>
      </w:r>
    </w:p>
    <w:p w14:paraId="1B6CE8C0">
      <w:pPr>
        <w:suppressAutoHyphens/>
        <w:spacing w:before="120" w:line="320" w:lineRule="atLeast"/>
        <w:ind w:firstLine="420" w:firstLineChars="200"/>
        <w:rPr>
          <w:bCs/>
          <w:color w:val="auto"/>
          <w:kern w:val="0"/>
          <w:szCs w:val="21"/>
        </w:rPr>
      </w:pPr>
      <w:r>
        <w:rPr>
          <w:bCs/>
          <w:color w:val="auto"/>
          <w:kern w:val="0"/>
          <w:szCs w:val="21"/>
        </w:rPr>
        <w:t>6.2.2</w:t>
      </w:r>
      <w:r>
        <w:rPr>
          <w:rFonts w:hint="eastAsia"/>
          <w:color w:val="auto"/>
        </w:rPr>
        <w:t>评审委员会</w:t>
      </w:r>
      <w:r>
        <w:rPr>
          <w:color w:val="auto"/>
        </w:rPr>
        <w:t>以</w:t>
      </w:r>
      <w:r>
        <w:rPr>
          <w:rFonts w:hint="eastAsia"/>
          <w:color w:val="auto"/>
        </w:rPr>
        <w:t>招标</w:t>
      </w:r>
      <w:r>
        <w:rPr>
          <w:color w:val="auto"/>
        </w:rPr>
        <w:t>文件、补充文件、</w:t>
      </w:r>
      <w:r>
        <w:rPr>
          <w:rFonts w:hint="eastAsia"/>
          <w:color w:val="auto"/>
        </w:rPr>
        <w:t>投标</w:t>
      </w:r>
      <w:r>
        <w:rPr>
          <w:color w:val="auto"/>
        </w:rPr>
        <w:t>文件、澄清及答复为评审依据</w:t>
      </w:r>
      <w:r>
        <w:rPr>
          <w:rFonts w:hint="eastAsia"/>
          <w:color w:val="auto"/>
        </w:rPr>
        <w:t>，</w:t>
      </w:r>
      <w:r>
        <w:rPr>
          <w:rFonts w:hint="eastAsia"/>
          <w:bCs/>
          <w:color w:val="auto"/>
          <w:kern w:val="0"/>
          <w:szCs w:val="21"/>
        </w:rPr>
        <w:t>第四章评审方法及标准没有规定的评审方法、标准及因素，不得作为评审依据。</w:t>
      </w:r>
    </w:p>
    <w:bookmarkEnd w:id="80"/>
    <w:p w14:paraId="3C29DB9A">
      <w:pPr>
        <w:spacing w:before="120" w:line="320" w:lineRule="atLeast"/>
        <w:ind w:firstLine="422" w:firstLineChars="200"/>
        <w:outlineLvl w:val="2"/>
        <w:rPr>
          <w:b/>
          <w:bCs/>
          <w:color w:val="auto"/>
          <w:kern w:val="0"/>
          <w:szCs w:val="21"/>
        </w:rPr>
      </w:pPr>
      <w:bookmarkStart w:id="81" w:name="_Hlk91324322"/>
      <w:r>
        <w:rPr>
          <w:b/>
          <w:bCs/>
          <w:color w:val="auto"/>
          <w:kern w:val="0"/>
          <w:szCs w:val="21"/>
        </w:rPr>
        <w:t>6.3评审</w:t>
      </w:r>
      <w:r>
        <w:rPr>
          <w:rFonts w:hint="eastAsia"/>
          <w:b/>
          <w:bCs/>
          <w:color w:val="auto"/>
          <w:kern w:val="0"/>
          <w:szCs w:val="21"/>
        </w:rPr>
        <w:t>程序</w:t>
      </w:r>
    </w:p>
    <w:p w14:paraId="2CDA7239">
      <w:pPr>
        <w:spacing w:before="120" w:line="320" w:lineRule="atLeast"/>
        <w:ind w:firstLine="420" w:firstLineChars="200"/>
        <w:rPr>
          <w:color w:val="auto"/>
        </w:rPr>
      </w:pPr>
      <w:r>
        <w:rPr>
          <w:color w:val="auto"/>
        </w:rPr>
        <w:t>6.</w:t>
      </w:r>
      <w:bookmarkStart w:id="82" w:name="_Hlk80956880"/>
      <w:bookmarkStart w:id="83" w:name="_Hlk19175507"/>
      <w:r>
        <w:rPr>
          <w:color w:val="auto"/>
        </w:rPr>
        <w:t>3.1</w:t>
      </w:r>
      <w:r>
        <w:rPr>
          <w:rFonts w:hint="eastAsia"/>
          <w:color w:val="auto"/>
        </w:rPr>
        <w:t>符合性审查</w:t>
      </w:r>
    </w:p>
    <w:p w14:paraId="535CAEED">
      <w:pPr>
        <w:spacing w:before="120" w:line="320" w:lineRule="atLeast"/>
        <w:ind w:firstLine="420" w:firstLineChars="200"/>
        <w:rPr>
          <w:color w:val="auto"/>
          <w:szCs w:val="21"/>
        </w:rPr>
      </w:pPr>
      <w:r>
        <w:rPr>
          <w:bCs/>
          <w:color w:val="auto"/>
          <w:kern w:val="1"/>
          <w:szCs w:val="21"/>
        </w:rPr>
        <w:t>资格审查结束后，</w:t>
      </w:r>
      <w:r>
        <w:rPr>
          <w:rFonts w:hint="eastAsia" w:hAnsi="宋体"/>
          <w:color w:val="auto"/>
        </w:rPr>
        <w:t>评审委员会对</w:t>
      </w:r>
      <w:r>
        <w:rPr>
          <w:color w:val="auto"/>
        </w:rPr>
        <w:t>通过资格审查的供应商</w:t>
      </w:r>
      <w:r>
        <w:rPr>
          <w:rFonts w:hint="eastAsia" w:hAnsi="宋体"/>
          <w:color w:val="auto"/>
        </w:rPr>
        <w:t>的投标文件报价、商务资信、技术等方面实质性内容进行符合性审查，</w:t>
      </w:r>
      <w:r>
        <w:rPr>
          <w:rFonts w:hint="eastAsia"/>
          <w:color w:val="auto"/>
          <w:szCs w:val="21"/>
        </w:rPr>
        <w:t>符合性审查标准</w:t>
      </w:r>
      <w:r>
        <w:rPr>
          <w:color w:val="auto"/>
          <w:szCs w:val="21"/>
        </w:rPr>
        <w:t>详见第四章评审方法及标准。</w:t>
      </w:r>
    </w:p>
    <w:bookmarkEnd w:id="82"/>
    <w:bookmarkEnd w:id="83"/>
    <w:p w14:paraId="25AF991C">
      <w:pPr>
        <w:spacing w:before="120" w:line="320" w:lineRule="atLeast"/>
        <w:ind w:firstLine="420" w:firstLineChars="200"/>
        <w:rPr>
          <w:color w:val="auto"/>
          <w:szCs w:val="21"/>
        </w:rPr>
      </w:pPr>
      <w:r>
        <w:rPr>
          <w:rFonts w:hint="eastAsia"/>
          <w:color w:val="auto"/>
          <w:szCs w:val="21"/>
        </w:rPr>
        <w:t>6</w:t>
      </w:r>
      <w:r>
        <w:rPr>
          <w:color w:val="auto"/>
          <w:szCs w:val="21"/>
        </w:rPr>
        <w:t>.3.2</w:t>
      </w:r>
      <w:r>
        <w:rPr>
          <w:rFonts w:hAnsi="宋体"/>
          <w:color w:val="auto"/>
        </w:rPr>
        <w:t>强制性</w:t>
      </w:r>
      <w:r>
        <w:rPr>
          <w:color w:val="auto"/>
          <w:szCs w:val="21"/>
        </w:rPr>
        <w:t>采购要求</w:t>
      </w:r>
      <w:r>
        <w:rPr>
          <w:rFonts w:hint="eastAsia"/>
          <w:color w:val="auto"/>
          <w:szCs w:val="21"/>
        </w:rPr>
        <w:t>（仅适用于货物采购项目）</w:t>
      </w:r>
    </w:p>
    <w:p w14:paraId="5C9186EF">
      <w:pPr>
        <w:suppressAutoHyphens/>
        <w:spacing w:before="120" w:line="320" w:lineRule="atLeast"/>
        <w:ind w:firstLine="422" w:firstLineChars="201"/>
        <w:rPr>
          <w:color w:val="auto"/>
          <w:szCs w:val="21"/>
        </w:rPr>
      </w:pPr>
      <w:bookmarkStart w:id="84" w:name="_Hlk47714684"/>
      <w:r>
        <w:rPr>
          <w:rFonts w:hint="eastAsia"/>
          <w:color w:val="auto"/>
          <w:szCs w:val="21"/>
        </w:rPr>
        <w:t>（1）</w:t>
      </w:r>
      <w:bookmarkEnd w:id="84"/>
      <w:r>
        <w:rPr>
          <w:rFonts w:hint="eastAsia"/>
          <w:color w:val="auto"/>
          <w:szCs w:val="21"/>
        </w:rPr>
        <w:t>根据《财政部 发展改革委 生态环境部 市场监管总局关于调整优化节能产品、环境标志产品政府采购执行机制的通知》（财库〔2019〕9号）和《关于印发节能产品政府采购品目清单的通知》（财库〔2019〕19号）规定，本项目采购需求中的产品属于节能产品政府采购品目清单内标注“★”的，供应商的投标货物必须使用政府强制采购的节能产品，否则投标文件作无效处理；属于品目清单内非标注“★”的产品时，应优先采购。</w:t>
      </w:r>
    </w:p>
    <w:p w14:paraId="55F26EC4">
      <w:pPr>
        <w:spacing w:before="120" w:line="276" w:lineRule="auto"/>
        <w:ind w:firstLine="420" w:firstLineChars="200"/>
        <w:rPr>
          <w:color w:val="auto"/>
          <w:szCs w:val="21"/>
        </w:rPr>
      </w:pPr>
      <w:bookmarkStart w:id="85" w:name="_Hlk138843020"/>
      <w:r>
        <w:rPr>
          <w:rFonts w:hint="eastAsia"/>
          <w:color w:val="auto"/>
          <w:szCs w:val="21"/>
        </w:rPr>
        <w:t>（2）根据《关于调整网络安全专用产品安全管理有关事项的公告》（2023年1号）规定，本项目采购需求中的产品如果包括《网络关键设备和网络安全专用产品目录》的网络安全专用产品，供应商在投标文件中应主动列明供货范围中属于网络安全专用产品的投标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14:paraId="50903D47">
      <w:pPr>
        <w:spacing w:before="120" w:line="276" w:lineRule="auto"/>
        <w:ind w:firstLine="420" w:firstLineChars="200"/>
        <w:rPr>
          <w:color w:val="auto"/>
          <w:szCs w:val="21"/>
        </w:rPr>
      </w:pPr>
      <w:r>
        <w:rPr>
          <w:rFonts w:hint="eastAsia"/>
          <w:color w:val="auto"/>
          <w:szCs w:val="21"/>
        </w:rPr>
        <w:t>注：网络安全专用产品在中共中央网络安全和信息化委员会办公室网站上发布的《网络关键设备和网络安全专用产品目录》中查询。</w:t>
      </w:r>
      <w:r>
        <w:rPr>
          <w:color w:val="auto"/>
          <w:szCs w:val="21"/>
        </w:rPr>
        <w:t xml:space="preserve"> </w:t>
      </w:r>
      <w:r>
        <w:rPr>
          <w:rFonts w:hint="eastAsia"/>
          <w:color w:val="auto"/>
          <w:szCs w:val="21"/>
        </w:rPr>
        <w:t>目前共1</w:t>
      </w:r>
      <w:r>
        <w:rPr>
          <w:color w:val="auto"/>
          <w:szCs w:val="21"/>
        </w:rPr>
        <w:t>5</w:t>
      </w:r>
      <w:r>
        <w:rPr>
          <w:rFonts w:hint="eastAsia"/>
          <w:color w:val="auto"/>
          <w:szCs w:val="21"/>
        </w:rPr>
        <w:t>类：路由器、交换机、服务器（机架式）、可编程逻辑控制器（P</w:t>
      </w:r>
      <w:r>
        <w:rPr>
          <w:color w:val="auto"/>
          <w:szCs w:val="21"/>
        </w:rPr>
        <w:t>LC</w:t>
      </w:r>
      <w:r>
        <w:rPr>
          <w:rFonts w:hint="eastAsia"/>
          <w:color w:val="auto"/>
          <w:szCs w:val="21"/>
        </w:rPr>
        <w:t>设备）、数据备份一体机、防火墙（硬件）、WEB应用防火墙（W</w:t>
      </w:r>
      <w:r>
        <w:rPr>
          <w:color w:val="auto"/>
          <w:szCs w:val="21"/>
        </w:rPr>
        <w:t>AF</w:t>
      </w:r>
      <w:r>
        <w:rPr>
          <w:rFonts w:hint="eastAsia"/>
          <w:color w:val="auto"/>
          <w:szCs w:val="21"/>
        </w:rPr>
        <w:t>）、入侵检测系统（I</w:t>
      </w:r>
      <w:r>
        <w:rPr>
          <w:color w:val="auto"/>
          <w:szCs w:val="21"/>
        </w:rPr>
        <w:t>DS</w:t>
      </w:r>
      <w:r>
        <w:rPr>
          <w:rFonts w:hint="eastAsia"/>
          <w:color w:val="auto"/>
          <w:szCs w:val="21"/>
        </w:rPr>
        <w:t>）、入侵防御系统（</w:t>
      </w:r>
      <w:r>
        <w:rPr>
          <w:color w:val="auto"/>
          <w:szCs w:val="21"/>
        </w:rPr>
        <w:t>IPS</w:t>
      </w:r>
      <w:r>
        <w:rPr>
          <w:rFonts w:hint="eastAsia"/>
          <w:color w:val="auto"/>
          <w:szCs w:val="21"/>
        </w:rPr>
        <w:t>）、安全隔离与信息交换产品（网闸）、反垃圾邮件产品、网络综合审计系统、网络脆弱性扫描产品、安全数据库系统、网站恢复产品（硬件）。</w:t>
      </w:r>
    </w:p>
    <w:bookmarkEnd w:id="85"/>
    <w:p w14:paraId="488BB219">
      <w:pPr>
        <w:spacing w:before="120" w:line="320" w:lineRule="atLeast"/>
        <w:ind w:firstLine="420" w:firstLineChars="200"/>
        <w:rPr>
          <w:color w:val="auto"/>
        </w:rPr>
      </w:pPr>
      <w:bookmarkStart w:id="86" w:name="_Hlk19176155"/>
      <w:r>
        <w:rPr>
          <w:color w:val="auto"/>
        </w:rPr>
        <w:t>6.3.3澄清、说明或补正</w:t>
      </w:r>
    </w:p>
    <w:p w14:paraId="323C32BD">
      <w:pPr>
        <w:spacing w:before="120" w:line="320" w:lineRule="atLeast"/>
        <w:ind w:firstLine="420" w:firstLineChars="200"/>
        <w:rPr>
          <w:color w:val="auto"/>
        </w:rPr>
      </w:pPr>
      <w:r>
        <w:rPr>
          <w:rFonts w:hint="eastAsia"/>
          <w:color w:val="auto"/>
        </w:rPr>
        <w:t>（1）对投标文件中含义不明确、同类问题表述不一致或者有明显文字和计算错误的内容，评审委员会应在</w:t>
      </w:r>
      <w:r>
        <w:rPr>
          <w:rFonts w:hint="eastAsia"/>
          <w:color w:val="auto"/>
          <w:szCs w:val="21"/>
        </w:rPr>
        <w:t>广西政府采购云平台</w:t>
      </w:r>
      <w:r>
        <w:rPr>
          <w:rFonts w:hint="eastAsia"/>
          <w:color w:val="auto"/>
        </w:rPr>
        <w:t>发布电子澄清函，要求供应商在平台设置的时间内作出必要的澄清、说明或者补正。供应商在</w:t>
      </w:r>
      <w:r>
        <w:rPr>
          <w:rFonts w:hint="eastAsia"/>
          <w:color w:val="auto"/>
          <w:szCs w:val="21"/>
        </w:rPr>
        <w:t>广西政府采购云平台</w:t>
      </w:r>
      <w:r>
        <w:rPr>
          <w:rFonts w:hint="eastAsia"/>
          <w:color w:val="auto"/>
        </w:rPr>
        <w:t>接收到电子澄清函后根据澄清函内容直接在线编辑或上传PDF格式回函，电子澄清答复函使用CA证书加盖单位电子签章后提交至评审委员会。供应商的澄清、说明或者补正不得超出投标文件的范围或者改变投标文件的实质性内容。供应商未在规定时间内进行澄清、说明或者补正的，按无效投标处理。</w:t>
      </w:r>
    </w:p>
    <w:p w14:paraId="4A734557">
      <w:pPr>
        <w:spacing w:before="120" w:line="320" w:lineRule="atLeast"/>
        <w:ind w:firstLine="420" w:firstLineChars="200"/>
        <w:rPr>
          <w:color w:val="auto"/>
        </w:rPr>
      </w:pPr>
      <w:r>
        <w:rPr>
          <w:rFonts w:hint="eastAsia"/>
          <w:color w:val="auto"/>
        </w:rPr>
        <w:t>（2）异常情况处理：如遇无法正常使用线上发送澄清函的情况，将以书面形式执行。评审委员会以书面形式要求供应商在规定时间内作出必要的澄清、说明或者补正。供应商的澄清、说明或者补正必须采用书面形式，并加盖公章或者由法定代表人或者其授权的代表签字。</w:t>
      </w:r>
    </w:p>
    <w:p w14:paraId="4337FBCA">
      <w:pPr>
        <w:spacing w:before="120" w:line="320" w:lineRule="atLeast"/>
        <w:ind w:firstLine="420" w:firstLineChars="200"/>
        <w:rPr>
          <w:color w:val="auto"/>
        </w:rPr>
      </w:pPr>
      <w:r>
        <w:rPr>
          <w:color w:val="auto"/>
        </w:rPr>
        <w:t>6.3.4</w:t>
      </w:r>
      <w:r>
        <w:rPr>
          <w:rFonts w:hint="eastAsia"/>
          <w:color w:val="auto"/>
        </w:rPr>
        <w:t>报价</w:t>
      </w:r>
      <w:r>
        <w:rPr>
          <w:color w:val="auto"/>
        </w:rPr>
        <w:t>修正</w:t>
      </w:r>
    </w:p>
    <w:p w14:paraId="55C33E69">
      <w:pPr>
        <w:spacing w:before="120" w:line="320" w:lineRule="atLeast"/>
        <w:ind w:firstLine="420" w:firstLineChars="200"/>
        <w:rPr>
          <w:color w:val="auto"/>
        </w:rPr>
      </w:pPr>
      <w:r>
        <w:rPr>
          <w:rFonts w:hint="eastAsia"/>
          <w:color w:val="auto"/>
        </w:rPr>
        <w:t>（1）报价出现前后不一致的，按照下列规定修正：</w:t>
      </w:r>
    </w:p>
    <w:p w14:paraId="3E3E2DAB">
      <w:pPr>
        <w:spacing w:before="120" w:line="320" w:lineRule="atLeast"/>
        <w:ind w:firstLine="420" w:firstLineChars="200"/>
        <w:rPr>
          <w:color w:val="auto"/>
          <w:szCs w:val="21"/>
        </w:rPr>
      </w:pPr>
      <w:r>
        <w:rPr>
          <w:rFonts w:hint="eastAsia" w:ascii="宋体" w:hAnsi="宋体"/>
          <w:color w:val="auto"/>
          <w:szCs w:val="21"/>
        </w:rPr>
        <w:t>①</w:t>
      </w:r>
      <w:r>
        <w:rPr>
          <w:color w:val="auto"/>
          <w:szCs w:val="21"/>
        </w:rPr>
        <w:t>投标文件中开标一览表（报价表）内容与投标文件中相应内容不一致的，以开标一览表（报价表）为准；</w:t>
      </w:r>
    </w:p>
    <w:p w14:paraId="726AC5B2">
      <w:pPr>
        <w:spacing w:before="120" w:line="320" w:lineRule="atLeast"/>
        <w:ind w:firstLine="420" w:firstLineChars="200"/>
        <w:rPr>
          <w:color w:val="auto"/>
          <w:szCs w:val="21"/>
        </w:rPr>
      </w:pPr>
      <w:r>
        <w:rPr>
          <w:rFonts w:ascii="宋体" w:hAnsi="宋体"/>
          <w:color w:val="auto"/>
          <w:szCs w:val="21"/>
        </w:rPr>
        <w:t>②</w:t>
      </w:r>
      <w:r>
        <w:rPr>
          <w:color w:val="auto"/>
          <w:szCs w:val="21"/>
        </w:rPr>
        <w:t>大写金额和小写金额不一致的，以大写金额为准；</w:t>
      </w:r>
    </w:p>
    <w:p w14:paraId="052F2FEF">
      <w:pPr>
        <w:spacing w:before="120" w:line="320" w:lineRule="atLeast"/>
        <w:ind w:firstLine="420" w:firstLineChars="200"/>
        <w:rPr>
          <w:color w:val="auto"/>
          <w:szCs w:val="21"/>
        </w:rPr>
      </w:pPr>
      <w:r>
        <w:rPr>
          <w:rFonts w:hint="eastAsia"/>
          <w:color w:val="auto"/>
          <w:szCs w:val="21"/>
        </w:rPr>
        <w:t>③</w:t>
      </w:r>
      <w:r>
        <w:rPr>
          <w:color w:val="auto"/>
          <w:szCs w:val="21"/>
        </w:rPr>
        <w:t>单价金额小数点或者百分比有明显错位的，以开标一览表的总价为准，并修改单价；</w:t>
      </w:r>
    </w:p>
    <w:p w14:paraId="7E4E9772">
      <w:pPr>
        <w:spacing w:before="120" w:line="320" w:lineRule="atLeast"/>
        <w:ind w:firstLine="420" w:firstLineChars="200"/>
        <w:rPr>
          <w:color w:val="auto"/>
          <w:szCs w:val="21"/>
        </w:rPr>
      </w:pPr>
      <w:r>
        <w:rPr>
          <w:rFonts w:hint="eastAsia"/>
          <w:color w:val="auto"/>
          <w:szCs w:val="21"/>
        </w:rPr>
        <w:t>④</w:t>
      </w:r>
      <w:r>
        <w:rPr>
          <w:color w:val="auto"/>
          <w:szCs w:val="21"/>
        </w:rPr>
        <w:t>总价金额与按单价汇总金额不一致的，以单价金额计算结果为准</w:t>
      </w:r>
      <w:r>
        <w:rPr>
          <w:rFonts w:hint="eastAsia"/>
          <w:color w:val="auto"/>
          <w:szCs w:val="21"/>
        </w:rPr>
        <w:t>。</w:t>
      </w:r>
    </w:p>
    <w:p w14:paraId="2814F663">
      <w:pPr>
        <w:spacing w:before="120" w:line="320" w:lineRule="atLeast"/>
        <w:ind w:firstLine="420" w:firstLineChars="200"/>
        <w:rPr>
          <w:color w:val="auto"/>
          <w:szCs w:val="21"/>
        </w:rPr>
      </w:pPr>
      <w:r>
        <w:rPr>
          <w:rFonts w:hint="eastAsia"/>
          <w:color w:val="auto"/>
          <w:szCs w:val="21"/>
        </w:rPr>
        <w:t>同时出现两种以上不一致的，按照上述</w:t>
      </w:r>
      <w:r>
        <w:rPr>
          <w:rFonts w:hint="eastAsia" w:ascii="宋体" w:hAnsi="宋体"/>
          <w:color w:val="auto"/>
          <w:szCs w:val="21"/>
        </w:rPr>
        <w:t>①-</w:t>
      </w:r>
      <w:r>
        <w:rPr>
          <w:rFonts w:hint="eastAsia"/>
          <w:color w:val="auto"/>
          <w:szCs w:val="21"/>
        </w:rPr>
        <w:t>④顺序修正。修正后的报价按照上述“</w:t>
      </w:r>
      <w:r>
        <w:rPr>
          <w:color w:val="auto"/>
          <w:szCs w:val="21"/>
        </w:rPr>
        <w:t>6.3.3</w:t>
      </w:r>
      <w:r>
        <w:rPr>
          <w:rFonts w:hint="eastAsia"/>
          <w:color w:val="auto"/>
          <w:szCs w:val="21"/>
        </w:rPr>
        <w:t>澄清、说明或补正”的规定经供应商确认后产生约束力，供应商不确认的，其投标无效。</w:t>
      </w:r>
    </w:p>
    <w:p w14:paraId="473D051D">
      <w:pPr>
        <w:spacing w:before="120" w:line="320" w:lineRule="atLeast"/>
        <w:ind w:firstLine="420" w:firstLineChars="200"/>
        <w:rPr>
          <w:color w:val="auto"/>
          <w:szCs w:val="21"/>
        </w:rPr>
      </w:pPr>
      <w:r>
        <w:rPr>
          <w:rFonts w:hint="eastAsia"/>
          <w:color w:val="auto"/>
          <w:szCs w:val="21"/>
        </w:rPr>
        <w:t>（</w:t>
      </w:r>
      <w:r>
        <w:rPr>
          <w:color w:val="auto"/>
          <w:szCs w:val="21"/>
        </w:rPr>
        <w:t>2</w:t>
      </w:r>
      <w:r>
        <w:rPr>
          <w:rFonts w:hint="eastAsia"/>
          <w:color w:val="auto"/>
          <w:szCs w:val="21"/>
        </w:rPr>
        <w:t>）评审委员会认为供应商的报价明显低于其他通过符合性审查供应商的报价，有可能影响产品质量或者不能诚信履约的，应当要求其在合理的时间内提交相关书面证明材料；评审委员会可以要求供应商就提供货物的主要成本、销售费用、管理费用、财务费用、履约费用、计划利润、税金及附加等成本构成事项进行详细陈述。书面证明应当按照上述“</w:t>
      </w:r>
      <w:r>
        <w:rPr>
          <w:color w:val="auto"/>
          <w:szCs w:val="21"/>
        </w:rPr>
        <w:t>6.3.3</w:t>
      </w:r>
      <w:r>
        <w:rPr>
          <w:rFonts w:hint="eastAsia"/>
          <w:color w:val="auto"/>
          <w:szCs w:val="21"/>
        </w:rPr>
        <w:t>澄清、说明或补正”的规定提交。供应商未按规定提交或不能证明其报价合理性的，评审委员会应当将其作为无效投标处理。</w:t>
      </w:r>
    </w:p>
    <w:p w14:paraId="0AF9F883">
      <w:pPr>
        <w:spacing w:before="120" w:line="320" w:lineRule="atLeast"/>
        <w:ind w:firstLine="420" w:firstLineChars="200"/>
        <w:rPr>
          <w:color w:val="auto"/>
          <w:szCs w:val="21"/>
        </w:rPr>
      </w:pPr>
      <w:r>
        <w:rPr>
          <w:rFonts w:hint="eastAsia"/>
          <w:color w:val="auto"/>
          <w:szCs w:val="21"/>
        </w:rPr>
        <w:t>（</w:t>
      </w:r>
      <w:r>
        <w:rPr>
          <w:color w:val="auto"/>
          <w:szCs w:val="21"/>
        </w:rPr>
        <w:t>3</w:t>
      </w:r>
      <w:r>
        <w:rPr>
          <w:rFonts w:hint="eastAsia"/>
          <w:color w:val="auto"/>
          <w:szCs w:val="21"/>
        </w:rPr>
        <w:t>）经供应商确认修正后的报价若超过采购预算金额或者最高限价，其投标文件作无效投标处理。</w:t>
      </w:r>
    </w:p>
    <w:p w14:paraId="32BF7E4D">
      <w:pPr>
        <w:spacing w:before="120" w:line="320" w:lineRule="atLeast"/>
        <w:ind w:firstLine="420" w:firstLineChars="200"/>
        <w:rPr>
          <w:color w:val="auto"/>
          <w:szCs w:val="21"/>
        </w:rPr>
      </w:pPr>
      <w:r>
        <w:rPr>
          <w:rFonts w:hint="eastAsia"/>
          <w:color w:val="auto"/>
          <w:szCs w:val="21"/>
        </w:rPr>
        <w:t>（</w:t>
      </w:r>
      <w:r>
        <w:rPr>
          <w:color w:val="auto"/>
          <w:szCs w:val="21"/>
        </w:rPr>
        <w:t>4</w:t>
      </w:r>
      <w:r>
        <w:rPr>
          <w:rFonts w:hint="eastAsia"/>
          <w:color w:val="auto"/>
          <w:szCs w:val="21"/>
        </w:rPr>
        <w:t>）经供应产确认修正后的报价作为签订合同的依据，并以此报价计算价格分。</w:t>
      </w:r>
    </w:p>
    <w:p w14:paraId="775D191A">
      <w:pPr>
        <w:spacing w:before="120" w:line="320" w:lineRule="atLeast"/>
        <w:ind w:firstLine="420" w:firstLineChars="200"/>
        <w:rPr>
          <w:color w:val="auto"/>
          <w:szCs w:val="21"/>
        </w:rPr>
      </w:pPr>
      <w:r>
        <w:rPr>
          <w:rFonts w:hint="eastAsia"/>
          <w:color w:val="auto"/>
          <w:szCs w:val="21"/>
        </w:rPr>
        <w:t>6</w:t>
      </w:r>
      <w:r>
        <w:rPr>
          <w:color w:val="auto"/>
          <w:szCs w:val="21"/>
        </w:rPr>
        <w:t>.3.5</w:t>
      </w:r>
      <w:r>
        <w:rPr>
          <w:rFonts w:hint="eastAsia"/>
          <w:color w:val="auto"/>
          <w:szCs w:val="21"/>
        </w:rPr>
        <w:t>相同品牌认定（仅适用于货物采购项目）</w:t>
      </w:r>
    </w:p>
    <w:p w14:paraId="4998DF13">
      <w:pPr>
        <w:spacing w:before="120" w:line="320" w:lineRule="atLeast"/>
        <w:ind w:firstLine="420" w:firstLineChars="200"/>
        <w:rPr>
          <w:color w:val="auto"/>
          <w:szCs w:val="21"/>
        </w:rPr>
      </w:pPr>
      <w:r>
        <w:rPr>
          <w:rFonts w:hint="eastAsia"/>
          <w:color w:val="auto"/>
          <w:szCs w:val="21"/>
        </w:rPr>
        <w:t>（1）单一产品采购项目，</w:t>
      </w:r>
      <w:r>
        <w:rPr>
          <w:color w:val="auto"/>
        </w:rPr>
        <w:t>不同供应商提供的产品品牌相同时，</w:t>
      </w:r>
      <w:r>
        <w:rPr>
          <w:rFonts w:hint="eastAsia"/>
          <w:color w:val="auto"/>
        </w:rPr>
        <w:t>按以下</w:t>
      </w:r>
      <w:r>
        <w:rPr>
          <w:color w:val="auto"/>
        </w:rPr>
        <w:t>规定</w:t>
      </w:r>
      <w:r>
        <w:rPr>
          <w:rFonts w:hint="eastAsia"/>
          <w:color w:val="auto"/>
        </w:rPr>
        <w:t>确定</w:t>
      </w:r>
      <w:r>
        <w:rPr>
          <w:bCs/>
          <w:color w:val="auto"/>
          <w:kern w:val="0"/>
          <w:szCs w:val="21"/>
        </w:rPr>
        <w:t>相同品牌的投标有效性</w:t>
      </w:r>
      <w:r>
        <w:rPr>
          <w:color w:val="auto"/>
        </w:rPr>
        <w:t>。</w:t>
      </w:r>
    </w:p>
    <w:bookmarkEnd w:id="86"/>
    <w:p w14:paraId="08B2B3A6">
      <w:pPr>
        <w:spacing w:before="120" w:line="320" w:lineRule="atLeast"/>
        <w:ind w:firstLine="420" w:firstLineChars="200"/>
        <w:rPr>
          <w:color w:val="auto"/>
          <w:szCs w:val="21"/>
        </w:rPr>
      </w:pPr>
      <w:r>
        <w:rPr>
          <w:rFonts w:hint="eastAsia" w:ascii="宋体" w:hAnsi="宋体"/>
          <w:color w:val="auto"/>
          <w:szCs w:val="21"/>
        </w:rPr>
        <w:t>①采</w:t>
      </w:r>
      <w:r>
        <w:rPr>
          <w:rFonts w:hint="eastAsia"/>
          <w:color w:val="auto"/>
          <w:szCs w:val="21"/>
        </w:rPr>
        <w:t>用综合评分法的采购项目，提供相同品牌产品且通过资格审查、符合性审查的不同供应商参加同一合同项下投标的，按一家供应商计算，评审后得分最高的同品牌供应商获得中标人推荐资格；评审得分相同的，由采购人或者采购人委托评审委员会按照招标文件规定的方式确定一个供应商获得中标人推荐资格，招标文件未规定的采取随机抽取方式确定，其他同品牌供应商不作为中标候选人。</w:t>
      </w:r>
    </w:p>
    <w:p w14:paraId="4AA28F51">
      <w:pPr>
        <w:spacing w:before="120" w:line="320" w:lineRule="atLeast"/>
        <w:ind w:firstLine="420" w:firstLineChars="200"/>
        <w:rPr>
          <w:color w:val="auto"/>
          <w:szCs w:val="21"/>
        </w:rPr>
      </w:pPr>
      <w:r>
        <w:rPr>
          <w:rFonts w:ascii="宋体" w:hAnsi="宋体"/>
          <w:color w:val="auto"/>
          <w:szCs w:val="21"/>
        </w:rPr>
        <w:t>②</w:t>
      </w:r>
      <w:r>
        <w:rPr>
          <w:rFonts w:hint="eastAsia"/>
          <w:color w:val="auto"/>
          <w:szCs w:val="21"/>
        </w:rPr>
        <w:t>采用最低评标价法的采购项目，提供相同品牌产品的不同供应商参加同一合同项下投标的，以其中通过资格审查、符合性审查且报价最低的参加评标；报价相同的，由采购人或者采购人委托评审委员会按照招标文件规定的方式确定一个参加评标的供应商，招标文件未规定的采取随机抽取方式确定，其他投标无效。</w:t>
      </w:r>
    </w:p>
    <w:p w14:paraId="5960F01D">
      <w:pPr>
        <w:spacing w:before="120" w:line="320" w:lineRule="atLeast"/>
        <w:ind w:firstLine="420" w:firstLineChars="200"/>
        <w:rPr>
          <w:color w:val="auto"/>
        </w:rPr>
      </w:pPr>
      <w:r>
        <w:rPr>
          <w:rFonts w:hint="eastAsia"/>
          <w:color w:val="auto"/>
          <w:szCs w:val="21"/>
        </w:rPr>
        <w:t>（2）非单一产品采购项目，</w:t>
      </w:r>
      <w:r>
        <w:rPr>
          <w:color w:val="auto"/>
          <w:szCs w:val="21"/>
        </w:rPr>
        <w:t>采购人应当确定核心产品，并在招标文件中载明。</w:t>
      </w:r>
      <w:r>
        <w:rPr>
          <w:rFonts w:hint="eastAsia"/>
          <w:color w:val="auto"/>
          <w:szCs w:val="21"/>
        </w:rPr>
        <w:t>不同</w:t>
      </w:r>
      <w:r>
        <w:rPr>
          <w:color w:val="auto"/>
          <w:szCs w:val="21"/>
        </w:rPr>
        <w:t>供应商提供的核心产品品牌相同的，按上述规定处理。核心产品</w:t>
      </w:r>
      <w:r>
        <w:rPr>
          <w:rFonts w:hint="eastAsia"/>
          <w:color w:val="auto"/>
          <w:szCs w:val="21"/>
        </w:rPr>
        <w:t>在第二章</w:t>
      </w:r>
      <w:r>
        <w:rPr>
          <w:color w:val="auto"/>
          <w:szCs w:val="21"/>
        </w:rPr>
        <w:t>采购需求规定。</w:t>
      </w:r>
    </w:p>
    <w:p w14:paraId="76E872A1">
      <w:pPr>
        <w:spacing w:before="120" w:line="320" w:lineRule="atLeast"/>
        <w:ind w:firstLine="420" w:firstLineChars="200"/>
        <w:rPr>
          <w:color w:val="auto"/>
          <w:szCs w:val="21"/>
        </w:rPr>
      </w:pPr>
      <w:r>
        <w:rPr>
          <w:color w:val="auto"/>
          <w:szCs w:val="21"/>
        </w:rPr>
        <w:t>6.3.6串通投标认定</w:t>
      </w:r>
    </w:p>
    <w:p w14:paraId="4E82927C">
      <w:pPr>
        <w:spacing w:before="120" w:line="320" w:lineRule="atLeast"/>
        <w:ind w:firstLine="420" w:firstLineChars="200"/>
        <w:rPr>
          <w:color w:val="auto"/>
        </w:rPr>
      </w:pPr>
      <w:r>
        <w:rPr>
          <w:color w:val="auto"/>
          <w:szCs w:val="21"/>
        </w:rPr>
        <w:t>评审委员会须根据</w:t>
      </w:r>
      <w:r>
        <w:rPr>
          <w:rFonts w:hint="eastAsia"/>
          <w:color w:val="auto"/>
          <w:szCs w:val="21"/>
        </w:rPr>
        <w:t>以下</w:t>
      </w:r>
      <w:r>
        <w:rPr>
          <w:color w:val="auto"/>
          <w:szCs w:val="21"/>
        </w:rPr>
        <w:t>规定</w:t>
      </w:r>
      <w:r>
        <w:rPr>
          <w:rFonts w:hint="eastAsia"/>
          <w:color w:val="auto"/>
          <w:szCs w:val="21"/>
        </w:rPr>
        <w:t>认定</w:t>
      </w:r>
      <w:r>
        <w:rPr>
          <w:color w:val="auto"/>
          <w:szCs w:val="21"/>
        </w:rPr>
        <w:t>供应商是否有</w:t>
      </w:r>
      <w:r>
        <w:rPr>
          <w:bCs/>
          <w:color w:val="auto"/>
          <w:kern w:val="0"/>
          <w:szCs w:val="21"/>
        </w:rPr>
        <w:t>串通投标的行为</w:t>
      </w:r>
      <w:r>
        <w:rPr>
          <w:color w:val="auto"/>
        </w:rPr>
        <w:t>。</w:t>
      </w:r>
    </w:p>
    <w:p w14:paraId="023A6C9A">
      <w:pPr>
        <w:spacing w:before="120" w:line="320" w:lineRule="atLeast"/>
        <w:ind w:firstLine="420" w:firstLineChars="200"/>
        <w:rPr>
          <w:color w:val="auto"/>
          <w:szCs w:val="21"/>
        </w:rPr>
      </w:pPr>
      <w:bookmarkStart w:id="87" w:name="_Hlk19122026"/>
      <w:r>
        <w:rPr>
          <w:rFonts w:hint="eastAsia"/>
          <w:color w:val="auto"/>
          <w:szCs w:val="21"/>
        </w:rPr>
        <w:t>（1）</w:t>
      </w:r>
      <w:bookmarkEnd w:id="87"/>
      <w:r>
        <w:rPr>
          <w:color w:val="auto"/>
          <w:szCs w:val="21"/>
        </w:rPr>
        <w:t>根据《关于防治政府采购招标中串通投标行为的通知》</w:t>
      </w:r>
      <w:r>
        <w:rPr>
          <w:rFonts w:hint="eastAsia"/>
          <w:color w:val="auto"/>
          <w:szCs w:val="21"/>
        </w:rPr>
        <w:t>（</w:t>
      </w:r>
      <w:r>
        <w:rPr>
          <w:color w:val="auto"/>
          <w:szCs w:val="21"/>
        </w:rPr>
        <w:t>桂财采[2016]42号</w:t>
      </w:r>
      <w:r>
        <w:rPr>
          <w:rFonts w:hint="eastAsia"/>
          <w:color w:val="auto"/>
          <w:szCs w:val="21"/>
        </w:rPr>
        <w:t>）</w:t>
      </w:r>
      <w:r>
        <w:rPr>
          <w:color w:val="auto"/>
          <w:szCs w:val="21"/>
        </w:rPr>
        <w:t>规定，出现下述情况的，相关供应商的投标作无效投标处理。</w:t>
      </w:r>
    </w:p>
    <w:p w14:paraId="16650359">
      <w:pPr>
        <w:spacing w:before="120" w:line="320" w:lineRule="atLeast"/>
        <w:ind w:firstLine="420" w:firstLineChars="200"/>
        <w:rPr>
          <w:color w:val="auto"/>
          <w:szCs w:val="21"/>
        </w:rPr>
      </w:pPr>
      <w:bookmarkStart w:id="88" w:name="_Hlk19122039"/>
      <w:r>
        <w:rPr>
          <w:rFonts w:hint="eastAsia" w:ascii="宋体" w:hAnsi="宋体" w:cs="宋体"/>
          <w:color w:val="auto"/>
          <w:szCs w:val="21"/>
        </w:rPr>
        <w:t>①</w:t>
      </w:r>
      <w:r>
        <w:rPr>
          <w:color w:val="auto"/>
          <w:szCs w:val="21"/>
        </w:rPr>
        <w:t>单位负责人为同一人或者存在直接控股、管理关系，参加同一合同项下政府采购活动的不同供应商。</w:t>
      </w:r>
    </w:p>
    <w:p w14:paraId="3C3E380A">
      <w:pPr>
        <w:spacing w:before="120" w:line="320" w:lineRule="atLeast"/>
        <w:ind w:firstLine="420" w:firstLineChars="200"/>
        <w:rPr>
          <w:color w:val="auto"/>
          <w:szCs w:val="21"/>
        </w:rPr>
      </w:pPr>
      <w:r>
        <w:rPr>
          <w:rFonts w:hint="eastAsia"/>
          <w:color w:val="auto"/>
          <w:szCs w:val="21"/>
        </w:rPr>
        <w:t>②</w:t>
      </w:r>
      <w:r>
        <w:rPr>
          <w:color w:val="auto"/>
          <w:szCs w:val="21"/>
        </w:rPr>
        <w:t>授权给供应商后参加同一合同项（分标、分包）投标的生产厂商。</w:t>
      </w:r>
    </w:p>
    <w:p w14:paraId="39F8A5C9">
      <w:pPr>
        <w:spacing w:before="120" w:line="320" w:lineRule="atLeast"/>
        <w:ind w:firstLine="420" w:firstLineChars="200"/>
        <w:rPr>
          <w:color w:val="auto"/>
          <w:szCs w:val="21"/>
        </w:rPr>
      </w:pPr>
      <w:r>
        <w:rPr>
          <w:rFonts w:hint="eastAsia"/>
          <w:color w:val="auto"/>
          <w:szCs w:val="21"/>
        </w:rPr>
        <w:t>③</w:t>
      </w:r>
      <w:r>
        <w:rPr>
          <w:color w:val="auto"/>
          <w:szCs w:val="21"/>
        </w:rPr>
        <w:t>视为或被认定为串通投标的相关供应商。</w:t>
      </w:r>
    </w:p>
    <w:bookmarkEnd w:id="88"/>
    <w:p w14:paraId="12FCD4CF">
      <w:pPr>
        <w:spacing w:before="120" w:line="320" w:lineRule="atLeast"/>
        <w:ind w:firstLine="420" w:firstLineChars="200"/>
        <w:rPr>
          <w:color w:val="auto"/>
          <w:szCs w:val="21"/>
        </w:rPr>
      </w:pPr>
      <w:bookmarkStart w:id="89" w:name="_Hlk19122058"/>
      <w:r>
        <w:rPr>
          <w:rFonts w:hint="eastAsia"/>
          <w:color w:val="auto"/>
          <w:szCs w:val="21"/>
        </w:rPr>
        <w:t>（2）</w:t>
      </w:r>
      <w:bookmarkEnd w:id="89"/>
      <w:r>
        <w:rPr>
          <w:color w:val="auto"/>
          <w:szCs w:val="21"/>
        </w:rPr>
        <w:t>根据《关于防治政府采购招标中串通投标行为的通知》</w:t>
      </w:r>
      <w:r>
        <w:rPr>
          <w:rFonts w:hint="eastAsia"/>
          <w:color w:val="auto"/>
          <w:szCs w:val="21"/>
        </w:rPr>
        <w:t>（</w:t>
      </w:r>
      <w:r>
        <w:rPr>
          <w:color w:val="auto"/>
          <w:szCs w:val="21"/>
        </w:rPr>
        <w:t>桂财采[2016]42号</w:t>
      </w:r>
      <w:r>
        <w:rPr>
          <w:rFonts w:hint="eastAsia"/>
          <w:color w:val="auto"/>
          <w:szCs w:val="21"/>
        </w:rPr>
        <w:t>）</w:t>
      </w:r>
      <w:r>
        <w:rPr>
          <w:color w:val="auto"/>
          <w:szCs w:val="21"/>
        </w:rPr>
        <w:t>规定，有下列情形之一的视为供应商相互串通投标，投标文件将被视为无效。</w:t>
      </w:r>
    </w:p>
    <w:p w14:paraId="087CB2F0">
      <w:pPr>
        <w:spacing w:before="120" w:line="320" w:lineRule="atLeast"/>
        <w:ind w:firstLine="420" w:firstLineChars="200"/>
        <w:rPr>
          <w:color w:val="auto"/>
          <w:szCs w:val="21"/>
        </w:rPr>
      </w:pPr>
      <w:bookmarkStart w:id="90" w:name="_Hlk19122048"/>
      <w:r>
        <w:rPr>
          <w:rFonts w:hint="eastAsia" w:ascii="宋体" w:hAnsi="宋体" w:cs="宋体"/>
          <w:color w:val="auto"/>
          <w:szCs w:val="21"/>
        </w:rPr>
        <w:t>①</w:t>
      </w:r>
      <w:r>
        <w:rPr>
          <w:color w:val="auto"/>
          <w:szCs w:val="21"/>
        </w:rPr>
        <w:t>不同供应商的投标文件由同一单位或者个人编制；或不同供应商报名的IP地址一致的；</w:t>
      </w:r>
    </w:p>
    <w:p w14:paraId="32E95B55">
      <w:pPr>
        <w:spacing w:before="120" w:line="320" w:lineRule="atLeast"/>
        <w:ind w:firstLine="420" w:firstLineChars="200"/>
        <w:rPr>
          <w:color w:val="auto"/>
          <w:szCs w:val="21"/>
        </w:rPr>
      </w:pPr>
      <w:r>
        <w:rPr>
          <w:rFonts w:hint="eastAsia"/>
          <w:color w:val="auto"/>
          <w:szCs w:val="21"/>
        </w:rPr>
        <w:t>②</w:t>
      </w:r>
      <w:r>
        <w:rPr>
          <w:color w:val="auto"/>
          <w:szCs w:val="21"/>
        </w:rPr>
        <w:t>不同供应商委托同一单位或者个人办理投标事宜；</w:t>
      </w:r>
    </w:p>
    <w:p w14:paraId="3D61A3EC">
      <w:pPr>
        <w:spacing w:before="120" w:line="320" w:lineRule="atLeast"/>
        <w:ind w:firstLine="420" w:firstLineChars="200"/>
        <w:rPr>
          <w:color w:val="auto"/>
          <w:szCs w:val="21"/>
        </w:rPr>
      </w:pPr>
      <w:r>
        <w:rPr>
          <w:rFonts w:hint="eastAsia"/>
          <w:color w:val="auto"/>
          <w:szCs w:val="21"/>
        </w:rPr>
        <w:t>③</w:t>
      </w:r>
      <w:r>
        <w:rPr>
          <w:color w:val="auto"/>
          <w:szCs w:val="21"/>
        </w:rPr>
        <w:t>不同的供应商的投标文件载明的项目管理员为同一个人；</w:t>
      </w:r>
    </w:p>
    <w:p w14:paraId="65DA589E">
      <w:pPr>
        <w:spacing w:before="120" w:line="320" w:lineRule="atLeast"/>
        <w:ind w:firstLine="420" w:firstLineChars="200"/>
        <w:rPr>
          <w:color w:val="auto"/>
          <w:szCs w:val="21"/>
        </w:rPr>
      </w:pPr>
      <w:r>
        <w:rPr>
          <w:rFonts w:hint="eastAsia"/>
          <w:color w:val="auto"/>
          <w:szCs w:val="21"/>
        </w:rPr>
        <w:t>④</w:t>
      </w:r>
      <w:r>
        <w:rPr>
          <w:color w:val="auto"/>
          <w:szCs w:val="21"/>
        </w:rPr>
        <w:t>不同供应商的投标文件异常一致或投标报价呈规律性差异；</w:t>
      </w:r>
    </w:p>
    <w:p w14:paraId="048694F8">
      <w:pPr>
        <w:spacing w:before="120" w:line="320" w:lineRule="atLeast"/>
        <w:ind w:firstLine="420" w:firstLineChars="200"/>
        <w:rPr>
          <w:color w:val="auto"/>
          <w:szCs w:val="21"/>
        </w:rPr>
      </w:pPr>
      <w:r>
        <w:rPr>
          <w:rFonts w:hint="eastAsia"/>
          <w:color w:val="auto"/>
          <w:szCs w:val="21"/>
        </w:rPr>
        <w:t>⑤</w:t>
      </w:r>
      <w:r>
        <w:rPr>
          <w:color w:val="auto"/>
          <w:szCs w:val="21"/>
        </w:rPr>
        <w:t>不同供应商的投标文件相互混装；</w:t>
      </w:r>
    </w:p>
    <w:p w14:paraId="3A0DB354">
      <w:pPr>
        <w:spacing w:before="120" w:line="320" w:lineRule="atLeast"/>
        <w:ind w:firstLine="420" w:firstLineChars="200"/>
        <w:rPr>
          <w:color w:val="auto"/>
          <w:szCs w:val="21"/>
        </w:rPr>
      </w:pPr>
      <w:r>
        <w:rPr>
          <w:rFonts w:hint="eastAsia"/>
          <w:color w:val="auto"/>
          <w:szCs w:val="21"/>
        </w:rPr>
        <w:t>⑥</w:t>
      </w:r>
      <w:r>
        <w:rPr>
          <w:color w:val="auto"/>
          <w:szCs w:val="21"/>
        </w:rPr>
        <w:t>不同供应商的保证金从同一单位或者个人账户转出。</w:t>
      </w:r>
    </w:p>
    <w:bookmarkEnd w:id="90"/>
    <w:p w14:paraId="3AA57110">
      <w:pPr>
        <w:spacing w:before="120" w:line="320" w:lineRule="atLeast"/>
        <w:ind w:firstLine="420" w:firstLineChars="200"/>
        <w:rPr>
          <w:color w:val="auto"/>
          <w:szCs w:val="21"/>
        </w:rPr>
      </w:pPr>
      <w:bookmarkStart w:id="91" w:name="_Hlk19122102"/>
      <w:r>
        <w:rPr>
          <w:rFonts w:hint="eastAsia"/>
          <w:color w:val="auto"/>
          <w:szCs w:val="21"/>
        </w:rPr>
        <w:t>（3）</w:t>
      </w:r>
      <w:bookmarkEnd w:id="91"/>
      <w:r>
        <w:rPr>
          <w:color w:val="auto"/>
          <w:szCs w:val="21"/>
        </w:rPr>
        <w:t>根据《关于防治政府采购招标中串通投标行为的通知》</w:t>
      </w:r>
      <w:r>
        <w:rPr>
          <w:rFonts w:hint="eastAsia"/>
          <w:color w:val="auto"/>
          <w:szCs w:val="21"/>
        </w:rPr>
        <w:t>（</w:t>
      </w:r>
      <w:r>
        <w:rPr>
          <w:color w:val="auto"/>
          <w:szCs w:val="21"/>
        </w:rPr>
        <w:t>桂财采[2016]42号</w:t>
      </w:r>
      <w:r>
        <w:rPr>
          <w:rFonts w:hint="eastAsia"/>
          <w:color w:val="auto"/>
          <w:szCs w:val="21"/>
        </w:rPr>
        <w:t>）</w:t>
      </w:r>
      <w:r>
        <w:rPr>
          <w:color w:val="auto"/>
          <w:szCs w:val="21"/>
        </w:rPr>
        <w:t>规定，供应商有下列情形之一的，属于恶意串通行为，投标文件将被视为无效。</w:t>
      </w:r>
    </w:p>
    <w:p w14:paraId="77EF3A97">
      <w:pPr>
        <w:spacing w:before="120" w:line="320" w:lineRule="atLeast"/>
        <w:ind w:firstLine="420" w:firstLineChars="200"/>
        <w:rPr>
          <w:color w:val="auto"/>
          <w:szCs w:val="21"/>
        </w:rPr>
      </w:pPr>
      <w:bookmarkStart w:id="92" w:name="_Hlk19122095"/>
      <w:r>
        <w:rPr>
          <w:rFonts w:hint="eastAsia"/>
          <w:color w:val="auto"/>
          <w:szCs w:val="21"/>
        </w:rPr>
        <w:t>①</w:t>
      </w:r>
      <w:r>
        <w:rPr>
          <w:color w:val="auto"/>
          <w:szCs w:val="21"/>
        </w:rPr>
        <w:t>供应商直接或者间接从采购人或者采购代理机构处获得其他供应商的相关信息并修改其投标文件或者投标文件；</w:t>
      </w:r>
    </w:p>
    <w:p w14:paraId="2FA7B382">
      <w:pPr>
        <w:spacing w:before="120" w:line="320" w:lineRule="atLeast"/>
        <w:ind w:firstLine="420" w:firstLineChars="200"/>
        <w:rPr>
          <w:color w:val="auto"/>
          <w:szCs w:val="21"/>
        </w:rPr>
      </w:pPr>
      <w:r>
        <w:rPr>
          <w:rFonts w:hint="eastAsia"/>
          <w:color w:val="auto"/>
          <w:szCs w:val="21"/>
        </w:rPr>
        <w:t>②</w:t>
      </w:r>
      <w:r>
        <w:rPr>
          <w:color w:val="auto"/>
          <w:szCs w:val="21"/>
        </w:rPr>
        <w:t>供应商按照采购人或者采购代理机构的授意撤换、修改投标文件或者投标文件;；</w:t>
      </w:r>
    </w:p>
    <w:p w14:paraId="4F9E576B">
      <w:pPr>
        <w:spacing w:before="120" w:line="320" w:lineRule="atLeast"/>
        <w:ind w:firstLine="420" w:firstLineChars="200"/>
        <w:rPr>
          <w:color w:val="auto"/>
          <w:szCs w:val="21"/>
        </w:rPr>
      </w:pPr>
      <w:r>
        <w:rPr>
          <w:rFonts w:hint="eastAsia"/>
          <w:color w:val="auto"/>
          <w:szCs w:val="21"/>
        </w:rPr>
        <w:t>③</w:t>
      </w:r>
      <w:r>
        <w:rPr>
          <w:color w:val="auto"/>
          <w:szCs w:val="21"/>
        </w:rPr>
        <w:t>供应商之间协商报价、技术方案等投标文件或者投标文件的实质性内容；</w:t>
      </w:r>
    </w:p>
    <w:p w14:paraId="088C91DF">
      <w:pPr>
        <w:spacing w:before="120" w:line="320" w:lineRule="atLeast"/>
        <w:ind w:firstLine="420" w:firstLineChars="200"/>
        <w:rPr>
          <w:color w:val="auto"/>
          <w:szCs w:val="21"/>
        </w:rPr>
      </w:pPr>
      <w:r>
        <w:rPr>
          <w:rFonts w:hint="eastAsia"/>
          <w:color w:val="auto"/>
          <w:szCs w:val="21"/>
        </w:rPr>
        <w:t>④</w:t>
      </w:r>
      <w:r>
        <w:rPr>
          <w:color w:val="auto"/>
          <w:szCs w:val="21"/>
        </w:rPr>
        <w:t>属于同一集团、协会、商会等组织成员的供应商按照该组织要求协同参加政府采购活动；</w:t>
      </w:r>
    </w:p>
    <w:p w14:paraId="13C4BE01">
      <w:pPr>
        <w:spacing w:before="120" w:line="320" w:lineRule="atLeast"/>
        <w:ind w:firstLine="420" w:firstLineChars="200"/>
        <w:rPr>
          <w:color w:val="auto"/>
          <w:szCs w:val="21"/>
        </w:rPr>
      </w:pPr>
      <w:r>
        <w:rPr>
          <w:rFonts w:hint="eastAsia"/>
          <w:color w:val="auto"/>
          <w:szCs w:val="21"/>
        </w:rPr>
        <w:t>⑤</w:t>
      </w:r>
      <w:r>
        <w:rPr>
          <w:color w:val="auto"/>
          <w:szCs w:val="21"/>
        </w:rPr>
        <w:t>供应商之间事先约定一致抬高或者压低投标报价，或者在招标项目中事先约定轮流以高价位或者低价位中标，或者事先约定由某一特定供应商中标，然后再参加投标；</w:t>
      </w:r>
    </w:p>
    <w:p w14:paraId="7DB9E35B">
      <w:pPr>
        <w:spacing w:before="120" w:line="320" w:lineRule="atLeast"/>
        <w:ind w:firstLine="420" w:firstLineChars="200"/>
        <w:rPr>
          <w:color w:val="auto"/>
          <w:szCs w:val="21"/>
        </w:rPr>
      </w:pPr>
      <w:r>
        <w:rPr>
          <w:rFonts w:hint="eastAsia"/>
          <w:color w:val="auto"/>
          <w:szCs w:val="21"/>
        </w:rPr>
        <w:t>⑥</w:t>
      </w:r>
      <w:r>
        <w:rPr>
          <w:color w:val="auto"/>
          <w:szCs w:val="21"/>
        </w:rPr>
        <w:t>供应商之间商定部分供应商放弃参加政府采购活动或者放弃中标；</w:t>
      </w:r>
    </w:p>
    <w:p w14:paraId="5F5426B3">
      <w:pPr>
        <w:spacing w:before="120" w:line="320" w:lineRule="atLeast"/>
        <w:ind w:firstLine="420" w:firstLineChars="200"/>
        <w:rPr>
          <w:color w:val="auto"/>
          <w:szCs w:val="21"/>
        </w:rPr>
      </w:pPr>
      <w:r>
        <w:rPr>
          <w:rFonts w:hint="eastAsia"/>
          <w:color w:val="auto"/>
          <w:szCs w:val="21"/>
        </w:rPr>
        <w:t>⑦</w:t>
      </w:r>
      <w:r>
        <w:rPr>
          <w:color w:val="auto"/>
          <w:szCs w:val="21"/>
        </w:rPr>
        <w:t>供应商与采购人或者采购代理机构之间、供应商相互之间，为谋求特定供应商中标或者排斥其他供应商的其他串通行为。</w:t>
      </w:r>
    </w:p>
    <w:bookmarkEnd w:id="92"/>
    <w:p w14:paraId="3A5D789F">
      <w:pPr>
        <w:spacing w:before="120" w:line="320" w:lineRule="atLeast"/>
        <w:ind w:firstLine="420" w:firstLineChars="200"/>
        <w:rPr>
          <w:color w:val="auto"/>
          <w:szCs w:val="21"/>
        </w:rPr>
      </w:pPr>
      <w:r>
        <w:rPr>
          <w:color w:val="auto"/>
          <w:szCs w:val="21"/>
        </w:rPr>
        <w:t>6.3.7投标</w:t>
      </w:r>
      <w:r>
        <w:rPr>
          <w:rFonts w:hint="eastAsia"/>
          <w:color w:val="auto"/>
          <w:szCs w:val="21"/>
        </w:rPr>
        <w:t>无效</w:t>
      </w:r>
      <w:r>
        <w:rPr>
          <w:color w:val="auto"/>
          <w:szCs w:val="21"/>
        </w:rPr>
        <w:t>认定</w:t>
      </w:r>
    </w:p>
    <w:p w14:paraId="2EE92C34">
      <w:pPr>
        <w:spacing w:before="120" w:line="320" w:lineRule="atLeast"/>
        <w:ind w:firstLine="420" w:firstLineChars="200"/>
        <w:rPr>
          <w:color w:val="auto"/>
          <w:szCs w:val="21"/>
        </w:rPr>
      </w:pPr>
      <w:bookmarkStart w:id="93" w:name="_Hlk19113301"/>
      <w:r>
        <w:rPr>
          <w:rFonts w:hint="eastAsia"/>
          <w:color w:val="auto"/>
          <w:szCs w:val="21"/>
        </w:rPr>
        <w:t>（</w:t>
      </w:r>
      <w:r>
        <w:rPr>
          <w:color w:val="auto"/>
          <w:szCs w:val="21"/>
        </w:rPr>
        <w:t>1）在</w:t>
      </w:r>
      <w:r>
        <w:rPr>
          <w:rFonts w:hint="eastAsia"/>
          <w:color w:val="auto"/>
          <w:szCs w:val="21"/>
        </w:rPr>
        <w:t>评审过程中</w:t>
      </w:r>
      <w:r>
        <w:rPr>
          <w:color w:val="auto"/>
          <w:szCs w:val="21"/>
        </w:rPr>
        <w:t>如发现下列情形之一的，投标文件将被视为无效：</w:t>
      </w:r>
    </w:p>
    <w:p w14:paraId="42518275">
      <w:pPr>
        <w:spacing w:before="120" w:line="320" w:lineRule="atLeast"/>
        <w:ind w:firstLine="420" w:firstLineChars="200"/>
        <w:rPr>
          <w:color w:val="auto"/>
        </w:rPr>
      </w:pPr>
      <w:r>
        <w:rPr>
          <w:rFonts w:hint="eastAsia"/>
          <w:color w:val="auto"/>
          <w:szCs w:val="21"/>
        </w:rPr>
        <w:t>①</w:t>
      </w:r>
      <w:r>
        <w:rPr>
          <w:color w:val="auto"/>
          <w:szCs w:val="21"/>
        </w:rPr>
        <w:t>投标文件</w:t>
      </w:r>
      <w:r>
        <w:rPr>
          <w:rFonts w:hint="eastAsia"/>
          <w:color w:val="auto"/>
          <w:szCs w:val="21"/>
        </w:rPr>
        <w:t>存在法律、法规及监督部门有关文件规定的无效情形</w:t>
      </w:r>
      <w:r>
        <w:rPr>
          <w:color w:val="auto"/>
          <w:szCs w:val="21"/>
        </w:rPr>
        <w:t>。</w:t>
      </w:r>
    </w:p>
    <w:p w14:paraId="4C06ABDA">
      <w:pPr>
        <w:spacing w:before="120" w:line="320" w:lineRule="atLeast"/>
        <w:ind w:firstLine="420" w:firstLineChars="200"/>
        <w:rPr>
          <w:color w:val="auto"/>
          <w:szCs w:val="21"/>
        </w:rPr>
      </w:pPr>
      <w:r>
        <w:rPr>
          <w:rFonts w:hint="eastAsia"/>
          <w:color w:val="auto"/>
          <w:szCs w:val="21"/>
        </w:rPr>
        <w:t>②</w:t>
      </w:r>
      <w:r>
        <w:rPr>
          <w:color w:val="auto"/>
          <w:szCs w:val="21"/>
        </w:rPr>
        <w:t>投标文件</w:t>
      </w:r>
      <w:r>
        <w:rPr>
          <w:rFonts w:hint="eastAsia"/>
          <w:color w:val="auto"/>
          <w:szCs w:val="21"/>
        </w:rPr>
        <w:t>存在招标文件规定的无效情形。</w:t>
      </w:r>
    </w:p>
    <w:bookmarkEnd w:id="93"/>
    <w:p w14:paraId="36FBB2DF">
      <w:pPr>
        <w:spacing w:before="120" w:line="320" w:lineRule="atLeast"/>
        <w:ind w:firstLine="420" w:firstLineChars="200"/>
        <w:rPr>
          <w:color w:val="auto"/>
          <w:szCs w:val="21"/>
        </w:rPr>
      </w:pPr>
      <w:bookmarkStart w:id="94" w:name="_Hlk19113313"/>
      <w:r>
        <w:rPr>
          <w:rFonts w:hint="eastAsia"/>
          <w:color w:val="auto"/>
          <w:szCs w:val="21"/>
        </w:rPr>
        <w:t>（2）根据</w:t>
      </w:r>
      <w:r>
        <w:rPr>
          <w:color w:val="auto"/>
          <w:szCs w:val="21"/>
        </w:rPr>
        <w:t>财库</w:t>
      </w:r>
      <w:r>
        <w:rPr>
          <w:rFonts w:hint="eastAsia"/>
          <w:color w:val="auto"/>
          <w:szCs w:val="21"/>
        </w:rPr>
        <w:t>《</w:t>
      </w:r>
      <w:r>
        <w:rPr>
          <w:color w:val="auto"/>
          <w:szCs w:val="21"/>
        </w:rPr>
        <w:t>关于促进政府采购公平竞争优化营商环境的通知</w:t>
      </w:r>
      <w:r>
        <w:rPr>
          <w:rFonts w:hint="eastAsia"/>
          <w:color w:val="auto"/>
          <w:szCs w:val="21"/>
        </w:rPr>
        <w:t>》（</w:t>
      </w:r>
      <w:r>
        <w:rPr>
          <w:color w:val="auto"/>
          <w:szCs w:val="21"/>
        </w:rPr>
        <w:t>〔2019〕38号</w:t>
      </w:r>
      <w:r>
        <w:rPr>
          <w:rFonts w:hint="eastAsia"/>
          <w:color w:val="auto"/>
          <w:szCs w:val="21"/>
        </w:rPr>
        <w:t>）以及《广西壮族自治区财政厅转发财政部关于促进政府采购公平竞争优化营商环境的通知》（桂财采〔2019〕41号）规定，评审委员会不得因装订、纸张、文件排序等非实质性的格式、形式问题认定投标无效或否决投标，从而限制和影响供应商投标（响应）。</w:t>
      </w:r>
    </w:p>
    <w:bookmarkEnd w:id="94"/>
    <w:p w14:paraId="7109E555">
      <w:pPr>
        <w:spacing w:before="120" w:line="320" w:lineRule="atLeast"/>
        <w:ind w:firstLine="420" w:firstLineChars="200"/>
        <w:rPr>
          <w:color w:val="auto"/>
          <w:szCs w:val="21"/>
        </w:rPr>
      </w:pPr>
      <w:bookmarkStart w:id="95" w:name="_Hlk19113363"/>
      <w:r>
        <w:rPr>
          <w:color w:val="auto"/>
          <w:szCs w:val="21"/>
        </w:rPr>
        <w:t>6.3.8比较与评价</w:t>
      </w:r>
    </w:p>
    <w:p w14:paraId="23AFE34B">
      <w:pPr>
        <w:spacing w:before="120" w:line="320" w:lineRule="atLeast"/>
        <w:ind w:firstLine="420" w:firstLineChars="200"/>
        <w:rPr>
          <w:color w:val="auto"/>
          <w:szCs w:val="21"/>
        </w:rPr>
      </w:pPr>
      <w:r>
        <w:rPr>
          <w:rFonts w:hint="eastAsia"/>
          <w:color w:val="auto"/>
          <w:szCs w:val="21"/>
        </w:rPr>
        <w:t>（1）评审委员会</w:t>
      </w:r>
      <w:r>
        <w:rPr>
          <w:color w:val="auto"/>
          <w:szCs w:val="21"/>
        </w:rPr>
        <w:t>按招标文件中规定的评审方法和标准，对符合性审查合格的投标文件进行综合比较与评价。</w:t>
      </w:r>
    </w:p>
    <w:p w14:paraId="2DAF8000">
      <w:pPr>
        <w:spacing w:before="120" w:line="320" w:lineRule="atLeast"/>
        <w:ind w:firstLine="420" w:firstLineChars="200"/>
        <w:rPr>
          <w:color w:val="auto"/>
          <w:szCs w:val="21"/>
        </w:rPr>
      </w:pPr>
      <w:r>
        <w:rPr>
          <w:rFonts w:hint="eastAsia"/>
          <w:color w:val="auto"/>
          <w:szCs w:val="21"/>
        </w:rPr>
        <w:t>（2）</w:t>
      </w:r>
      <w:r>
        <w:rPr>
          <w:color w:val="auto"/>
          <w:szCs w:val="21"/>
        </w:rPr>
        <w:t>评审委员会各成员独立对每个有效供应商的投标文件进行评价</w:t>
      </w:r>
      <w:r>
        <w:rPr>
          <w:rFonts w:hint="eastAsia"/>
          <w:color w:val="auto"/>
          <w:szCs w:val="21"/>
        </w:rPr>
        <w:t>。评价</w:t>
      </w:r>
      <w:r>
        <w:rPr>
          <w:color w:val="auto"/>
          <w:szCs w:val="21"/>
        </w:rPr>
        <w:t>有误的应及时进行修正。评</w:t>
      </w:r>
      <w:r>
        <w:rPr>
          <w:rFonts w:hint="eastAsia"/>
          <w:color w:val="auto"/>
          <w:szCs w:val="21"/>
        </w:rPr>
        <w:t>分</w:t>
      </w:r>
      <w:r>
        <w:rPr>
          <w:color w:val="auto"/>
          <w:szCs w:val="21"/>
        </w:rPr>
        <w:t>标准如有客观分定义，评审委员会所有成员的客观分</w:t>
      </w:r>
      <w:r>
        <w:rPr>
          <w:rFonts w:hint="eastAsia"/>
          <w:color w:val="auto"/>
          <w:szCs w:val="21"/>
        </w:rPr>
        <w:t>评分分值</w:t>
      </w:r>
      <w:r>
        <w:rPr>
          <w:color w:val="auto"/>
          <w:szCs w:val="21"/>
        </w:rPr>
        <w:t>应当一致。</w:t>
      </w:r>
    </w:p>
    <w:p w14:paraId="40CE4BFA">
      <w:pPr>
        <w:spacing w:before="120" w:line="320" w:lineRule="atLeast"/>
        <w:ind w:firstLine="420" w:firstLineChars="200"/>
        <w:rPr>
          <w:color w:val="auto"/>
          <w:szCs w:val="21"/>
        </w:rPr>
      </w:pPr>
      <w:r>
        <w:rPr>
          <w:rFonts w:hint="eastAsia"/>
          <w:color w:val="auto"/>
          <w:szCs w:val="21"/>
        </w:rPr>
        <w:t>（3）评审委员会</w:t>
      </w:r>
      <w:r>
        <w:rPr>
          <w:color w:val="auto"/>
          <w:szCs w:val="21"/>
        </w:rPr>
        <w:t>按</w:t>
      </w:r>
      <w:r>
        <w:rPr>
          <w:rFonts w:hint="eastAsia"/>
          <w:color w:val="auto"/>
          <w:szCs w:val="21"/>
        </w:rPr>
        <w:t>综合评</w:t>
      </w:r>
      <w:r>
        <w:rPr>
          <w:color w:val="auto"/>
          <w:szCs w:val="21"/>
        </w:rPr>
        <w:t>分由高到低的排列顺序推荐中标候选人</w:t>
      </w:r>
      <w:r>
        <w:rPr>
          <w:rFonts w:hint="eastAsia"/>
          <w:color w:val="auto"/>
          <w:szCs w:val="21"/>
        </w:rPr>
        <w:t>，中标候选人最多不超过3名。</w:t>
      </w:r>
      <w:r>
        <w:rPr>
          <w:color w:val="auto"/>
          <w:szCs w:val="21"/>
        </w:rPr>
        <w:t>若中标候选人综合</w:t>
      </w:r>
      <w:r>
        <w:rPr>
          <w:rFonts w:hint="eastAsia"/>
          <w:color w:val="auto"/>
          <w:szCs w:val="21"/>
        </w:rPr>
        <w:t>评</w:t>
      </w:r>
      <w:r>
        <w:rPr>
          <w:color w:val="auto"/>
          <w:szCs w:val="21"/>
        </w:rPr>
        <w:t>分相同的，按投标报价由低到高顺序排列；综合</w:t>
      </w:r>
      <w:r>
        <w:rPr>
          <w:rFonts w:hint="eastAsia"/>
          <w:color w:val="auto"/>
          <w:szCs w:val="21"/>
        </w:rPr>
        <w:t>评</w:t>
      </w:r>
      <w:r>
        <w:rPr>
          <w:color w:val="auto"/>
          <w:szCs w:val="21"/>
        </w:rPr>
        <w:t>分且投标报价相同的</w:t>
      </w:r>
      <w:r>
        <w:rPr>
          <w:color w:val="auto"/>
        </w:rPr>
        <w:t>并列</w:t>
      </w:r>
      <w:r>
        <w:rPr>
          <w:color w:val="auto"/>
          <w:szCs w:val="21"/>
        </w:rPr>
        <w:t>；中标候选人并列的，按技术部分得分由高到低顺序排列，若综合评分、投标报价、技术部分均相同的，按商务部分得分由高到低顺序排列</w:t>
      </w:r>
      <w:r>
        <w:rPr>
          <w:rFonts w:hint="eastAsia"/>
          <w:color w:val="auto"/>
          <w:szCs w:val="21"/>
        </w:rPr>
        <w:t>。</w:t>
      </w:r>
    </w:p>
    <w:p w14:paraId="454596B4">
      <w:pPr>
        <w:spacing w:before="120" w:line="320" w:lineRule="atLeast"/>
        <w:ind w:firstLine="420" w:firstLineChars="200"/>
        <w:rPr>
          <w:color w:val="auto"/>
        </w:rPr>
      </w:pPr>
      <w:r>
        <w:rPr>
          <w:rFonts w:hint="eastAsia"/>
          <w:color w:val="auto"/>
          <w:szCs w:val="21"/>
        </w:rPr>
        <w:t>（</w:t>
      </w:r>
      <w:r>
        <w:rPr>
          <w:color w:val="auto"/>
          <w:szCs w:val="21"/>
        </w:rPr>
        <w:t>4</w:t>
      </w:r>
      <w:r>
        <w:rPr>
          <w:rFonts w:hint="eastAsia"/>
          <w:color w:val="auto"/>
          <w:szCs w:val="21"/>
        </w:rPr>
        <w:t>）评审委员会根据评审记录及评审结果编写评审报告，评审委员会成员均应当在评审报告上签字，对自己的评审意见承担法律责任。</w:t>
      </w:r>
      <w:r>
        <w:rPr>
          <w:color w:val="auto"/>
        </w:rPr>
        <w:t>评审报告签署前，经复核发现存在以</w:t>
      </w:r>
      <w:r>
        <w:rPr>
          <w:rFonts w:hint="eastAsia"/>
          <w:color w:val="auto"/>
        </w:rPr>
        <w:t>下</w:t>
      </w:r>
      <w:r>
        <w:rPr>
          <w:color w:val="auto"/>
        </w:rPr>
        <w:t>情形之一的，评审委员会应当当场修改评审结果，并在评审报告中记载；评审报告签署后，采购人或者采购代理机构发现存在以</w:t>
      </w:r>
      <w:r>
        <w:rPr>
          <w:rFonts w:hint="eastAsia"/>
          <w:color w:val="auto"/>
        </w:rPr>
        <w:t>下</w:t>
      </w:r>
      <w:r>
        <w:rPr>
          <w:color w:val="auto"/>
        </w:rPr>
        <w:t>情形之一的，应当组织原评审委员会进行重新评审。</w:t>
      </w:r>
    </w:p>
    <w:p w14:paraId="19B34BEA">
      <w:pPr>
        <w:spacing w:before="120" w:line="320" w:lineRule="atLeast"/>
        <w:ind w:firstLine="420" w:firstLineChars="200"/>
        <w:rPr>
          <w:color w:val="auto"/>
        </w:rPr>
      </w:pPr>
      <w:r>
        <w:rPr>
          <w:color w:val="auto"/>
        </w:rPr>
        <w:t>分值汇总计算错误的；分项评分超出评分标准范围的；评审委员会成员对客观评审因素评分不一致的；经评审委员会认定评分畸高、畸低的。</w:t>
      </w:r>
    </w:p>
    <w:bookmarkEnd w:id="95"/>
    <w:p w14:paraId="0E73FF4A">
      <w:pPr>
        <w:spacing w:before="120" w:line="320" w:lineRule="atLeast"/>
        <w:ind w:firstLine="422" w:firstLineChars="200"/>
        <w:outlineLvl w:val="2"/>
        <w:rPr>
          <w:b/>
          <w:bCs/>
          <w:color w:val="auto"/>
          <w:kern w:val="0"/>
          <w:szCs w:val="21"/>
        </w:rPr>
      </w:pPr>
      <w:r>
        <w:rPr>
          <w:b/>
          <w:bCs/>
          <w:color w:val="auto"/>
          <w:kern w:val="0"/>
          <w:szCs w:val="21"/>
        </w:rPr>
        <w:t>6.4确定中标人</w:t>
      </w:r>
    </w:p>
    <w:p w14:paraId="131584F7">
      <w:pPr>
        <w:spacing w:before="120" w:line="276" w:lineRule="auto"/>
        <w:ind w:firstLine="420" w:firstLineChars="200"/>
        <w:rPr>
          <w:color w:val="auto"/>
          <w:szCs w:val="21"/>
        </w:rPr>
      </w:pPr>
      <w:r>
        <w:rPr>
          <w:rFonts w:hint="eastAsia"/>
          <w:color w:val="auto"/>
          <w:szCs w:val="21"/>
        </w:rPr>
        <w:t>6.4</w:t>
      </w:r>
      <w:r>
        <w:rPr>
          <w:color w:val="auto"/>
          <w:szCs w:val="21"/>
        </w:rPr>
        <w:t>.1采购代理机构在评审结束后2个工作日内将评审报告送采购人，采购人在5个工作日内按照评审报告中推荐的中标候选</w:t>
      </w:r>
      <w:r>
        <w:rPr>
          <w:rFonts w:hint="eastAsia"/>
          <w:color w:val="auto"/>
          <w:szCs w:val="21"/>
        </w:rPr>
        <w:t>人</w:t>
      </w:r>
      <w:r>
        <w:rPr>
          <w:color w:val="auto"/>
          <w:szCs w:val="21"/>
        </w:rPr>
        <w:t>顺序确定中标人。</w:t>
      </w:r>
      <w:r>
        <w:rPr>
          <w:rFonts w:hint="eastAsia"/>
          <w:color w:val="auto"/>
          <w:szCs w:val="21"/>
        </w:rPr>
        <w:t>中标候选人并列的，由采购人或者采购人委托评标委员会按照招标文件规定的方式确定中标人；招标文件未规定的，采取随机抽取的方式确定。</w:t>
      </w:r>
    </w:p>
    <w:p w14:paraId="3B9AAB5B">
      <w:pPr>
        <w:spacing w:before="120" w:line="276" w:lineRule="auto"/>
        <w:ind w:firstLine="420" w:firstLineChars="200"/>
        <w:rPr>
          <w:color w:val="auto"/>
          <w:szCs w:val="21"/>
        </w:rPr>
      </w:pPr>
      <w:r>
        <w:rPr>
          <w:color w:val="auto"/>
          <w:szCs w:val="21"/>
        </w:rPr>
        <w:t>6.4.2</w:t>
      </w:r>
      <w:r>
        <w:rPr>
          <w:rFonts w:hint="eastAsia"/>
          <w:color w:val="auto"/>
          <w:szCs w:val="21"/>
        </w:rPr>
        <w:t>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37ACA1AB">
      <w:pPr>
        <w:spacing w:before="120" w:line="320" w:lineRule="atLeast"/>
        <w:ind w:firstLine="422" w:firstLineChars="200"/>
        <w:outlineLvl w:val="2"/>
        <w:rPr>
          <w:b/>
          <w:bCs/>
          <w:color w:val="auto"/>
          <w:kern w:val="0"/>
          <w:szCs w:val="21"/>
        </w:rPr>
      </w:pPr>
      <w:r>
        <w:rPr>
          <w:b/>
          <w:bCs/>
          <w:color w:val="auto"/>
          <w:kern w:val="0"/>
          <w:szCs w:val="21"/>
        </w:rPr>
        <w:t>6.5</w:t>
      </w:r>
      <w:r>
        <w:rPr>
          <w:rFonts w:hint="eastAsia"/>
          <w:b/>
          <w:bCs/>
          <w:color w:val="auto"/>
          <w:kern w:val="0"/>
          <w:szCs w:val="21"/>
        </w:rPr>
        <w:t>结果公告</w:t>
      </w:r>
    </w:p>
    <w:p w14:paraId="74C2EE44">
      <w:pPr>
        <w:spacing w:before="120" w:line="320" w:lineRule="atLeast"/>
        <w:ind w:firstLine="420" w:firstLineChars="200"/>
        <w:rPr>
          <w:color w:val="auto"/>
          <w:szCs w:val="21"/>
        </w:rPr>
      </w:pPr>
      <w:r>
        <w:rPr>
          <w:rFonts w:hint="eastAsia"/>
          <w:color w:val="auto"/>
          <w:szCs w:val="21"/>
        </w:rPr>
        <w:t>6</w:t>
      </w:r>
      <w:r>
        <w:rPr>
          <w:color w:val="auto"/>
          <w:szCs w:val="21"/>
        </w:rPr>
        <w:t>.5.1自中标人确定后2个工作日内，采购代理机构</w:t>
      </w:r>
      <w:r>
        <w:rPr>
          <w:rFonts w:hint="eastAsia"/>
          <w:color w:val="auto"/>
          <w:szCs w:val="21"/>
        </w:rPr>
        <w:t>按照供应商须知</w:t>
      </w:r>
      <w:r>
        <w:rPr>
          <w:rFonts w:hint="eastAsia"/>
          <w:color w:val="auto"/>
          <w:kern w:val="0"/>
          <w:szCs w:val="21"/>
        </w:rPr>
        <w:t>前附表的规定</w:t>
      </w:r>
      <w:r>
        <w:rPr>
          <w:color w:val="auto"/>
          <w:kern w:val="0"/>
          <w:szCs w:val="21"/>
        </w:rPr>
        <w:t>公告</w:t>
      </w:r>
      <w:r>
        <w:rPr>
          <w:color w:val="auto"/>
          <w:szCs w:val="21"/>
        </w:rPr>
        <w:t>中标结果。</w:t>
      </w:r>
    </w:p>
    <w:p w14:paraId="753B9C0A">
      <w:pPr>
        <w:spacing w:before="120" w:line="320" w:lineRule="atLeast"/>
        <w:ind w:firstLine="420" w:firstLineChars="200"/>
        <w:rPr>
          <w:color w:val="auto"/>
          <w:szCs w:val="21"/>
        </w:rPr>
      </w:pPr>
      <w:r>
        <w:rPr>
          <w:rFonts w:hint="eastAsia"/>
          <w:color w:val="auto"/>
          <w:szCs w:val="21"/>
        </w:rPr>
        <w:t>6</w:t>
      </w:r>
      <w:r>
        <w:rPr>
          <w:color w:val="auto"/>
          <w:szCs w:val="21"/>
        </w:rPr>
        <w:t>.5.2在发布</w:t>
      </w:r>
      <w:r>
        <w:rPr>
          <w:rFonts w:hint="eastAsia"/>
          <w:color w:val="auto"/>
          <w:szCs w:val="21"/>
        </w:rPr>
        <w:t>结果</w:t>
      </w:r>
      <w:r>
        <w:rPr>
          <w:color w:val="auto"/>
          <w:szCs w:val="21"/>
        </w:rPr>
        <w:t>公告的同时，采购代理机构以供应商须知前附表规定的形式向中标人发出中标通知书。中标通知书发出后，采购人改变中标结果，或者中标人放弃中标，应当承担相应的法律责任。</w:t>
      </w:r>
    </w:p>
    <w:p w14:paraId="0ADE16DC">
      <w:pPr>
        <w:spacing w:before="120" w:line="320" w:lineRule="atLeast"/>
        <w:ind w:firstLine="420" w:firstLineChars="200"/>
        <w:rPr>
          <w:b/>
          <w:bCs/>
          <w:color w:val="auto"/>
          <w:kern w:val="0"/>
          <w:szCs w:val="21"/>
        </w:rPr>
      </w:pPr>
      <w:r>
        <w:rPr>
          <w:rFonts w:hint="eastAsia"/>
          <w:color w:val="auto"/>
          <w:szCs w:val="21"/>
        </w:rPr>
        <w:t>6</w:t>
      </w:r>
      <w:r>
        <w:rPr>
          <w:color w:val="auto"/>
          <w:szCs w:val="21"/>
        </w:rPr>
        <w:t>.5.3</w:t>
      </w:r>
      <w:r>
        <w:rPr>
          <w:rFonts w:hint="eastAsia"/>
          <w:color w:val="auto"/>
          <w:szCs w:val="21"/>
        </w:rPr>
        <w:t>在发布结果公告的同时，</w:t>
      </w:r>
      <w:r>
        <w:rPr>
          <w:color w:val="auto"/>
          <w:szCs w:val="21"/>
        </w:rPr>
        <w:t>采购代理机构以供应商须知前附表规定的形式</w:t>
      </w:r>
      <w:r>
        <w:rPr>
          <w:rFonts w:hint="eastAsia"/>
          <w:color w:val="auto"/>
          <w:szCs w:val="21"/>
        </w:rPr>
        <w:t>向未中标人发出招标结果通知书，供应商自行承担未及时查收的后果。</w:t>
      </w:r>
    </w:p>
    <w:p w14:paraId="051FA6B4">
      <w:pPr>
        <w:suppressAutoHyphens/>
        <w:spacing w:before="120" w:line="320" w:lineRule="atLeast"/>
        <w:ind w:firstLine="422" w:firstLineChars="200"/>
        <w:outlineLvl w:val="2"/>
        <w:rPr>
          <w:b/>
          <w:bCs/>
          <w:color w:val="auto"/>
          <w:kern w:val="0"/>
          <w:szCs w:val="21"/>
        </w:rPr>
      </w:pPr>
      <w:r>
        <w:rPr>
          <w:b/>
          <w:bCs/>
          <w:color w:val="auto"/>
          <w:kern w:val="0"/>
          <w:szCs w:val="21"/>
        </w:rPr>
        <w:t>6.6</w:t>
      </w:r>
      <w:r>
        <w:rPr>
          <w:rFonts w:hint="eastAsia"/>
          <w:b/>
          <w:bCs/>
          <w:color w:val="auto"/>
          <w:kern w:val="0"/>
          <w:szCs w:val="21"/>
        </w:rPr>
        <w:t>废标</w:t>
      </w:r>
    </w:p>
    <w:p w14:paraId="2A4B0462">
      <w:pPr>
        <w:spacing w:before="120" w:line="320" w:lineRule="atLeast"/>
        <w:ind w:firstLine="420" w:firstLineChars="200"/>
        <w:rPr>
          <w:color w:val="auto"/>
          <w:kern w:val="1"/>
          <w:szCs w:val="21"/>
        </w:rPr>
      </w:pPr>
      <w:r>
        <w:rPr>
          <w:color w:val="auto"/>
          <w:kern w:val="1"/>
          <w:szCs w:val="21"/>
        </w:rPr>
        <w:t>6.6.1</w:t>
      </w:r>
      <w:r>
        <w:rPr>
          <w:rFonts w:hint="eastAsia"/>
          <w:color w:val="auto"/>
          <w:kern w:val="1"/>
          <w:szCs w:val="21"/>
        </w:rPr>
        <w:t xml:space="preserve">出现下列情形之一，将导致项目废标： </w:t>
      </w:r>
    </w:p>
    <w:p w14:paraId="1AF3F7E6">
      <w:pPr>
        <w:spacing w:before="120" w:line="320" w:lineRule="atLeast"/>
        <w:ind w:firstLine="420" w:firstLineChars="200"/>
        <w:rPr>
          <w:color w:val="auto"/>
          <w:szCs w:val="21"/>
        </w:rPr>
      </w:pPr>
      <w:r>
        <w:rPr>
          <w:rFonts w:hint="eastAsia"/>
          <w:color w:val="auto"/>
          <w:kern w:val="1"/>
          <w:szCs w:val="21"/>
        </w:rPr>
        <w:t>（1</w:t>
      </w:r>
      <w:r>
        <w:rPr>
          <w:rFonts w:hint="eastAsia"/>
          <w:color w:val="auto"/>
          <w:szCs w:val="21"/>
        </w:rPr>
        <w:t>）符合专业条件的供应商或者对招标文件做实质性响应的供应商不足三家；</w:t>
      </w:r>
    </w:p>
    <w:p w14:paraId="1C79F34C">
      <w:pPr>
        <w:spacing w:before="120" w:line="320" w:lineRule="atLeast"/>
        <w:ind w:firstLine="420" w:firstLineChars="200"/>
        <w:rPr>
          <w:color w:val="auto"/>
          <w:szCs w:val="21"/>
        </w:rPr>
      </w:pPr>
      <w:r>
        <w:rPr>
          <w:rFonts w:hint="eastAsia"/>
          <w:color w:val="auto"/>
          <w:szCs w:val="21"/>
        </w:rPr>
        <w:t>（2）出现影响采购公正的违法、违规行为的；</w:t>
      </w:r>
    </w:p>
    <w:p w14:paraId="0D775BB1">
      <w:pPr>
        <w:spacing w:before="120" w:line="320" w:lineRule="atLeast"/>
        <w:ind w:firstLine="420" w:firstLineChars="200"/>
        <w:rPr>
          <w:color w:val="auto"/>
          <w:szCs w:val="21"/>
        </w:rPr>
      </w:pPr>
      <w:r>
        <w:rPr>
          <w:rFonts w:hint="eastAsia"/>
          <w:color w:val="auto"/>
          <w:szCs w:val="21"/>
        </w:rPr>
        <w:t>（3）供应商的报价均超过了采购预算，采购人不能支付的；</w:t>
      </w:r>
    </w:p>
    <w:p w14:paraId="370547CE">
      <w:pPr>
        <w:spacing w:before="120" w:line="320" w:lineRule="atLeast"/>
        <w:ind w:firstLine="420" w:firstLineChars="200"/>
        <w:rPr>
          <w:color w:val="auto"/>
        </w:rPr>
      </w:pPr>
      <w:r>
        <w:rPr>
          <w:rFonts w:hint="eastAsia"/>
          <w:color w:val="auto"/>
          <w:szCs w:val="21"/>
        </w:rPr>
        <w:t>（4）</w:t>
      </w:r>
      <w:r>
        <w:rPr>
          <w:rFonts w:hint="eastAsia"/>
          <w:color w:val="auto"/>
        </w:rPr>
        <w:t>因发生重大变故或采购任务取消的。</w:t>
      </w:r>
    </w:p>
    <w:p w14:paraId="60A06DA5">
      <w:pPr>
        <w:spacing w:before="120" w:line="320" w:lineRule="atLeast"/>
        <w:ind w:firstLine="420" w:firstLineChars="200"/>
        <w:rPr>
          <w:color w:val="auto"/>
          <w:szCs w:val="21"/>
        </w:rPr>
      </w:pPr>
      <w:r>
        <w:rPr>
          <w:color w:val="auto"/>
          <w:kern w:val="1"/>
          <w:szCs w:val="21"/>
        </w:rPr>
        <w:t>6.6.2</w:t>
      </w:r>
      <w:r>
        <w:rPr>
          <w:rFonts w:hint="eastAsia"/>
          <w:color w:val="auto"/>
          <w:kern w:val="1"/>
          <w:szCs w:val="21"/>
        </w:rPr>
        <w:t>废标后</w:t>
      </w:r>
      <w:r>
        <w:rPr>
          <w:rFonts w:hint="eastAsia"/>
          <w:color w:val="auto"/>
          <w:szCs w:val="21"/>
        </w:rPr>
        <w:t>采购</w:t>
      </w:r>
      <w:r>
        <w:rPr>
          <w:rFonts w:hint="eastAsia"/>
          <w:color w:val="auto"/>
          <w:kern w:val="1"/>
          <w:szCs w:val="21"/>
        </w:rPr>
        <w:t>代理机构将发布废标公告通知供应商。</w:t>
      </w:r>
      <w:bookmarkEnd w:id="81"/>
    </w:p>
    <w:bookmarkEnd w:id="78"/>
    <w:p w14:paraId="059B3B8C">
      <w:pPr>
        <w:spacing w:before="120" w:line="320" w:lineRule="atLeast"/>
        <w:ind w:left="2" w:leftChars="1" w:firstLine="422" w:firstLineChars="200"/>
        <w:outlineLvl w:val="1"/>
        <w:rPr>
          <w:b/>
          <w:bCs/>
          <w:color w:val="auto"/>
          <w:kern w:val="0"/>
          <w:szCs w:val="21"/>
        </w:rPr>
      </w:pPr>
      <w:r>
        <w:rPr>
          <w:b/>
          <w:bCs/>
          <w:color w:val="auto"/>
          <w:kern w:val="0"/>
          <w:szCs w:val="21"/>
        </w:rPr>
        <w:t>7．合同</w:t>
      </w:r>
    </w:p>
    <w:p w14:paraId="2F480CDA">
      <w:pPr>
        <w:spacing w:before="120" w:line="320" w:lineRule="atLeast"/>
        <w:ind w:firstLine="422" w:firstLineChars="200"/>
        <w:outlineLvl w:val="2"/>
        <w:rPr>
          <w:b/>
          <w:bCs/>
          <w:color w:val="auto"/>
          <w:kern w:val="0"/>
          <w:szCs w:val="21"/>
        </w:rPr>
      </w:pPr>
      <w:r>
        <w:rPr>
          <w:b/>
          <w:bCs/>
          <w:color w:val="auto"/>
          <w:kern w:val="0"/>
          <w:szCs w:val="21"/>
        </w:rPr>
        <w:t>7.1合同授予标准</w:t>
      </w:r>
    </w:p>
    <w:p w14:paraId="7A21DA5D">
      <w:pPr>
        <w:spacing w:before="120" w:line="320" w:lineRule="atLeast"/>
        <w:ind w:firstLine="420" w:firstLineChars="200"/>
        <w:rPr>
          <w:color w:val="auto"/>
          <w:szCs w:val="21"/>
        </w:rPr>
      </w:pPr>
      <w:r>
        <w:rPr>
          <w:color w:val="auto"/>
          <w:szCs w:val="21"/>
        </w:rPr>
        <w:t>合同将授予被确定实质上响应招标文件要求，具备履行合同能力，综合评分排名第一的供应商。在</w:t>
      </w:r>
      <w:r>
        <w:rPr>
          <w:rFonts w:hint="eastAsia"/>
          <w:color w:val="auto"/>
          <w:szCs w:val="21"/>
        </w:rPr>
        <w:t>中标</w:t>
      </w:r>
      <w:r>
        <w:rPr>
          <w:color w:val="auto"/>
          <w:szCs w:val="21"/>
        </w:rPr>
        <w:t>通知书发出前或签订合同前，如果</w:t>
      </w:r>
      <w:r>
        <w:rPr>
          <w:rFonts w:hint="eastAsia"/>
          <w:color w:val="auto"/>
          <w:szCs w:val="21"/>
        </w:rPr>
        <w:t>中标</w:t>
      </w:r>
      <w:r>
        <w:rPr>
          <w:color w:val="auto"/>
          <w:szCs w:val="21"/>
        </w:rPr>
        <w:t>人的组织机构</w:t>
      </w:r>
      <w:r>
        <w:rPr>
          <w:rFonts w:hint="eastAsia"/>
          <w:color w:val="auto"/>
          <w:szCs w:val="21"/>
        </w:rPr>
        <w:t>、</w:t>
      </w:r>
      <w:r>
        <w:rPr>
          <w:color w:val="auto"/>
          <w:szCs w:val="21"/>
        </w:rPr>
        <w:t>经营、财务状况发生较大变化，可能造成不能履行合同、无法按照</w:t>
      </w:r>
      <w:r>
        <w:rPr>
          <w:rFonts w:hint="eastAsia"/>
          <w:color w:val="auto"/>
          <w:szCs w:val="21"/>
        </w:rPr>
        <w:t>招标</w:t>
      </w:r>
      <w:r>
        <w:rPr>
          <w:color w:val="auto"/>
          <w:szCs w:val="21"/>
        </w:rPr>
        <w:t>文件要求提交履约保证金等情形，不符合中标条件或不满足供应商资格条件要求 ，应在</w:t>
      </w:r>
      <w:r>
        <w:rPr>
          <w:rFonts w:hint="eastAsia"/>
          <w:color w:val="auto"/>
          <w:szCs w:val="21"/>
        </w:rPr>
        <w:t>中标</w:t>
      </w:r>
      <w:r>
        <w:rPr>
          <w:color w:val="auto"/>
          <w:szCs w:val="21"/>
        </w:rPr>
        <w:t>通知书发出前或签订合同前及时书面告知采购人</w:t>
      </w:r>
      <w:r>
        <w:rPr>
          <w:rFonts w:hint="eastAsia"/>
          <w:color w:val="auto"/>
          <w:szCs w:val="21"/>
        </w:rPr>
        <w:t>，</w:t>
      </w:r>
      <w:r>
        <w:rPr>
          <w:color w:val="auto"/>
          <w:szCs w:val="21"/>
        </w:rPr>
        <w:t>未主动告知</w:t>
      </w:r>
      <w:r>
        <w:rPr>
          <w:rFonts w:hint="eastAsia"/>
          <w:color w:val="auto"/>
          <w:szCs w:val="21"/>
        </w:rPr>
        <w:t>，</w:t>
      </w:r>
      <w:r>
        <w:rPr>
          <w:color w:val="auto"/>
          <w:szCs w:val="21"/>
        </w:rPr>
        <w:t>给采购人造成损失的</w:t>
      </w:r>
      <w:r>
        <w:rPr>
          <w:rFonts w:hint="eastAsia"/>
          <w:color w:val="auto"/>
          <w:szCs w:val="21"/>
        </w:rPr>
        <w:t>，</w:t>
      </w:r>
      <w:r>
        <w:rPr>
          <w:color w:val="auto"/>
          <w:szCs w:val="21"/>
        </w:rPr>
        <w:t>采购人有权</w:t>
      </w:r>
      <w:r>
        <w:rPr>
          <w:rFonts w:hint="eastAsia"/>
          <w:color w:val="auto"/>
          <w:szCs w:val="21"/>
        </w:rPr>
        <w:t>取消其中标资格并</w:t>
      </w:r>
      <w:r>
        <w:rPr>
          <w:color w:val="auto"/>
          <w:szCs w:val="21"/>
        </w:rPr>
        <w:t>没收投标保证金</w:t>
      </w:r>
      <w:r>
        <w:rPr>
          <w:rFonts w:hint="eastAsia"/>
          <w:color w:val="auto"/>
          <w:szCs w:val="21"/>
        </w:rPr>
        <w:t>。</w:t>
      </w:r>
    </w:p>
    <w:p w14:paraId="7FC31373">
      <w:pPr>
        <w:spacing w:before="120" w:line="320" w:lineRule="atLeast"/>
        <w:ind w:firstLine="422" w:firstLineChars="200"/>
        <w:outlineLvl w:val="2"/>
        <w:rPr>
          <w:b/>
          <w:bCs/>
          <w:color w:val="auto"/>
          <w:kern w:val="0"/>
          <w:szCs w:val="21"/>
        </w:rPr>
      </w:pPr>
      <w:r>
        <w:rPr>
          <w:b/>
          <w:bCs/>
          <w:color w:val="auto"/>
          <w:kern w:val="0"/>
          <w:szCs w:val="21"/>
        </w:rPr>
        <w:t>7.2签订合同</w:t>
      </w:r>
    </w:p>
    <w:p w14:paraId="79CE11BE">
      <w:pPr>
        <w:spacing w:before="120" w:line="320" w:lineRule="atLeast"/>
        <w:ind w:firstLine="420" w:firstLineChars="200"/>
        <w:rPr>
          <w:color w:val="auto"/>
          <w:szCs w:val="21"/>
        </w:rPr>
      </w:pPr>
      <w:bookmarkStart w:id="96" w:name="_Hlk93421039"/>
      <w:r>
        <w:rPr>
          <w:color w:val="auto"/>
          <w:szCs w:val="21"/>
        </w:rPr>
        <w:t>7.2.1如</w:t>
      </w:r>
      <w:r>
        <w:rPr>
          <w:rFonts w:hint="eastAsia"/>
          <w:color w:val="auto"/>
          <w:szCs w:val="21"/>
        </w:rPr>
        <w:t>招标</w:t>
      </w:r>
      <w:r>
        <w:rPr>
          <w:color w:val="auto"/>
          <w:szCs w:val="21"/>
        </w:rPr>
        <w:t>文件无</w:t>
      </w:r>
      <w:r>
        <w:rPr>
          <w:rFonts w:hint="eastAsia"/>
          <w:color w:val="auto"/>
          <w:szCs w:val="21"/>
        </w:rPr>
        <w:t>特别</w:t>
      </w:r>
      <w:r>
        <w:rPr>
          <w:color w:val="auto"/>
          <w:szCs w:val="21"/>
        </w:rPr>
        <w:t>规定，</w:t>
      </w:r>
      <w:r>
        <w:rPr>
          <w:rFonts w:hint="eastAsia"/>
          <w:color w:val="auto"/>
          <w:szCs w:val="21"/>
        </w:rPr>
        <w:t>中标人按招标文件确定的事项签订政府采购合同。</w:t>
      </w:r>
    </w:p>
    <w:p w14:paraId="718BA6AC">
      <w:pPr>
        <w:spacing w:before="120" w:line="320" w:lineRule="atLeast"/>
        <w:ind w:firstLine="420" w:firstLineChars="200"/>
        <w:rPr>
          <w:color w:val="auto"/>
          <w:szCs w:val="21"/>
        </w:rPr>
      </w:pPr>
      <w:r>
        <w:rPr>
          <w:color w:val="auto"/>
          <w:szCs w:val="21"/>
        </w:rPr>
        <w:t>7.2.2</w:t>
      </w:r>
      <w:r>
        <w:rPr>
          <w:rFonts w:hint="eastAsia"/>
          <w:color w:val="auto"/>
          <w:szCs w:val="21"/>
        </w:rPr>
        <w:t>政府采购合同应当包括采购人与中标人的名称和住所、标的、数量、质量、价款或者报酬、履行期限及地点和方式、验收要求、违约责任、解决争议的方法等内容。</w:t>
      </w:r>
      <w:r>
        <w:rPr>
          <w:color w:val="auto"/>
          <w:szCs w:val="21"/>
        </w:rPr>
        <w:t>招标文件、中标人的投标文件及澄清文件等，均为签订政府采购合同的依据。</w:t>
      </w:r>
    </w:p>
    <w:p w14:paraId="1586100B">
      <w:pPr>
        <w:spacing w:before="120" w:line="320" w:lineRule="atLeast"/>
        <w:ind w:firstLine="420" w:firstLineChars="200"/>
        <w:rPr>
          <w:color w:val="auto"/>
          <w:szCs w:val="21"/>
        </w:rPr>
      </w:pPr>
      <w:r>
        <w:rPr>
          <w:color w:val="auto"/>
          <w:szCs w:val="21"/>
        </w:rPr>
        <w:t>7.2.3如中标人不按中标通知书的规定签订合同，</w:t>
      </w:r>
      <w:r>
        <w:rPr>
          <w:rFonts w:hint="eastAsia"/>
          <w:color w:val="auto"/>
          <w:szCs w:val="21"/>
        </w:rPr>
        <w:t>其投标保证金将不予退还，并报由同级政府采购监督管理部门处理。</w:t>
      </w:r>
    </w:p>
    <w:p w14:paraId="53223DB4">
      <w:pPr>
        <w:spacing w:before="120" w:line="320" w:lineRule="atLeast"/>
        <w:ind w:firstLine="420" w:firstLineChars="200"/>
        <w:rPr>
          <w:color w:val="auto"/>
          <w:szCs w:val="21"/>
        </w:rPr>
      </w:pPr>
      <w:r>
        <w:rPr>
          <w:rFonts w:hint="eastAsia"/>
          <w:color w:val="auto"/>
          <w:szCs w:val="21"/>
        </w:rPr>
        <w:t>7</w:t>
      </w:r>
      <w:r>
        <w:rPr>
          <w:color w:val="auto"/>
          <w:szCs w:val="21"/>
        </w:rPr>
        <w:t>.2.4</w:t>
      </w:r>
      <w:r>
        <w:rPr>
          <w:rFonts w:hint="eastAsia"/>
          <w:color w:val="auto"/>
          <w:szCs w:val="21"/>
        </w:rPr>
        <w:t>中标人拒绝与采购人签订合同的，采购人可以按照评审报告推荐的中标候选人名单排序，确定下一候选人为中标人，也可以重新开展政府采购活动。</w:t>
      </w:r>
    </w:p>
    <w:p w14:paraId="63A5F5B6">
      <w:pPr>
        <w:spacing w:before="120" w:line="320" w:lineRule="atLeast"/>
        <w:ind w:firstLine="420" w:firstLineChars="200"/>
        <w:rPr>
          <w:color w:val="auto"/>
          <w:szCs w:val="21"/>
        </w:rPr>
      </w:pPr>
      <w:bookmarkStart w:id="97" w:name="_Hlk155170999"/>
      <w:r>
        <w:rPr>
          <w:rFonts w:hint="eastAsia"/>
          <w:color w:val="auto"/>
          <w:szCs w:val="21"/>
        </w:rPr>
        <w:t>7</w:t>
      </w:r>
      <w:r>
        <w:rPr>
          <w:color w:val="auto"/>
          <w:szCs w:val="21"/>
        </w:rPr>
        <w:t>.2.5</w:t>
      </w:r>
      <w:r>
        <w:rPr>
          <w:rFonts w:hint="eastAsia"/>
          <w:color w:val="auto"/>
          <w:szCs w:val="21"/>
        </w:rPr>
        <w:t>采购人因不可抗力原因迟延签订合同的，应当自不可抗力事由消除之日起7日内完成合同签订事宜。</w:t>
      </w:r>
    </w:p>
    <w:bookmarkEnd w:id="96"/>
    <w:bookmarkEnd w:id="97"/>
    <w:p w14:paraId="70D0205B">
      <w:pPr>
        <w:spacing w:before="120" w:line="320" w:lineRule="atLeast"/>
        <w:ind w:firstLine="422" w:firstLineChars="200"/>
        <w:outlineLvl w:val="2"/>
        <w:rPr>
          <w:b/>
          <w:bCs/>
          <w:color w:val="auto"/>
          <w:kern w:val="0"/>
          <w:szCs w:val="21"/>
        </w:rPr>
      </w:pPr>
      <w:r>
        <w:rPr>
          <w:b/>
          <w:bCs/>
          <w:color w:val="auto"/>
          <w:kern w:val="0"/>
          <w:szCs w:val="21"/>
        </w:rPr>
        <w:t>7.3合同公告</w:t>
      </w:r>
    </w:p>
    <w:p w14:paraId="7B7629B5">
      <w:pPr>
        <w:spacing w:before="120" w:line="320" w:lineRule="atLeast"/>
        <w:ind w:firstLine="420" w:firstLineChars="200"/>
        <w:rPr>
          <w:color w:val="auto"/>
          <w:szCs w:val="21"/>
        </w:rPr>
      </w:pPr>
      <w:bookmarkStart w:id="98" w:name="_Hlk93421052"/>
      <w:r>
        <w:rPr>
          <w:color w:val="auto"/>
          <w:szCs w:val="21"/>
        </w:rPr>
        <w:t>7.3.1如</w:t>
      </w:r>
      <w:r>
        <w:rPr>
          <w:rFonts w:hint="eastAsia"/>
          <w:color w:val="auto"/>
          <w:szCs w:val="21"/>
        </w:rPr>
        <w:t>招标</w:t>
      </w:r>
      <w:r>
        <w:rPr>
          <w:color w:val="auto"/>
          <w:szCs w:val="21"/>
        </w:rPr>
        <w:t>文件无特殊规定</w:t>
      </w:r>
      <w:r>
        <w:rPr>
          <w:rFonts w:hint="eastAsia"/>
          <w:color w:val="auto"/>
          <w:szCs w:val="21"/>
        </w:rPr>
        <w:t>，</w:t>
      </w:r>
      <w:r>
        <w:rPr>
          <w:color w:val="auto"/>
          <w:szCs w:val="21"/>
        </w:rPr>
        <w:t>中标人应在签订合同后1个工作日内，将政府采购合同副本送采购代理机构</w:t>
      </w:r>
      <w:r>
        <w:rPr>
          <w:rFonts w:hint="eastAsia"/>
          <w:color w:val="auto"/>
          <w:szCs w:val="21"/>
        </w:rPr>
        <w:t>存档</w:t>
      </w:r>
      <w:r>
        <w:rPr>
          <w:color w:val="auto"/>
          <w:szCs w:val="21"/>
        </w:rPr>
        <w:t>。</w:t>
      </w:r>
    </w:p>
    <w:p w14:paraId="7F2AFF42">
      <w:pPr>
        <w:spacing w:before="120" w:line="320" w:lineRule="atLeast"/>
        <w:ind w:firstLine="420" w:firstLineChars="200"/>
        <w:rPr>
          <w:color w:val="auto"/>
          <w:szCs w:val="21"/>
        </w:rPr>
      </w:pPr>
      <w:r>
        <w:rPr>
          <w:color w:val="auto"/>
          <w:szCs w:val="21"/>
        </w:rPr>
        <w:t>7.3.2采购人应当自政府采购合同签订之日起2个工作日内，将政府采购合同在省级以上人民政府财政部门指定的媒体上公告，但政府采购合同中涉及国家秘密、商业秘密的内容除外。</w:t>
      </w:r>
    </w:p>
    <w:p w14:paraId="2F8F8695">
      <w:pPr>
        <w:spacing w:before="120" w:line="320" w:lineRule="atLeast"/>
        <w:ind w:firstLine="420" w:firstLineChars="200"/>
        <w:rPr>
          <w:color w:val="auto"/>
          <w:szCs w:val="21"/>
        </w:rPr>
      </w:pPr>
      <w:bookmarkStart w:id="99" w:name="_Hlk155171014"/>
      <w:r>
        <w:rPr>
          <w:rFonts w:hint="eastAsia"/>
          <w:color w:val="auto"/>
          <w:szCs w:val="21"/>
        </w:rPr>
        <w:t>7</w:t>
      </w:r>
      <w:r>
        <w:rPr>
          <w:color w:val="auto"/>
          <w:szCs w:val="21"/>
        </w:rPr>
        <w:t xml:space="preserve">.3.3 </w:t>
      </w:r>
      <w:r>
        <w:rPr>
          <w:rFonts w:hint="eastAsia"/>
          <w:color w:val="auto"/>
          <w:szCs w:val="21"/>
        </w:rPr>
        <w:t>政府采购合同双方不得擅自变更合同，依照政府采购法确需变更政府采购合同内容的，采购人应当自合同变更之日起2个工作日内在省级以上财政部门指定的媒体上发布政府采购合同变更公告，但涉及国家秘密、商业秘密的信息和其他依法不得公开的信息除外。</w:t>
      </w:r>
    </w:p>
    <w:bookmarkEnd w:id="98"/>
    <w:bookmarkEnd w:id="99"/>
    <w:p w14:paraId="302AC27E">
      <w:pPr>
        <w:spacing w:before="120" w:line="320" w:lineRule="atLeast"/>
        <w:ind w:firstLine="422" w:firstLineChars="200"/>
        <w:outlineLvl w:val="2"/>
        <w:rPr>
          <w:b/>
          <w:bCs/>
          <w:color w:val="auto"/>
          <w:kern w:val="0"/>
          <w:szCs w:val="21"/>
        </w:rPr>
      </w:pPr>
      <w:r>
        <w:rPr>
          <w:b/>
          <w:bCs/>
          <w:color w:val="auto"/>
          <w:kern w:val="0"/>
          <w:szCs w:val="21"/>
        </w:rPr>
        <w:t>7.4 履行合同</w:t>
      </w:r>
    </w:p>
    <w:p w14:paraId="737436BC">
      <w:pPr>
        <w:spacing w:before="120" w:line="320" w:lineRule="atLeast"/>
        <w:ind w:firstLine="420" w:firstLineChars="200"/>
        <w:rPr>
          <w:color w:val="auto"/>
          <w:szCs w:val="21"/>
        </w:rPr>
      </w:pPr>
      <w:bookmarkStart w:id="100" w:name="_Hlk93421061"/>
      <w:r>
        <w:rPr>
          <w:color w:val="auto"/>
          <w:szCs w:val="21"/>
        </w:rPr>
        <w:t>7.4.1</w:t>
      </w:r>
      <w:bookmarkStart w:id="101" w:name="_Toc308164814"/>
      <w:bookmarkStart w:id="102" w:name="_Toc217446070"/>
      <w:r>
        <w:rPr>
          <w:rFonts w:hint="eastAsia"/>
          <w:color w:val="auto"/>
          <w:szCs w:val="21"/>
        </w:rPr>
        <w:t>采购人与中标人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bookmarkEnd w:id="100"/>
    <w:p w14:paraId="4C64B7C4">
      <w:pPr>
        <w:spacing w:before="120" w:line="320" w:lineRule="atLeast"/>
        <w:ind w:firstLine="422" w:firstLineChars="200"/>
        <w:rPr>
          <w:b/>
          <w:bCs/>
          <w:color w:val="auto"/>
          <w:kern w:val="0"/>
          <w:szCs w:val="21"/>
        </w:rPr>
      </w:pPr>
      <w:r>
        <w:rPr>
          <w:b/>
          <w:bCs/>
          <w:color w:val="auto"/>
          <w:kern w:val="0"/>
          <w:szCs w:val="21"/>
        </w:rPr>
        <w:t>7.5履约验收</w:t>
      </w:r>
      <w:bookmarkEnd w:id="101"/>
      <w:bookmarkEnd w:id="102"/>
    </w:p>
    <w:p w14:paraId="4EEAC294">
      <w:pPr>
        <w:spacing w:before="120" w:line="320" w:lineRule="atLeast"/>
        <w:ind w:firstLine="420" w:firstLineChars="200"/>
        <w:rPr>
          <w:color w:val="auto"/>
          <w:szCs w:val="21"/>
        </w:rPr>
      </w:pPr>
      <w:bookmarkStart w:id="103" w:name="_Hlk93421069"/>
      <w:r>
        <w:rPr>
          <w:color w:val="auto"/>
          <w:szCs w:val="21"/>
        </w:rPr>
        <w:t>7.5.1采购人可以根据政府采购项目具体情况自行组织验收，或者委托政府采购代理机构、国家认可的质量检测机构开展采购项目履约验收工作。</w:t>
      </w:r>
    </w:p>
    <w:p w14:paraId="1F378295">
      <w:pPr>
        <w:spacing w:before="120" w:line="320" w:lineRule="atLeast"/>
        <w:ind w:firstLine="420" w:firstLineChars="200"/>
        <w:rPr>
          <w:color w:val="auto"/>
          <w:szCs w:val="21"/>
        </w:rPr>
      </w:pPr>
      <w:r>
        <w:rPr>
          <w:color w:val="auto"/>
          <w:szCs w:val="21"/>
        </w:rPr>
        <w:t>7.5.2验收结果合格的，中标人可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14:paraId="2F99474D">
      <w:pPr>
        <w:spacing w:before="120" w:line="320" w:lineRule="atLeast"/>
        <w:ind w:firstLine="420" w:firstLineChars="200"/>
        <w:rPr>
          <w:color w:val="auto"/>
          <w:szCs w:val="21"/>
        </w:rPr>
      </w:pPr>
      <w:r>
        <w:rPr>
          <w:color w:val="auto"/>
          <w:szCs w:val="21"/>
        </w:rPr>
        <w:t>7.5.3采购合同项目完成验收后，采购人应当将验收原始记录、验收书等资料作为该采购项目档案妥善保管，不得伪造、变造、隐匿或者销毁，验收资料保存期为采购结束之日起至少保存15年。</w:t>
      </w:r>
    </w:p>
    <w:p w14:paraId="26511F27">
      <w:pPr>
        <w:spacing w:before="120" w:line="320" w:lineRule="atLeast"/>
        <w:ind w:firstLine="420" w:firstLineChars="200"/>
        <w:rPr>
          <w:color w:val="auto"/>
          <w:szCs w:val="21"/>
        </w:rPr>
      </w:pPr>
      <w:r>
        <w:rPr>
          <w:color w:val="auto"/>
          <w:szCs w:val="21"/>
        </w:rPr>
        <w:t>7.5.4本项目将严格按照本招标文件及合同有关规定进行合同履约验收。招标文件或合同未规定的按财政部关于进一步加强政府采购需求和履约验收管理的指导意见（财库〔2016〕205号）以及《广西壮族自治区政府采购项目履约验收管理办法》（桂财采〔2015〕22号）的规定执行。</w:t>
      </w:r>
    </w:p>
    <w:bookmarkEnd w:id="103"/>
    <w:p w14:paraId="1124EE44">
      <w:pPr>
        <w:spacing w:before="120" w:line="320" w:lineRule="atLeast"/>
        <w:ind w:left="2" w:leftChars="1" w:firstLine="422" w:firstLineChars="200"/>
        <w:outlineLvl w:val="1"/>
        <w:rPr>
          <w:b/>
          <w:bCs/>
          <w:color w:val="auto"/>
          <w:kern w:val="0"/>
          <w:szCs w:val="21"/>
        </w:rPr>
      </w:pPr>
      <w:bookmarkStart w:id="104" w:name="_Toc254970674"/>
      <w:bookmarkStart w:id="105" w:name="_Toc254970533"/>
      <w:r>
        <w:rPr>
          <w:b/>
          <w:bCs/>
          <w:color w:val="auto"/>
          <w:kern w:val="0"/>
          <w:szCs w:val="21"/>
        </w:rPr>
        <w:t>8．质疑和投诉</w:t>
      </w:r>
      <w:bookmarkEnd w:id="104"/>
      <w:bookmarkEnd w:id="105"/>
    </w:p>
    <w:p w14:paraId="50D56B09">
      <w:pPr>
        <w:spacing w:before="120" w:line="320" w:lineRule="atLeast"/>
        <w:ind w:firstLine="422" w:firstLineChars="200"/>
        <w:outlineLvl w:val="2"/>
        <w:rPr>
          <w:b/>
          <w:bCs/>
          <w:color w:val="auto"/>
          <w:kern w:val="0"/>
          <w:szCs w:val="21"/>
        </w:rPr>
      </w:pPr>
      <w:r>
        <w:rPr>
          <w:b/>
          <w:bCs/>
          <w:color w:val="auto"/>
          <w:kern w:val="0"/>
          <w:szCs w:val="21"/>
        </w:rPr>
        <w:t>8.1质疑</w:t>
      </w:r>
    </w:p>
    <w:p w14:paraId="26782B49">
      <w:pPr>
        <w:spacing w:before="120" w:line="320" w:lineRule="atLeast"/>
        <w:ind w:firstLine="420" w:firstLineChars="200"/>
        <w:rPr>
          <w:color w:val="auto"/>
          <w:szCs w:val="21"/>
        </w:rPr>
      </w:pPr>
      <w:r>
        <w:rPr>
          <w:color w:val="auto"/>
          <w:szCs w:val="21"/>
        </w:rPr>
        <w:t>8.1.1质疑内容、时限</w:t>
      </w:r>
    </w:p>
    <w:p w14:paraId="6B216263">
      <w:pPr>
        <w:spacing w:before="120" w:line="320" w:lineRule="atLeast"/>
        <w:ind w:firstLine="420" w:firstLineChars="200"/>
        <w:rPr>
          <w:color w:val="auto"/>
          <w:szCs w:val="21"/>
        </w:rPr>
      </w:pPr>
      <w:r>
        <w:rPr>
          <w:rFonts w:hint="eastAsia"/>
          <w:color w:val="auto"/>
          <w:szCs w:val="21"/>
        </w:rPr>
        <w:t>（1）供应商对政府采购活动有疑问的，可以向采购人或采购代理机构提出询问。采购人或者采购代理机构应当在3个工作日内对供应商依法提出的询问作出答复。</w:t>
      </w:r>
    </w:p>
    <w:p w14:paraId="7AC86C1E">
      <w:pPr>
        <w:spacing w:before="120" w:line="320" w:lineRule="atLeast"/>
        <w:ind w:firstLine="420" w:firstLineChars="200"/>
        <w:rPr>
          <w:color w:val="auto"/>
          <w:szCs w:val="21"/>
        </w:rPr>
      </w:pPr>
      <w:r>
        <w:rPr>
          <w:rFonts w:hint="eastAsia"/>
          <w:color w:val="auto"/>
          <w:szCs w:val="21"/>
        </w:rPr>
        <w:t>（2）供应商为认为招标文件、采购过程、中标或者成交结果使自己的权益受到损害的，可以在知道或者应知其权益受到损害之日起7个工作日内向采购人或采购代理机构提出质疑。采购人或</w:t>
      </w:r>
      <w:r>
        <w:rPr>
          <w:color w:val="auto"/>
          <w:szCs w:val="21"/>
        </w:rPr>
        <w:t>采购代理机构在收到供应商书面质疑后7个工作日内，对质疑内容作出答复。</w:t>
      </w:r>
    </w:p>
    <w:p w14:paraId="75E8BA59">
      <w:pPr>
        <w:spacing w:before="120" w:line="320" w:lineRule="atLeast"/>
        <w:ind w:firstLine="420" w:firstLineChars="200"/>
        <w:rPr>
          <w:color w:val="auto"/>
          <w:szCs w:val="21"/>
        </w:rPr>
      </w:pPr>
      <w:r>
        <w:rPr>
          <w:color w:val="auto"/>
          <w:szCs w:val="21"/>
        </w:rPr>
        <w:t>8.1.2质疑形式</w:t>
      </w:r>
    </w:p>
    <w:p w14:paraId="7C41E77B">
      <w:pPr>
        <w:spacing w:before="120" w:line="320" w:lineRule="atLeast"/>
        <w:ind w:firstLine="420" w:firstLineChars="200"/>
        <w:rPr>
          <w:color w:val="auto"/>
          <w:szCs w:val="21"/>
        </w:rPr>
      </w:pPr>
      <w:r>
        <w:rPr>
          <w:color w:val="auto"/>
          <w:szCs w:val="21"/>
        </w:rPr>
        <w:t>质疑应当采用</w:t>
      </w:r>
      <w:r>
        <w:rPr>
          <w:rFonts w:hint="eastAsia"/>
          <w:color w:val="auto"/>
          <w:szCs w:val="21"/>
        </w:rPr>
        <w:t>供应商</w:t>
      </w:r>
      <w:r>
        <w:rPr>
          <w:color w:val="auto"/>
          <w:szCs w:val="21"/>
        </w:rPr>
        <w:t>须知前附表所规定的形式，质疑书应明确阐述</w:t>
      </w:r>
      <w:r>
        <w:rPr>
          <w:rFonts w:hint="eastAsia"/>
          <w:color w:val="auto"/>
          <w:szCs w:val="21"/>
        </w:rPr>
        <w:t>招标文件</w:t>
      </w:r>
      <w:r>
        <w:rPr>
          <w:color w:val="auto"/>
          <w:szCs w:val="21"/>
        </w:rPr>
        <w:t>、</w:t>
      </w:r>
      <w:r>
        <w:rPr>
          <w:rFonts w:hint="eastAsia"/>
          <w:color w:val="auto"/>
          <w:szCs w:val="21"/>
        </w:rPr>
        <w:t>采购</w:t>
      </w:r>
      <w:r>
        <w:rPr>
          <w:color w:val="auto"/>
          <w:szCs w:val="21"/>
        </w:rPr>
        <w:t>过程或中标结果中使自己合法权益受到损害的实质性内容，提供相关事实、依据和证据及其来源或线索，便于有关单位调查、答复和处理。</w:t>
      </w:r>
    </w:p>
    <w:p w14:paraId="075A6355">
      <w:pPr>
        <w:spacing w:before="120" w:line="320" w:lineRule="atLeast"/>
        <w:ind w:firstLine="420" w:firstLineChars="200"/>
        <w:rPr>
          <w:color w:val="auto"/>
          <w:szCs w:val="21"/>
        </w:rPr>
      </w:pPr>
      <w:r>
        <w:rPr>
          <w:rFonts w:hint="eastAsia"/>
          <w:color w:val="auto"/>
          <w:szCs w:val="21"/>
        </w:rPr>
        <w:t>8</w:t>
      </w:r>
      <w:r>
        <w:rPr>
          <w:color w:val="auto"/>
          <w:szCs w:val="21"/>
        </w:rPr>
        <w:t>.1.3</w:t>
      </w:r>
      <w:r>
        <w:rPr>
          <w:rFonts w:hint="eastAsia"/>
          <w:color w:val="auto"/>
        </w:rPr>
        <w:t xml:space="preserve"> </w:t>
      </w:r>
      <w:r>
        <w:rPr>
          <w:rFonts w:hint="eastAsia"/>
          <w:color w:val="auto"/>
          <w:szCs w:val="21"/>
        </w:rPr>
        <w:t>供应商提出质疑应当提交质疑函和必要的证明材料。质疑函应当包括下列内容：</w:t>
      </w:r>
    </w:p>
    <w:p w14:paraId="31A15AEB">
      <w:pPr>
        <w:spacing w:before="120" w:line="320" w:lineRule="atLeast"/>
        <w:ind w:firstLine="420" w:firstLineChars="200"/>
        <w:rPr>
          <w:color w:val="auto"/>
          <w:szCs w:val="21"/>
        </w:rPr>
      </w:pPr>
      <w:r>
        <w:rPr>
          <w:rFonts w:hint="eastAsia"/>
          <w:color w:val="auto"/>
          <w:szCs w:val="21"/>
        </w:rPr>
        <w:t>（1）</w:t>
      </w:r>
      <w:r>
        <w:rPr>
          <w:rFonts w:hint="eastAsia"/>
          <w:color w:val="auto"/>
          <w:szCs w:val="21"/>
        </w:rPr>
        <w:tab/>
      </w:r>
      <w:r>
        <w:rPr>
          <w:rFonts w:hint="eastAsia"/>
          <w:color w:val="auto"/>
          <w:szCs w:val="21"/>
        </w:rPr>
        <w:t>供应商的姓名或者名称、地址、邮编、联系人及联系电话；</w:t>
      </w:r>
    </w:p>
    <w:p w14:paraId="1629B534">
      <w:pPr>
        <w:spacing w:before="120" w:line="320" w:lineRule="atLeast"/>
        <w:ind w:firstLine="420" w:firstLineChars="200"/>
        <w:rPr>
          <w:color w:val="auto"/>
          <w:szCs w:val="21"/>
        </w:rPr>
      </w:pPr>
      <w:r>
        <w:rPr>
          <w:rFonts w:hint="eastAsia"/>
          <w:color w:val="auto"/>
          <w:szCs w:val="21"/>
        </w:rPr>
        <w:t>（2）</w:t>
      </w:r>
      <w:r>
        <w:rPr>
          <w:rFonts w:hint="eastAsia"/>
          <w:color w:val="auto"/>
          <w:szCs w:val="21"/>
        </w:rPr>
        <w:tab/>
      </w:r>
      <w:r>
        <w:rPr>
          <w:rFonts w:hint="eastAsia"/>
          <w:color w:val="auto"/>
          <w:szCs w:val="21"/>
        </w:rPr>
        <w:t>质疑项目的名称、编号；</w:t>
      </w:r>
    </w:p>
    <w:p w14:paraId="59193879">
      <w:pPr>
        <w:spacing w:before="120" w:line="320" w:lineRule="atLeast"/>
        <w:ind w:firstLine="420" w:firstLineChars="200"/>
        <w:rPr>
          <w:color w:val="auto"/>
          <w:szCs w:val="21"/>
        </w:rPr>
      </w:pPr>
      <w:r>
        <w:rPr>
          <w:rFonts w:hint="eastAsia"/>
          <w:color w:val="auto"/>
          <w:szCs w:val="21"/>
        </w:rPr>
        <w:t>（3）</w:t>
      </w:r>
      <w:r>
        <w:rPr>
          <w:rFonts w:hint="eastAsia"/>
          <w:color w:val="auto"/>
          <w:szCs w:val="21"/>
        </w:rPr>
        <w:tab/>
      </w:r>
      <w:r>
        <w:rPr>
          <w:rFonts w:hint="eastAsia"/>
          <w:color w:val="auto"/>
          <w:szCs w:val="21"/>
        </w:rPr>
        <w:t>具体、明确的质疑事项和与质疑事项相关的请求；</w:t>
      </w:r>
    </w:p>
    <w:p w14:paraId="379856B8">
      <w:pPr>
        <w:spacing w:before="120" w:line="320" w:lineRule="atLeast"/>
        <w:ind w:firstLine="420" w:firstLineChars="200"/>
        <w:rPr>
          <w:color w:val="auto"/>
          <w:szCs w:val="21"/>
        </w:rPr>
      </w:pPr>
      <w:r>
        <w:rPr>
          <w:rFonts w:hint="eastAsia"/>
          <w:color w:val="auto"/>
          <w:szCs w:val="21"/>
        </w:rPr>
        <w:t>（4）</w:t>
      </w:r>
      <w:r>
        <w:rPr>
          <w:rFonts w:hint="eastAsia"/>
          <w:color w:val="auto"/>
          <w:szCs w:val="21"/>
        </w:rPr>
        <w:tab/>
      </w:r>
      <w:r>
        <w:rPr>
          <w:rFonts w:hint="eastAsia"/>
          <w:color w:val="auto"/>
          <w:szCs w:val="21"/>
        </w:rPr>
        <w:t>事实依据；</w:t>
      </w:r>
    </w:p>
    <w:p w14:paraId="6A43A5BC">
      <w:pPr>
        <w:spacing w:before="120" w:line="320" w:lineRule="atLeast"/>
        <w:ind w:firstLine="420" w:firstLineChars="200"/>
        <w:rPr>
          <w:color w:val="auto"/>
          <w:szCs w:val="21"/>
        </w:rPr>
      </w:pPr>
      <w:r>
        <w:rPr>
          <w:rFonts w:hint="eastAsia"/>
          <w:color w:val="auto"/>
          <w:szCs w:val="21"/>
        </w:rPr>
        <w:t>（5）</w:t>
      </w:r>
      <w:r>
        <w:rPr>
          <w:rFonts w:hint="eastAsia"/>
          <w:color w:val="auto"/>
          <w:szCs w:val="21"/>
        </w:rPr>
        <w:tab/>
      </w:r>
      <w:r>
        <w:rPr>
          <w:rFonts w:hint="eastAsia"/>
          <w:color w:val="auto"/>
          <w:szCs w:val="21"/>
        </w:rPr>
        <w:t>必要的法律依据；</w:t>
      </w:r>
    </w:p>
    <w:p w14:paraId="403A15C8">
      <w:pPr>
        <w:spacing w:before="120" w:line="320" w:lineRule="atLeast"/>
        <w:ind w:firstLine="420" w:firstLineChars="200"/>
        <w:rPr>
          <w:color w:val="auto"/>
          <w:szCs w:val="21"/>
        </w:rPr>
      </w:pPr>
      <w:r>
        <w:rPr>
          <w:rFonts w:hint="eastAsia"/>
          <w:color w:val="auto"/>
          <w:szCs w:val="21"/>
        </w:rPr>
        <w:t>（6）</w:t>
      </w:r>
      <w:r>
        <w:rPr>
          <w:rFonts w:hint="eastAsia"/>
          <w:color w:val="auto"/>
          <w:szCs w:val="21"/>
        </w:rPr>
        <w:tab/>
      </w:r>
      <w:r>
        <w:rPr>
          <w:rFonts w:hint="eastAsia"/>
          <w:color w:val="auto"/>
          <w:szCs w:val="21"/>
        </w:rPr>
        <w:t>提出质疑的日期。</w:t>
      </w:r>
    </w:p>
    <w:p w14:paraId="0F62767F">
      <w:pPr>
        <w:spacing w:before="120" w:line="320" w:lineRule="atLeast"/>
        <w:ind w:firstLine="420" w:firstLineChars="200"/>
        <w:rPr>
          <w:color w:val="auto"/>
          <w:szCs w:val="21"/>
        </w:rPr>
      </w:pPr>
      <w:r>
        <w:rPr>
          <w:rFonts w:hint="eastAsia"/>
          <w:color w:val="auto"/>
          <w:szCs w:val="21"/>
        </w:rPr>
        <w:t>供应商为自然人的，应当由本人签字；供应商为法人或者其他组织的，应当由法定代表人、主要负责人，或者其授权代表签字或者盖章，并加盖公章。</w:t>
      </w:r>
      <w:r>
        <w:rPr>
          <w:color w:val="auto"/>
          <w:szCs w:val="21"/>
        </w:rPr>
        <w:t xml:space="preserve"> </w:t>
      </w:r>
    </w:p>
    <w:p w14:paraId="4F689BA3">
      <w:pPr>
        <w:spacing w:before="120" w:line="320" w:lineRule="atLeast"/>
        <w:ind w:firstLine="422" w:firstLineChars="200"/>
        <w:outlineLvl w:val="2"/>
        <w:rPr>
          <w:b/>
          <w:bCs/>
          <w:color w:val="auto"/>
          <w:kern w:val="0"/>
          <w:szCs w:val="21"/>
        </w:rPr>
      </w:pPr>
      <w:r>
        <w:rPr>
          <w:b/>
          <w:bCs/>
          <w:color w:val="auto"/>
          <w:kern w:val="0"/>
          <w:szCs w:val="21"/>
        </w:rPr>
        <w:t>8.2投诉</w:t>
      </w:r>
    </w:p>
    <w:p w14:paraId="7B278A36">
      <w:pPr>
        <w:spacing w:before="120" w:line="320" w:lineRule="atLeast"/>
        <w:ind w:firstLine="420" w:firstLineChars="200"/>
        <w:rPr>
          <w:color w:val="auto"/>
          <w:szCs w:val="21"/>
        </w:rPr>
      </w:pPr>
      <w:r>
        <w:rPr>
          <w:color w:val="auto"/>
          <w:szCs w:val="21"/>
        </w:rPr>
        <w:t>8.2.1供应商对采购人、采购代理机构的答复不满意，或者采购人、采购代理机构未在规定时间内答复的，可在答复期满后15个工作日内按有关规定，向同级财政部门投诉。</w:t>
      </w:r>
    </w:p>
    <w:p w14:paraId="36EE3D31">
      <w:pPr>
        <w:spacing w:before="120" w:line="320" w:lineRule="atLeast"/>
        <w:ind w:firstLine="420" w:firstLineChars="200"/>
        <w:rPr>
          <w:color w:val="auto"/>
          <w:szCs w:val="21"/>
        </w:rPr>
      </w:pPr>
      <w:r>
        <w:rPr>
          <w:color w:val="auto"/>
          <w:szCs w:val="21"/>
        </w:rPr>
        <w:t>8.2.</w:t>
      </w:r>
      <w:r>
        <w:rPr>
          <w:rFonts w:hint="eastAsia"/>
          <w:color w:val="auto"/>
          <w:szCs w:val="21"/>
        </w:rPr>
        <w:t>2投诉</w:t>
      </w:r>
      <w:r>
        <w:rPr>
          <w:color w:val="auto"/>
          <w:szCs w:val="21"/>
        </w:rPr>
        <w:t>书应使用财政部发布的</w:t>
      </w:r>
      <w:r>
        <w:rPr>
          <w:rFonts w:hint="eastAsia"/>
          <w:color w:val="auto"/>
          <w:szCs w:val="21"/>
        </w:rPr>
        <w:t>政府采购供应投诉书范本，并应按照“投诉书制作说明”进行编写。</w:t>
      </w:r>
    </w:p>
    <w:p w14:paraId="6CAE5924">
      <w:pPr>
        <w:spacing w:before="120" w:line="320" w:lineRule="atLeast"/>
        <w:ind w:left="2" w:leftChars="1" w:firstLine="422" w:firstLineChars="200"/>
        <w:outlineLvl w:val="1"/>
        <w:rPr>
          <w:b/>
          <w:bCs/>
          <w:color w:val="auto"/>
          <w:kern w:val="0"/>
          <w:szCs w:val="21"/>
        </w:rPr>
      </w:pPr>
      <w:r>
        <w:rPr>
          <w:b/>
          <w:bCs/>
          <w:color w:val="auto"/>
          <w:kern w:val="0"/>
          <w:szCs w:val="21"/>
        </w:rPr>
        <w:t>9．其他事项</w:t>
      </w:r>
    </w:p>
    <w:p w14:paraId="779E99D5">
      <w:pPr>
        <w:spacing w:before="120" w:line="320" w:lineRule="atLeast"/>
        <w:ind w:left="2" w:leftChars="1" w:firstLine="420" w:firstLineChars="200"/>
        <w:rPr>
          <w:color w:val="auto"/>
          <w:szCs w:val="21"/>
        </w:rPr>
      </w:pPr>
      <w:r>
        <w:rPr>
          <w:color w:val="auto"/>
          <w:szCs w:val="21"/>
        </w:rPr>
        <w:t>9.1代理服务收费由采购代理机构向中标人收取。签订合同前，中标人应向采购代理机构一次付清代理服务费。</w:t>
      </w:r>
    </w:p>
    <w:p w14:paraId="1A8085FB">
      <w:pPr>
        <w:spacing w:before="120" w:line="320" w:lineRule="atLeast"/>
        <w:ind w:left="2" w:leftChars="1" w:firstLine="420" w:firstLineChars="200"/>
        <w:rPr>
          <w:color w:val="auto"/>
          <w:szCs w:val="21"/>
        </w:rPr>
      </w:pPr>
      <w:r>
        <w:rPr>
          <w:color w:val="auto"/>
          <w:szCs w:val="21"/>
        </w:rPr>
        <w:t>9.2</w:t>
      </w:r>
      <w:r>
        <w:rPr>
          <w:rFonts w:hint="eastAsia"/>
          <w:color w:val="auto"/>
          <w:szCs w:val="21"/>
        </w:rPr>
        <w:t>电子交易活动的中止。采购过程中出现以下情形，导致电子交易平台无法正常运行，或者无法保证电子交易的公平、公正和安全时，采购机构可中止电子交易活动：</w:t>
      </w:r>
    </w:p>
    <w:p w14:paraId="4FA09C90">
      <w:pPr>
        <w:spacing w:before="120" w:line="276" w:lineRule="auto"/>
        <w:ind w:firstLine="420" w:firstLineChars="200"/>
        <w:rPr>
          <w:color w:val="auto"/>
          <w:szCs w:val="21"/>
        </w:rPr>
      </w:pPr>
      <w:r>
        <w:rPr>
          <w:rFonts w:hint="eastAsia"/>
          <w:color w:val="auto"/>
          <w:szCs w:val="21"/>
        </w:rPr>
        <w:t xml:space="preserve">（1）电子交易平台发生故障而无法登录访问的； </w:t>
      </w:r>
    </w:p>
    <w:p w14:paraId="5FA32ADC">
      <w:pPr>
        <w:spacing w:before="120" w:line="276" w:lineRule="auto"/>
        <w:ind w:firstLine="420" w:firstLineChars="200"/>
        <w:rPr>
          <w:color w:val="auto"/>
          <w:szCs w:val="21"/>
        </w:rPr>
      </w:pPr>
      <w:r>
        <w:rPr>
          <w:rFonts w:hint="eastAsia"/>
          <w:color w:val="auto"/>
          <w:szCs w:val="21"/>
        </w:rPr>
        <w:t>（2）电子交易平台应用或数据库出现错误，不能进行正常操作的；</w:t>
      </w:r>
    </w:p>
    <w:p w14:paraId="11B01F01">
      <w:pPr>
        <w:spacing w:before="120" w:line="276" w:lineRule="auto"/>
        <w:ind w:firstLine="420" w:firstLineChars="200"/>
        <w:rPr>
          <w:color w:val="auto"/>
          <w:szCs w:val="21"/>
        </w:rPr>
      </w:pPr>
      <w:r>
        <w:rPr>
          <w:rFonts w:hint="eastAsia"/>
          <w:color w:val="auto"/>
          <w:szCs w:val="21"/>
        </w:rPr>
        <w:t>（3）电子交易平台发现严重安全漏洞，有潜在泄密危险的；</w:t>
      </w:r>
    </w:p>
    <w:p w14:paraId="2CA21E1D">
      <w:pPr>
        <w:spacing w:before="120" w:line="276" w:lineRule="auto"/>
        <w:ind w:firstLine="420" w:firstLineChars="200"/>
        <w:rPr>
          <w:color w:val="auto"/>
          <w:szCs w:val="21"/>
        </w:rPr>
      </w:pPr>
      <w:r>
        <w:rPr>
          <w:rFonts w:hint="eastAsia"/>
          <w:color w:val="auto"/>
          <w:szCs w:val="21"/>
        </w:rPr>
        <w:t xml:space="preserve">（4）病毒发作导致不能进行正常操作的； </w:t>
      </w:r>
    </w:p>
    <w:p w14:paraId="626A1394">
      <w:pPr>
        <w:spacing w:before="120" w:line="276" w:lineRule="auto"/>
        <w:ind w:firstLine="420" w:firstLineChars="200"/>
        <w:rPr>
          <w:color w:val="auto"/>
          <w:szCs w:val="21"/>
        </w:rPr>
      </w:pPr>
      <w:r>
        <w:rPr>
          <w:rFonts w:hint="eastAsia"/>
          <w:color w:val="auto"/>
          <w:szCs w:val="21"/>
        </w:rPr>
        <w:t>（</w:t>
      </w:r>
      <w:r>
        <w:rPr>
          <w:color w:val="auto"/>
          <w:szCs w:val="21"/>
        </w:rPr>
        <w:t>5</w:t>
      </w:r>
      <w:r>
        <w:rPr>
          <w:rFonts w:hint="eastAsia"/>
          <w:color w:val="auto"/>
          <w:szCs w:val="21"/>
        </w:rPr>
        <w:t>）其他无法保证电子交易的公平、公正和安全的情况。</w:t>
      </w:r>
    </w:p>
    <w:p w14:paraId="1A7DF4D4">
      <w:pPr>
        <w:tabs>
          <w:tab w:val="left" w:pos="4820"/>
        </w:tabs>
        <w:spacing w:before="120" w:line="360" w:lineRule="auto"/>
        <w:ind w:firstLine="420" w:firstLineChars="200"/>
        <w:rPr>
          <w:color w:val="auto"/>
          <w:szCs w:val="21"/>
        </w:rPr>
      </w:pPr>
      <w:r>
        <w:rPr>
          <w:rFonts w:hint="eastAsia"/>
          <w:color w:val="auto"/>
          <w:szCs w:val="21"/>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r>
        <w:rPr>
          <w:color w:val="auto"/>
          <w:szCs w:val="21"/>
        </w:rPr>
        <w:t xml:space="preserve"> </w:t>
      </w:r>
    </w:p>
    <w:p w14:paraId="6D26173E">
      <w:pPr>
        <w:spacing w:before="120" w:line="320" w:lineRule="atLeast"/>
        <w:ind w:left="2" w:leftChars="1" w:firstLine="420" w:firstLineChars="200"/>
        <w:rPr>
          <w:color w:val="auto"/>
          <w:szCs w:val="21"/>
        </w:rPr>
      </w:pPr>
      <w:r>
        <w:rPr>
          <w:color w:val="auto"/>
          <w:szCs w:val="21"/>
        </w:rPr>
        <w:t>9.3</w:t>
      </w:r>
      <w:r>
        <w:rPr>
          <w:rFonts w:hint="eastAsia"/>
          <w:color w:val="auto"/>
          <w:szCs w:val="21"/>
        </w:rPr>
        <w:t>本项目的附件及图纸</w:t>
      </w:r>
      <w:r>
        <w:rPr>
          <w:color w:val="auto"/>
          <w:szCs w:val="21"/>
        </w:rPr>
        <w:t>详见供应商须知前附表</w:t>
      </w:r>
      <w:r>
        <w:rPr>
          <w:rFonts w:hint="eastAsia"/>
          <w:color w:val="auto"/>
          <w:szCs w:val="21"/>
        </w:rPr>
        <w:t>。</w:t>
      </w:r>
    </w:p>
    <w:p w14:paraId="6956A87F">
      <w:pPr>
        <w:spacing w:before="120" w:line="320" w:lineRule="atLeast"/>
        <w:ind w:left="2" w:leftChars="1" w:firstLine="420" w:firstLineChars="200"/>
        <w:rPr>
          <w:color w:val="auto"/>
          <w:szCs w:val="21"/>
        </w:rPr>
      </w:pPr>
      <w:r>
        <w:rPr>
          <w:color w:val="auto"/>
          <w:szCs w:val="21"/>
        </w:rPr>
        <w:t>9.4</w:t>
      </w:r>
      <w:r>
        <w:rPr>
          <w:rFonts w:hint="eastAsia"/>
          <w:color w:val="auto"/>
          <w:szCs w:val="21"/>
        </w:rPr>
        <w:t>本项目的其他事项</w:t>
      </w:r>
      <w:r>
        <w:rPr>
          <w:color w:val="auto"/>
          <w:szCs w:val="21"/>
        </w:rPr>
        <w:t>详见供应商须知前附表</w:t>
      </w:r>
      <w:r>
        <w:rPr>
          <w:rFonts w:hint="eastAsia"/>
          <w:color w:val="auto"/>
          <w:szCs w:val="21"/>
        </w:rPr>
        <w:t>。</w:t>
      </w:r>
    </w:p>
    <w:p w14:paraId="3C8AFD75">
      <w:pPr>
        <w:spacing w:before="120" w:line="320" w:lineRule="atLeast"/>
        <w:ind w:left="2" w:leftChars="1" w:firstLine="422" w:firstLineChars="200"/>
        <w:outlineLvl w:val="1"/>
        <w:rPr>
          <w:b/>
          <w:bCs/>
          <w:color w:val="auto"/>
          <w:kern w:val="0"/>
          <w:szCs w:val="21"/>
        </w:rPr>
      </w:pPr>
      <w:r>
        <w:rPr>
          <w:b/>
          <w:bCs/>
          <w:color w:val="auto"/>
          <w:kern w:val="0"/>
          <w:szCs w:val="21"/>
        </w:rPr>
        <w:t>10．</w:t>
      </w:r>
      <w:r>
        <w:rPr>
          <w:rFonts w:hint="eastAsia"/>
          <w:b/>
          <w:bCs/>
          <w:color w:val="auto"/>
          <w:kern w:val="0"/>
          <w:szCs w:val="21"/>
        </w:rPr>
        <w:t>其他说明</w:t>
      </w:r>
    </w:p>
    <w:p w14:paraId="3B2A4BDE">
      <w:pPr>
        <w:spacing w:before="120" w:line="320" w:lineRule="atLeast"/>
        <w:ind w:left="2" w:leftChars="1" w:firstLine="420" w:firstLineChars="200"/>
        <w:rPr>
          <w:color w:val="auto"/>
          <w:kern w:val="0"/>
          <w:szCs w:val="21"/>
        </w:rPr>
      </w:pPr>
      <w:r>
        <w:rPr>
          <w:rFonts w:hint="eastAsia"/>
          <w:color w:val="auto"/>
          <w:kern w:val="0"/>
          <w:szCs w:val="21"/>
        </w:rPr>
        <w:t>1</w:t>
      </w:r>
      <w:r>
        <w:rPr>
          <w:color w:val="auto"/>
          <w:kern w:val="0"/>
          <w:szCs w:val="21"/>
        </w:rPr>
        <w:t>0.1</w:t>
      </w:r>
      <w:r>
        <w:rPr>
          <w:rFonts w:hint="eastAsia"/>
          <w:color w:val="auto"/>
          <w:kern w:val="0"/>
          <w:szCs w:val="21"/>
        </w:rPr>
        <w:t>其余未尽事宜按</w:t>
      </w:r>
      <w:r>
        <w:rPr>
          <w:color w:val="auto"/>
          <w:kern w:val="0"/>
          <w:szCs w:val="21"/>
        </w:rPr>
        <w:t>《中华人民共和国政府采购法》、《中华人民共和国政府采购法实施条例》</w:t>
      </w:r>
      <w:r>
        <w:rPr>
          <w:rFonts w:hint="eastAsia"/>
          <w:color w:val="auto"/>
          <w:kern w:val="0"/>
          <w:szCs w:val="21"/>
        </w:rPr>
        <w:t>的相关规定执行。</w:t>
      </w:r>
    </w:p>
    <w:p w14:paraId="60AD5FBC">
      <w:pPr>
        <w:spacing w:before="120" w:line="320" w:lineRule="atLeast"/>
        <w:ind w:left="2" w:leftChars="1" w:firstLine="420" w:firstLineChars="200"/>
        <w:rPr>
          <w:color w:val="auto"/>
        </w:rPr>
      </w:pPr>
      <w:r>
        <w:rPr>
          <w:color w:val="auto"/>
          <w:kern w:val="0"/>
          <w:szCs w:val="21"/>
        </w:rPr>
        <w:t>10.2</w:t>
      </w:r>
      <w:r>
        <w:rPr>
          <w:rFonts w:hint="eastAsia"/>
          <w:color w:val="auto"/>
        </w:rPr>
        <w:t>本</w:t>
      </w:r>
      <w:r>
        <w:rPr>
          <w:color w:val="auto"/>
        </w:rPr>
        <w:t>招标文件是根据国家有关法律及有关政策、法规和参照国际惯例编制，解释权属采购代理机构。</w:t>
      </w:r>
    </w:p>
    <w:p w14:paraId="763E9233">
      <w:pPr>
        <w:widowControl/>
        <w:jc w:val="left"/>
        <w:rPr>
          <w:color w:val="auto"/>
        </w:rPr>
      </w:pPr>
      <w:r>
        <w:rPr>
          <w:color w:val="auto"/>
        </w:rPr>
        <w:br w:type="page"/>
      </w:r>
    </w:p>
    <w:bookmarkEnd w:id="40"/>
    <w:p w14:paraId="597BA5BD">
      <w:pPr>
        <w:pStyle w:val="26"/>
        <w:snapToGrid w:val="0"/>
        <w:spacing w:before="120" w:after="120" w:line="320" w:lineRule="exact"/>
        <w:jc w:val="center"/>
        <w:outlineLvl w:val="0"/>
        <w:rPr>
          <w:rFonts w:ascii="Times New Roman" w:hAnsi="Times New Roman" w:cs="Times New Roman"/>
          <w:color w:val="auto"/>
          <w:sz w:val="32"/>
          <w:szCs w:val="32"/>
        </w:rPr>
      </w:pPr>
      <w:bookmarkStart w:id="106" w:name="_Toc142987208"/>
      <w:r>
        <w:rPr>
          <w:rFonts w:ascii="Times New Roman" w:hAnsi="Times New Roman" w:cs="Times New Roman"/>
          <w:color w:val="auto"/>
          <w:sz w:val="32"/>
          <w:szCs w:val="32"/>
        </w:rPr>
        <w:t>第四章  评审方法及标准</w:t>
      </w:r>
      <w:bookmarkEnd w:id="106"/>
    </w:p>
    <w:p w14:paraId="77921D32">
      <w:pPr>
        <w:spacing w:before="120" w:line="320" w:lineRule="atLeast"/>
        <w:ind w:firstLine="413" w:firstLineChars="196"/>
        <w:outlineLvl w:val="1"/>
        <w:rPr>
          <w:b/>
          <w:bCs/>
          <w:color w:val="auto"/>
          <w:kern w:val="0"/>
          <w:szCs w:val="21"/>
        </w:rPr>
      </w:pPr>
      <w:bookmarkStart w:id="107" w:name="_Hlk93421148"/>
      <w:r>
        <w:rPr>
          <w:rFonts w:hint="eastAsia"/>
          <w:b/>
          <w:bCs/>
          <w:color w:val="auto"/>
          <w:kern w:val="0"/>
          <w:szCs w:val="21"/>
        </w:rPr>
        <w:t>1.</w:t>
      </w:r>
      <w:r>
        <w:rPr>
          <w:b/>
          <w:bCs/>
          <w:color w:val="auto"/>
          <w:kern w:val="0"/>
          <w:szCs w:val="21"/>
        </w:rPr>
        <w:t>评审方法</w:t>
      </w:r>
    </w:p>
    <w:p w14:paraId="3B7709B1">
      <w:pPr>
        <w:suppressAutoHyphens/>
        <w:spacing w:before="120" w:line="320" w:lineRule="atLeast"/>
        <w:ind w:firstLine="420" w:firstLineChars="200"/>
        <w:rPr>
          <w:color w:val="auto"/>
        </w:rPr>
      </w:pPr>
      <w:r>
        <w:rPr>
          <w:color w:val="auto"/>
          <w:szCs w:val="21"/>
        </w:rPr>
        <w:sym w:font="Wingdings 2" w:char="F052"/>
      </w:r>
      <w:r>
        <w:rPr>
          <w:color w:val="auto"/>
        </w:rPr>
        <w:t>本项目采用综合评分法进行评审。</w:t>
      </w:r>
    </w:p>
    <w:p w14:paraId="60BB8EF6">
      <w:pPr>
        <w:suppressAutoHyphens/>
        <w:spacing w:before="120" w:line="320" w:lineRule="atLeast"/>
        <w:ind w:firstLine="420" w:firstLineChars="200"/>
        <w:rPr>
          <w:color w:val="auto"/>
        </w:rPr>
      </w:pPr>
      <w:r>
        <w:rPr>
          <w:color w:val="auto"/>
        </w:rPr>
        <w:t>综合评分法，是指投标文件满足招标文件全部实质性要求且按照评审因素的量化指标评审得分最高的供应商为中标候选人的评审方法。</w:t>
      </w:r>
    </w:p>
    <w:p w14:paraId="16684E09">
      <w:pPr>
        <w:suppressAutoHyphens/>
        <w:spacing w:before="120" w:line="320" w:lineRule="atLeast"/>
        <w:ind w:firstLine="420" w:firstLineChars="200"/>
        <w:rPr>
          <w:color w:val="auto"/>
        </w:rPr>
      </w:pPr>
      <w:bookmarkStart w:id="108" w:name="_Hlk92206009"/>
      <w:r>
        <w:rPr>
          <w:rFonts w:hint="eastAsia"/>
          <w:color w:val="auto"/>
        </w:rPr>
        <w:t>本项目评审的其他详细规定在第三章投标人须知中规定。</w:t>
      </w:r>
      <w:bookmarkEnd w:id="108"/>
    </w:p>
    <w:bookmarkEnd w:id="107"/>
    <w:p w14:paraId="3A865A81">
      <w:pPr>
        <w:spacing w:before="120" w:line="320" w:lineRule="atLeast"/>
        <w:ind w:firstLine="413" w:firstLineChars="196"/>
        <w:outlineLvl w:val="1"/>
        <w:rPr>
          <w:b/>
          <w:color w:val="auto"/>
          <w:kern w:val="0"/>
          <w:szCs w:val="21"/>
        </w:rPr>
      </w:pPr>
      <w:bookmarkStart w:id="109" w:name="_Hlk93421162"/>
      <w:r>
        <w:rPr>
          <w:b/>
          <w:color w:val="auto"/>
          <w:kern w:val="0"/>
          <w:szCs w:val="21"/>
        </w:rPr>
        <w:t>2</w:t>
      </w:r>
      <w:r>
        <w:rPr>
          <w:rFonts w:hint="eastAsia"/>
          <w:b/>
          <w:color w:val="auto"/>
          <w:kern w:val="0"/>
          <w:szCs w:val="21"/>
        </w:rPr>
        <w:t>.资格审查标准</w:t>
      </w:r>
      <w:r>
        <w:rPr>
          <w:rFonts w:hint="eastAsia"/>
          <w:b/>
          <w:bCs/>
          <w:color w:val="auto"/>
          <w:kern w:val="0"/>
          <w:szCs w:val="21"/>
        </w:rPr>
        <w:t>（不满足任何一项审查内容要求，资格审查即为不合格）</w:t>
      </w:r>
    </w:p>
    <w:bookmarkEnd w:id="109"/>
    <w:p w14:paraId="4F4AD949">
      <w:pPr>
        <w:spacing w:line="240" w:lineRule="exact"/>
        <w:jc w:val="left"/>
        <w:rPr>
          <w:color w:val="auto"/>
          <w:szCs w:val="21"/>
        </w:rPr>
      </w:pPr>
      <w:bookmarkStart w:id="110" w:name="_Hlk19052412"/>
    </w:p>
    <w:tbl>
      <w:tblPr>
        <w:tblStyle w:val="51"/>
        <w:tblW w:w="92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843"/>
        <w:gridCol w:w="6561"/>
      </w:tblGrid>
      <w:tr w14:paraId="3D2AE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6" w:type="dxa"/>
            <w:vAlign w:val="center"/>
          </w:tcPr>
          <w:p w14:paraId="057E97DF">
            <w:pPr>
              <w:spacing w:line="240" w:lineRule="exact"/>
              <w:jc w:val="center"/>
              <w:rPr>
                <w:b/>
                <w:color w:val="auto"/>
                <w:kern w:val="0"/>
                <w:szCs w:val="21"/>
              </w:rPr>
            </w:pPr>
            <w:bookmarkStart w:id="111" w:name="_Hlk93421270"/>
            <w:r>
              <w:rPr>
                <w:rFonts w:hint="eastAsia"/>
                <w:b/>
                <w:color w:val="auto"/>
                <w:kern w:val="0"/>
                <w:szCs w:val="21"/>
              </w:rPr>
              <w:t>审查</w:t>
            </w:r>
            <w:r>
              <w:rPr>
                <w:b/>
                <w:color w:val="auto"/>
                <w:kern w:val="0"/>
                <w:szCs w:val="21"/>
              </w:rPr>
              <w:t>因素</w:t>
            </w:r>
          </w:p>
        </w:tc>
        <w:tc>
          <w:tcPr>
            <w:tcW w:w="1843" w:type="dxa"/>
            <w:vAlign w:val="center"/>
          </w:tcPr>
          <w:p w14:paraId="6494EB06">
            <w:pPr>
              <w:spacing w:line="240" w:lineRule="exact"/>
              <w:jc w:val="center"/>
              <w:rPr>
                <w:b/>
                <w:color w:val="auto"/>
                <w:kern w:val="0"/>
                <w:szCs w:val="21"/>
              </w:rPr>
            </w:pPr>
            <w:r>
              <w:rPr>
                <w:rFonts w:hint="eastAsia"/>
                <w:b/>
                <w:color w:val="auto"/>
                <w:kern w:val="0"/>
                <w:szCs w:val="21"/>
              </w:rPr>
              <w:t>审查</w:t>
            </w:r>
            <w:r>
              <w:rPr>
                <w:b/>
                <w:color w:val="auto"/>
                <w:kern w:val="0"/>
                <w:szCs w:val="21"/>
              </w:rPr>
              <w:t>内容</w:t>
            </w:r>
          </w:p>
        </w:tc>
        <w:tc>
          <w:tcPr>
            <w:tcW w:w="6561" w:type="dxa"/>
            <w:vAlign w:val="center"/>
          </w:tcPr>
          <w:p w14:paraId="40093B0B">
            <w:pPr>
              <w:spacing w:line="240" w:lineRule="exact"/>
              <w:jc w:val="center"/>
              <w:rPr>
                <w:b/>
                <w:color w:val="auto"/>
                <w:kern w:val="0"/>
                <w:szCs w:val="21"/>
              </w:rPr>
            </w:pPr>
            <w:r>
              <w:rPr>
                <w:rFonts w:hint="eastAsia"/>
                <w:b/>
                <w:color w:val="auto"/>
                <w:kern w:val="0"/>
                <w:szCs w:val="21"/>
              </w:rPr>
              <w:t>说明</w:t>
            </w:r>
          </w:p>
        </w:tc>
      </w:tr>
      <w:tr w14:paraId="78611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trPr>
        <w:tc>
          <w:tcPr>
            <w:tcW w:w="846" w:type="dxa"/>
            <w:vMerge w:val="restart"/>
            <w:vAlign w:val="center"/>
          </w:tcPr>
          <w:p w14:paraId="317E4BE9">
            <w:pPr>
              <w:spacing w:line="240" w:lineRule="exact"/>
              <w:rPr>
                <w:color w:val="auto"/>
                <w:szCs w:val="21"/>
                <w:lang w:val="zh-CN"/>
              </w:rPr>
            </w:pPr>
            <w:r>
              <w:rPr>
                <w:color w:val="auto"/>
                <w:szCs w:val="21"/>
                <w:lang w:val="zh-CN"/>
              </w:rPr>
              <w:t>供应商应符合的</w:t>
            </w:r>
            <w:r>
              <w:rPr>
                <w:rFonts w:hint="eastAsia"/>
                <w:color w:val="auto"/>
                <w:szCs w:val="21"/>
                <w:lang w:val="zh-CN"/>
              </w:rPr>
              <w:t>基本</w:t>
            </w:r>
            <w:r>
              <w:rPr>
                <w:color w:val="auto"/>
                <w:szCs w:val="21"/>
              </w:rPr>
              <w:t>资格</w:t>
            </w:r>
            <w:r>
              <w:rPr>
                <w:rFonts w:hint="eastAsia"/>
                <w:color w:val="auto"/>
                <w:szCs w:val="21"/>
              </w:rPr>
              <w:t>要求</w:t>
            </w:r>
          </w:p>
        </w:tc>
        <w:tc>
          <w:tcPr>
            <w:tcW w:w="1843" w:type="dxa"/>
            <w:vAlign w:val="center"/>
          </w:tcPr>
          <w:p w14:paraId="5532EA88">
            <w:pPr>
              <w:spacing w:line="240" w:lineRule="exact"/>
              <w:jc w:val="left"/>
              <w:rPr>
                <w:color w:val="auto"/>
                <w:szCs w:val="21"/>
              </w:rPr>
            </w:pPr>
            <w:r>
              <w:rPr>
                <w:color w:val="auto"/>
                <w:szCs w:val="21"/>
              </w:rPr>
              <w:t>（1）具有独立承担民事责任的能力</w:t>
            </w:r>
          </w:p>
        </w:tc>
        <w:tc>
          <w:tcPr>
            <w:tcW w:w="6561" w:type="dxa"/>
          </w:tcPr>
          <w:p w14:paraId="1D5C48C9">
            <w:pPr>
              <w:spacing w:line="240" w:lineRule="exact"/>
              <w:jc w:val="left"/>
              <w:rPr>
                <w:color w:val="auto"/>
                <w:szCs w:val="21"/>
              </w:rPr>
            </w:pPr>
            <w:r>
              <w:rPr>
                <w:rFonts w:hint="eastAsia"/>
                <w:color w:val="auto"/>
                <w:szCs w:val="21"/>
              </w:rPr>
              <w:t>审查供应商为法人或者其他组织的，提供营业执照等证明文件（如营业执照或者事业单位法人证书或者执业许可证等），供应商为自然人的，提供身份证复印件</w:t>
            </w:r>
          </w:p>
        </w:tc>
      </w:tr>
      <w:tr w14:paraId="64579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3FD4D980">
            <w:pPr>
              <w:spacing w:line="240" w:lineRule="exact"/>
              <w:rPr>
                <w:color w:val="auto"/>
                <w:szCs w:val="21"/>
                <w:lang w:val="zh-CN"/>
              </w:rPr>
            </w:pPr>
          </w:p>
        </w:tc>
        <w:tc>
          <w:tcPr>
            <w:tcW w:w="1843" w:type="dxa"/>
            <w:vAlign w:val="center"/>
          </w:tcPr>
          <w:p w14:paraId="63A8E521">
            <w:pPr>
              <w:spacing w:line="240" w:lineRule="exact"/>
              <w:jc w:val="left"/>
              <w:rPr>
                <w:color w:val="auto"/>
                <w:szCs w:val="21"/>
              </w:rPr>
            </w:pPr>
            <w:r>
              <w:rPr>
                <w:color w:val="auto"/>
                <w:szCs w:val="21"/>
                <w:lang w:val="zh-CN"/>
              </w:rPr>
              <w:t>（2）</w:t>
            </w:r>
            <w:r>
              <w:rPr>
                <w:color w:val="auto"/>
                <w:szCs w:val="21"/>
              </w:rPr>
              <w:t>具有良好的商业信誉和健全的财务会计制度</w:t>
            </w:r>
          </w:p>
        </w:tc>
        <w:tc>
          <w:tcPr>
            <w:tcW w:w="6561" w:type="dxa"/>
          </w:tcPr>
          <w:p w14:paraId="616B16D3">
            <w:pPr>
              <w:spacing w:line="240" w:lineRule="exact"/>
              <w:jc w:val="left"/>
              <w:rPr>
                <w:color w:val="auto"/>
                <w:szCs w:val="21"/>
              </w:rPr>
            </w:pPr>
            <w:r>
              <w:rPr>
                <w:color w:val="auto"/>
                <w:szCs w:val="21"/>
              </w:rPr>
              <w:t>审查2023</w:t>
            </w:r>
            <w:r>
              <w:rPr>
                <w:rFonts w:hint="eastAsia"/>
                <w:color w:val="auto"/>
                <w:szCs w:val="21"/>
              </w:rPr>
              <w:t>年</w:t>
            </w:r>
            <w:r>
              <w:rPr>
                <w:color w:val="auto"/>
                <w:szCs w:val="21"/>
              </w:rPr>
              <w:t>度</w:t>
            </w:r>
            <w:r>
              <w:rPr>
                <w:rFonts w:hint="eastAsia"/>
                <w:color w:val="auto"/>
                <w:szCs w:val="21"/>
                <w:lang w:val="en-US" w:eastAsia="zh-CN"/>
              </w:rPr>
              <w:t>或2024年度</w:t>
            </w:r>
            <w:r>
              <w:rPr>
                <w:color w:val="auto"/>
                <w:szCs w:val="21"/>
              </w:rPr>
              <w:t>财务状况报告（表）复印件或银行出具的资信证明复印件，</w:t>
            </w:r>
            <w:r>
              <w:rPr>
                <w:color w:val="auto"/>
              </w:rPr>
              <w:t>对于从取得营业执照时间起到投标文件递交截止时间为止不足1年的供应商，只需提交</w:t>
            </w:r>
            <w:r>
              <w:rPr>
                <w:color w:val="auto"/>
                <w:szCs w:val="21"/>
              </w:rPr>
              <w:t>投标文件递交截止时间前一个月的财务状况报告（表）复印件。</w:t>
            </w:r>
          </w:p>
        </w:tc>
      </w:tr>
      <w:tr w14:paraId="6DC86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0F1B1B64">
            <w:pPr>
              <w:spacing w:line="240" w:lineRule="exact"/>
              <w:rPr>
                <w:color w:val="auto"/>
                <w:szCs w:val="21"/>
                <w:lang w:val="zh-CN"/>
              </w:rPr>
            </w:pPr>
          </w:p>
        </w:tc>
        <w:tc>
          <w:tcPr>
            <w:tcW w:w="1843" w:type="dxa"/>
            <w:vAlign w:val="center"/>
          </w:tcPr>
          <w:p w14:paraId="1DF6821A">
            <w:pPr>
              <w:spacing w:line="240" w:lineRule="exact"/>
              <w:jc w:val="left"/>
              <w:rPr>
                <w:color w:val="auto"/>
                <w:szCs w:val="21"/>
              </w:rPr>
            </w:pPr>
            <w:r>
              <w:rPr>
                <w:color w:val="auto"/>
                <w:szCs w:val="21"/>
                <w:lang w:val="zh-CN"/>
              </w:rPr>
              <w:t>（3）具有履行合同所必需的设备和专业技术能力</w:t>
            </w:r>
          </w:p>
        </w:tc>
        <w:tc>
          <w:tcPr>
            <w:tcW w:w="6561" w:type="dxa"/>
          </w:tcPr>
          <w:p w14:paraId="14E9F0D2">
            <w:pPr>
              <w:spacing w:line="240" w:lineRule="exact"/>
              <w:jc w:val="left"/>
              <w:rPr>
                <w:color w:val="auto"/>
                <w:szCs w:val="21"/>
              </w:rPr>
            </w:pPr>
            <w:r>
              <w:rPr>
                <w:color w:val="auto"/>
                <w:szCs w:val="21"/>
              </w:rPr>
              <w:t>审查书面声明。须提供，格式见第六章投标文件格式“</w:t>
            </w:r>
            <w:r>
              <w:rPr>
                <w:color w:val="auto"/>
              </w:rPr>
              <w:t>投标声明书</w:t>
            </w:r>
            <w:r>
              <w:rPr>
                <w:color w:val="auto"/>
                <w:szCs w:val="21"/>
              </w:rPr>
              <w:t>”。</w:t>
            </w:r>
          </w:p>
        </w:tc>
      </w:tr>
      <w:tr w14:paraId="467E5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3BF66E8C">
            <w:pPr>
              <w:spacing w:line="240" w:lineRule="exact"/>
              <w:rPr>
                <w:color w:val="auto"/>
                <w:szCs w:val="21"/>
                <w:lang w:val="zh-CN"/>
              </w:rPr>
            </w:pPr>
          </w:p>
        </w:tc>
        <w:tc>
          <w:tcPr>
            <w:tcW w:w="1843" w:type="dxa"/>
            <w:vAlign w:val="center"/>
          </w:tcPr>
          <w:p w14:paraId="77FBBB1C">
            <w:pPr>
              <w:spacing w:line="240" w:lineRule="exact"/>
              <w:jc w:val="left"/>
              <w:rPr>
                <w:color w:val="auto"/>
                <w:szCs w:val="21"/>
              </w:rPr>
            </w:pPr>
            <w:r>
              <w:rPr>
                <w:color w:val="auto"/>
                <w:szCs w:val="21"/>
                <w:lang w:val="zh-CN"/>
              </w:rPr>
              <w:t>（4）有依法缴纳税收和社会保障金的良好记录</w:t>
            </w:r>
          </w:p>
        </w:tc>
        <w:tc>
          <w:tcPr>
            <w:tcW w:w="6561" w:type="dxa"/>
          </w:tcPr>
          <w:p w14:paraId="0F46219A">
            <w:pPr>
              <w:spacing w:line="240" w:lineRule="exact"/>
              <w:jc w:val="left"/>
              <w:rPr>
                <w:color w:val="auto"/>
                <w:szCs w:val="21"/>
              </w:rPr>
            </w:pPr>
            <w:r>
              <w:rPr>
                <w:rFonts w:hint="eastAsia" w:ascii="宋体" w:hAnsi="宋体" w:cs="宋体"/>
                <w:color w:val="auto"/>
                <w:szCs w:val="21"/>
              </w:rPr>
              <w:t>①</w:t>
            </w:r>
            <w:r>
              <w:rPr>
                <w:color w:val="auto"/>
                <w:szCs w:val="21"/>
              </w:rPr>
              <w:t>审查投标截止时间前6个月内，</w:t>
            </w:r>
            <w:r>
              <w:rPr>
                <w:rFonts w:hint="eastAsia"/>
                <w:color w:val="auto"/>
              </w:rPr>
              <w:t>供应商</w:t>
            </w:r>
            <w:r>
              <w:rPr>
                <w:color w:val="auto"/>
              </w:rPr>
              <w:t>任意</w:t>
            </w:r>
            <w:r>
              <w:rPr>
                <w:rFonts w:hint="eastAsia"/>
                <w:color w:val="auto"/>
              </w:rPr>
              <w:t>1个月</w:t>
            </w:r>
            <w:r>
              <w:rPr>
                <w:color w:val="auto"/>
                <w:szCs w:val="21"/>
              </w:rPr>
              <w:t>依法缴纳税费证明复印件加盖供应商</w:t>
            </w:r>
            <w:r>
              <w:rPr>
                <w:rFonts w:hint="eastAsia"/>
                <w:color w:val="auto"/>
                <w:szCs w:val="21"/>
              </w:rPr>
              <w:t>电子签章</w:t>
            </w:r>
            <w:r>
              <w:rPr>
                <w:color w:val="auto"/>
                <w:szCs w:val="21"/>
              </w:rPr>
              <w:t>。</w:t>
            </w:r>
          </w:p>
          <w:p w14:paraId="1083D150">
            <w:pPr>
              <w:spacing w:line="240" w:lineRule="exact"/>
              <w:jc w:val="left"/>
              <w:rPr>
                <w:color w:val="auto"/>
                <w:szCs w:val="21"/>
              </w:rPr>
            </w:pPr>
            <w:r>
              <w:rPr>
                <w:rFonts w:hint="eastAsia" w:ascii="宋体" w:hAnsi="宋体" w:cs="宋体"/>
                <w:color w:val="auto"/>
                <w:szCs w:val="21"/>
              </w:rPr>
              <w:t>②</w:t>
            </w:r>
            <w:r>
              <w:rPr>
                <w:color w:val="auto"/>
                <w:szCs w:val="21"/>
              </w:rPr>
              <w:t>审查投标截止时间前6个月内，</w:t>
            </w:r>
            <w:r>
              <w:rPr>
                <w:rFonts w:hint="eastAsia"/>
                <w:color w:val="auto"/>
              </w:rPr>
              <w:t>供应商</w:t>
            </w:r>
            <w:r>
              <w:rPr>
                <w:color w:val="auto"/>
              </w:rPr>
              <w:t>任意</w:t>
            </w:r>
            <w:r>
              <w:rPr>
                <w:rFonts w:hint="eastAsia"/>
                <w:color w:val="auto"/>
              </w:rPr>
              <w:t>1个月</w:t>
            </w:r>
            <w:r>
              <w:rPr>
                <w:color w:val="auto"/>
                <w:szCs w:val="21"/>
              </w:rPr>
              <w:t>的社保缴费证明记录复印件加盖供应商</w:t>
            </w:r>
            <w:r>
              <w:rPr>
                <w:rFonts w:hint="eastAsia"/>
                <w:color w:val="auto"/>
                <w:szCs w:val="21"/>
              </w:rPr>
              <w:t>电子签章</w:t>
            </w:r>
            <w:r>
              <w:rPr>
                <w:color w:val="auto"/>
                <w:szCs w:val="21"/>
              </w:rPr>
              <w:t>。</w:t>
            </w:r>
          </w:p>
          <w:p w14:paraId="2C019EAA">
            <w:pPr>
              <w:spacing w:line="240" w:lineRule="exact"/>
              <w:jc w:val="left"/>
              <w:rPr>
                <w:color w:val="auto"/>
                <w:szCs w:val="21"/>
              </w:rPr>
            </w:pPr>
            <w:r>
              <w:rPr>
                <w:color w:val="auto"/>
                <w:szCs w:val="21"/>
              </w:rPr>
              <w:t>供应商成立不足</w:t>
            </w:r>
            <w:r>
              <w:rPr>
                <w:rFonts w:hint="eastAsia"/>
                <w:color w:val="auto"/>
                <w:szCs w:val="21"/>
              </w:rPr>
              <w:t>1个月的，无须提供</w:t>
            </w:r>
            <w:r>
              <w:rPr>
                <w:color w:val="auto"/>
                <w:szCs w:val="21"/>
              </w:rPr>
              <w:t>缴纳税费证明及社保缴费证明加盖供应商电子签章</w:t>
            </w:r>
            <w:r>
              <w:rPr>
                <w:rFonts w:hint="eastAsia"/>
                <w:color w:val="auto"/>
                <w:szCs w:val="21"/>
              </w:rPr>
              <w:t>。</w:t>
            </w:r>
          </w:p>
          <w:p w14:paraId="5530A6DD">
            <w:pPr>
              <w:spacing w:line="240" w:lineRule="exact"/>
              <w:jc w:val="left"/>
              <w:rPr>
                <w:color w:val="auto"/>
                <w:szCs w:val="21"/>
              </w:rPr>
            </w:pPr>
            <w:r>
              <w:rPr>
                <w:color w:val="auto"/>
                <w:szCs w:val="21"/>
              </w:rPr>
              <w:t>依法免税或不需要缴纳社会保障资金的供应商，须提供相应文件证明其依法免税或不需要缴纳社会保障资金。</w:t>
            </w:r>
          </w:p>
        </w:tc>
      </w:tr>
      <w:tr w14:paraId="4EEA8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777FD255">
            <w:pPr>
              <w:spacing w:line="240" w:lineRule="exact"/>
              <w:rPr>
                <w:color w:val="auto"/>
                <w:szCs w:val="21"/>
                <w:lang w:val="zh-CN"/>
              </w:rPr>
            </w:pPr>
          </w:p>
        </w:tc>
        <w:tc>
          <w:tcPr>
            <w:tcW w:w="1843" w:type="dxa"/>
            <w:vAlign w:val="center"/>
          </w:tcPr>
          <w:p w14:paraId="7DB510E5">
            <w:pPr>
              <w:spacing w:line="240" w:lineRule="exact"/>
              <w:jc w:val="left"/>
              <w:rPr>
                <w:color w:val="auto"/>
                <w:szCs w:val="21"/>
              </w:rPr>
            </w:pPr>
            <w:r>
              <w:rPr>
                <w:color w:val="auto"/>
                <w:szCs w:val="21"/>
              </w:rPr>
              <w:t>（5）参加政府采购活动前三年内，在经营活动中没有重大违法记录及不良信用记录</w:t>
            </w:r>
          </w:p>
        </w:tc>
        <w:tc>
          <w:tcPr>
            <w:tcW w:w="6561" w:type="dxa"/>
            <w:vAlign w:val="center"/>
          </w:tcPr>
          <w:p w14:paraId="26561183">
            <w:pPr>
              <w:spacing w:line="240" w:lineRule="exact"/>
              <w:jc w:val="left"/>
              <w:rPr>
                <w:color w:val="auto"/>
                <w:szCs w:val="21"/>
              </w:rPr>
            </w:pPr>
            <w:r>
              <w:rPr>
                <w:color w:val="auto"/>
                <w:szCs w:val="21"/>
              </w:rPr>
              <w:t xml:space="preserve">审查无重大违法记录声明。须提供，格式见第六章投标文件格式“投标声明书”。 </w:t>
            </w:r>
          </w:p>
        </w:tc>
      </w:tr>
      <w:tr w14:paraId="05367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172A853A">
            <w:pPr>
              <w:spacing w:line="240" w:lineRule="exact"/>
              <w:rPr>
                <w:color w:val="auto"/>
                <w:szCs w:val="21"/>
                <w:lang w:val="zh-CN"/>
              </w:rPr>
            </w:pPr>
          </w:p>
        </w:tc>
        <w:tc>
          <w:tcPr>
            <w:tcW w:w="1843" w:type="dxa"/>
            <w:vAlign w:val="center"/>
          </w:tcPr>
          <w:p w14:paraId="5545C97A">
            <w:pPr>
              <w:spacing w:line="240" w:lineRule="exact"/>
              <w:jc w:val="left"/>
              <w:rPr>
                <w:color w:val="auto"/>
                <w:szCs w:val="21"/>
              </w:rPr>
            </w:pPr>
            <w:r>
              <w:rPr>
                <w:color w:val="auto"/>
                <w:szCs w:val="21"/>
              </w:rPr>
              <w:t>（6）具备法律、行政法规规定的其他要求</w:t>
            </w:r>
          </w:p>
        </w:tc>
        <w:tc>
          <w:tcPr>
            <w:tcW w:w="6561" w:type="dxa"/>
            <w:vAlign w:val="center"/>
          </w:tcPr>
          <w:p w14:paraId="714F2B21">
            <w:pPr>
              <w:spacing w:line="240" w:lineRule="exact"/>
              <w:jc w:val="left"/>
              <w:rPr>
                <w:color w:val="auto"/>
                <w:szCs w:val="21"/>
              </w:rPr>
            </w:pPr>
            <w:r>
              <w:rPr>
                <w:color w:val="auto"/>
                <w:szCs w:val="21"/>
              </w:rPr>
              <w:t>无。</w:t>
            </w:r>
          </w:p>
        </w:tc>
      </w:tr>
      <w:tr w14:paraId="6BBB7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846" w:type="dxa"/>
            <w:vAlign w:val="center"/>
          </w:tcPr>
          <w:p w14:paraId="160E7D59">
            <w:pPr>
              <w:spacing w:line="240" w:lineRule="exact"/>
              <w:rPr>
                <w:color w:val="auto"/>
                <w:szCs w:val="21"/>
                <w:lang w:val="zh-CN"/>
              </w:rPr>
            </w:pPr>
            <w:r>
              <w:rPr>
                <w:rFonts w:hint="eastAsia"/>
                <w:color w:val="auto"/>
                <w:kern w:val="0"/>
                <w:szCs w:val="21"/>
              </w:rPr>
              <w:t>采购政策</w:t>
            </w:r>
          </w:p>
        </w:tc>
        <w:tc>
          <w:tcPr>
            <w:tcW w:w="1843" w:type="dxa"/>
            <w:vAlign w:val="center"/>
          </w:tcPr>
          <w:p w14:paraId="44EB8205">
            <w:pPr>
              <w:spacing w:line="240" w:lineRule="exact"/>
              <w:jc w:val="left"/>
              <w:rPr>
                <w:color w:val="auto"/>
                <w:szCs w:val="21"/>
              </w:rPr>
            </w:pPr>
            <w:r>
              <w:rPr>
                <w:rFonts w:hint="eastAsia"/>
                <w:color w:val="auto"/>
                <w:szCs w:val="21"/>
              </w:rPr>
              <w:t>落实政府采购政策需满足的资格要求</w:t>
            </w:r>
          </w:p>
        </w:tc>
        <w:tc>
          <w:tcPr>
            <w:tcW w:w="6561" w:type="dxa"/>
            <w:vAlign w:val="center"/>
          </w:tcPr>
          <w:p w14:paraId="19E7C69F">
            <w:pPr>
              <w:spacing w:line="240" w:lineRule="exact"/>
              <w:rPr>
                <w:color w:val="auto"/>
                <w:szCs w:val="21"/>
              </w:rPr>
            </w:pPr>
            <w:r>
              <w:rPr>
                <w:rFonts w:hint="eastAsia"/>
                <w:color w:val="auto"/>
                <w:szCs w:val="21"/>
              </w:rPr>
              <w:t>无</w:t>
            </w:r>
          </w:p>
        </w:tc>
      </w:tr>
      <w:tr w14:paraId="555F3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846" w:type="dxa"/>
            <w:vMerge w:val="restart"/>
            <w:vAlign w:val="center"/>
          </w:tcPr>
          <w:p w14:paraId="1298CACF">
            <w:pPr>
              <w:spacing w:line="240" w:lineRule="exact"/>
              <w:rPr>
                <w:color w:val="auto"/>
                <w:szCs w:val="21"/>
              </w:rPr>
            </w:pPr>
            <w:r>
              <w:rPr>
                <w:color w:val="auto"/>
                <w:szCs w:val="21"/>
                <w:lang w:val="zh-CN"/>
              </w:rPr>
              <w:t>供应商应符合的</w:t>
            </w:r>
            <w:r>
              <w:rPr>
                <w:color w:val="auto"/>
                <w:szCs w:val="21"/>
              </w:rPr>
              <w:t>特定资格</w:t>
            </w:r>
            <w:r>
              <w:rPr>
                <w:rFonts w:hint="eastAsia"/>
                <w:color w:val="auto"/>
                <w:szCs w:val="21"/>
              </w:rPr>
              <w:t>要求</w:t>
            </w:r>
          </w:p>
        </w:tc>
        <w:tc>
          <w:tcPr>
            <w:tcW w:w="1843" w:type="dxa"/>
            <w:vAlign w:val="center"/>
          </w:tcPr>
          <w:p w14:paraId="0AA91AAE">
            <w:pPr>
              <w:spacing w:line="240" w:lineRule="exact"/>
              <w:jc w:val="left"/>
              <w:rPr>
                <w:color w:val="auto"/>
                <w:szCs w:val="21"/>
              </w:rPr>
            </w:pPr>
            <w:r>
              <w:rPr>
                <w:color w:val="auto"/>
                <w:szCs w:val="21"/>
              </w:rPr>
              <w:t>（1）资质</w:t>
            </w:r>
            <w:r>
              <w:rPr>
                <w:rFonts w:hint="eastAsia"/>
                <w:color w:val="auto"/>
                <w:szCs w:val="21"/>
              </w:rPr>
              <w:t>要求</w:t>
            </w:r>
          </w:p>
        </w:tc>
        <w:tc>
          <w:tcPr>
            <w:tcW w:w="6561" w:type="dxa"/>
            <w:vAlign w:val="center"/>
          </w:tcPr>
          <w:p w14:paraId="14713086">
            <w:pPr>
              <w:spacing w:line="240" w:lineRule="exact"/>
              <w:jc w:val="left"/>
              <w:rPr>
                <w:color w:val="auto"/>
                <w:szCs w:val="21"/>
              </w:rPr>
            </w:pPr>
            <w:r>
              <w:rPr>
                <w:color w:val="auto"/>
                <w:szCs w:val="21"/>
              </w:rPr>
              <w:t>须符合</w:t>
            </w:r>
            <w:r>
              <w:rPr>
                <w:rFonts w:hint="eastAsia"/>
                <w:color w:val="auto"/>
                <w:szCs w:val="21"/>
              </w:rPr>
              <w:t>“招标公告”</w:t>
            </w:r>
            <w:r>
              <w:rPr>
                <w:color w:val="auto"/>
                <w:szCs w:val="21"/>
              </w:rPr>
              <w:t>的要求</w:t>
            </w:r>
          </w:p>
        </w:tc>
      </w:tr>
      <w:tr w14:paraId="53E43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40E8E8FB">
            <w:pPr>
              <w:spacing w:line="240" w:lineRule="exact"/>
              <w:rPr>
                <w:color w:val="auto"/>
                <w:szCs w:val="21"/>
              </w:rPr>
            </w:pPr>
          </w:p>
        </w:tc>
        <w:tc>
          <w:tcPr>
            <w:tcW w:w="1843" w:type="dxa"/>
            <w:vAlign w:val="center"/>
          </w:tcPr>
          <w:p w14:paraId="423EB0F0">
            <w:pPr>
              <w:spacing w:line="240" w:lineRule="exact"/>
              <w:jc w:val="left"/>
              <w:rPr>
                <w:color w:val="auto"/>
                <w:szCs w:val="21"/>
              </w:rPr>
            </w:pPr>
            <w:r>
              <w:rPr>
                <w:color w:val="auto"/>
                <w:szCs w:val="21"/>
              </w:rPr>
              <w:t>（2）业绩要求</w:t>
            </w:r>
          </w:p>
        </w:tc>
        <w:tc>
          <w:tcPr>
            <w:tcW w:w="6561" w:type="dxa"/>
            <w:vAlign w:val="center"/>
          </w:tcPr>
          <w:p w14:paraId="7A16B329">
            <w:pPr>
              <w:spacing w:line="240" w:lineRule="exact"/>
              <w:jc w:val="left"/>
              <w:rPr>
                <w:color w:val="auto"/>
                <w:szCs w:val="21"/>
              </w:rPr>
            </w:pPr>
            <w:r>
              <w:rPr>
                <w:color w:val="auto"/>
                <w:szCs w:val="21"/>
              </w:rPr>
              <w:t>须符合</w:t>
            </w:r>
            <w:r>
              <w:rPr>
                <w:rFonts w:hint="eastAsia"/>
                <w:color w:val="auto"/>
                <w:szCs w:val="21"/>
              </w:rPr>
              <w:t>“招标公告”</w:t>
            </w:r>
            <w:r>
              <w:rPr>
                <w:color w:val="auto"/>
                <w:szCs w:val="21"/>
              </w:rPr>
              <w:t>的要求</w:t>
            </w:r>
          </w:p>
        </w:tc>
      </w:tr>
      <w:tr w14:paraId="06268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trPr>
        <w:tc>
          <w:tcPr>
            <w:tcW w:w="846" w:type="dxa"/>
            <w:vMerge w:val="continue"/>
            <w:vAlign w:val="center"/>
          </w:tcPr>
          <w:p w14:paraId="748AC0AB">
            <w:pPr>
              <w:spacing w:line="240" w:lineRule="exact"/>
              <w:jc w:val="left"/>
              <w:rPr>
                <w:color w:val="auto"/>
                <w:szCs w:val="21"/>
              </w:rPr>
            </w:pPr>
          </w:p>
        </w:tc>
        <w:tc>
          <w:tcPr>
            <w:tcW w:w="1843" w:type="dxa"/>
            <w:vAlign w:val="center"/>
          </w:tcPr>
          <w:p w14:paraId="0A0E6319">
            <w:pPr>
              <w:spacing w:line="240" w:lineRule="exact"/>
              <w:jc w:val="left"/>
              <w:rPr>
                <w:color w:val="auto"/>
                <w:szCs w:val="21"/>
              </w:rPr>
            </w:pPr>
            <w:r>
              <w:rPr>
                <w:rFonts w:hint="eastAsia"/>
                <w:color w:val="auto"/>
                <w:szCs w:val="21"/>
              </w:rPr>
              <w:t>（</w:t>
            </w:r>
            <w:r>
              <w:rPr>
                <w:color w:val="auto"/>
                <w:szCs w:val="21"/>
              </w:rPr>
              <w:t>3</w:t>
            </w:r>
            <w:r>
              <w:rPr>
                <w:rFonts w:hint="eastAsia"/>
                <w:color w:val="auto"/>
                <w:szCs w:val="21"/>
              </w:rPr>
              <w:t>）供应商不得参加投标的情形</w:t>
            </w:r>
          </w:p>
        </w:tc>
        <w:tc>
          <w:tcPr>
            <w:tcW w:w="6561" w:type="dxa"/>
            <w:vAlign w:val="center"/>
          </w:tcPr>
          <w:p w14:paraId="64FC7D0A">
            <w:pPr>
              <w:spacing w:line="240" w:lineRule="exact"/>
              <w:jc w:val="left"/>
              <w:rPr>
                <w:color w:val="auto"/>
                <w:kern w:val="0"/>
                <w:szCs w:val="21"/>
              </w:rPr>
            </w:pPr>
            <w:r>
              <w:rPr>
                <w:color w:val="auto"/>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color w:val="auto"/>
                <w:kern w:val="0"/>
                <w:szCs w:val="21"/>
              </w:rPr>
              <w:t>本</w:t>
            </w:r>
            <w:r>
              <w:rPr>
                <w:color w:val="auto"/>
                <w:kern w:val="0"/>
                <w:szCs w:val="21"/>
              </w:rPr>
              <w:t>项目的采购活动。</w:t>
            </w:r>
          </w:p>
          <w:p w14:paraId="4555C2FF">
            <w:pPr>
              <w:spacing w:line="240" w:lineRule="exact"/>
              <w:jc w:val="left"/>
              <w:rPr>
                <w:color w:val="auto"/>
                <w:szCs w:val="21"/>
              </w:rPr>
            </w:pPr>
            <w:r>
              <w:rPr>
                <w:color w:val="auto"/>
                <w:szCs w:val="21"/>
              </w:rPr>
              <w:t>须提供，格式见第六章投标文件格式“</w:t>
            </w:r>
            <w:r>
              <w:rPr>
                <w:rFonts w:hint="eastAsia"/>
                <w:color w:val="auto"/>
                <w:szCs w:val="21"/>
              </w:rPr>
              <w:t>投标人直接控股股东、管理关系信息表</w:t>
            </w:r>
            <w:r>
              <w:rPr>
                <w:color w:val="auto"/>
                <w:szCs w:val="21"/>
              </w:rPr>
              <w:t>”。</w:t>
            </w:r>
          </w:p>
        </w:tc>
      </w:tr>
      <w:tr w14:paraId="6A9BA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vAlign w:val="center"/>
          </w:tcPr>
          <w:p w14:paraId="0FF1781E">
            <w:pPr>
              <w:spacing w:line="240" w:lineRule="exact"/>
              <w:jc w:val="left"/>
              <w:rPr>
                <w:color w:val="auto"/>
                <w:kern w:val="0"/>
                <w:szCs w:val="21"/>
              </w:rPr>
            </w:pPr>
          </w:p>
        </w:tc>
        <w:tc>
          <w:tcPr>
            <w:tcW w:w="1843" w:type="dxa"/>
            <w:vAlign w:val="center"/>
          </w:tcPr>
          <w:p w14:paraId="3D99C162">
            <w:pPr>
              <w:spacing w:line="240" w:lineRule="exact"/>
              <w:jc w:val="left"/>
              <w:rPr>
                <w:color w:val="auto"/>
                <w:kern w:val="0"/>
                <w:szCs w:val="21"/>
              </w:rPr>
            </w:pPr>
            <w:r>
              <w:rPr>
                <w:rFonts w:hint="eastAsia"/>
                <w:color w:val="auto"/>
                <w:szCs w:val="21"/>
              </w:rPr>
              <w:t>（</w:t>
            </w:r>
            <w:r>
              <w:rPr>
                <w:color w:val="auto"/>
                <w:szCs w:val="21"/>
              </w:rPr>
              <w:t>4</w:t>
            </w:r>
            <w:r>
              <w:rPr>
                <w:rFonts w:hint="eastAsia"/>
                <w:color w:val="auto"/>
                <w:szCs w:val="21"/>
              </w:rPr>
              <w:t>）诚信要求</w:t>
            </w:r>
          </w:p>
        </w:tc>
        <w:tc>
          <w:tcPr>
            <w:tcW w:w="6561" w:type="dxa"/>
          </w:tcPr>
          <w:p w14:paraId="4E9CA611">
            <w:pPr>
              <w:spacing w:line="240" w:lineRule="exact"/>
              <w:jc w:val="left"/>
              <w:rPr>
                <w:color w:val="auto"/>
                <w:kern w:val="0"/>
                <w:szCs w:val="21"/>
              </w:rPr>
            </w:pPr>
            <w:r>
              <w:rPr>
                <w:rFonts w:hint="eastAsia"/>
                <w:color w:val="auto"/>
                <w:szCs w:val="21"/>
              </w:rPr>
              <w:t>未被列入失信被执行人、</w:t>
            </w:r>
            <w:r>
              <w:rPr>
                <w:color w:val="auto"/>
                <w:szCs w:val="21"/>
              </w:rPr>
              <w:t>重大税收违法失信主体、政府采购严重违法失信行为记录名单</w:t>
            </w:r>
            <w:r>
              <w:rPr>
                <w:rFonts w:hint="eastAsia"/>
                <w:color w:val="auto"/>
                <w:szCs w:val="21"/>
              </w:rPr>
              <w:t>。</w:t>
            </w:r>
          </w:p>
        </w:tc>
      </w:tr>
      <w:tr w14:paraId="166E9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846" w:type="dxa"/>
            <w:vMerge w:val="continue"/>
            <w:vAlign w:val="center"/>
          </w:tcPr>
          <w:p w14:paraId="71A39724">
            <w:pPr>
              <w:spacing w:line="240" w:lineRule="exact"/>
              <w:jc w:val="left"/>
              <w:rPr>
                <w:color w:val="auto"/>
                <w:kern w:val="0"/>
                <w:szCs w:val="21"/>
              </w:rPr>
            </w:pPr>
          </w:p>
        </w:tc>
        <w:tc>
          <w:tcPr>
            <w:tcW w:w="1843" w:type="dxa"/>
            <w:vAlign w:val="center"/>
          </w:tcPr>
          <w:p w14:paraId="2BEA32CB">
            <w:pPr>
              <w:spacing w:line="240" w:lineRule="exact"/>
              <w:jc w:val="left"/>
              <w:rPr>
                <w:color w:val="auto"/>
                <w:szCs w:val="21"/>
              </w:rPr>
            </w:pPr>
            <w:r>
              <w:rPr>
                <w:rFonts w:hint="eastAsia"/>
                <w:color w:val="auto"/>
                <w:szCs w:val="21"/>
              </w:rPr>
              <w:t>（5）分包</w:t>
            </w:r>
          </w:p>
        </w:tc>
        <w:tc>
          <w:tcPr>
            <w:tcW w:w="6561" w:type="dxa"/>
            <w:vAlign w:val="center"/>
          </w:tcPr>
          <w:p w14:paraId="52AB732E">
            <w:pPr>
              <w:spacing w:line="240" w:lineRule="exact"/>
              <w:rPr>
                <w:color w:val="auto"/>
                <w:szCs w:val="21"/>
                <w:lang w:val="zh-CN"/>
              </w:rPr>
            </w:pPr>
            <w:r>
              <w:rPr>
                <w:color w:val="auto"/>
                <w:szCs w:val="21"/>
              </w:rPr>
              <w:t>须符合</w:t>
            </w:r>
            <w:r>
              <w:rPr>
                <w:rFonts w:hint="eastAsia"/>
                <w:color w:val="auto"/>
                <w:szCs w:val="21"/>
              </w:rPr>
              <w:t>“招标公告”</w:t>
            </w:r>
            <w:r>
              <w:rPr>
                <w:color w:val="auto"/>
                <w:szCs w:val="21"/>
              </w:rPr>
              <w:t>的要求</w:t>
            </w:r>
          </w:p>
        </w:tc>
      </w:tr>
      <w:tr w14:paraId="4D24F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846" w:type="dxa"/>
            <w:vMerge w:val="continue"/>
            <w:vAlign w:val="center"/>
          </w:tcPr>
          <w:p w14:paraId="2BEEC267">
            <w:pPr>
              <w:spacing w:line="240" w:lineRule="exact"/>
              <w:jc w:val="left"/>
              <w:rPr>
                <w:color w:val="auto"/>
                <w:kern w:val="0"/>
                <w:szCs w:val="21"/>
              </w:rPr>
            </w:pPr>
          </w:p>
        </w:tc>
        <w:tc>
          <w:tcPr>
            <w:tcW w:w="1843" w:type="dxa"/>
            <w:vAlign w:val="center"/>
          </w:tcPr>
          <w:p w14:paraId="01A4A344">
            <w:pPr>
              <w:spacing w:line="240" w:lineRule="exact"/>
              <w:jc w:val="left"/>
              <w:rPr>
                <w:color w:val="auto"/>
                <w:szCs w:val="21"/>
              </w:rPr>
            </w:pPr>
            <w:r>
              <w:rPr>
                <w:rFonts w:hint="eastAsia"/>
                <w:color w:val="auto"/>
                <w:szCs w:val="21"/>
              </w:rPr>
              <w:t>（6）联合体</w:t>
            </w:r>
          </w:p>
        </w:tc>
        <w:tc>
          <w:tcPr>
            <w:tcW w:w="6561" w:type="dxa"/>
            <w:vAlign w:val="center"/>
          </w:tcPr>
          <w:p w14:paraId="241823DF">
            <w:pPr>
              <w:spacing w:line="240" w:lineRule="exact"/>
              <w:rPr>
                <w:color w:val="auto"/>
                <w:szCs w:val="21"/>
              </w:rPr>
            </w:pPr>
            <w:r>
              <w:rPr>
                <w:rFonts w:hint="eastAsia"/>
                <w:color w:val="auto"/>
                <w:szCs w:val="21"/>
                <w:lang w:val="zh-CN"/>
              </w:rPr>
              <w:t>须符合“招标公告”的要求</w:t>
            </w:r>
          </w:p>
        </w:tc>
      </w:tr>
      <w:tr w14:paraId="62A28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846" w:type="dxa"/>
            <w:vMerge w:val="continue"/>
            <w:vAlign w:val="center"/>
          </w:tcPr>
          <w:p w14:paraId="1E0CE0D0">
            <w:pPr>
              <w:spacing w:line="240" w:lineRule="exact"/>
              <w:jc w:val="left"/>
              <w:rPr>
                <w:color w:val="auto"/>
                <w:kern w:val="0"/>
                <w:szCs w:val="21"/>
              </w:rPr>
            </w:pPr>
          </w:p>
        </w:tc>
        <w:tc>
          <w:tcPr>
            <w:tcW w:w="1843" w:type="dxa"/>
            <w:vAlign w:val="center"/>
          </w:tcPr>
          <w:p w14:paraId="6F194734">
            <w:pPr>
              <w:spacing w:line="240" w:lineRule="exact"/>
              <w:jc w:val="left"/>
              <w:rPr>
                <w:color w:val="auto"/>
                <w:szCs w:val="21"/>
              </w:rPr>
            </w:pPr>
            <w:r>
              <w:rPr>
                <w:rFonts w:hint="eastAsia"/>
                <w:color w:val="auto"/>
                <w:szCs w:val="21"/>
              </w:rPr>
              <w:t>（</w:t>
            </w:r>
            <w:r>
              <w:rPr>
                <w:color w:val="auto"/>
                <w:szCs w:val="21"/>
              </w:rPr>
              <w:t>7</w:t>
            </w:r>
            <w:r>
              <w:rPr>
                <w:rFonts w:hint="eastAsia"/>
                <w:color w:val="auto"/>
                <w:szCs w:val="21"/>
              </w:rPr>
              <w:t>）其他要求</w:t>
            </w:r>
          </w:p>
        </w:tc>
        <w:tc>
          <w:tcPr>
            <w:tcW w:w="6561" w:type="dxa"/>
          </w:tcPr>
          <w:p w14:paraId="37CD8635">
            <w:pPr>
              <w:spacing w:line="312" w:lineRule="auto"/>
              <w:jc w:val="left"/>
              <w:rPr>
                <w:color w:val="auto"/>
                <w:kern w:val="0"/>
                <w:szCs w:val="21"/>
              </w:rPr>
            </w:pPr>
            <w:r>
              <w:rPr>
                <w:rFonts w:hint="eastAsia"/>
                <w:color w:val="auto"/>
                <w:kern w:val="0"/>
                <w:szCs w:val="21"/>
              </w:rPr>
              <w:t>按</w:t>
            </w:r>
            <w:r>
              <w:rPr>
                <w:color w:val="auto"/>
                <w:kern w:val="0"/>
                <w:szCs w:val="21"/>
              </w:rPr>
              <w:t>照招标公告规定获得招标文件。</w:t>
            </w:r>
            <w:r>
              <w:rPr>
                <w:rFonts w:hint="eastAsia"/>
                <w:color w:val="auto"/>
                <w:kern w:val="0"/>
                <w:szCs w:val="21"/>
              </w:rPr>
              <w:t>足额、及时缴纳投标保证金。</w:t>
            </w:r>
          </w:p>
        </w:tc>
      </w:tr>
      <w:bookmarkEnd w:id="111"/>
    </w:tbl>
    <w:p w14:paraId="0FAA4CC5">
      <w:pPr>
        <w:suppressAutoHyphens/>
        <w:spacing w:before="120" w:line="320" w:lineRule="atLeast"/>
        <w:ind w:firstLine="422" w:firstLineChars="200"/>
        <w:rPr>
          <w:b/>
          <w:bCs/>
          <w:color w:val="auto"/>
          <w:kern w:val="0"/>
          <w:szCs w:val="21"/>
        </w:rPr>
      </w:pPr>
    </w:p>
    <w:p w14:paraId="134FE8FA">
      <w:pPr>
        <w:spacing w:before="120" w:line="320" w:lineRule="atLeast"/>
        <w:ind w:firstLine="413" w:firstLineChars="196"/>
        <w:outlineLvl w:val="1"/>
        <w:rPr>
          <w:color w:val="auto"/>
          <w:szCs w:val="21"/>
        </w:rPr>
      </w:pPr>
      <w:r>
        <w:rPr>
          <w:b/>
          <w:bCs/>
          <w:color w:val="auto"/>
          <w:kern w:val="0"/>
          <w:szCs w:val="21"/>
        </w:rPr>
        <w:t>3</w:t>
      </w:r>
      <w:r>
        <w:rPr>
          <w:rFonts w:hint="eastAsia"/>
          <w:b/>
          <w:bCs/>
          <w:color w:val="auto"/>
          <w:kern w:val="0"/>
          <w:szCs w:val="21"/>
        </w:rPr>
        <w:t>.</w:t>
      </w:r>
      <w:r>
        <w:rPr>
          <w:b/>
          <w:bCs/>
          <w:color w:val="auto"/>
          <w:kern w:val="0"/>
          <w:szCs w:val="21"/>
        </w:rPr>
        <w:t>符合性审查</w:t>
      </w:r>
      <w:r>
        <w:rPr>
          <w:rFonts w:hint="eastAsia"/>
          <w:b/>
          <w:bCs/>
          <w:color w:val="auto"/>
          <w:kern w:val="0"/>
          <w:szCs w:val="21"/>
        </w:rPr>
        <w:t>标准（不满足任何一项审查内容要求，符合性审查即为不合格）</w:t>
      </w:r>
    </w:p>
    <w:tbl>
      <w:tblPr>
        <w:tblStyle w:val="51"/>
        <w:tblW w:w="92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2405"/>
        <w:gridCol w:w="5241"/>
      </w:tblGrid>
      <w:tr w14:paraId="153B5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559" w:type="dxa"/>
            <w:vAlign w:val="center"/>
          </w:tcPr>
          <w:p w14:paraId="7BA97644">
            <w:pPr>
              <w:spacing w:line="240" w:lineRule="exact"/>
              <w:jc w:val="center"/>
              <w:rPr>
                <w:b/>
                <w:color w:val="auto"/>
                <w:kern w:val="0"/>
                <w:szCs w:val="21"/>
              </w:rPr>
            </w:pPr>
            <w:bookmarkStart w:id="112" w:name="_Hlk92966680"/>
            <w:r>
              <w:rPr>
                <w:rFonts w:hint="eastAsia"/>
                <w:b/>
                <w:color w:val="auto"/>
                <w:kern w:val="0"/>
                <w:szCs w:val="21"/>
              </w:rPr>
              <w:t>审查</w:t>
            </w:r>
            <w:r>
              <w:rPr>
                <w:b/>
                <w:color w:val="auto"/>
                <w:kern w:val="0"/>
                <w:szCs w:val="21"/>
              </w:rPr>
              <w:t>因素</w:t>
            </w:r>
          </w:p>
        </w:tc>
        <w:tc>
          <w:tcPr>
            <w:tcW w:w="2405" w:type="dxa"/>
            <w:vAlign w:val="center"/>
          </w:tcPr>
          <w:p w14:paraId="2F2AF86E">
            <w:pPr>
              <w:spacing w:line="240" w:lineRule="exact"/>
              <w:jc w:val="center"/>
              <w:rPr>
                <w:b/>
                <w:color w:val="auto"/>
                <w:kern w:val="0"/>
                <w:szCs w:val="21"/>
              </w:rPr>
            </w:pPr>
            <w:r>
              <w:rPr>
                <w:rFonts w:hint="eastAsia"/>
                <w:b/>
                <w:color w:val="auto"/>
                <w:kern w:val="0"/>
                <w:szCs w:val="21"/>
              </w:rPr>
              <w:t>审查内容</w:t>
            </w:r>
          </w:p>
        </w:tc>
        <w:tc>
          <w:tcPr>
            <w:tcW w:w="5241" w:type="dxa"/>
          </w:tcPr>
          <w:p w14:paraId="1E8952D4">
            <w:pPr>
              <w:spacing w:line="240" w:lineRule="exact"/>
              <w:jc w:val="center"/>
              <w:rPr>
                <w:b/>
                <w:color w:val="auto"/>
                <w:kern w:val="0"/>
                <w:szCs w:val="21"/>
              </w:rPr>
            </w:pPr>
            <w:r>
              <w:rPr>
                <w:rFonts w:hint="eastAsia"/>
                <w:b/>
                <w:color w:val="auto"/>
                <w:kern w:val="0"/>
                <w:szCs w:val="21"/>
              </w:rPr>
              <w:t>说明</w:t>
            </w:r>
          </w:p>
        </w:tc>
      </w:tr>
      <w:tr w14:paraId="718D4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1559" w:type="dxa"/>
            <w:vMerge w:val="restart"/>
            <w:vAlign w:val="center"/>
          </w:tcPr>
          <w:p w14:paraId="1FBA3332">
            <w:pPr>
              <w:spacing w:line="240" w:lineRule="exact"/>
              <w:jc w:val="center"/>
              <w:rPr>
                <w:color w:val="auto"/>
                <w:kern w:val="0"/>
                <w:szCs w:val="21"/>
              </w:rPr>
            </w:pPr>
            <w:r>
              <w:rPr>
                <w:rFonts w:hint="eastAsia"/>
                <w:color w:val="auto"/>
                <w:kern w:val="0"/>
                <w:szCs w:val="21"/>
              </w:rPr>
              <w:t>商务资信</w:t>
            </w:r>
          </w:p>
        </w:tc>
        <w:tc>
          <w:tcPr>
            <w:tcW w:w="2405" w:type="dxa"/>
            <w:vAlign w:val="center"/>
          </w:tcPr>
          <w:p w14:paraId="454ABF9C">
            <w:pPr>
              <w:spacing w:line="240" w:lineRule="exact"/>
              <w:rPr>
                <w:color w:val="auto"/>
              </w:rPr>
            </w:pPr>
            <w:r>
              <w:rPr>
                <w:rFonts w:hint="eastAsia"/>
                <w:color w:val="auto"/>
              </w:rPr>
              <w:t>法定代表人身份证明及授权委托书</w:t>
            </w:r>
          </w:p>
        </w:tc>
        <w:tc>
          <w:tcPr>
            <w:tcW w:w="5241" w:type="dxa"/>
            <w:vAlign w:val="center"/>
          </w:tcPr>
          <w:p w14:paraId="5FA59139">
            <w:pPr>
              <w:spacing w:line="240" w:lineRule="exact"/>
              <w:rPr>
                <w:color w:val="auto"/>
                <w:szCs w:val="21"/>
              </w:rPr>
            </w:pPr>
            <w:r>
              <w:rPr>
                <w:rFonts w:hint="eastAsia"/>
                <w:color w:val="auto"/>
                <w:szCs w:val="21"/>
              </w:rPr>
              <w:t>授权</w:t>
            </w:r>
            <w:r>
              <w:rPr>
                <w:color w:val="auto"/>
                <w:szCs w:val="21"/>
              </w:rPr>
              <w:t>代表</w:t>
            </w:r>
            <w:r>
              <w:rPr>
                <w:rFonts w:hint="eastAsia"/>
                <w:color w:val="auto"/>
                <w:szCs w:val="21"/>
              </w:rPr>
              <w:t>参加投标</w:t>
            </w:r>
            <w:r>
              <w:rPr>
                <w:color w:val="auto"/>
                <w:szCs w:val="21"/>
              </w:rPr>
              <w:t>时审查：</w:t>
            </w:r>
            <w:r>
              <w:rPr>
                <w:rFonts w:ascii="宋体" w:hAnsi="宋体"/>
                <w:color w:val="auto"/>
                <w:szCs w:val="21"/>
              </w:rPr>
              <w:t>法定代表人授权委托书及附件</w:t>
            </w:r>
            <w:r>
              <w:rPr>
                <w:color w:val="auto"/>
                <w:szCs w:val="21"/>
              </w:rPr>
              <w:t xml:space="preserve"> </w:t>
            </w:r>
          </w:p>
          <w:p w14:paraId="6DC11178">
            <w:pPr>
              <w:spacing w:line="240" w:lineRule="exact"/>
              <w:rPr>
                <w:rFonts w:hint="eastAsia" w:ascii="宋体" w:hAnsi="宋体"/>
                <w:color w:val="auto"/>
                <w:szCs w:val="21"/>
              </w:rPr>
            </w:pPr>
            <w:r>
              <w:rPr>
                <w:rFonts w:hint="eastAsia"/>
                <w:color w:val="auto"/>
                <w:szCs w:val="21"/>
              </w:rPr>
              <w:t>法定代表人直接参加投标</w:t>
            </w:r>
            <w:r>
              <w:rPr>
                <w:color w:val="auto"/>
                <w:szCs w:val="21"/>
              </w:rPr>
              <w:t>时审查：</w:t>
            </w:r>
            <w:r>
              <w:rPr>
                <w:rFonts w:ascii="宋体" w:hAnsi="宋体"/>
                <w:color w:val="auto"/>
                <w:szCs w:val="21"/>
              </w:rPr>
              <w:t>法定代表人身份证明</w:t>
            </w:r>
            <w:r>
              <w:rPr>
                <w:rFonts w:hint="eastAsia" w:ascii="宋体" w:hAnsi="宋体"/>
                <w:color w:val="auto"/>
                <w:szCs w:val="21"/>
              </w:rPr>
              <w:t>及</w:t>
            </w:r>
            <w:r>
              <w:rPr>
                <w:rFonts w:ascii="宋体" w:hAnsi="宋体"/>
                <w:color w:val="auto"/>
                <w:szCs w:val="21"/>
              </w:rPr>
              <w:t>附件</w:t>
            </w:r>
          </w:p>
          <w:p w14:paraId="22C819AA">
            <w:pPr>
              <w:spacing w:line="240" w:lineRule="exact"/>
              <w:rPr>
                <w:color w:val="auto"/>
                <w:szCs w:val="21"/>
              </w:rPr>
            </w:pPr>
            <w:r>
              <w:rPr>
                <w:rFonts w:ascii="宋体" w:hAnsi="宋体"/>
                <w:color w:val="auto"/>
                <w:szCs w:val="21"/>
              </w:rPr>
              <w:t>格式及附件见第六章投标文件格式要求</w:t>
            </w:r>
          </w:p>
        </w:tc>
      </w:tr>
      <w:tr w14:paraId="7B379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559" w:type="dxa"/>
            <w:vMerge w:val="continue"/>
            <w:vAlign w:val="center"/>
          </w:tcPr>
          <w:p w14:paraId="53C28300">
            <w:pPr>
              <w:spacing w:line="240" w:lineRule="exact"/>
              <w:jc w:val="center"/>
              <w:rPr>
                <w:color w:val="auto"/>
                <w:kern w:val="0"/>
                <w:szCs w:val="21"/>
              </w:rPr>
            </w:pPr>
          </w:p>
        </w:tc>
        <w:tc>
          <w:tcPr>
            <w:tcW w:w="2405" w:type="dxa"/>
            <w:vAlign w:val="center"/>
          </w:tcPr>
          <w:p w14:paraId="68288884">
            <w:pPr>
              <w:spacing w:line="240" w:lineRule="exact"/>
              <w:rPr>
                <w:color w:val="auto"/>
                <w:szCs w:val="21"/>
              </w:rPr>
            </w:pPr>
            <w:r>
              <w:rPr>
                <w:rFonts w:hint="eastAsia"/>
                <w:color w:val="auto"/>
                <w:szCs w:val="21"/>
              </w:rPr>
              <w:t>实质性条款响应</w:t>
            </w:r>
          </w:p>
        </w:tc>
        <w:tc>
          <w:tcPr>
            <w:tcW w:w="5241" w:type="dxa"/>
            <w:vAlign w:val="center"/>
          </w:tcPr>
          <w:p w14:paraId="760A10E8">
            <w:pPr>
              <w:spacing w:line="240" w:lineRule="exact"/>
              <w:rPr>
                <w:color w:val="auto"/>
                <w:szCs w:val="21"/>
              </w:rPr>
            </w:pPr>
            <w:r>
              <w:rPr>
                <w:rFonts w:hint="eastAsia" w:ascii="宋体" w:hAnsi="宋体"/>
                <w:color w:val="auto"/>
                <w:szCs w:val="21"/>
              </w:rPr>
              <w:t>招标文件实质性要求响应均无负偏离</w:t>
            </w:r>
          </w:p>
        </w:tc>
      </w:tr>
      <w:tr w14:paraId="0657A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559" w:type="dxa"/>
            <w:vMerge w:val="continue"/>
            <w:vAlign w:val="center"/>
          </w:tcPr>
          <w:p w14:paraId="1E8767F3">
            <w:pPr>
              <w:spacing w:line="240" w:lineRule="exact"/>
              <w:jc w:val="center"/>
              <w:rPr>
                <w:color w:val="auto"/>
                <w:kern w:val="0"/>
                <w:szCs w:val="21"/>
              </w:rPr>
            </w:pPr>
          </w:p>
        </w:tc>
        <w:tc>
          <w:tcPr>
            <w:tcW w:w="2405" w:type="dxa"/>
            <w:vAlign w:val="center"/>
          </w:tcPr>
          <w:p w14:paraId="4BABA7C6">
            <w:pPr>
              <w:spacing w:line="240" w:lineRule="exact"/>
              <w:rPr>
                <w:color w:val="auto"/>
                <w:szCs w:val="21"/>
              </w:rPr>
            </w:pPr>
            <w:r>
              <w:rPr>
                <w:rFonts w:hint="eastAsia"/>
                <w:color w:val="auto"/>
                <w:szCs w:val="21"/>
              </w:rPr>
              <w:t>串通投标</w:t>
            </w:r>
          </w:p>
        </w:tc>
        <w:tc>
          <w:tcPr>
            <w:tcW w:w="5241" w:type="dxa"/>
            <w:vAlign w:val="center"/>
          </w:tcPr>
          <w:p w14:paraId="1350303F">
            <w:pPr>
              <w:spacing w:line="240" w:lineRule="exact"/>
              <w:rPr>
                <w:color w:val="auto"/>
                <w:szCs w:val="21"/>
              </w:rPr>
            </w:pPr>
            <w:r>
              <w:rPr>
                <w:rFonts w:hint="eastAsia" w:ascii="宋体" w:hAnsi="宋体"/>
                <w:color w:val="auto"/>
                <w:szCs w:val="21"/>
              </w:rPr>
              <w:t>不属于供应商须知正文第</w:t>
            </w:r>
            <w:r>
              <w:rPr>
                <w:rFonts w:ascii="宋体" w:hAnsi="宋体"/>
                <w:color w:val="auto"/>
                <w:szCs w:val="21"/>
              </w:rPr>
              <w:t>6</w:t>
            </w:r>
            <w:r>
              <w:rPr>
                <w:rFonts w:hint="eastAsia" w:ascii="宋体" w:hAnsi="宋体"/>
                <w:color w:val="auto"/>
                <w:szCs w:val="21"/>
              </w:rPr>
              <w:t>.</w:t>
            </w:r>
            <w:r>
              <w:rPr>
                <w:rFonts w:ascii="宋体" w:hAnsi="宋体"/>
                <w:color w:val="auto"/>
                <w:szCs w:val="21"/>
              </w:rPr>
              <w:t>3</w:t>
            </w:r>
            <w:r>
              <w:rPr>
                <w:rFonts w:hint="eastAsia" w:ascii="宋体" w:hAnsi="宋体"/>
                <w:color w:val="auto"/>
                <w:szCs w:val="21"/>
              </w:rPr>
              <w:t>.</w:t>
            </w:r>
            <w:r>
              <w:rPr>
                <w:rFonts w:ascii="宋体" w:hAnsi="宋体"/>
                <w:color w:val="auto"/>
                <w:szCs w:val="21"/>
              </w:rPr>
              <w:t>6</w:t>
            </w:r>
            <w:r>
              <w:rPr>
                <w:rFonts w:hint="eastAsia" w:ascii="宋体" w:hAnsi="宋体"/>
                <w:color w:val="auto"/>
                <w:szCs w:val="21"/>
              </w:rPr>
              <w:t>规定的串通投标情形，见</w:t>
            </w:r>
            <w:r>
              <w:rPr>
                <w:rFonts w:ascii="宋体" w:hAnsi="宋体"/>
                <w:color w:val="auto"/>
                <w:szCs w:val="21"/>
              </w:rPr>
              <w:t>第六章投标文件格式要求</w:t>
            </w:r>
          </w:p>
        </w:tc>
      </w:tr>
      <w:tr w14:paraId="5286D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559" w:type="dxa"/>
            <w:vMerge w:val="restart"/>
            <w:vAlign w:val="center"/>
          </w:tcPr>
          <w:p w14:paraId="6BDA6350">
            <w:pPr>
              <w:spacing w:line="240" w:lineRule="exact"/>
              <w:jc w:val="center"/>
              <w:rPr>
                <w:color w:val="auto"/>
                <w:szCs w:val="21"/>
              </w:rPr>
            </w:pPr>
            <w:r>
              <w:rPr>
                <w:rFonts w:hint="eastAsia"/>
                <w:color w:val="auto"/>
                <w:kern w:val="0"/>
                <w:szCs w:val="21"/>
              </w:rPr>
              <w:t>技术</w:t>
            </w:r>
          </w:p>
        </w:tc>
        <w:tc>
          <w:tcPr>
            <w:tcW w:w="2405" w:type="dxa"/>
            <w:vAlign w:val="center"/>
          </w:tcPr>
          <w:p w14:paraId="3420E608">
            <w:pPr>
              <w:spacing w:line="240" w:lineRule="exact"/>
              <w:rPr>
                <w:color w:val="auto"/>
                <w:szCs w:val="21"/>
              </w:rPr>
            </w:pPr>
            <w:r>
              <w:rPr>
                <w:rFonts w:hint="eastAsia"/>
                <w:color w:val="auto"/>
                <w:szCs w:val="21"/>
              </w:rPr>
              <w:t>节能产品（如有）</w:t>
            </w:r>
          </w:p>
        </w:tc>
        <w:tc>
          <w:tcPr>
            <w:tcW w:w="5241" w:type="dxa"/>
            <w:vAlign w:val="center"/>
          </w:tcPr>
          <w:p w14:paraId="6D257F05">
            <w:pPr>
              <w:spacing w:line="240" w:lineRule="exact"/>
              <w:rPr>
                <w:bCs/>
                <w:color w:val="auto"/>
                <w:kern w:val="0"/>
                <w:szCs w:val="21"/>
              </w:rPr>
            </w:pPr>
            <w:r>
              <w:rPr>
                <w:rFonts w:hint="eastAsia"/>
                <w:color w:val="auto"/>
                <w:szCs w:val="21"/>
              </w:rPr>
              <w:t>采购需求</w:t>
            </w:r>
            <w:r>
              <w:rPr>
                <w:color w:val="auto"/>
                <w:szCs w:val="21"/>
              </w:rPr>
              <w:t>如果包括政府强制采购节能产品</w:t>
            </w:r>
            <w:r>
              <w:rPr>
                <w:rFonts w:hint="eastAsia"/>
                <w:color w:val="auto"/>
                <w:szCs w:val="21"/>
              </w:rPr>
              <w:t>，投标</w:t>
            </w:r>
            <w:r>
              <w:rPr>
                <w:color w:val="auto"/>
                <w:szCs w:val="21"/>
              </w:rPr>
              <w:t>产品</w:t>
            </w:r>
            <w:r>
              <w:rPr>
                <w:rFonts w:hint="eastAsia"/>
                <w:color w:val="auto"/>
                <w:szCs w:val="21"/>
              </w:rPr>
              <w:t>未使用节能产品政府采购品目清单内的产品，或未处于有效期之内，</w:t>
            </w:r>
            <w:r>
              <w:rPr>
                <w:rFonts w:ascii="宋体" w:hAnsi="宋体"/>
                <w:color w:val="auto"/>
                <w:szCs w:val="21"/>
              </w:rPr>
              <w:t>见第六章投标文件格式要求</w:t>
            </w:r>
          </w:p>
        </w:tc>
      </w:tr>
      <w:tr w14:paraId="0FD5C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1559" w:type="dxa"/>
            <w:vMerge w:val="continue"/>
            <w:vAlign w:val="center"/>
          </w:tcPr>
          <w:p w14:paraId="1956044C">
            <w:pPr>
              <w:spacing w:line="240" w:lineRule="exact"/>
              <w:jc w:val="center"/>
              <w:rPr>
                <w:color w:val="auto"/>
                <w:kern w:val="0"/>
                <w:szCs w:val="21"/>
              </w:rPr>
            </w:pPr>
          </w:p>
        </w:tc>
        <w:tc>
          <w:tcPr>
            <w:tcW w:w="2405" w:type="dxa"/>
            <w:vAlign w:val="center"/>
          </w:tcPr>
          <w:p w14:paraId="13EF8E4F">
            <w:pPr>
              <w:spacing w:line="240" w:lineRule="exact"/>
              <w:rPr>
                <w:color w:val="auto"/>
                <w:szCs w:val="21"/>
              </w:rPr>
            </w:pPr>
            <w:r>
              <w:rPr>
                <w:rFonts w:hint="eastAsia"/>
                <w:color w:val="auto"/>
                <w:szCs w:val="21"/>
              </w:rPr>
              <w:t>网络安全专用产品（如有）</w:t>
            </w:r>
          </w:p>
        </w:tc>
        <w:tc>
          <w:tcPr>
            <w:tcW w:w="5241" w:type="dxa"/>
            <w:vAlign w:val="center"/>
          </w:tcPr>
          <w:p w14:paraId="6833371A">
            <w:pPr>
              <w:spacing w:line="240" w:lineRule="exact"/>
              <w:rPr>
                <w:rFonts w:hint="eastAsia" w:ascii="宋体" w:hAnsi="宋体"/>
                <w:color w:val="auto"/>
                <w:szCs w:val="21"/>
              </w:rPr>
            </w:pPr>
            <w:r>
              <w:rPr>
                <w:color w:val="auto"/>
                <w:szCs w:val="21"/>
              </w:rPr>
              <w:t>采购</w:t>
            </w:r>
            <w:r>
              <w:rPr>
                <w:rFonts w:hint="eastAsia"/>
                <w:color w:val="auto"/>
                <w:szCs w:val="21"/>
              </w:rPr>
              <w:t>需求</w:t>
            </w:r>
            <w:r>
              <w:rPr>
                <w:color w:val="auto"/>
                <w:szCs w:val="21"/>
              </w:rPr>
              <w:t>如果包括《</w:t>
            </w:r>
            <w:r>
              <w:rPr>
                <w:rFonts w:hint="eastAsia"/>
                <w:color w:val="auto"/>
                <w:szCs w:val="21"/>
              </w:rPr>
              <w:t>网络关键设备和网络安全专用产品目录</w:t>
            </w:r>
            <w:r>
              <w:rPr>
                <w:color w:val="auto"/>
                <w:szCs w:val="21"/>
              </w:rPr>
              <w:t>》</w:t>
            </w:r>
            <w:r>
              <w:rPr>
                <w:rFonts w:hint="eastAsia"/>
                <w:color w:val="auto"/>
                <w:szCs w:val="21"/>
              </w:rPr>
              <w:t>所规定的网络安全专用产品，投标提供的网络安全专用产品</w:t>
            </w:r>
            <w:r>
              <w:rPr>
                <w:color w:val="auto"/>
                <w:szCs w:val="21"/>
              </w:rPr>
              <w:t>应</w:t>
            </w:r>
            <w:r>
              <w:rPr>
                <w:rFonts w:hint="eastAsia"/>
                <w:color w:val="auto"/>
                <w:szCs w:val="21"/>
              </w:rPr>
              <w:t>在《网络关键设备和网络安全专用产品安全认证和安全检测结果》中或具备在有效期内的《计算机信息系统安全专用产品销售许可证》，</w:t>
            </w:r>
            <w:r>
              <w:rPr>
                <w:rFonts w:ascii="宋体" w:hAnsi="宋体"/>
                <w:color w:val="auto"/>
                <w:szCs w:val="21"/>
              </w:rPr>
              <w:t>见第六章投标文件格式要求</w:t>
            </w:r>
            <w:r>
              <w:rPr>
                <w:rFonts w:hint="eastAsia" w:ascii="宋体" w:hAnsi="宋体"/>
                <w:color w:val="auto"/>
                <w:szCs w:val="21"/>
              </w:rPr>
              <w:t>。</w:t>
            </w:r>
          </w:p>
        </w:tc>
      </w:tr>
      <w:tr w14:paraId="3623C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559" w:type="dxa"/>
            <w:vMerge w:val="restart"/>
            <w:vAlign w:val="center"/>
          </w:tcPr>
          <w:p w14:paraId="17779BC0">
            <w:pPr>
              <w:spacing w:line="240" w:lineRule="exact"/>
              <w:jc w:val="center"/>
              <w:rPr>
                <w:color w:val="auto"/>
                <w:kern w:val="0"/>
                <w:szCs w:val="21"/>
              </w:rPr>
            </w:pPr>
            <w:r>
              <w:rPr>
                <w:rFonts w:hint="eastAsia"/>
                <w:color w:val="auto"/>
                <w:kern w:val="0"/>
                <w:szCs w:val="21"/>
              </w:rPr>
              <w:t>报价</w:t>
            </w:r>
          </w:p>
        </w:tc>
        <w:tc>
          <w:tcPr>
            <w:tcW w:w="2405" w:type="dxa"/>
            <w:vAlign w:val="center"/>
          </w:tcPr>
          <w:p w14:paraId="629EE286">
            <w:pPr>
              <w:spacing w:line="240" w:lineRule="exact"/>
              <w:rPr>
                <w:color w:val="auto"/>
                <w:szCs w:val="21"/>
              </w:rPr>
            </w:pPr>
            <w:r>
              <w:rPr>
                <w:rFonts w:hint="eastAsia"/>
                <w:color w:val="auto"/>
                <w:szCs w:val="21"/>
              </w:rPr>
              <w:t>有效报价</w:t>
            </w:r>
          </w:p>
        </w:tc>
        <w:tc>
          <w:tcPr>
            <w:tcW w:w="5241" w:type="dxa"/>
            <w:vAlign w:val="center"/>
          </w:tcPr>
          <w:p w14:paraId="04651D5A">
            <w:pPr>
              <w:spacing w:line="240" w:lineRule="exact"/>
              <w:rPr>
                <w:bCs/>
                <w:color w:val="auto"/>
                <w:kern w:val="0"/>
                <w:szCs w:val="21"/>
              </w:rPr>
            </w:pPr>
            <w:r>
              <w:rPr>
                <w:rFonts w:hint="eastAsia"/>
                <w:color w:val="auto"/>
                <w:szCs w:val="21"/>
              </w:rPr>
              <w:t>报价未超出采购预算金额（包括分项预算），也未超出最高限价（如有）</w:t>
            </w:r>
          </w:p>
        </w:tc>
      </w:tr>
      <w:tr w14:paraId="4F992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559" w:type="dxa"/>
            <w:vMerge w:val="continue"/>
            <w:vAlign w:val="center"/>
          </w:tcPr>
          <w:p w14:paraId="15246BE8">
            <w:pPr>
              <w:spacing w:line="240" w:lineRule="exact"/>
              <w:jc w:val="center"/>
              <w:rPr>
                <w:color w:val="auto"/>
                <w:kern w:val="0"/>
                <w:szCs w:val="21"/>
              </w:rPr>
            </w:pPr>
          </w:p>
        </w:tc>
        <w:tc>
          <w:tcPr>
            <w:tcW w:w="2405" w:type="dxa"/>
            <w:vAlign w:val="center"/>
          </w:tcPr>
          <w:p w14:paraId="314C6691">
            <w:pPr>
              <w:spacing w:line="240" w:lineRule="exact"/>
              <w:rPr>
                <w:bCs/>
                <w:color w:val="auto"/>
                <w:kern w:val="0"/>
                <w:szCs w:val="21"/>
              </w:rPr>
            </w:pPr>
            <w:r>
              <w:rPr>
                <w:rFonts w:hint="eastAsia"/>
                <w:bCs/>
                <w:color w:val="auto"/>
                <w:kern w:val="0"/>
                <w:szCs w:val="21"/>
              </w:rPr>
              <w:t>漏项报价</w:t>
            </w:r>
          </w:p>
        </w:tc>
        <w:tc>
          <w:tcPr>
            <w:tcW w:w="5241" w:type="dxa"/>
            <w:vAlign w:val="center"/>
          </w:tcPr>
          <w:p w14:paraId="5B07A6DC">
            <w:pPr>
              <w:spacing w:line="240" w:lineRule="exact"/>
              <w:rPr>
                <w:rFonts w:hint="eastAsia" w:hAnsi="宋体"/>
                <w:color w:val="auto"/>
                <w:szCs w:val="21"/>
              </w:rPr>
            </w:pPr>
            <w:r>
              <w:rPr>
                <w:rFonts w:hint="eastAsia" w:ascii="宋体" w:hAnsi="宋体"/>
                <w:color w:val="auto"/>
                <w:szCs w:val="21"/>
              </w:rPr>
              <w:t>未就所投分标进行报价或者存在漏项报价；</w:t>
            </w:r>
          </w:p>
        </w:tc>
      </w:tr>
      <w:tr w14:paraId="1FA98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559" w:type="dxa"/>
            <w:vMerge w:val="continue"/>
            <w:vAlign w:val="center"/>
          </w:tcPr>
          <w:p w14:paraId="423E982C">
            <w:pPr>
              <w:spacing w:line="240" w:lineRule="exact"/>
              <w:jc w:val="center"/>
              <w:rPr>
                <w:color w:val="auto"/>
                <w:kern w:val="0"/>
                <w:szCs w:val="21"/>
              </w:rPr>
            </w:pPr>
          </w:p>
        </w:tc>
        <w:tc>
          <w:tcPr>
            <w:tcW w:w="2405" w:type="dxa"/>
            <w:vAlign w:val="center"/>
          </w:tcPr>
          <w:p w14:paraId="7660B3F0">
            <w:pPr>
              <w:spacing w:line="240" w:lineRule="exact"/>
              <w:rPr>
                <w:rFonts w:hint="eastAsia" w:hAnsi="宋体"/>
                <w:color w:val="auto"/>
                <w:szCs w:val="21"/>
              </w:rPr>
            </w:pPr>
            <w:r>
              <w:rPr>
                <w:rFonts w:hint="eastAsia" w:hAnsi="宋体"/>
                <w:color w:val="auto"/>
                <w:szCs w:val="21"/>
              </w:rPr>
              <w:t>投标报价唯一性</w:t>
            </w:r>
          </w:p>
        </w:tc>
        <w:tc>
          <w:tcPr>
            <w:tcW w:w="5241" w:type="dxa"/>
            <w:vAlign w:val="center"/>
          </w:tcPr>
          <w:p w14:paraId="76E3E3DD">
            <w:pPr>
              <w:spacing w:line="240" w:lineRule="exact"/>
              <w:rPr>
                <w:color w:val="auto"/>
                <w:szCs w:val="21"/>
              </w:rPr>
            </w:pPr>
            <w:r>
              <w:rPr>
                <w:rFonts w:hint="eastAsia" w:ascii="宋体" w:hAnsi="宋体"/>
                <w:color w:val="auto"/>
                <w:szCs w:val="21"/>
              </w:rPr>
              <w:t>不存在有选择、有条件报价（招标文件允许有备选方案或者其他约定的除外）</w:t>
            </w:r>
          </w:p>
        </w:tc>
      </w:tr>
      <w:tr w14:paraId="15BC8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59" w:type="dxa"/>
            <w:vMerge w:val="continue"/>
            <w:vAlign w:val="center"/>
          </w:tcPr>
          <w:p w14:paraId="44E7900A">
            <w:pPr>
              <w:spacing w:line="240" w:lineRule="exact"/>
              <w:jc w:val="center"/>
              <w:rPr>
                <w:color w:val="auto"/>
                <w:kern w:val="0"/>
                <w:szCs w:val="21"/>
              </w:rPr>
            </w:pPr>
          </w:p>
        </w:tc>
        <w:tc>
          <w:tcPr>
            <w:tcW w:w="2405" w:type="dxa"/>
            <w:vAlign w:val="center"/>
          </w:tcPr>
          <w:p w14:paraId="028DB58A">
            <w:pPr>
              <w:spacing w:line="240" w:lineRule="exact"/>
              <w:rPr>
                <w:color w:val="auto"/>
                <w:szCs w:val="21"/>
                <w:lang w:val="zh-CN"/>
              </w:rPr>
            </w:pPr>
            <w:r>
              <w:rPr>
                <w:rFonts w:hint="eastAsia"/>
                <w:color w:val="auto"/>
                <w:szCs w:val="21"/>
                <w:lang w:val="zh-CN"/>
              </w:rPr>
              <w:t>过低报价合理性</w:t>
            </w:r>
          </w:p>
        </w:tc>
        <w:tc>
          <w:tcPr>
            <w:tcW w:w="5241" w:type="dxa"/>
            <w:vAlign w:val="center"/>
          </w:tcPr>
          <w:p w14:paraId="117A23D0">
            <w:pPr>
              <w:spacing w:line="240" w:lineRule="exact"/>
              <w:rPr>
                <w:rFonts w:hint="eastAsia" w:hAnsi="宋体"/>
                <w:color w:val="auto"/>
                <w:szCs w:val="21"/>
              </w:rPr>
            </w:pPr>
            <w:r>
              <w:rPr>
                <w:color w:val="auto"/>
                <w:szCs w:val="21"/>
              </w:rPr>
              <w:t>供应商的报价</w:t>
            </w:r>
            <w:r>
              <w:rPr>
                <w:rFonts w:hint="eastAsia"/>
                <w:color w:val="auto"/>
                <w:szCs w:val="21"/>
              </w:rPr>
              <w:t>不存在</w:t>
            </w:r>
            <w:r>
              <w:rPr>
                <w:color w:val="auto"/>
                <w:szCs w:val="21"/>
              </w:rPr>
              <w:t>明显低于其他通过符合性审查供应商报价</w:t>
            </w:r>
            <w:r>
              <w:rPr>
                <w:rFonts w:hint="eastAsia"/>
                <w:color w:val="auto"/>
                <w:szCs w:val="21"/>
              </w:rPr>
              <w:t>的情况</w:t>
            </w:r>
            <w:r>
              <w:rPr>
                <w:color w:val="auto"/>
                <w:szCs w:val="21"/>
              </w:rPr>
              <w:t>，</w:t>
            </w:r>
            <w:r>
              <w:rPr>
                <w:rFonts w:hint="eastAsia"/>
                <w:color w:val="auto"/>
                <w:szCs w:val="21"/>
              </w:rPr>
              <w:t>并可能</w:t>
            </w:r>
            <w:r>
              <w:rPr>
                <w:color w:val="auto"/>
                <w:szCs w:val="21"/>
              </w:rPr>
              <w:t>影响产品质量或者不能诚信履约</w:t>
            </w:r>
            <w:r>
              <w:rPr>
                <w:rFonts w:hint="eastAsia"/>
                <w:color w:val="auto"/>
                <w:szCs w:val="21"/>
              </w:rPr>
              <w:t>。如存在应提供书面说明，必要时提交相关证明材料；</w:t>
            </w:r>
          </w:p>
        </w:tc>
      </w:tr>
      <w:tr w14:paraId="59CBC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559" w:type="dxa"/>
            <w:vMerge w:val="continue"/>
            <w:vAlign w:val="center"/>
          </w:tcPr>
          <w:p w14:paraId="7D119A9C">
            <w:pPr>
              <w:spacing w:line="240" w:lineRule="exact"/>
              <w:jc w:val="center"/>
              <w:rPr>
                <w:color w:val="auto"/>
                <w:kern w:val="0"/>
                <w:szCs w:val="21"/>
              </w:rPr>
            </w:pPr>
          </w:p>
        </w:tc>
        <w:tc>
          <w:tcPr>
            <w:tcW w:w="2405" w:type="dxa"/>
            <w:vAlign w:val="center"/>
          </w:tcPr>
          <w:p w14:paraId="27654431">
            <w:pPr>
              <w:spacing w:line="240" w:lineRule="exact"/>
              <w:rPr>
                <w:color w:val="auto"/>
                <w:szCs w:val="21"/>
                <w:lang w:val="zh-CN"/>
              </w:rPr>
            </w:pPr>
            <w:r>
              <w:rPr>
                <w:rFonts w:hint="eastAsia"/>
                <w:color w:val="auto"/>
                <w:szCs w:val="21"/>
              </w:rPr>
              <w:t>投标有效期</w:t>
            </w:r>
          </w:p>
        </w:tc>
        <w:tc>
          <w:tcPr>
            <w:tcW w:w="5241" w:type="dxa"/>
            <w:vAlign w:val="center"/>
          </w:tcPr>
          <w:p w14:paraId="72F5C678">
            <w:pPr>
              <w:spacing w:line="240" w:lineRule="exact"/>
              <w:rPr>
                <w:color w:val="auto"/>
                <w:szCs w:val="21"/>
              </w:rPr>
            </w:pPr>
            <w:r>
              <w:rPr>
                <w:rFonts w:hint="eastAsia" w:ascii="宋体" w:hAnsi="宋体"/>
                <w:color w:val="auto"/>
                <w:szCs w:val="21"/>
              </w:rPr>
              <w:t>满足招标文件规定</w:t>
            </w:r>
          </w:p>
        </w:tc>
      </w:tr>
      <w:bookmarkEnd w:id="112"/>
    </w:tbl>
    <w:p w14:paraId="7A5FDC45">
      <w:pPr>
        <w:widowControl/>
        <w:jc w:val="left"/>
        <w:rPr>
          <w:b/>
          <w:bCs/>
          <w:color w:val="auto"/>
          <w:kern w:val="0"/>
          <w:szCs w:val="21"/>
        </w:rPr>
      </w:pPr>
      <w:bookmarkStart w:id="113" w:name="_Hlk19113393"/>
    </w:p>
    <w:p w14:paraId="4A924332">
      <w:pPr>
        <w:pStyle w:val="31"/>
        <w:rPr>
          <w:color w:val="auto"/>
        </w:rPr>
      </w:pPr>
      <w:r>
        <w:rPr>
          <w:color w:val="auto"/>
        </w:rPr>
        <w:br w:type="page"/>
      </w:r>
    </w:p>
    <w:p w14:paraId="6828A004">
      <w:pPr>
        <w:widowControl/>
        <w:jc w:val="left"/>
        <w:rPr>
          <w:b/>
          <w:bCs/>
          <w:color w:val="auto"/>
          <w:kern w:val="0"/>
          <w:szCs w:val="21"/>
        </w:rPr>
      </w:pPr>
    </w:p>
    <w:p w14:paraId="798FA4E6">
      <w:pPr>
        <w:spacing w:before="120" w:line="320" w:lineRule="atLeast"/>
        <w:ind w:firstLine="422" w:firstLineChars="200"/>
        <w:outlineLvl w:val="1"/>
        <w:rPr>
          <w:b/>
          <w:bCs/>
          <w:color w:val="auto"/>
          <w:kern w:val="0"/>
          <w:szCs w:val="21"/>
        </w:rPr>
      </w:pPr>
      <w:r>
        <w:rPr>
          <w:b/>
          <w:bCs/>
          <w:color w:val="auto"/>
          <w:kern w:val="0"/>
          <w:szCs w:val="21"/>
        </w:rPr>
        <w:t>4.</w:t>
      </w:r>
      <w:r>
        <w:rPr>
          <w:rFonts w:hint="eastAsia"/>
          <w:b/>
          <w:bCs/>
          <w:color w:val="auto"/>
          <w:kern w:val="0"/>
          <w:szCs w:val="21"/>
        </w:rPr>
        <w:t>评分</w:t>
      </w:r>
      <w:r>
        <w:rPr>
          <w:b/>
          <w:bCs/>
          <w:color w:val="auto"/>
          <w:kern w:val="0"/>
          <w:szCs w:val="21"/>
        </w:rPr>
        <w:t>标准</w:t>
      </w:r>
    </w:p>
    <w:tbl>
      <w:tblPr>
        <w:tblStyle w:val="51"/>
        <w:tblW w:w="96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320"/>
        <w:gridCol w:w="1576"/>
        <w:gridCol w:w="6191"/>
      </w:tblGrid>
      <w:tr w14:paraId="4EA2C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5" w:type="dxa"/>
            <w:gridSpan w:val="2"/>
            <w:vAlign w:val="center"/>
          </w:tcPr>
          <w:p w14:paraId="01CA7132">
            <w:pPr>
              <w:adjustRightInd w:val="0"/>
              <w:spacing w:line="340" w:lineRule="exact"/>
              <w:jc w:val="center"/>
              <w:textAlignment w:val="baseline"/>
              <w:rPr>
                <w:rFonts w:ascii="宋体" w:hAnsi="宋体"/>
                <w:bCs/>
                <w:color w:val="auto"/>
                <w:szCs w:val="21"/>
              </w:rPr>
            </w:pPr>
            <w:r>
              <w:rPr>
                <w:rFonts w:hint="eastAsia" w:ascii="宋体" w:hAnsi="宋体"/>
                <w:bCs/>
                <w:color w:val="auto"/>
                <w:szCs w:val="21"/>
              </w:rPr>
              <w:t>序号</w:t>
            </w:r>
          </w:p>
        </w:tc>
        <w:tc>
          <w:tcPr>
            <w:tcW w:w="1576" w:type="dxa"/>
            <w:vAlign w:val="center"/>
          </w:tcPr>
          <w:p w14:paraId="2CAE1012">
            <w:pPr>
              <w:adjustRightInd w:val="0"/>
              <w:spacing w:line="340" w:lineRule="exact"/>
              <w:jc w:val="center"/>
              <w:textAlignment w:val="baseline"/>
              <w:rPr>
                <w:rFonts w:ascii="宋体" w:hAnsi="宋体"/>
                <w:bCs/>
                <w:color w:val="auto"/>
                <w:szCs w:val="21"/>
              </w:rPr>
            </w:pPr>
            <w:r>
              <w:rPr>
                <w:rFonts w:hint="eastAsia" w:ascii="宋体" w:hAnsi="宋体"/>
                <w:bCs/>
                <w:color w:val="auto"/>
                <w:szCs w:val="21"/>
              </w:rPr>
              <w:t>评审因素</w:t>
            </w:r>
          </w:p>
        </w:tc>
        <w:tc>
          <w:tcPr>
            <w:tcW w:w="6191" w:type="dxa"/>
            <w:vAlign w:val="center"/>
          </w:tcPr>
          <w:p w14:paraId="7B5CF7D0">
            <w:pPr>
              <w:adjustRightInd w:val="0"/>
              <w:spacing w:line="340" w:lineRule="exact"/>
              <w:jc w:val="center"/>
              <w:textAlignment w:val="baseline"/>
              <w:rPr>
                <w:rFonts w:ascii="宋体" w:hAnsi="宋体"/>
                <w:bCs/>
                <w:color w:val="auto"/>
                <w:szCs w:val="21"/>
              </w:rPr>
            </w:pPr>
            <w:r>
              <w:rPr>
                <w:rFonts w:hint="eastAsia" w:ascii="宋体" w:hAnsi="宋体"/>
                <w:bCs/>
                <w:color w:val="auto"/>
                <w:szCs w:val="21"/>
              </w:rPr>
              <w:t>评标标准</w:t>
            </w:r>
          </w:p>
        </w:tc>
      </w:tr>
      <w:tr w14:paraId="4801C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8" w:hRule="atLeast"/>
          <w:jc w:val="center"/>
        </w:trPr>
        <w:tc>
          <w:tcPr>
            <w:tcW w:w="525" w:type="dxa"/>
            <w:vAlign w:val="center"/>
          </w:tcPr>
          <w:p w14:paraId="06103B24">
            <w:pPr>
              <w:adjustRightInd w:val="0"/>
              <w:spacing w:line="340" w:lineRule="exact"/>
              <w:jc w:val="center"/>
              <w:textAlignment w:val="baseline"/>
              <w:rPr>
                <w:rFonts w:ascii="宋体" w:hAnsi="宋体"/>
                <w:bCs/>
                <w:color w:val="auto"/>
                <w:szCs w:val="21"/>
              </w:rPr>
            </w:pPr>
            <w:r>
              <w:rPr>
                <w:rFonts w:hint="eastAsia" w:ascii="宋体" w:hAnsi="宋体"/>
                <w:bCs/>
                <w:color w:val="auto"/>
                <w:szCs w:val="21"/>
              </w:rPr>
              <w:t>1</w:t>
            </w:r>
          </w:p>
        </w:tc>
        <w:tc>
          <w:tcPr>
            <w:tcW w:w="1320" w:type="dxa"/>
            <w:vAlign w:val="center"/>
          </w:tcPr>
          <w:p w14:paraId="4A185941">
            <w:pPr>
              <w:adjustRightInd w:val="0"/>
              <w:spacing w:line="340" w:lineRule="exact"/>
              <w:jc w:val="center"/>
              <w:textAlignment w:val="baseline"/>
              <w:rPr>
                <w:rFonts w:ascii="宋体" w:hAnsi="宋体"/>
                <w:bCs/>
                <w:color w:val="auto"/>
                <w:szCs w:val="21"/>
              </w:rPr>
            </w:pPr>
            <w:r>
              <w:rPr>
                <w:rFonts w:hint="eastAsia" w:ascii="宋体" w:hAnsi="宋体"/>
                <w:bCs/>
                <w:color w:val="auto"/>
                <w:szCs w:val="21"/>
              </w:rPr>
              <w:t>价格分</w:t>
            </w:r>
          </w:p>
          <w:p w14:paraId="3C3F9DC7">
            <w:pPr>
              <w:adjustRightInd w:val="0"/>
              <w:spacing w:line="340" w:lineRule="exact"/>
              <w:jc w:val="center"/>
              <w:textAlignment w:val="baseline"/>
              <w:rPr>
                <w:rFonts w:ascii="宋体" w:hAnsi="宋体"/>
                <w:bCs/>
                <w:color w:val="auto"/>
                <w:szCs w:val="21"/>
              </w:rPr>
            </w:pPr>
            <w:r>
              <w:rPr>
                <w:rFonts w:hint="eastAsia" w:ascii="宋体" w:hAnsi="宋体"/>
                <w:bCs/>
                <w:color w:val="auto"/>
                <w:szCs w:val="21"/>
              </w:rPr>
              <w:t>（满分</w:t>
            </w:r>
            <w:r>
              <w:rPr>
                <w:rFonts w:ascii="宋体" w:hAnsi="宋体"/>
                <w:bCs/>
                <w:color w:val="auto"/>
                <w:szCs w:val="21"/>
                <w:u w:val="single"/>
              </w:rPr>
              <w:t>30</w:t>
            </w:r>
            <w:r>
              <w:rPr>
                <w:rFonts w:hint="eastAsia" w:ascii="宋体" w:hAnsi="宋体"/>
                <w:bCs/>
                <w:color w:val="auto"/>
                <w:szCs w:val="21"/>
              </w:rPr>
              <w:t>分）</w:t>
            </w:r>
          </w:p>
        </w:tc>
        <w:tc>
          <w:tcPr>
            <w:tcW w:w="1576" w:type="dxa"/>
            <w:vAlign w:val="center"/>
          </w:tcPr>
          <w:p w14:paraId="145A24B9">
            <w:pPr>
              <w:adjustRightInd w:val="0"/>
              <w:spacing w:line="340" w:lineRule="exact"/>
              <w:jc w:val="center"/>
              <w:textAlignment w:val="baseline"/>
              <w:rPr>
                <w:rFonts w:ascii="宋体" w:hAnsi="宋体"/>
                <w:bCs/>
                <w:color w:val="auto"/>
                <w:szCs w:val="21"/>
              </w:rPr>
            </w:pPr>
            <w:r>
              <w:rPr>
                <w:rFonts w:hint="eastAsia" w:ascii="宋体" w:hAnsi="宋体"/>
                <w:bCs/>
                <w:color w:val="auto"/>
                <w:szCs w:val="21"/>
              </w:rPr>
              <w:t>投标报价</w:t>
            </w:r>
          </w:p>
          <w:p w14:paraId="43C9219B">
            <w:pPr>
              <w:adjustRightInd w:val="0"/>
              <w:spacing w:line="340" w:lineRule="exact"/>
              <w:jc w:val="center"/>
              <w:textAlignment w:val="baseline"/>
              <w:rPr>
                <w:rFonts w:ascii="宋体" w:hAnsi="宋体"/>
                <w:bCs/>
                <w:color w:val="auto"/>
                <w:szCs w:val="21"/>
              </w:rPr>
            </w:pPr>
            <w:r>
              <w:rPr>
                <w:rFonts w:hint="eastAsia" w:ascii="宋体" w:hAnsi="宋体"/>
                <w:bCs/>
                <w:color w:val="auto"/>
                <w:szCs w:val="21"/>
              </w:rPr>
              <w:t>（30分）</w:t>
            </w:r>
          </w:p>
        </w:tc>
        <w:tc>
          <w:tcPr>
            <w:tcW w:w="6191" w:type="dxa"/>
            <w:vAlign w:val="center"/>
          </w:tcPr>
          <w:p w14:paraId="74F6B3A9">
            <w:pPr>
              <w:pStyle w:val="26"/>
              <w:spacing w:line="340" w:lineRule="exact"/>
              <w:rPr>
                <w:rFonts w:hAnsi="宋体" w:cs="Courier New"/>
                <w:bCs/>
                <w:color w:val="auto"/>
                <w:szCs w:val="21"/>
              </w:rPr>
            </w:pPr>
            <w:r>
              <w:rPr>
                <w:rFonts w:hint="eastAsia" w:hAnsi="宋体" w:cs="Courier New"/>
                <w:bCs/>
                <w:color w:val="auto"/>
                <w:szCs w:val="21"/>
              </w:rPr>
              <w:t>（1）评标价为投标人的投标报价进行政策性扣除后的价格，评标价只是作为评标时使用。最终中标人的中标金额＝投标报价。</w:t>
            </w:r>
          </w:p>
          <w:p w14:paraId="595FC0A0">
            <w:pPr>
              <w:pStyle w:val="26"/>
              <w:spacing w:line="340" w:lineRule="exact"/>
              <w:rPr>
                <w:rFonts w:hAnsi="宋体" w:cs="Courier New"/>
                <w:bCs/>
                <w:color w:val="auto"/>
                <w:szCs w:val="21"/>
              </w:rPr>
            </w:pPr>
            <w:r>
              <w:rPr>
                <w:rFonts w:hint="eastAsia" w:hAnsi="宋体" w:cs="Courier New"/>
                <w:bCs/>
                <w:color w:val="auto"/>
                <w:szCs w:val="21"/>
              </w:rPr>
              <w:t>（2）按照《政府采购促进中小企业发展管理办法》（财库〔2020〕46号）的规定，投标人在其投标文件中提供《中小企业声明函》，且货物由小微企业制造（即货物由小微企业生产且使用该小微企业商号或者注册商标），对其最后报价给予</w:t>
            </w:r>
            <w:r>
              <w:rPr>
                <w:rFonts w:hint="eastAsia" w:hAnsi="宋体" w:cs="Courier New"/>
                <w:bCs/>
                <w:color w:val="auto"/>
                <w:szCs w:val="21"/>
                <w:lang w:val="en-US" w:eastAsia="zh-CN"/>
              </w:rPr>
              <w:t>2</w:t>
            </w:r>
            <w:r>
              <w:rPr>
                <w:rFonts w:hint="eastAsia" w:hAnsi="宋体" w:cs="Courier New"/>
                <w:bCs/>
                <w:color w:val="auto"/>
                <w:szCs w:val="21"/>
              </w:rPr>
              <w:t>0%的扣除。</w:t>
            </w:r>
          </w:p>
          <w:p w14:paraId="68EC7FDC">
            <w:pPr>
              <w:pStyle w:val="26"/>
              <w:spacing w:line="340" w:lineRule="exact"/>
              <w:rPr>
                <w:rFonts w:hAnsi="宋体" w:cs="Courier New"/>
                <w:bCs/>
                <w:color w:val="auto"/>
                <w:szCs w:val="21"/>
              </w:rPr>
            </w:pPr>
            <w:r>
              <w:rPr>
                <w:rFonts w:hint="eastAsia" w:hAnsi="宋体" w:cs="Courier New"/>
                <w:bCs/>
                <w:color w:val="auto"/>
                <w:szCs w:val="21"/>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p>
          <w:p w14:paraId="577A840A">
            <w:pPr>
              <w:pStyle w:val="26"/>
              <w:spacing w:line="340" w:lineRule="exact"/>
              <w:rPr>
                <w:rFonts w:hAnsi="宋体" w:cs="Courier New"/>
                <w:bCs/>
                <w:color w:val="auto"/>
                <w:szCs w:val="21"/>
              </w:rPr>
            </w:pPr>
            <w:r>
              <w:rPr>
                <w:rFonts w:hint="eastAsia" w:hAnsi="宋体" w:cs="Courier New"/>
                <w:bCs/>
                <w:color w:val="auto"/>
                <w:szCs w:val="21"/>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36FCEE7B">
            <w:pPr>
              <w:pStyle w:val="26"/>
              <w:spacing w:line="340" w:lineRule="exact"/>
              <w:rPr>
                <w:rFonts w:hAnsi="宋体" w:cs="Courier New"/>
                <w:bCs/>
                <w:color w:val="auto"/>
                <w:szCs w:val="21"/>
              </w:rPr>
            </w:pPr>
            <w:r>
              <w:rPr>
                <w:rFonts w:hint="eastAsia" w:hAnsi="宋体" w:cs="Courier New"/>
                <w:bCs/>
                <w:color w:val="auto"/>
                <w:szCs w:val="21"/>
              </w:rPr>
              <w:t>（5）政策性扣除计算方法。</w:t>
            </w:r>
          </w:p>
          <w:p w14:paraId="0659206E">
            <w:pPr>
              <w:pStyle w:val="26"/>
              <w:spacing w:line="340" w:lineRule="exact"/>
              <w:rPr>
                <w:rFonts w:hAnsi="宋体" w:cs="Courier New"/>
                <w:bCs/>
                <w:color w:val="auto"/>
                <w:szCs w:val="21"/>
              </w:rPr>
            </w:pPr>
            <w:r>
              <w:rPr>
                <w:rFonts w:hint="eastAsia" w:hAnsi="宋体" w:cs="Courier New"/>
                <w:bCs/>
                <w:color w:val="auto"/>
                <w:szCs w:val="21"/>
              </w:rPr>
              <w:t>在货物采购项目中，供应商所投标全部货物由小型或者微型企业制造。对符合上述要求的投标人的投标报价给予</w:t>
            </w:r>
            <w:r>
              <w:rPr>
                <w:rFonts w:hint="eastAsia" w:hAnsi="宋体" w:cs="Courier New"/>
                <w:bCs/>
                <w:color w:val="auto"/>
                <w:szCs w:val="21"/>
                <w:lang w:val="en-US" w:eastAsia="zh-CN"/>
              </w:rPr>
              <w:t>2</w:t>
            </w:r>
            <w:r>
              <w:rPr>
                <w:rFonts w:hint="eastAsia" w:hAnsi="宋体" w:cs="Courier New"/>
                <w:bCs/>
                <w:color w:val="auto"/>
                <w:szCs w:val="21"/>
              </w:rPr>
              <w:t>0%的扣除，扣除后的价格为评标报价，即评标报价=投标报价×（1-</w:t>
            </w:r>
            <w:r>
              <w:rPr>
                <w:rFonts w:hint="eastAsia" w:hAnsi="宋体" w:cs="Courier New"/>
                <w:bCs/>
                <w:color w:val="auto"/>
                <w:szCs w:val="21"/>
                <w:lang w:val="en-US" w:eastAsia="zh-CN"/>
              </w:rPr>
              <w:t>2</w:t>
            </w:r>
            <w:r>
              <w:rPr>
                <w:rFonts w:hint="eastAsia" w:hAnsi="宋体" w:cs="Courier New"/>
                <w:bCs/>
                <w:color w:val="auto"/>
                <w:szCs w:val="21"/>
              </w:rPr>
              <w:t>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的扣除，用扣除后的价格参加评审，扣除后的价格为评标价，即评标报价=投标报价×（1-4%）。除上述情况外，评标报价=投标报价。</w:t>
            </w:r>
          </w:p>
          <w:p w14:paraId="709FBC84">
            <w:pPr>
              <w:pStyle w:val="26"/>
              <w:spacing w:line="340" w:lineRule="exact"/>
              <w:rPr>
                <w:rFonts w:hAnsi="宋体" w:cs="Courier New"/>
                <w:bCs/>
                <w:color w:val="auto"/>
                <w:szCs w:val="21"/>
              </w:rPr>
            </w:pPr>
            <w:r>
              <w:rPr>
                <w:rFonts w:hint="eastAsia" w:hAnsi="宋体" w:cs="Courier New"/>
                <w:bCs/>
                <w:color w:val="auto"/>
                <w:szCs w:val="21"/>
              </w:rPr>
              <w:t>（6）以进入综合评分环节的最低的评标报价为基准价，基准价报价得分为30分。</w:t>
            </w:r>
          </w:p>
          <w:p w14:paraId="41CF5DDC">
            <w:pPr>
              <w:pStyle w:val="26"/>
              <w:spacing w:line="340" w:lineRule="exact"/>
              <w:rPr>
                <w:rFonts w:hAnsi="宋体" w:cs="Courier New"/>
                <w:bCs/>
                <w:color w:val="auto"/>
                <w:szCs w:val="21"/>
              </w:rPr>
            </w:pPr>
            <w:r>
              <w:rPr>
                <w:rFonts w:hint="eastAsia" w:hAnsi="宋体" w:cs="Courier New"/>
                <w:bCs/>
                <w:color w:val="auto"/>
                <w:szCs w:val="21"/>
              </w:rPr>
              <w:t xml:space="preserve">（7）价格分计算公式：        </w:t>
            </w:r>
          </w:p>
          <w:p w14:paraId="1D55B573">
            <w:pPr>
              <w:pStyle w:val="26"/>
              <w:spacing w:line="340" w:lineRule="exact"/>
              <w:rPr>
                <w:rFonts w:hAnsi="宋体" w:cs="Courier New"/>
                <w:bCs/>
                <w:color w:val="auto"/>
                <w:szCs w:val="21"/>
              </w:rPr>
            </w:pPr>
            <w:r>
              <w:rPr>
                <w:rFonts w:hint="eastAsia" w:hAnsi="宋体" w:cs="Courier New"/>
                <w:bCs/>
                <w:color w:val="auto"/>
                <w:szCs w:val="21"/>
              </w:rPr>
              <w:t>某投标人价格分=基准价/某投标人评标报价金额×30分。</w:t>
            </w:r>
          </w:p>
        </w:tc>
      </w:tr>
      <w:tr w14:paraId="28411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525" w:type="dxa"/>
            <w:vMerge w:val="restart"/>
            <w:vAlign w:val="center"/>
          </w:tcPr>
          <w:p w14:paraId="6109F417">
            <w:pPr>
              <w:adjustRightInd w:val="0"/>
              <w:spacing w:line="340" w:lineRule="exact"/>
              <w:jc w:val="center"/>
              <w:textAlignment w:val="baseline"/>
              <w:rPr>
                <w:rFonts w:ascii="宋体" w:hAnsi="宋体"/>
                <w:bCs/>
                <w:color w:val="auto"/>
                <w:szCs w:val="21"/>
              </w:rPr>
            </w:pPr>
            <w:r>
              <w:rPr>
                <w:rFonts w:hint="eastAsia" w:ascii="宋体" w:hAnsi="宋体"/>
                <w:bCs/>
                <w:color w:val="auto"/>
                <w:szCs w:val="21"/>
              </w:rPr>
              <w:t>2</w:t>
            </w:r>
          </w:p>
        </w:tc>
        <w:tc>
          <w:tcPr>
            <w:tcW w:w="1320" w:type="dxa"/>
            <w:vMerge w:val="restart"/>
            <w:vAlign w:val="center"/>
          </w:tcPr>
          <w:p w14:paraId="6618C220">
            <w:pPr>
              <w:adjustRightInd w:val="0"/>
              <w:spacing w:line="340" w:lineRule="exact"/>
              <w:ind w:left="-105" w:leftChars="-50" w:right="-105" w:rightChars="-50"/>
              <w:jc w:val="center"/>
              <w:textAlignment w:val="baseline"/>
              <w:rPr>
                <w:rFonts w:ascii="宋体" w:hAnsi="宋体"/>
                <w:bCs/>
                <w:color w:val="auto"/>
                <w:szCs w:val="21"/>
              </w:rPr>
            </w:pPr>
            <w:r>
              <w:rPr>
                <w:rFonts w:hint="eastAsia" w:ascii="宋体" w:hAnsi="宋体"/>
                <w:bCs/>
                <w:color w:val="auto"/>
                <w:szCs w:val="21"/>
              </w:rPr>
              <w:t>技术分</w:t>
            </w:r>
          </w:p>
          <w:p w14:paraId="48F8041D">
            <w:pPr>
              <w:adjustRightInd w:val="0"/>
              <w:spacing w:line="340" w:lineRule="exact"/>
              <w:ind w:left="-105" w:leftChars="-50" w:right="-105" w:rightChars="-50"/>
              <w:jc w:val="center"/>
              <w:textAlignment w:val="baseline"/>
              <w:rPr>
                <w:rFonts w:ascii="宋体" w:hAnsi="宋体"/>
                <w:bCs/>
                <w:color w:val="auto"/>
                <w:spacing w:val="-18"/>
                <w:szCs w:val="21"/>
              </w:rPr>
            </w:pPr>
            <w:r>
              <w:rPr>
                <w:rFonts w:hint="eastAsia" w:ascii="宋体" w:hAnsi="宋体"/>
                <w:bCs/>
                <w:color w:val="auto"/>
                <w:szCs w:val="21"/>
              </w:rPr>
              <w:t>（满分</w:t>
            </w:r>
            <w:r>
              <w:rPr>
                <w:rFonts w:hint="eastAsia" w:ascii="宋体" w:hAnsi="宋体"/>
                <w:bCs/>
                <w:color w:val="auto"/>
                <w:szCs w:val="21"/>
                <w:u w:val="single"/>
              </w:rPr>
              <w:t>58</w:t>
            </w:r>
            <w:r>
              <w:rPr>
                <w:rFonts w:hint="eastAsia" w:ascii="宋体" w:hAnsi="宋体"/>
                <w:bCs/>
                <w:color w:val="auto"/>
                <w:szCs w:val="21"/>
              </w:rPr>
              <w:t>分）</w:t>
            </w:r>
          </w:p>
        </w:tc>
        <w:tc>
          <w:tcPr>
            <w:tcW w:w="1576" w:type="dxa"/>
            <w:vAlign w:val="center"/>
          </w:tcPr>
          <w:p w14:paraId="1E337B39">
            <w:pPr>
              <w:adjustRightInd w:val="0"/>
              <w:spacing w:line="340" w:lineRule="exact"/>
              <w:jc w:val="center"/>
              <w:textAlignment w:val="baseline"/>
              <w:rPr>
                <w:rFonts w:ascii="宋体" w:hAnsi="宋体" w:cs="宋体"/>
                <w:bCs/>
                <w:color w:val="auto"/>
                <w:szCs w:val="21"/>
                <w:lang w:bidi="ar"/>
              </w:rPr>
            </w:pPr>
            <w:r>
              <w:rPr>
                <w:rFonts w:hint="eastAsia" w:ascii="宋体" w:hAnsi="宋体" w:cs="宋体"/>
                <w:bCs/>
                <w:color w:val="auto"/>
                <w:szCs w:val="21"/>
                <w:lang w:val="en-US" w:eastAsia="zh-CN" w:bidi="ar"/>
              </w:rPr>
              <w:t>重要技术指标响应分</w:t>
            </w:r>
          </w:p>
          <w:p w14:paraId="2078EDAF">
            <w:pPr>
              <w:adjustRightInd w:val="0"/>
              <w:spacing w:line="340" w:lineRule="exact"/>
              <w:jc w:val="center"/>
              <w:textAlignment w:val="baseline"/>
              <w:rPr>
                <w:rFonts w:ascii="宋体" w:hAnsi="宋体"/>
                <w:bCs/>
                <w:color w:val="auto"/>
                <w:szCs w:val="21"/>
              </w:rPr>
            </w:pPr>
            <w:r>
              <w:rPr>
                <w:rFonts w:hint="eastAsia" w:ascii="宋体" w:hAnsi="宋体" w:cs="宋体"/>
                <w:bCs/>
                <w:color w:val="auto"/>
                <w:szCs w:val="21"/>
                <w:lang w:bidi="ar"/>
              </w:rPr>
              <w:t>（1</w:t>
            </w:r>
            <w:r>
              <w:rPr>
                <w:rFonts w:hint="eastAsia" w:ascii="宋体" w:hAnsi="宋体" w:cs="宋体"/>
                <w:bCs/>
                <w:color w:val="auto"/>
                <w:szCs w:val="21"/>
                <w:lang w:val="en-US" w:eastAsia="zh-CN" w:bidi="ar"/>
              </w:rPr>
              <w:t>0</w:t>
            </w:r>
            <w:r>
              <w:rPr>
                <w:rFonts w:hint="eastAsia" w:ascii="宋体" w:hAnsi="宋体" w:cs="宋体"/>
                <w:bCs/>
                <w:color w:val="auto"/>
                <w:szCs w:val="21"/>
                <w:lang w:bidi="ar"/>
              </w:rPr>
              <w:t>分）</w:t>
            </w:r>
          </w:p>
        </w:tc>
        <w:tc>
          <w:tcPr>
            <w:tcW w:w="6191" w:type="dxa"/>
            <w:vAlign w:val="center"/>
          </w:tcPr>
          <w:p w14:paraId="7B14D810">
            <w:pPr>
              <w:adjustRightInd w:val="0"/>
              <w:spacing w:line="340" w:lineRule="exact"/>
              <w:ind w:firstLine="420" w:firstLineChars="200"/>
              <w:textAlignment w:val="baseline"/>
              <w:rPr>
                <w:rFonts w:hint="eastAsia" w:ascii="宋体" w:hAnsi="宋体" w:cs="宋体"/>
                <w:bCs/>
                <w:color w:val="auto"/>
                <w:szCs w:val="21"/>
                <w:lang w:val="en-US" w:eastAsia="zh-CN" w:bidi="ar"/>
              </w:rPr>
            </w:pPr>
            <w:r>
              <w:rPr>
                <w:rFonts w:hint="eastAsia" w:ascii="宋体" w:hAnsi="宋体" w:cs="宋体"/>
                <w:bCs/>
                <w:color w:val="auto"/>
                <w:szCs w:val="21"/>
                <w:lang w:val="en-US" w:eastAsia="zh-CN" w:bidi="ar"/>
              </w:rPr>
              <w:t>重要技术指标（标注</w:t>
            </w:r>
            <w:r>
              <w:rPr>
                <w:rFonts w:hint="eastAsia" w:ascii="宋体" w:hAnsi="宋体" w:cs="宋体"/>
                <w:szCs w:val="21"/>
                <w:lang w:bidi="ar"/>
              </w:rPr>
              <w:t>■</w:t>
            </w:r>
            <w:r>
              <w:rPr>
                <w:rFonts w:hint="eastAsia" w:ascii="宋体" w:hAnsi="宋体" w:cs="宋体"/>
                <w:bCs/>
                <w:color w:val="auto"/>
                <w:szCs w:val="21"/>
                <w:lang w:val="en-US" w:eastAsia="zh-CN" w:bidi="ar"/>
              </w:rPr>
              <w:t>符号，共计20项）</w:t>
            </w:r>
          </w:p>
          <w:p w14:paraId="2B4DD619">
            <w:pPr>
              <w:adjustRightInd w:val="0"/>
              <w:spacing w:line="340" w:lineRule="exact"/>
              <w:ind w:firstLine="420" w:firstLineChars="200"/>
              <w:textAlignment w:val="baseline"/>
              <w:rPr>
                <w:rFonts w:hint="eastAsia" w:ascii="宋体" w:hAnsi="宋体" w:cs="宋体"/>
                <w:bCs/>
                <w:color w:val="auto"/>
                <w:szCs w:val="21"/>
                <w:lang w:val="en-US" w:eastAsia="zh-CN" w:bidi="ar"/>
              </w:rPr>
            </w:pPr>
            <w:r>
              <w:rPr>
                <w:rFonts w:hint="eastAsia" w:ascii="宋体" w:hAnsi="宋体" w:cs="宋体"/>
                <w:bCs/>
                <w:color w:val="auto"/>
                <w:szCs w:val="21"/>
                <w:lang w:val="en-US" w:eastAsia="zh-CN" w:bidi="ar"/>
              </w:rPr>
              <w:t>每有一项重要技术指标能提供技术证明材料的得0.5分，满分10分。</w:t>
            </w:r>
          </w:p>
          <w:p w14:paraId="42AA7D17">
            <w:pPr>
              <w:adjustRightInd w:val="0"/>
              <w:spacing w:line="340" w:lineRule="exact"/>
              <w:ind w:firstLine="420" w:firstLineChars="200"/>
              <w:textAlignment w:val="baseline"/>
              <w:rPr>
                <w:rFonts w:hint="default" w:ascii="宋体" w:hAnsi="宋体" w:cs="宋体"/>
                <w:bCs/>
                <w:color w:val="auto"/>
                <w:szCs w:val="21"/>
                <w:lang w:val="en-US" w:eastAsia="zh-CN" w:bidi="ar"/>
              </w:rPr>
            </w:pPr>
            <w:r>
              <w:rPr>
                <w:rFonts w:hint="eastAsia" w:ascii="宋体" w:hAnsi="宋体" w:cs="宋体"/>
                <w:bCs/>
                <w:color w:val="auto"/>
                <w:szCs w:val="21"/>
                <w:lang w:val="en-US" w:eastAsia="zh-CN" w:bidi="ar"/>
              </w:rPr>
              <w:t>注：技术证明材料为技术说明书或检测报告或官网截图等技术证明文件，如未提供或提供的证明材料无法判定的，本项不得分。</w:t>
            </w:r>
            <w:bookmarkStart w:id="193" w:name="_GoBack"/>
            <w:bookmarkEnd w:id="193"/>
          </w:p>
        </w:tc>
      </w:tr>
      <w:tr w14:paraId="63A87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25" w:type="dxa"/>
            <w:vMerge w:val="continue"/>
            <w:vAlign w:val="center"/>
          </w:tcPr>
          <w:p w14:paraId="200CDE50">
            <w:pPr>
              <w:adjustRightInd w:val="0"/>
              <w:spacing w:line="340" w:lineRule="exact"/>
              <w:jc w:val="center"/>
              <w:textAlignment w:val="baseline"/>
              <w:rPr>
                <w:rFonts w:ascii="宋体" w:hAnsi="宋体"/>
                <w:bCs/>
                <w:color w:val="auto"/>
                <w:szCs w:val="21"/>
              </w:rPr>
            </w:pPr>
          </w:p>
        </w:tc>
        <w:tc>
          <w:tcPr>
            <w:tcW w:w="1320" w:type="dxa"/>
            <w:vMerge w:val="continue"/>
            <w:vAlign w:val="center"/>
          </w:tcPr>
          <w:p w14:paraId="6B5954FB">
            <w:pPr>
              <w:adjustRightInd w:val="0"/>
              <w:spacing w:line="340" w:lineRule="exact"/>
              <w:ind w:left="-105" w:leftChars="-50" w:right="-105" w:rightChars="-50"/>
              <w:jc w:val="center"/>
              <w:textAlignment w:val="baseline"/>
              <w:rPr>
                <w:rFonts w:ascii="宋体" w:hAnsi="宋体"/>
                <w:bCs/>
                <w:color w:val="auto"/>
                <w:szCs w:val="21"/>
              </w:rPr>
            </w:pPr>
          </w:p>
        </w:tc>
        <w:tc>
          <w:tcPr>
            <w:tcW w:w="1576" w:type="dxa"/>
            <w:vAlign w:val="center"/>
          </w:tcPr>
          <w:p w14:paraId="2B176719">
            <w:pPr>
              <w:spacing w:line="340" w:lineRule="exact"/>
              <w:jc w:val="center"/>
              <w:rPr>
                <w:rFonts w:ascii="宋体" w:hAnsi="宋体" w:cs="宋体"/>
                <w:bCs/>
                <w:color w:val="auto"/>
                <w:szCs w:val="21"/>
              </w:rPr>
            </w:pPr>
            <w:r>
              <w:rPr>
                <w:rFonts w:hint="eastAsia" w:ascii="宋体" w:hAnsi="宋体" w:cs="宋体"/>
                <w:bCs/>
                <w:color w:val="auto"/>
                <w:szCs w:val="21"/>
                <w:lang w:bidi="ar"/>
              </w:rPr>
              <w:t>项目实施方案</w:t>
            </w:r>
          </w:p>
          <w:p w14:paraId="4D6FF674">
            <w:pPr>
              <w:spacing w:line="340" w:lineRule="exact"/>
              <w:jc w:val="center"/>
              <w:rPr>
                <w:rFonts w:ascii="宋体" w:hAnsi="宋体"/>
                <w:bCs/>
                <w:color w:val="auto"/>
                <w:szCs w:val="21"/>
              </w:rPr>
            </w:pPr>
            <w:r>
              <w:rPr>
                <w:rFonts w:hint="eastAsia" w:ascii="宋体" w:hAnsi="宋体" w:cs="宋体"/>
                <w:color w:val="auto"/>
                <w:szCs w:val="21"/>
                <w:lang w:bidi="ar"/>
              </w:rPr>
              <w:t>（24分）</w:t>
            </w:r>
          </w:p>
        </w:tc>
        <w:tc>
          <w:tcPr>
            <w:tcW w:w="6191" w:type="dxa"/>
          </w:tcPr>
          <w:p w14:paraId="1A1BA05A">
            <w:pPr>
              <w:spacing w:line="340" w:lineRule="exact"/>
              <w:ind w:firstLine="420" w:firstLineChars="200"/>
              <w:jc w:val="left"/>
              <w:rPr>
                <w:rFonts w:ascii="宋体" w:hAnsi="宋体" w:cs="宋体"/>
                <w:bCs/>
                <w:color w:val="auto"/>
                <w:szCs w:val="21"/>
              </w:rPr>
            </w:pPr>
            <w:r>
              <w:rPr>
                <w:rFonts w:hint="eastAsia" w:ascii="宋体" w:hAnsi="宋体" w:cs="宋体"/>
                <w:bCs/>
                <w:color w:val="auto"/>
                <w:szCs w:val="21"/>
                <w:lang w:bidi="ar"/>
              </w:rPr>
              <w:t>由</w:t>
            </w:r>
            <w:r>
              <w:rPr>
                <w:rFonts w:hint="eastAsia" w:ascii="宋体" w:hAnsi="宋体" w:cs="宋体"/>
                <w:color w:val="auto"/>
                <w:szCs w:val="21"/>
                <w:lang w:bidi="ar"/>
              </w:rPr>
              <w:t>评标委员会</w:t>
            </w:r>
            <w:r>
              <w:rPr>
                <w:rFonts w:hint="eastAsia" w:ascii="宋体" w:hAnsi="宋体" w:cs="宋体"/>
                <w:bCs/>
                <w:color w:val="auto"/>
                <w:szCs w:val="21"/>
                <w:lang w:bidi="ar"/>
              </w:rPr>
              <w:t>根据各投标人提供的项目实施方案，从对项目前期准备、项目实施计划、实施技术方案、项目人员安排、安装调试及验收方案、技术服务、技术培训的内容和措施等进行</w:t>
            </w:r>
            <w:r>
              <w:rPr>
                <w:rFonts w:hint="eastAsia" w:ascii="宋体" w:hAnsi="宋体" w:cs="宋体"/>
                <w:color w:val="auto"/>
                <w:szCs w:val="21"/>
                <w:lang w:bidi="ar"/>
              </w:rPr>
              <w:t>独立评审（不满足一档或不提供的不得分）</w:t>
            </w:r>
            <w:r>
              <w:rPr>
                <w:rFonts w:hint="eastAsia" w:ascii="宋体" w:hAnsi="宋体" w:cs="宋体"/>
                <w:bCs/>
                <w:color w:val="auto"/>
                <w:szCs w:val="21"/>
                <w:lang w:bidi="ar"/>
              </w:rPr>
              <w:t>：</w:t>
            </w:r>
          </w:p>
          <w:p w14:paraId="1F209904">
            <w:pPr>
              <w:spacing w:line="340" w:lineRule="exact"/>
              <w:jc w:val="left"/>
              <w:rPr>
                <w:rFonts w:ascii="宋体" w:hAnsi="宋体" w:cs="宋体"/>
                <w:bCs/>
                <w:color w:val="auto"/>
                <w:szCs w:val="21"/>
              </w:rPr>
            </w:pPr>
            <w:r>
              <w:rPr>
                <w:rFonts w:hint="eastAsia" w:ascii="宋体" w:hAnsi="宋体" w:cs="宋体"/>
                <w:bCs/>
                <w:color w:val="auto"/>
                <w:szCs w:val="21"/>
                <w:lang w:bidi="ar"/>
              </w:rPr>
              <w:t>一档（6分）：项目实施方案包含项目实施组织管理机构、安装调试方案、验收方案，项目实施基本满足采购需求。</w:t>
            </w:r>
          </w:p>
          <w:p w14:paraId="05472C60">
            <w:pPr>
              <w:spacing w:line="340" w:lineRule="exact"/>
              <w:jc w:val="left"/>
              <w:rPr>
                <w:rFonts w:ascii="宋体" w:hAnsi="宋体" w:cs="宋体"/>
                <w:bCs/>
                <w:color w:val="auto"/>
                <w:szCs w:val="21"/>
              </w:rPr>
            </w:pPr>
            <w:r>
              <w:rPr>
                <w:rFonts w:hint="eastAsia" w:ascii="宋体" w:hAnsi="宋体" w:cs="宋体"/>
                <w:bCs/>
                <w:color w:val="auto"/>
                <w:szCs w:val="21"/>
                <w:lang w:bidi="ar"/>
              </w:rPr>
              <w:t>二档（12分）：具有项目的实施方案、项目实施组织管理机构，且管理机构分工明确；有安装调试、验收方案；有运输方案；有技术服务和技术培训方案。</w:t>
            </w:r>
          </w:p>
          <w:p w14:paraId="17D234A1">
            <w:pPr>
              <w:spacing w:line="340" w:lineRule="exact"/>
              <w:jc w:val="left"/>
              <w:rPr>
                <w:rFonts w:ascii="宋体" w:hAnsi="宋体" w:cs="宋体"/>
                <w:bCs/>
                <w:color w:val="auto"/>
                <w:szCs w:val="21"/>
              </w:rPr>
            </w:pPr>
            <w:r>
              <w:rPr>
                <w:rFonts w:hint="eastAsia" w:ascii="宋体" w:hAnsi="宋体" w:cs="宋体"/>
                <w:bCs/>
                <w:color w:val="auto"/>
                <w:szCs w:val="21"/>
                <w:lang w:bidi="ar"/>
              </w:rPr>
              <w:t>三档（18分）：具有完整的项目实施方案、项目实施组织管理机构，且管理机构分工明确；安装调试方案体现安装过程，有安装调试标准，确保设备正常使用；有配合采购人项目验收的方案，能记录验收过程；有运输方案，确保设备在运输过程中能安全送至项目地点；有技术服务和技术培训方案，并且拟投入本项目的技术人员为2人的。</w:t>
            </w:r>
          </w:p>
          <w:p w14:paraId="0D878CB7">
            <w:pPr>
              <w:spacing w:line="340" w:lineRule="exact"/>
              <w:jc w:val="left"/>
              <w:rPr>
                <w:rFonts w:hAnsi="宋体" w:cs="Courier New"/>
                <w:bCs/>
                <w:color w:val="auto"/>
                <w:szCs w:val="21"/>
              </w:rPr>
            </w:pPr>
            <w:r>
              <w:rPr>
                <w:rFonts w:hint="eastAsia" w:ascii="宋体" w:hAnsi="宋体" w:cs="宋体"/>
                <w:bCs/>
                <w:color w:val="auto"/>
                <w:szCs w:val="21"/>
                <w:lang w:bidi="ar"/>
              </w:rPr>
              <w:t>四档（24分）：具有完整详细的项目实施方案、项目实施组织管理机构，且管理机构分工明确；安装调试方案体现安装过程，有安装调试标准，确保设备正常使用；有提供配合采购人提出符合本项目验收的方案，能详细记录整个验收过程；有运输方案，确保设备在运输过程中能安全且按时送至项目地点，有符合本项目所需的技术服务和技术培训方案，并且拟投入本项目的技术人员3人及以上的。</w:t>
            </w:r>
          </w:p>
        </w:tc>
      </w:tr>
      <w:tr w14:paraId="322B8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525" w:type="dxa"/>
            <w:vMerge w:val="continue"/>
            <w:vAlign w:val="center"/>
          </w:tcPr>
          <w:p w14:paraId="1B0A926C">
            <w:pPr>
              <w:adjustRightInd w:val="0"/>
              <w:spacing w:line="340" w:lineRule="exact"/>
              <w:jc w:val="center"/>
              <w:textAlignment w:val="baseline"/>
              <w:rPr>
                <w:rFonts w:ascii="宋体" w:hAnsi="宋体"/>
                <w:bCs/>
                <w:color w:val="auto"/>
                <w:szCs w:val="21"/>
              </w:rPr>
            </w:pPr>
          </w:p>
        </w:tc>
        <w:tc>
          <w:tcPr>
            <w:tcW w:w="1320" w:type="dxa"/>
            <w:vMerge w:val="continue"/>
            <w:vAlign w:val="center"/>
          </w:tcPr>
          <w:p w14:paraId="0D5FC137">
            <w:pPr>
              <w:adjustRightInd w:val="0"/>
              <w:spacing w:line="340" w:lineRule="exact"/>
              <w:ind w:left="-105" w:leftChars="-50" w:right="-105" w:rightChars="-50"/>
              <w:jc w:val="center"/>
              <w:textAlignment w:val="baseline"/>
              <w:rPr>
                <w:rFonts w:ascii="宋体" w:hAnsi="宋体"/>
                <w:bCs/>
                <w:color w:val="auto"/>
                <w:szCs w:val="21"/>
              </w:rPr>
            </w:pPr>
          </w:p>
        </w:tc>
        <w:tc>
          <w:tcPr>
            <w:tcW w:w="1576" w:type="dxa"/>
            <w:vAlign w:val="center"/>
          </w:tcPr>
          <w:p w14:paraId="6A7737C5">
            <w:pPr>
              <w:adjustRightInd w:val="0"/>
              <w:spacing w:line="340" w:lineRule="exact"/>
              <w:jc w:val="center"/>
              <w:textAlignment w:val="baseline"/>
              <w:rPr>
                <w:rFonts w:ascii="宋体" w:hAnsi="宋体"/>
                <w:bCs/>
                <w:color w:val="auto"/>
                <w:szCs w:val="21"/>
              </w:rPr>
            </w:pPr>
            <w:r>
              <w:rPr>
                <w:rFonts w:hint="eastAsia" w:ascii="宋体" w:hAnsi="宋体" w:cs="宋体"/>
                <w:bCs/>
                <w:color w:val="auto"/>
                <w:szCs w:val="21"/>
                <w:lang w:bidi="ar"/>
              </w:rPr>
              <w:t>售后服务分（16分）</w:t>
            </w:r>
          </w:p>
        </w:tc>
        <w:tc>
          <w:tcPr>
            <w:tcW w:w="6191" w:type="dxa"/>
            <w:vAlign w:val="center"/>
          </w:tcPr>
          <w:p w14:paraId="27BAB501">
            <w:pPr>
              <w:spacing w:line="340" w:lineRule="exact"/>
              <w:jc w:val="left"/>
              <w:rPr>
                <w:rFonts w:ascii="宋体" w:hAnsi="宋体" w:cs="宋体"/>
                <w:color w:val="auto"/>
                <w:szCs w:val="21"/>
              </w:rPr>
            </w:pPr>
            <w:r>
              <w:rPr>
                <w:rFonts w:hint="eastAsia" w:ascii="宋体" w:hAnsi="宋体" w:cs="宋体"/>
                <w:color w:val="auto"/>
                <w:szCs w:val="21"/>
                <w:lang w:bidi="ar"/>
              </w:rPr>
              <w:t xml:space="preserve">由评委根据各投标人提供的服务方案及承诺书[故障响应时间、 </w:t>
            </w:r>
          </w:p>
          <w:p w14:paraId="015AE431">
            <w:pPr>
              <w:spacing w:line="340" w:lineRule="exact"/>
              <w:jc w:val="left"/>
              <w:rPr>
                <w:rFonts w:ascii="宋体" w:hAnsi="宋体" w:cs="宋体"/>
                <w:color w:val="auto"/>
                <w:szCs w:val="21"/>
              </w:rPr>
            </w:pPr>
            <w:r>
              <w:rPr>
                <w:rFonts w:hint="eastAsia" w:ascii="宋体" w:hAnsi="宋体" w:cs="宋体"/>
                <w:color w:val="auto"/>
                <w:szCs w:val="21"/>
                <w:lang w:bidi="ar"/>
              </w:rPr>
              <w:t xml:space="preserve">到达故障现场时间、故障出现解决方案、拟投入售后服务人员、设备使用管理人员操作培训、备品备件、零配件储备、质保期外维修方案、服务体系等方面内容的优劣及完整、详细程度]进行评审，独立确定各投标人所属档次并打分（不满足一档或不提供的不得分）。 </w:t>
            </w:r>
          </w:p>
          <w:p w14:paraId="3C1FB732">
            <w:pPr>
              <w:spacing w:line="340" w:lineRule="exact"/>
              <w:jc w:val="left"/>
              <w:rPr>
                <w:rFonts w:ascii="宋体" w:hAnsi="宋体" w:cs="宋体"/>
                <w:color w:val="auto"/>
                <w:szCs w:val="21"/>
              </w:rPr>
            </w:pPr>
            <w:r>
              <w:rPr>
                <w:rFonts w:hint="eastAsia" w:ascii="宋体" w:hAnsi="宋体" w:cs="宋体"/>
                <w:color w:val="auto"/>
                <w:szCs w:val="21"/>
                <w:lang w:bidi="ar"/>
              </w:rPr>
              <w:t xml:space="preserve">一档（4 分）：售后服务方案及承诺满足招标文件基本要求，无具体故障出现解决方案。 </w:t>
            </w:r>
          </w:p>
          <w:p w14:paraId="6CED1FE9">
            <w:pPr>
              <w:spacing w:line="340" w:lineRule="exact"/>
              <w:jc w:val="left"/>
              <w:rPr>
                <w:rFonts w:ascii="宋体" w:hAnsi="宋体" w:cs="宋体"/>
                <w:color w:val="auto"/>
                <w:szCs w:val="21"/>
              </w:rPr>
            </w:pPr>
            <w:r>
              <w:rPr>
                <w:rFonts w:hint="eastAsia" w:ascii="宋体" w:hAnsi="宋体" w:cs="宋体"/>
                <w:color w:val="auto"/>
                <w:szCs w:val="21"/>
                <w:lang w:bidi="ar"/>
              </w:rPr>
              <w:t xml:space="preserve">二档（8 分）：投标人承诺的故障响应时间、到达故障现场时间 </w:t>
            </w:r>
          </w:p>
          <w:p w14:paraId="639EAB28">
            <w:pPr>
              <w:spacing w:line="340" w:lineRule="exact"/>
              <w:jc w:val="left"/>
              <w:rPr>
                <w:rFonts w:ascii="宋体" w:hAnsi="宋体" w:cs="宋体"/>
                <w:color w:val="auto"/>
                <w:szCs w:val="21"/>
              </w:rPr>
            </w:pPr>
            <w:r>
              <w:rPr>
                <w:rFonts w:hint="eastAsia" w:ascii="宋体" w:hAnsi="宋体" w:cs="宋体"/>
                <w:color w:val="auto"/>
                <w:szCs w:val="21"/>
                <w:lang w:bidi="ar"/>
              </w:rPr>
              <w:t xml:space="preserve">满足招标文件的基本要求，提供的故障出现解决方案、设备使用管理人员操作培训方案等描述简单，拟投入售后服务人员不满足实际需求、技术力量薄弱。 </w:t>
            </w:r>
          </w:p>
          <w:p w14:paraId="3A771C7C">
            <w:pPr>
              <w:spacing w:line="340" w:lineRule="exact"/>
              <w:jc w:val="left"/>
              <w:rPr>
                <w:rFonts w:ascii="宋体" w:hAnsi="宋体" w:cs="宋体"/>
                <w:color w:val="auto"/>
                <w:szCs w:val="21"/>
              </w:rPr>
            </w:pPr>
            <w:r>
              <w:rPr>
                <w:rFonts w:hint="eastAsia" w:ascii="宋体" w:hAnsi="宋体" w:cs="宋体"/>
                <w:color w:val="auto"/>
                <w:szCs w:val="21"/>
                <w:lang w:bidi="ar"/>
              </w:rPr>
              <w:t xml:space="preserve">三档（12 分）：投标人承诺的到达故障现场时间满足招标文件的要求，提供的故障出现解决方案、设备使用管理人员操作培训方案、备品备件、零配件储备等可行、完善，但质保期外维修方案内容欠缺，拟投入售后服务人员满足项目要求、技术力量可靠。 </w:t>
            </w:r>
          </w:p>
          <w:p w14:paraId="77CCFCEB">
            <w:pPr>
              <w:spacing w:line="340" w:lineRule="exact"/>
              <w:jc w:val="left"/>
              <w:rPr>
                <w:rFonts w:ascii="宋体" w:hAnsi="宋体" w:cs="宋体"/>
                <w:color w:val="auto"/>
                <w:szCs w:val="21"/>
              </w:rPr>
            </w:pPr>
            <w:r>
              <w:rPr>
                <w:rFonts w:hint="eastAsia" w:ascii="宋体" w:hAnsi="宋体" w:cs="宋体"/>
                <w:color w:val="auto"/>
                <w:szCs w:val="21"/>
                <w:lang w:bidi="ar"/>
              </w:rPr>
              <w:t xml:space="preserve">四档（16分）：投标人承诺的到达故障现场时间均优于招标文件 </w:t>
            </w:r>
          </w:p>
          <w:p w14:paraId="4A356D17">
            <w:pPr>
              <w:spacing w:line="340" w:lineRule="exact"/>
              <w:jc w:val="left"/>
              <w:rPr>
                <w:color w:val="auto"/>
              </w:rPr>
            </w:pPr>
            <w:r>
              <w:rPr>
                <w:rFonts w:hint="eastAsia" w:ascii="宋体" w:hAnsi="宋体" w:cs="宋体"/>
                <w:color w:val="auto"/>
                <w:szCs w:val="21"/>
                <w:lang w:bidi="ar"/>
              </w:rPr>
              <w:t>的要求，提供的故障出现解决方案、设备使用管理人员操作培训方案、备品备件、零配件储备、质保期外维修方案等有针对性、符合项目实际，拟投入售后服务人员完全满足项目具体需求、技术力量可靠，提供维护保养计划且计划内容完备、详实，服务体系完善。</w:t>
            </w:r>
          </w:p>
        </w:tc>
      </w:tr>
      <w:tr w14:paraId="32FF8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525" w:type="dxa"/>
            <w:vMerge w:val="continue"/>
            <w:vAlign w:val="center"/>
          </w:tcPr>
          <w:p w14:paraId="35793790">
            <w:pPr>
              <w:adjustRightInd w:val="0"/>
              <w:spacing w:line="340" w:lineRule="exact"/>
              <w:jc w:val="center"/>
              <w:textAlignment w:val="baseline"/>
              <w:rPr>
                <w:rFonts w:ascii="宋体" w:hAnsi="宋体"/>
                <w:bCs/>
                <w:color w:val="auto"/>
                <w:szCs w:val="21"/>
              </w:rPr>
            </w:pPr>
          </w:p>
        </w:tc>
        <w:tc>
          <w:tcPr>
            <w:tcW w:w="1320" w:type="dxa"/>
            <w:vMerge w:val="continue"/>
            <w:vAlign w:val="center"/>
          </w:tcPr>
          <w:p w14:paraId="4D431BE4">
            <w:pPr>
              <w:adjustRightInd w:val="0"/>
              <w:spacing w:line="340" w:lineRule="exact"/>
              <w:ind w:left="-105" w:leftChars="-50" w:right="-105" w:rightChars="-50"/>
              <w:jc w:val="center"/>
              <w:textAlignment w:val="baseline"/>
              <w:rPr>
                <w:rFonts w:ascii="宋体" w:hAnsi="宋体"/>
                <w:bCs/>
                <w:color w:val="auto"/>
                <w:szCs w:val="21"/>
              </w:rPr>
            </w:pPr>
          </w:p>
        </w:tc>
        <w:tc>
          <w:tcPr>
            <w:tcW w:w="1576" w:type="dxa"/>
            <w:vAlign w:val="center"/>
          </w:tcPr>
          <w:p w14:paraId="0C21CD0E">
            <w:pPr>
              <w:adjustRightInd w:val="0"/>
              <w:spacing w:line="340" w:lineRule="exact"/>
              <w:jc w:val="center"/>
              <w:textAlignment w:val="baseline"/>
              <w:rPr>
                <w:rFonts w:hint="eastAsia" w:ascii="宋体" w:hAnsi="宋体" w:cs="宋体"/>
                <w:bCs/>
                <w:color w:val="auto"/>
                <w:szCs w:val="21"/>
                <w:lang w:bidi="ar"/>
              </w:rPr>
            </w:pPr>
            <w:r>
              <w:rPr>
                <w:rFonts w:hint="eastAsia" w:ascii="宋体" w:hAnsi="宋体" w:cs="宋体"/>
                <w:bCs/>
                <w:color w:val="auto"/>
                <w:szCs w:val="21"/>
                <w:lang w:bidi="ar"/>
              </w:rPr>
              <w:t>培训方案分（满分8分）</w:t>
            </w:r>
          </w:p>
        </w:tc>
        <w:tc>
          <w:tcPr>
            <w:tcW w:w="6191" w:type="dxa"/>
            <w:vAlign w:val="center"/>
          </w:tcPr>
          <w:p w14:paraId="300BB995">
            <w:pPr>
              <w:spacing w:line="340" w:lineRule="exact"/>
              <w:jc w:val="left"/>
              <w:rPr>
                <w:rFonts w:hint="eastAsia" w:ascii="宋体" w:hAnsi="宋体" w:cs="宋体"/>
                <w:color w:val="auto"/>
                <w:szCs w:val="21"/>
                <w:lang w:bidi="ar"/>
              </w:rPr>
            </w:pPr>
            <w:r>
              <w:rPr>
                <w:rFonts w:hint="eastAsia" w:ascii="宋体" w:hAnsi="宋体" w:cs="宋体"/>
                <w:color w:val="auto"/>
                <w:szCs w:val="21"/>
                <w:lang w:bidi="ar"/>
              </w:rPr>
              <w:t>一档（2分）提供有</w:t>
            </w:r>
            <w:r>
              <w:rPr>
                <w:rFonts w:hint="eastAsia" w:ascii="宋体" w:hAnsi="宋体" w:cs="宋体"/>
                <w:color w:val="auto"/>
                <w:szCs w:val="21"/>
                <w:lang w:val="en-US" w:eastAsia="zh-CN" w:bidi="ar"/>
              </w:rPr>
              <w:t>简单的</w:t>
            </w:r>
            <w:r>
              <w:rPr>
                <w:rFonts w:hint="eastAsia" w:ascii="宋体" w:hAnsi="宋体" w:cs="宋体"/>
                <w:color w:val="auto"/>
                <w:szCs w:val="21"/>
                <w:lang w:bidi="ar"/>
              </w:rPr>
              <w:t>设备操作培训课程安排，有课程及培训内容安排，得2分。</w:t>
            </w:r>
          </w:p>
          <w:p w14:paraId="2E799363">
            <w:pPr>
              <w:spacing w:line="340" w:lineRule="exact"/>
              <w:jc w:val="left"/>
              <w:rPr>
                <w:rFonts w:hint="eastAsia" w:ascii="宋体" w:hAnsi="宋体" w:cs="宋体"/>
                <w:color w:val="auto"/>
                <w:szCs w:val="21"/>
                <w:lang w:bidi="ar"/>
              </w:rPr>
            </w:pPr>
            <w:r>
              <w:rPr>
                <w:rFonts w:hint="eastAsia" w:ascii="宋体" w:hAnsi="宋体" w:cs="宋体"/>
                <w:color w:val="auto"/>
                <w:szCs w:val="21"/>
                <w:lang w:bidi="ar"/>
              </w:rPr>
              <w:t>二档（</w:t>
            </w:r>
            <w:r>
              <w:rPr>
                <w:rFonts w:hint="eastAsia" w:ascii="宋体" w:hAnsi="宋体" w:cs="宋体"/>
                <w:color w:val="auto"/>
                <w:szCs w:val="21"/>
                <w:lang w:val="en-US" w:eastAsia="zh-CN" w:bidi="ar"/>
              </w:rPr>
              <w:t>4</w:t>
            </w:r>
            <w:r>
              <w:rPr>
                <w:rFonts w:hint="eastAsia" w:ascii="宋体" w:hAnsi="宋体" w:cs="宋体"/>
                <w:color w:val="auto"/>
                <w:szCs w:val="21"/>
                <w:lang w:bidi="ar"/>
              </w:rPr>
              <w:t>分）在一档的基础上投标人针对本项目为采购人提供有专人指导的设备操作培训课程安排，有课程及培训内容安排，培训方案满足采购人培训要求，得</w:t>
            </w:r>
            <w:r>
              <w:rPr>
                <w:rFonts w:hint="eastAsia" w:ascii="宋体" w:hAnsi="宋体" w:cs="宋体"/>
                <w:color w:val="auto"/>
                <w:szCs w:val="21"/>
                <w:lang w:val="en-US" w:eastAsia="zh-CN" w:bidi="ar"/>
              </w:rPr>
              <w:t>4</w:t>
            </w:r>
            <w:r>
              <w:rPr>
                <w:rFonts w:hint="eastAsia" w:ascii="宋体" w:hAnsi="宋体" w:cs="宋体"/>
                <w:color w:val="auto"/>
                <w:szCs w:val="21"/>
                <w:lang w:bidi="ar"/>
              </w:rPr>
              <w:t>分。</w:t>
            </w:r>
          </w:p>
          <w:p w14:paraId="54739996">
            <w:pPr>
              <w:spacing w:line="340" w:lineRule="exact"/>
              <w:jc w:val="left"/>
              <w:rPr>
                <w:rFonts w:hint="eastAsia" w:ascii="宋体" w:hAnsi="宋体" w:cs="宋体"/>
                <w:color w:val="auto"/>
                <w:szCs w:val="21"/>
                <w:lang w:bidi="ar"/>
              </w:rPr>
            </w:pPr>
            <w:r>
              <w:rPr>
                <w:rFonts w:hint="eastAsia" w:ascii="宋体" w:hAnsi="宋体" w:cs="宋体"/>
                <w:color w:val="auto"/>
                <w:szCs w:val="21"/>
                <w:lang w:val="en-US" w:eastAsia="zh-CN" w:bidi="ar"/>
              </w:rPr>
              <w:t>三</w:t>
            </w:r>
            <w:r>
              <w:rPr>
                <w:rFonts w:hint="eastAsia" w:ascii="宋体" w:hAnsi="宋体" w:cs="宋体"/>
                <w:color w:val="auto"/>
                <w:szCs w:val="21"/>
                <w:lang w:bidi="ar"/>
              </w:rPr>
              <w:t>档（</w:t>
            </w:r>
            <w:r>
              <w:rPr>
                <w:rFonts w:hint="eastAsia" w:ascii="宋体" w:hAnsi="宋体" w:cs="宋体"/>
                <w:color w:val="auto"/>
                <w:szCs w:val="21"/>
                <w:lang w:val="en-US" w:eastAsia="zh-CN" w:bidi="ar"/>
              </w:rPr>
              <w:t>6</w:t>
            </w:r>
            <w:r>
              <w:rPr>
                <w:rFonts w:hint="eastAsia" w:ascii="宋体" w:hAnsi="宋体" w:cs="宋体"/>
                <w:color w:val="auto"/>
                <w:szCs w:val="21"/>
                <w:lang w:bidi="ar"/>
              </w:rPr>
              <w:t>分）在</w:t>
            </w:r>
            <w:r>
              <w:rPr>
                <w:rFonts w:hint="eastAsia" w:ascii="宋体" w:hAnsi="宋体" w:cs="宋体"/>
                <w:color w:val="auto"/>
                <w:szCs w:val="21"/>
                <w:lang w:val="en-US" w:eastAsia="zh-CN" w:bidi="ar"/>
              </w:rPr>
              <w:t>二</w:t>
            </w:r>
            <w:r>
              <w:rPr>
                <w:rFonts w:hint="eastAsia" w:ascii="宋体" w:hAnsi="宋体" w:cs="宋体"/>
                <w:color w:val="auto"/>
                <w:szCs w:val="21"/>
                <w:lang w:bidi="ar"/>
              </w:rPr>
              <w:t>档的基础上投标人针对本项目为采购人提供有专人指导和容易上手的设备操作培训课程安排，有明确的课程及培训内容安排，对设备的操作过程中注意事项有详细指引，培训方案详细，满足采购人培训要求，得</w:t>
            </w:r>
            <w:r>
              <w:rPr>
                <w:rFonts w:hint="eastAsia" w:ascii="宋体" w:hAnsi="宋体" w:cs="宋体"/>
                <w:color w:val="auto"/>
                <w:szCs w:val="21"/>
                <w:lang w:val="en-US" w:eastAsia="zh-CN" w:bidi="ar"/>
              </w:rPr>
              <w:t>6</w:t>
            </w:r>
            <w:r>
              <w:rPr>
                <w:rFonts w:hint="eastAsia" w:ascii="宋体" w:hAnsi="宋体" w:cs="宋体"/>
                <w:color w:val="auto"/>
                <w:szCs w:val="21"/>
                <w:lang w:bidi="ar"/>
              </w:rPr>
              <w:t>分。</w:t>
            </w:r>
          </w:p>
          <w:p w14:paraId="210692F3">
            <w:pPr>
              <w:spacing w:line="340" w:lineRule="exact"/>
              <w:jc w:val="left"/>
              <w:rPr>
                <w:rFonts w:hint="eastAsia" w:ascii="宋体" w:hAnsi="宋体" w:cs="宋体"/>
                <w:color w:val="auto"/>
                <w:szCs w:val="21"/>
                <w:lang w:bidi="ar"/>
              </w:rPr>
            </w:pPr>
            <w:r>
              <w:rPr>
                <w:rFonts w:hint="eastAsia" w:ascii="宋体" w:hAnsi="宋体" w:cs="宋体"/>
                <w:color w:val="auto"/>
                <w:szCs w:val="21"/>
                <w:lang w:val="en-US" w:eastAsia="zh-CN" w:bidi="ar"/>
              </w:rPr>
              <w:t>四</w:t>
            </w:r>
            <w:r>
              <w:rPr>
                <w:rFonts w:hint="eastAsia" w:ascii="宋体" w:hAnsi="宋体" w:cs="宋体"/>
                <w:color w:val="auto"/>
                <w:szCs w:val="21"/>
                <w:lang w:bidi="ar"/>
              </w:rPr>
              <w:t>档（8分）在</w:t>
            </w:r>
            <w:r>
              <w:rPr>
                <w:rFonts w:hint="eastAsia" w:ascii="宋体" w:hAnsi="宋体" w:cs="宋体"/>
                <w:color w:val="auto"/>
                <w:szCs w:val="21"/>
                <w:lang w:val="en-US" w:eastAsia="zh-CN" w:bidi="ar"/>
              </w:rPr>
              <w:t>三</w:t>
            </w:r>
            <w:r>
              <w:rPr>
                <w:rFonts w:hint="eastAsia" w:ascii="宋体" w:hAnsi="宋体" w:cs="宋体"/>
                <w:color w:val="auto"/>
                <w:szCs w:val="21"/>
                <w:lang w:bidi="ar"/>
              </w:rPr>
              <w:t>档的基础上投标人针对本项目为采购人提供有专人指导和容易上手的设备操作培训课程安排，有明确的课程及培训内容安排（包含但不限于技术培训计划，培训内容、培训的可操作性及可预见的培训效果等），对设备的操作过程中注意事项有详细指引，培训方案重难点突出，完全实现采购人培训要求，得8分。</w:t>
            </w:r>
          </w:p>
          <w:p w14:paraId="0AFC724C">
            <w:pPr>
              <w:spacing w:line="340" w:lineRule="exact"/>
              <w:jc w:val="left"/>
              <w:rPr>
                <w:rFonts w:hint="eastAsia" w:ascii="宋体" w:hAnsi="宋体" w:cs="宋体"/>
                <w:color w:val="auto"/>
                <w:szCs w:val="21"/>
                <w:lang w:bidi="ar"/>
              </w:rPr>
            </w:pPr>
            <w:r>
              <w:rPr>
                <w:rFonts w:hint="eastAsia" w:ascii="宋体" w:hAnsi="宋体" w:cs="宋体"/>
                <w:color w:val="auto"/>
                <w:szCs w:val="21"/>
                <w:lang w:bidi="ar"/>
              </w:rPr>
              <w:t xml:space="preserve">   注：未提供该项方案或未达到一档标准的，该项不得分。</w:t>
            </w:r>
          </w:p>
        </w:tc>
      </w:tr>
      <w:tr w14:paraId="54F64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525" w:type="dxa"/>
            <w:vMerge w:val="restart"/>
            <w:vAlign w:val="center"/>
          </w:tcPr>
          <w:p w14:paraId="2DDD591E">
            <w:pPr>
              <w:adjustRightInd w:val="0"/>
              <w:spacing w:line="340" w:lineRule="exact"/>
              <w:jc w:val="center"/>
              <w:textAlignment w:val="baseline"/>
              <w:rPr>
                <w:rFonts w:ascii="宋体" w:hAnsi="宋体"/>
                <w:bCs/>
                <w:color w:val="auto"/>
                <w:szCs w:val="21"/>
              </w:rPr>
            </w:pPr>
            <w:r>
              <w:rPr>
                <w:rFonts w:hint="eastAsia" w:ascii="宋体" w:hAnsi="宋体"/>
                <w:bCs/>
                <w:color w:val="auto"/>
                <w:szCs w:val="21"/>
              </w:rPr>
              <w:t>3</w:t>
            </w:r>
          </w:p>
        </w:tc>
        <w:tc>
          <w:tcPr>
            <w:tcW w:w="1320" w:type="dxa"/>
            <w:vMerge w:val="restart"/>
            <w:vAlign w:val="center"/>
          </w:tcPr>
          <w:p w14:paraId="24CB6811">
            <w:pPr>
              <w:adjustRightInd w:val="0"/>
              <w:spacing w:line="340" w:lineRule="exact"/>
              <w:jc w:val="center"/>
              <w:textAlignment w:val="baseline"/>
              <w:rPr>
                <w:rFonts w:ascii="宋体" w:hAnsi="宋体"/>
                <w:bCs/>
                <w:color w:val="auto"/>
                <w:szCs w:val="21"/>
              </w:rPr>
            </w:pPr>
            <w:r>
              <w:rPr>
                <w:rFonts w:hint="eastAsia" w:ascii="宋体" w:hAnsi="宋体"/>
                <w:bCs/>
                <w:color w:val="auto"/>
                <w:szCs w:val="21"/>
              </w:rPr>
              <w:t>商务分（满分</w:t>
            </w:r>
            <w:r>
              <w:rPr>
                <w:rFonts w:hint="eastAsia" w:ascii="宋体" w:hAnsi="宋体"/>
                <w:bCs/>
                <w:color w:val="auto"/>
                <w:szCs w:val="21"/>
                <w:u w:val="single"/>
              </w:rPr>
              <w:t>12</w:t>
            </w:r>
            <w:r>
              <w:rPr>
                <w:rFonts w:hint="eastAsia" w:ascii="宋体" w:hAnsi="宋体"/>
                <w:bCs/>
                <w:color w:val="auto"/>
                <w:szCs w:val="21"/>
              </w:rPr>
              <w:t>分）</w:t>
            </w:r>
          </w:p>
        </w:tc>
        <w:tc>
          <w:tcPr>
            <w:tcW w:w="1576" w:type="dxa"/>
            <w:vMerge w:val="restart"/>
            <w:tcMar>
              <w:left w:w="57" w:type="dxa"/>
              <w:right w:w="57" w:type="dxa"/>
            </w:tcMar>
            <w:vAlign w:val="center"/>
          </w:tcPr>
          <w:p w14:paraId="1A3A0887">
            <w:pPr>
              <w:spacing w:line="340" w:lineRule="exact"/>
              <w:jc w:val="center"/>
              <w:rPr>
                <w:rFonts w:ascii="宋体" w:hAnsi="宋体"/>
                <w:bCs/>
                <w:color w:val="auto"/>
                <w:szCs w:val="21"/>
              </w:rPr>
            </w:pPr>
            <w:r>
              <w:rPr>
                <w:rFonts w:hint="eastAsia" w:ascii="宋体" w:hAnsi="宋体"/>
                <w:bCs/>
                <w:color w:val="auto"/>
                <w:szCs w:val="21"/>
              </w:rPr>
              <w:t>企业信誉分（10分）</w:t>
            </w:r>
          </w:p>
        </w:tc>
        <w:tc>
          <w:tcPr>
            <w:tcW w:w="6191" w:type="dxa"/>
            <w:vAlign w:val="center"/>
          </w:tcPr>
          <w:p w14:paraId="56765950">
            <w:pPr>
              <w:widowControl/>
              <w:spacing w:line="340" w:lineRule="exact"/>
              <w:jc w:val="left"/>
              <w:rPr>
                <w:rFonts w:ascii="宋体" w:hAnsi="宋体" w:cs="Courier New"/>
                <w:bCs/>
                <w:color w:val="auto"/>
                <w:szCs w:val="21"/>
              </w:rPr>
            </w:pPr>
            <w:r>
              <w:rPr>
                <w:rFonts w:hint="eastAsia"/>
                <w:color w:val="auto"/>
              </w:rPr>
              <w:t>投标人2022年1月至今承接的类似项目（类似项目是指实验室设备项目）业绩，投标文件中提供成交通知书或合同复印件（需要体现出采购内容和日期），每份得1分，满分10分。</w:t>
            </w:r>
          </w:p>
        </w:tc>
      </w:tr>
      <w:tr w14:paraId="41CE3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525" w:type="dxa"/>
            <w:vMerge w:val="continue"/>
            <w:vAlign w:val="center"/>
          </w:tcPr>
          <w:p w14:paraId="572B47FF">
            <w:pPr>
              <w:adjustRightInd w:val="0"/>
              <w:spacing w:line="340" w:lineRule="exact"/>
              <w:jc w:val="center"/>
              <w:textAlignment w:val="baseline"/>
              <w:rPr>
                <w:rFonts w:ascii="宋体" w:hAnsi="宋体"/>
                <w:bCs/>
                <w:color w:val="auto"/>
                <w:szCs w:val="21"/>
              </w:rPr>
            </w:pPr>
          </w:p>
        </w:tc>
        <w:tc>
          <w:tcPr>
            <w:tcW w:w="1320" w:type="dxa"/>
            <w:vMerge w:val="continue"/>
            <w:vAlign w:val="center"/>
          </w:tcPr>
          <w:p w14:paraId="70503155">
            <w:pPr>
              <w:adjustRightInd w:val="0"/>
              <w:spacing w:line="340" w:lineRule="exact"/>
              <w:jc w:val="center"/>
              <w:textAlignment w:val="baseline"/>
              <w:rPr>
                <w:rFonts w:ascii="宋体" w:hAnsi="宋体"/>
                <w:bCs/>
                <w:color w:val="auto"/>
                <w:szCs w:val="21"/>
              </w:rPr>
            </w:pPr>
          </w:p>
        </w:tc>
        <w:tc>
          <w:tcPr>
            <w:tcW w:w="1576" w:type="dxa"/>
            <w:vMerge w:val="restart"/>
            <w:tcMar>
              <w:left w:w="57" w:type="dxa"/>
              <w:right w:w="57" w:type="dxa"/>
            </w:tcMar>
            <w:vAlign w:val="center"/>
          </w:tcPr>
          <w:p w14:paraId="10DFF58E">
            <w:pPr>
              <w:spacing w:line="340" w:lineRule="exact"/>
              <w:jc w:val="center"/>
              <w:rPr>
                <w:rFonts w:ascii="宋体" w:hAnsi="宋体"/>
                <w:bCs/>
                <w:color w:val="auto"/>
                <w:szCs w:val="21"/>
              </w:rPr>
            </w:pPr>
            <w:r>
              <w:rPr>
                <w:rFonts w:hint="eastAsia" w:ascii="宋体" w:hAnsi="宋体"/>
                <w:bCs/>
                <w:color w:val="auto"/>
                <w:szCs w:val="21"/>
              </w:rPr>
              <w:t>政策功能分</w:t>
            </w:r>
          </w:p>
          <w:p w14:paraId="182D8EF8">
            <w:pPr>
              <w:spacing w:line="340" w:lineRule="exact"/>
              <w:jc w:val="center"/>
              <w:rPr>
                <w:rFonts w:ascii="宋体" w:hAnsi="宋体"/>
                <w:bCs/>
                <w:color w:val="auto"/>
                <w:szCs w:val="21"/>
              </w:rPr>
            </w:pPr>
            <w:r>
              <w:rPr>
                <w:rFonts w:hint="eastAsia" w:ascii="宋体" w:hAnsi="宋体"/>
                <w:bCs/>
                <w:color w:val="auto"/>
                <w:szCs w:val="21"/>
              </w:rPr>
              <w:t>（2分）</w:t>
            </w:r>
          </w:p>
        </w:tc>
        <w:tc>
          <w:tcPr>
            <w:tcW w:w="6191" w:type="dxa"/>
            <w:vAlign w:val="center"/>
          </w:tcPr>
          <w:p w14:paraId="0EB5CAF9">
            <w:pPr>
              <w:rPr>
                <w:iCs/>
                <w:color w:val="auto"/>
                <w:szCs w:val="21"/>
              </w:rPr>
            </w:pPr>
            <w:r>
              <w:rPr>
                <w:rFonts w:hint="eastAsia" w:ascii="宋体" w:hAnsi="宋体" w:cs="宋体"/>
                <w:color w:val="auto"/>
                <w:szCs w:val="21"/>
                <w:lang w:bidi="ar"/>
              </w:rPr>
              <w:t>（1）</w:t>
            </w:r>
            <w:r>
              <w:rPr>
                <w:iCs/>
                <w:color w:val="auto"/>
                <w:szCs w:val="21"/>
              </w:rPr>
              <w:t>节能产品分（</w:t>
            </w:r>
            <w:r>
              <w:rPr>
                <w:rFonts w:hint="eastAsia"/>
                <w:iCs/>
                <w:color w:val="auto"/>
                <w:szCs w:val="21"/>
                <w:lang w:val="en-US" w:eastAsia="zh-CN"/>
              </w:rPr>
              <w:t>1</w:t>
            </w:r>
            <w:r>
              <w:rPr>
                <w:iCs/>
                <w:color w:val="auto"/>
                <w:szCs w:val="21"/>
              </w:rPr>
              <w:t>分）</w:t>
            </w:r>
          </w:p>
          <w:p w14:paraId="501A32AE">
            <w:pPr>
              <w:rPr>
                <w:iCs/>
                <w:color w:val="auto"/>
                <w:szCs w:val="21"/>
              </w:rPr>
            </w:pPr>
            <w:r>
              <w:rPr>
                <w:rFonts w:hint="eastAsia"/>
                <w:iCs/>
                <w:color w:val="auto"/>
                <w:szCs w:val="21"/>
              </w:rPr>
              <w:t>投标产品属于</w:t>
            </w:r>
            <w:r>
              <w:rPr>
                <w:rFonts w:hint="eastAsia" w:ascii="宋体" w:hAnsi="宋体"/>
                <w:iCs/>
                <w:color w:val="auto"/>
              </w:rPr>
              <w:t>节能产品政府采购品目清单</w:t>
            </w:r>
            <w:r>
              <w:rPr>
                <w:rFonts w:hint="eastAsia"/>
                <w:iCs/>
                <w:color w:val="auto"/>
                <w:szCs w:val="21"/>
              </w:rPr>
              <w:t>范围内优先采购的</w:t>
            </w:r>
            <w:r>
              <w:rPr>
                <w:iCs/>
                <w:color w:val="auto"/>
                <w:szCs w:val="21"/>
              </w:rPr>
              <w:t>，每有一项得</w:t>
            </w:r>
            <w:r>
              <w:rPr>
                <w:rFonts w:hint="eastAsia"/>
                <w:iCs/>
                <w:color w:val="auto"/>
                <w:szCs w:val="21"/>
                <w:lang w:val="en-US" w:eastAsia="zh-CN"/>
              </w:rPr>
              <w:t>0.5</w:t>
            </w:r>
            <w:r>
              <w:rPr>
                <w:iCs/>
                <w:color w:val="auto"/>
                <w:szCs w:val="21"/>
              </w:rPr>
              <w:t>分，最多得</w:t>
            </w:r>
            <w:r>
              <w:rPr>
                <w:rFonts w:hint="eastAsia"/>
                <w:iCs/>
                <w:color w:val="auto"/>
                <w:szCs w:val="21"/>
                <w:lang w:val="en-US" w:eastAsia="zh-CN"/>
              </w:rPr>
              <w:t>1</w:t>
            </w:r>
            <w:r>
              <w:rPr>
                <w:iCs/>
                <w:color w:val="auto"/>
                <w:szCs w:val="21"/>
              </w:rPr>
              <w:t>分。采购内容中的强制产品不加分。</w:t>
            </w:r>
          </w:p>
          <w:p w14:paraId="319D85E7">
            <w:pPr>
              <w:rPr>
                <w:color w:val="auto"/>
                <w:szCs w:val="21"/>
              </w:rPr>
            </w:pPr>
            <w:r>
              <w:rPr>
                <w:rFonts w:hint="eastAsia"/>
                <w:color w:val="auto"/>
                <w:szCs w:val="21"/>
                <w:lang w:val="en-US" w:eastAsia="zh-CN"/>
              </w:rPr>
              <w:t>①</w:t>
            </w:r>
            <w:r>
              <w:rPr>
                <w:rFonts w:hint="eastAsia"/>
                <w:color w:val="auto"/>
                <w:szCs w:val="21"/>
              </w:rPr>
              <w:t>在投标文件中列明属于节能产品的投标产品列表。</w:t>
            </w:r>
          </w:p>
          <w:p w14:paraId="52619C77">
            <w:pPr>
              <w:widowControl/>
              <w:spacing w:line="340" w:lineRule="exact"/>
              <w:jc w:val="left"/>
              <w:rPr>
                <w:rFonts w:ascii="宋体" w:hAnsi="宋体" w:cs="Courier New"/>
                <w:bCs/>
                <w:color w:val="auto"/>
                <w:szCs w:val="21"/>
              </w:rPr>
            </w:pPr>
            <w:r>
              <w:rPr>
                <w:rFonts w:hint="eastAsia"/>
                <w:color w:val="auto"/>
                <w:szCs w:val="21"/>
                <w:lang w:val="en-US" w:eastAsia="zh-CN"/>
              </w:rPr>
              <w:t>②</w:t>
            </w:r>
            <w:r>
              <w:rPr>
                <w:rFonts w:hint="eastAsia"/>
                <w:color w:val="auto"/>
                <w:szCs w:val="21"/>
              </w:rPr>
              <w:t>以通过中国政府采购网“节能产品查询”结果与供应商所提供的投标产品列表进行比对作为评审依据</w:t>
            </w:r>
            <w:r>
              <w:rPr>
                <w:color w:val="auto"/>
                <w:szCs w:val="21"/>
              </w:rPr>
              <w:t>。</w:t>
            </w:r>
          </w:p>
        </w:tc>
      </w:tr>
      <w:tr w14:paraId="56057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525" w:type="dxa"/>
            <w:vMerge w:val="continue"/>
            <w:vAlign w:val="center"/>
          </w:tcPr>
          <w:p w14:paraId="1234B383">
            <w:pPr>
              <w:adjustRightInd w:val="0"/>
              <w:spacing w:line="340" w:lineRule="exact"/>
              <w:jc w:val="center"/>
              <w:textAlignment w:val="baseline"/>
              <w:rPr>
                <w:rFonts w:ascii="宋体" w:hAnsi="宋体"/>
                <w:bCs/>
                <w:color w:val="auto"/>
                <w:szCs w:val="21"/>
              </w:rPr>
            </w:pPr>
          </w:p>
        </w:tc>
        <w:tc>
          <w:tcPr>
            <w:tcW w:w="1320" w:type="dxa"/>
            <w:vMerge w:val="continue"/>
            <w:vAlign w:val="center"/>
          </w:tcPr>
          <w:p w14:paraId="4DBA475E">
            <w:pPr>
              <w:adjustRightInd w:val="0"/>
              <w:spacing w:line="340" w:lineRule="exact"/>
              <w:jc w:val="center"/>
              <w:textAlignment w:val="baseline"/>
              <w:rPr>
                <w:rFonts w:ascii="宋体" w:hAnsi="宋体"/>
                <w:bCs/>
                <w:color w:val="auto"/>
                <w:szCs w:val="21"/>
              </w:rPr>
            </w:pPr>
          </w:p>
        </w:tc>
        <w:tc>
          <w:tcPr>
            <w:tcW w:w="1576" w:type="dxa"/>
            <w:vMerge w:val="continue"/>
            <w:tcMar>
              <w:left w:w="57" w:type="dxa"/>
              <w:right w:w="57" w:type="dxa"/>
            </w:tcMar>
            <w:vAlign w:val="center"/>
          </w:tcPr>
          <w:p w14:paraId="4C7A90C9">
            <w:pPr>
              <w:spacing w:line="340" w:lineRule="exact"/>
              <w:jc w:val="center"/>
              <w:rPr>
                <w:rFonts w:ascii="宋体" w:hAnsi="宋体"/>
                <w:bCs/>
                <w:color w:val="auto"/>
                <w:szCs w:val="21"/>
              </w:rPr>
            </w:pPr>
          </w:p>
        </w:tc>
        <w:tc>
          <w:tcPr>
            <w:tcW w:w="6191" w:type="dxa"/>
            <w:vAlign w:val="center"/>
          </w:tcPr>
          <w:p w14:paraId="4D1867C0">
            <w:pPr>
              <w:rPr>
                <w:iCs/>
                <w:color w:val="auto"/>
                <w:szCs w:val="21"/>
              </w:rPr>
            </w:pPr>
            <w:r>
              <w:rPr>
                <w:rFonts w:hint="eastAsia" w:ascii="宋体" w:hAnsi="宋体" w:cs="宋体"/>
                <w:color w:val="auto"/>
                <w:szCs w:val="21"/>
                <w:lang w:bidi="ar"/>
              </w:rPr>
              <w:t>（2）</w:t>
            </w:r>
            <w:r>
              <w:rPr>
                <w:rFonts w:hint="eastAsia"/>
                <w:iCs/>
                <w:color w:val="auto"/>
                <w:szCs w:val="21"/>
              </w:rPr>
              <w:t>环境标志产品</w:t>
            </w:r>
            <w:r>
              <w:rPr>
                <w:iCs/>
                <w:color w:val="auto"/>
                <w:szCs w:val="21"/>
              </w:rPr>
              <w:t>分（</w:t>
            </w:r>
            <w:r>
              <w:rPr>
                <w:rFonts w:hint="eastAsia"/>
                <w:iCs/>
                <w:color w:val="auto"/>
                <w:szCs w:val="21"/>
                <w:lang w:val="en-US" w:eastAsia="zh-CN"/>
              </w:rPr>
              <w:t>1</w:t>
            </w:r>
            <w:r>
              <w:rPr>
                <w:iCs/>
                <w:color w:val="auto"/>
                <w:szCs w:val="21"/>
              </w:rPr>
              <w:t>分）</w:t>
            </w:r>
          </w:p>
          <w:p w14:paraId="25225E1E">
            <w:pPr>
              <w:widowControl/>
              <w:spacing w:line="340" w:lineRule="exact"/>
              <w:jc w:val="left"/>
              <w:rPr>
                <w:color w:val="auto"/>
              </w:rPr>
            </w:pPr>
            <w:r>
              <w:rPr>
                <w:rFonts w:hint="eastAsia"/>
                <w:iCs/>
                <w:color w:val="auto"/>
                <w:szCs w:val="21"/>
              </w:rPr>
              <w:t>投标产品属于</w:t>
            </w:r>
            <w:r>
              <w:rPr>
                <w:rFonts w:hint="eastAsia" w:ascii="宋体" w:hAnsi="宋体"/>
                <w:iCs/>
                <w:color w:val="auto"/>
              </w:rPr>
              <w:t>环境标志产品政府采购品目清单</w:t>
            </w:r>
            <w:r>
              <w:rPr>
                <w:rFonts w:hint="eastAsia"/>
                <w:iCs/>
                <w:color w:val="auto"/>
                <w:szCs w:val="21"/>
              </w:rPr>
              <w:t>范围内优先采购的</w:t>
            </w:r>
            <w:r>
              <w:rPr>
                <w:iCs/>
                <w:color w:val="auto"/>
                <w:szCs w:val="21"/>
              </w:rPr>
              <w:t>，每有一项得</w:t>
            </w:r>
            <w:r>
              <w:rPr>
                <w:rFonts w:hint="eastAsia"/>
                <w:iCs/>
                <w:color w:val="auto"/>
                <w:szCs w:val="21"/>
                <w:lang w:val="en-US" w:eastAsia="zh-CN"/>
              </w:rPr>
              <w:t>0.5</w:t>
            </w:r>
            <w:r>
              <w:rPr>
                <w:iCs/>
                <w:color w:val="auto"/>
                <w:szCs w:val="21"/>
              </w:rPr>
              <w:t>分，最多得</w:t>
            </w:r>
            <w:r>
              <w:rPr>
                <w:rFonts w:hint="eastAsia"/>
                <w:iCs/>
                <w:color w:val="auto"/>
                <w:szCs w:val="21"/>
                <w:lang w:val="en-US" w:eastAsia="zh-CN"/>
              </w:rPr>
              <w:t>1</w:t>
            </w:r>
            <w:r>
              <w:rPr>
                <w:iCs/>
                <w:color w:val="auto"/>
                <w:szCs w:val="21"/>
              </w:rPr>
              <w:t>分。</w:t>
            </w:r>
          </w:p>
          <w:p w14:paraId="0D54ECBD">
            <w:pPr>
              <w:rPr>
                <w:color w:val="auto"/>
                <w:szCs w:val="21"/>
              </w:rPr>
            </w:pPr>
            <w:r>
              <w:rPr>
                <w:rFonts w:hint="eastAsia"/>
                <w:color w:val="auto"/>
                <w:szCs w:val="21"/>
                <w:lang w:val="en-US" w:eastAsia="zh-CN"/>
              </w:rPr>
              <w:t>①</w:t>
            </w:r>
            <w:r>
              <w:rPr>
                <w:rFonts w:hint="eastAsia"/>
                <w:color w:val="auto"/>
                <w:szCs w:val="21"/>
              </w:rPr>
              <w:t>在投标文件中列明属于环境标志产品的投标产品列表。</w:t>
            </w:r>
          </w:p>
          <w:p w14:paraId="65363F08">
            <w:pPr>
              <w:widowControl/>
              <w:spacing w:line="340" w:lineRule="exact"/>
              <w:jc w:val="left"/>
              <w:rPr>
                <w:rFonts w:ascii="宋体" w:hAnsi="宋体" w:cs="Courier New"/>
                <w:bCs/>
                <w:color w:val="auto"/>
                <w:szCs w:val="21"/>
              </w:rPr>
            </w:pPr>
            <w:r>
              <w:rPr>
                <w:rFonts w:hint="eastAsia"/>
                <w:color w:val="auto"/>
                <w:szCs w:val="21"/>
                <w:lang w:val="en-US" w:eastAsia="zh-CN"/>
              </w:rPr>
              <w:t>②</w:t>
            </w:r>
            <w:r>
              <w:rPr>
                <w:rFonts w:hint="eastAsia"/>
                <w:color w:val="auto"/>
                <w:szCs w:val="21"/>
              </w:rPr>
              <w:t>以通过中国政府采购网“环境标志产品查询”结果与供应商所提供的投标产品列表进行比对作为评审依据</w:t>
            </w:r>
            <w:r>
              <w:rPr>
                <w:color w:val="auto"/>
                <w:szCs w:val="21"/>
              </w:rPr>
              <w:t>。</w:t>
            </w:r>
          </w:p>
        </w:tc>
      </w:tr>
      <w:tr w14:paraId="7E641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2" w:type="dxa"/>
            <w:gridSpan w:val="4"/>
            <w:vAlign w:val="center"/>
          </w:tcPr>
          <w:p w14:paraId="11051C77">
            <w:pPr>
              <w:pStyle w:val="26"/>
              <w:spacing w:line="340" w:lineRule="exact"/>
              <w:ind w:firstLine="420"/>
              <w:rPr>
                <w:rFonts w:hAnsi="宋体" w:cs="Courier New"/>
                <w:color w:val="auto"/>
              </w:rPr>
            </w:pPr>
            <w:r>
              <w:rPr>
                <w:rFonts w:hint="eastAsia" w:hAnsi="宋体" w:cs="Courier New"/>
                <w:color w:val="auto"/>
              </w:rPr>
              <w:t>总得分=1+2+3。</w:t>
            </w:r>
          </w:p>
        </w:tc>
      </w:tr>
      <w:tr w14:paraId="0F9E4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2" w:type="dxa"/>
            <w:gridSpan w:val="4"/>
            <w:vAlign w:val="center"/>
          </w:tcPr>
          <w:p w14:paraId="247CC00C">
            <w:pPr>
              <w:pStyle w:val="26"/>
              <w:spacing w:line="340" w:lineRule="exact"/>
              <w:ind w:firstLine="420"/>
              <w:rPr>
                <w:rFonts w:hAnsi="宋体" w:cs="Courier New"/>
                <w:color w:val="auto"/>
              </w:rPr>
            </w:pPr>
            <w:r>
              <w:rPr>
                <w:rFonts w:hint="eastAsia" w:hAnsi="宋体"/>
                <w:color w:val="auto"/>
                <w:szCs w:val="22"/>
                <w:lang w:bidi="ar"/>
              </w:rPr>
              <w:t>中标标</w:t>
            </w:r>
            <w:r>
              <w:rPr>
                <w:rFonts w:hint="eastAsia" w:ascii="Calibri" w:hAnsi="Calibri"/>
                <w:color w:val="auto"/>
                <w:szCs w:val="22"/>
                <w:lang w:bidi="ar"/>
              </w:rPr>
              <w:t>准：</w:t>
            </w:r>
            <w:r>
              <w:rPr>
                <w:rFonts w:hint="eastAsia" w:ascii="Calibri" w:hAnsi="Calibri"/>
                <w:bCs/>
                <w:color w:val="auto"/>
                <w:szCs w:val="22"/>
                <w:lang w:bidi="ar"/>
              </w:rPr>
              <w:t>评标委员会</w:t>
            </w:r>
            <w:r>
              <w:rPr>
                <w:rFonts w:hint="eastAsia" w:ascii="Calibri" w:hAnsi="Calibri"/>
                <w:color w:val="auto"/>
                <w:szCs w:val="22"/>
                <w:lang w:bidi="ar"/>
              </w:rPr>
              <w:t>将按总得分由高到低排列中标候选供应商顺序（总得分相同时，依次按投标报价低优先、技术分高优先、质量保证期长优先、提交服务成果时间短优先、</w:t>
            </w:r>
            <w:r>
              <w:rPr>
                <w:rFonts w:hint="eastAsia" w:ascii="Calibri" w:hAnsi="宋体" w:cs="宋体"/>
                <w:color w:val="auto"/>
                <w:szCs w:val="22"/>
                <w:lang w:bidi="ar"/>
              </w:rPr>
              <w:t>处理问题</w:t>
            </w:r>
            <w:r>
              <w:rPr>
                <w:rFonts w:hint="eastAsia" w:ascii="Calibri" w:hAnsi="Calibri"/>
                <w:color w:val="auto"/>
                <w:szCs w:val="22"/>
                <w:lang w:bidi="ar"/>
              </w:rPr>
              <w:t>到达时间短优先的顺序排列），并依照次序确定中标供应商。</w:t>
            </w:r>
          </w:p>
        </w:tc>
      </w:tr>
    </w:tbl>
    <w:p w14:paraId="30005D06">
      <w:pPr>
        <w:pStyle w:val="31"/>
        <w:rPr>
          <w:color w:val="auto"/>
        </w:rPr>
      </w:pPr>
    </w:p>
    <w:bookmarkEnd w:id="41"/>
    <w:bookmarkEnd w:id="42"/>
    <w:bookmarkEnd w:id="113"/>
    <w:p w14:paraId="06BDF826">
      <w:pPr>
        <w:spacing w:before="120" w:line="320" w:lineRule="atLeast"/>
        <w:ind w:firstLine="420" w:firstLineChars="200"/>
        <w:rPr>
          <w:color w:val="auto"/>
        </w:rPr>
      </w:pPr>
      <w:bookmarkStart w:id="114" w:name="_Hlk60651046"/>
      <w:bookmarkStart w:id="115" w:name="_Hlk65851690"/>
      <w:bookmarkStart w:id="116" w:name="_Hlk80957087"/>
      <w:r>
        <w:rPr>
          <w:color w:val="auto"/>
        </w:rPr>
        <w:t>4.1</w:t>
      </w:r>
      <w:r>
        <w:rPr>
          <w:rFonts w:hint="eastAsia"/>
          <w:color w:val="auto"/>
        </w:rPr>
        <w:t>偏离认定说明</w:t>
      </w:r>
    </w:p>
    <w:p w14:paraId="40E5738B">
      <w:pPr>
        <w:spacing w:before="120" w:line="320" w:lineRule="atLeast"/>
        <w:ind w:firstLine="420" w:firstLineChars="200"/>
        <w:rPr>
          <w:color w:val="auto"/>
          <w:szCs w:val="21"/>
        </w:rPr>
      </w:pPr>
      <w:bookmarkStart w:id="117" w:name="_Hlk132792081"/>
      <w:r>
        <w:rPr>
          <w:rFonts w:hint="eastAsia"/>
          <w:color w:val="auto"/>
          <w:szCs w:val="21"/>
        </w:rPr>
        <w:t>供应商根据采购需求中技术参数为基准，填写响应表，对于响应表或证明材料与技术参数不符的，按如下规定：</w:t>
      </w:r>
    </w:p>
    <w:p w14:paraId="3D8E6CA2">
      <w:pPr>
        <w:spacing w:before="120" w:line="320" w:lineRule="atLeast"/>
        <w:ind w:firstLine="420" w:firstLineChars="200"/>
        <w:rPr>
          <w:color w:val="auto"/>
          <w:szCs w:val="21"/>
        </w:rPr>
      </w:pPr>
      <w:r>
        <w:rPr>
          <w:rFonts w:hint="eastAsia"/>
          <w:color w:val="auto"/>
          <w:szCs w:val="21"/>
        </w:rPr>
        <w:t>（1）实质性参数要求提交证明材料的，证明材料没有体现响应表中响应的内容的或未提供证明材料的，视为无效响应。非实质性参数要求提交证明材料的，证明材料没有体现响应表中响应的内容的或未提供证明材料的，视为负偏离。</w:t>
      </w:r>
    </w:p>
    <w:p w14:paraId="1BEA68E8">
      <w:pPr>
        <w:spacing w:before="120" w:line="320" w:lineRule="atLeast"/>
        <w:ind w:firstLine="420" w:firstLineChars="200"/>
        <w:rPr>
          <w:color w:val="auto"/>
          <w:szCs w:val="21"/>
        </w:rPr>
      </w:pPr>
      <w:r>
        <w:rPr>
          <w:rFonts w:hint="eastAsia"/>
          <w:color w:val="auto"/>
          <w:szCs w:val="21"/>
        </w:rPr>
        <w:t>（2）响应表中响应的内容与证明材料不一致的，以证明材料为准作为评审依据。</w:t>
      </w:r>
    </w:p>
    <w:p w14:paraId="0AC74EE5">
      <w:pPr>
        <w:spacing w:before="120" w:line="320" w:lineRule="atLeast"/>
        <w:ind w:firstLine="420" w:firstLineChars="200"/>
        <w:rPr>
          <w:color w:val="auto"/>
          <w:szCs w:val="21"/>
        </w:rPr>
      </w:pPr>
      <w:r>
        <w:rPr>
          <w:rFonts w:hint="eastAsia"/>
          <w:color w:val="auto"/>
          <w:szCs w:val="21"/>
        </w:rPr>
        <w:t>（3）同时出现以上两种情况的，按照（1）-（2）顺序认定。</w:t>
      </w:r>
    </w:p>
    <w:p w14:paraId="1B2A6D07">
      <w:pPr>
        <w:spacing w:before="120" w:line="320" w:lineRule="atLeast"/>
        <w:ind w:firstLine="420" w:firstLineChars="200"/>
        <w:rPr>
          <w:color w:val="auto"/>
          <w:szCs w:val="21"/>
        </w:rPr>
      </w:pPr>
      <w:r>
        <w:rPr>
          <w:rFonts w:hint="eastAsia"/>
          <w:color w:val="auto"/>
          <w:szCs w:val="21"/>
        </w:rPr>
        <w:t>（</w:t>
      </w:r>
      <w:r>
        <w:rPr>
          <w:color w:val="auto"/>
          <w:szCs w:val="21"/>
        </w:rPr>
        <w:t>4</w:t>
      </w:r>
      <w:r>
        <w:rPr>
          <w:rFonts w:hint="eastAsia"/>
          <w:color w:val="auto"/>
          <w:szCs w:val="21"/>
        </w:rPr>
        <w:t>）响应表与采购需求中技术参数比较有漏项的，如为实质性参数漏项，视为未响应；如为非实质性参数漏项，视为负偏离。</w:t>
      </w:r>
    </w:p>
    <w:p w14:paraId="45A5641C">
      <w:pPr>
        <w:spacing w:before="120" w:line="320" w:lineRule="atLeast"/>
        <w:ind w:firstLine="420" w:firstLineChars="200"/>
        <w:rPr>
          <w:color w:val="auto"/>
          <w:szCs w:val="21"/>
        </w:rPr>
      </w:pPr>
      <w:r>
        <w:rPr>
          <w:rFonts w:hint="eastAsia"/>
          <w:color w:val="auto"/>
          <w:szCs w:val="21"/>
        </w:rPr>
        <w:t>（</w:t>
      </w:r>
      <w:r>
        <w:rPr>
          <w:color w:val="auto"/>
          <w:szCs w:val="21"/>
        </w:rPr>
        <w:t>5</w:t>
      </w:r>
      <w:r>
        <w:rPr>
          <w:rFonts w:hint="eastAsia"/>
          <w:color w:val="auto"/>
          <w:szCs w:val="21"/>
        </w:rPr>
        <w:t>）一项技术参数有多条小项要求的，必须全部响应。如只响应部分参数，视为漏项，按照（4）判定。评审时以每一条技术参数为评审依据。</w:t>
      </w:r>
    </w:p>
    <w:p w14:paraId="74FE5358">
      <w:pPr>
        <w:spacing w:before="120" w:line="320" w:lineRule="atLeast"/>
        <w:ind w:firstLine="420" w:firstLineChars="200"/>
        <w:rPr>
          <w:color w:val="auto"/>
          <w:szCs w:val="21"/>
        </w:rPr>
      </w:pPr>
      <w:r>
        <w:rPr>
          <w:rFonts w:hint="eastAsia"/>
          <w:color w:val="auto"/>
          <w:szCs w:val="21"/>
        </w:rPr>
        <w:t>（</w:t>
      </w:r>
      <w:r>
        <w:rPr>
          <w:color w:val="auto"/>
          <w:szCs w:val="21"/>
        </w:rPr>
        <w:t>6</w:t>
      </w:r>
      <w:r>
        <w:rPr>
          <w:rFonts w:hint="eastAsia"/>
          <w:color w:val="auto"/>
          <w:szCs w:val="21"/>
        </w:rPr>
        <w:t>）对于区间涵盖值参数，例：电压“测量范围</w:t>
      </w:r>
      <w:r>
        <w:rPr>
          <w:color w:val="auto"/>
          <w:szCs w:val="21"/>
        </w:rPr>
        <w:t>3V-5V</w:t>
      </w:r>
      <w:r>
        <w:rPr>
          <w:rFonts w:hint="eastAsia"/>
          <w:color w:val="auto"/>
          <w:szCs w:val="21"/>
        </w:rPr>
        <w:t>”，同时满足下限值更低及上限值更高才视为正偏离，例：响应为“测量范围</w:t>
      </w:r>
      <w:r>
        <w:rPr>
          <w:color w:val="auto"/>
          <w:szCs w:val="21"/>
        </w:rPr>
        <w:t>2V-6V”</w:t>
      </w:r>
      <w:r>
        <w:rPr>
          <w:rFonts w:hint="eastAsia"/>
          <w:color w:val="auto"/>
          <w:szCs w:val="21"/>
        </w:rPr>
        <w:t>。如有一端负偏离，不管另一端如何，均视为负偏离，例：响应为“测量范围4</w:t>
      </w:r>
      <w:r>
        <w:rPr>
          <w:color w:val="auto"/>
          <w:szCs w:val="21"/>
        </w:rPr>
        <w:t>V-6V</w:t>
      </w:r>
      <w:r>
        <w:rPr>
          <w:rFonts w:hint="eastAsia"/>
          <w:color w:val="auto"/>
          <w:szCs w:val="21"/>
        </w:rPr>
        <w:t>”。</w:t>
      </w:r>
    </w:p>
    <w:p w14:paraId="5BD05A9E">
      <w:pPr>
        <w:spacing w:before="120" w:line="320" w:lineRule="atLeast"/>
        <w:ind w:firstLine="420" w:firstLineChars="200"/>
        <w:rPr>
          <w:color w:val="auto"/>
          <w:szCs w:val="21"/>
        </w:rPr>
      </w:pPr>
      <w:r>
        <w:rPr>
          <w:rFonts w:hint="eastAsia"/>
          <w:color w:val="auto"/>
          <w:szCs w:val="21"/>
        </w:rPr>
        <w:t>（</w:t>
      </w:r>
      <w:r>
        <w:rPr>
          <w:color w:val="auto"/>
          <w:szCs w:val="21"/>
        </w:rPr>
        <w:t>7</w:t>
      </w:r>
      <w:r>
        <w:rPr>
          <w:rFonts w:hint="eastAsia"/>
          <w:color w:val="auto"/>
          <w:szCs w:val="21"/>
        </w:rPr>
        <w:t>）对于区间任意值参数，例“</w:t>
      </w:r>
      <w:r>
        <w:rPr>
          <w:color w:val="auto"/>
          <w:szCs w:val="21"/>
        </w:rPr>
        <w:t>5</w:t>
      </w:r>
      <w:r>
        <w:rPr>
          <w:rFonts w:hint="eastAsia"/>
          <w:color w:val="auto"/>
          <w:szCs w:val="21"/>
        </w:rPr>
        <w:t>m</w:t>
      </w:r>
      <w:r>
        <w:rPr>
          <w:color w:val="auto"/>
          <w:szCs w:val="21"/>
        </w:rPr>
        <w:t>m</w:t>
      </w:r>
      <w:r>
        <w:rPr>
          <w:rFonts w:hint="eastAsia"/>
          <w:color w:val="auto"/>
          <w:szCs w:val="21"/>
        </w:rPr>
        <w:t>≤间距≤1</w:t>
      </w:r>
      <w:r>
        <w:rPr>
          <w:color w:val="auto"/>
          <w:szCs w:val="21"/>
        </w:rPr>
        <w:t>0</w:t>
      </w:r>
      <w:r>
        <w:rPr>
          <w:rFonts w:hint="eastAsia"/>
          <w:color w:val="auto"/>
          <w:szCs w:val="21"/>
        </w:rPr>
        <w:t>m</w:t>
      </w:r>
      <w:r>
        <w:rPr>
          <w:color w:val="auto"/>
          <w:szCs w:val="21"/>
        </w:rPr>
        <w:t>m</w:t>
      </w:r>
      <w:r>
        <w:rPr>
          <w:rFonts w:hint="eastAsia"/>
          <w:color w:val="auto"/>
          <w:szCs w:val="21"/>
        </w:rPr>
        <w:t>”或“间距7.5±2.5mm”，若间距响应值为</w:t>
      </w:r>
      <w:r>
        <w:rPr>
          <w:color w:val="auto"/>
          <w:szCs w:val="21"/>
        </w:rPr>
        <w:t>5</w:t>
      </w:r>
      <w:r>
        <w:rPr>
          <w:rFonts w:hint="eastAsia"/>
          <w:color w:val="auto"/>
          <w:szCs w:val="21"/>
        </w:rPr>
        <w:t>m</w:t>
      </w:r>
      <w:r>
        <w:rPr>
          <w:color w:val="auto"/>
          <w:szCs w:val="21"/>
        </w:rPr>
        <w:t>m-10mm</w:t>
      </w:r>
      <w:r>
        <w:rPr>
          <w:rFonts w:hint="eastAsia"/>
          <w:color w:val="auto"/>
          <w:szCs w:val="21"/>
        </w:rPr>
        <w:t>中任意区间值或任意一个数值（含本数）时为无偏离，例：“6m</w:t>
      </w:r>
      <w:r>
        <w:rPr>
          <w:color w:val="auto"/>
          <w:szCs w:val="21"/>
        </w:rPr>
        <w:t>m</w:t>
      </w:r>
      <w:r>
        <w:rPr>
          <w:rFonts w:hint="eastAsia"/>
          <w:color w:val="auto"/>
          <w:szCs w:val="21"/>
        </w:rPr>
        <w:t>≤间距≤8m</w:t>
      </w:r>
      <w:r>
        <w:rPr>
          <w:color w:val="auto"/>
          <w:szCs w:val="21"/>
        </w:rPr>
        <w:t>m</w:t>
      </w:r>
      <w:r>
        <w:rPr>
          <w:rFonts w:hint="eastAsia"/>
          <w:color w:val="auto"/>
          <w:szCs w:val="21"/>
        </w:rPr>
        <w:t>”、“8±2mm”、“8mm”。超过区间范围视为负偏离，例：“3m</w:t>
      </w:r>
      <w:r>
        <w:rPr>
          <w:color w:val="auto"/>
          <w:szCs w:val="21"/>
        </w:rPr>
        <w:t>m</w:t>
      </w:r>
      <w:r>
        <w:rPr>
          <w:rFonts w:hint="eastAsia"/>
          <w:color w:val="auto"/>
          <w:szCs w:val="21"/>
        </w:rPr>
        <w:t>≤间距≤12m</w:t>
      </w:r>
      <w:r>
        <w:rPr>
          <w:color w:val="auto"/>
          <w:szCs w:val="21"/>
        </w:rPr>
        <w:t>m</w:t>
      </w:r>
      <w:r>
        <w:rPr>
          <w:rFonts w:hint="eastAsia"/>
          <w:color w:val="auto"/>
          <w:szCs w:val="21"/>
        </w:rPr>
        <w:t>”、“8±4mm”、“3-12mm”、“3mm”。此类参数不存在正偏离。</w:t>
      </w:r>
    </w:p>
    <w:p w14:paraId="63313EC8">
      <w:pPr>
        <w:spacing w:before="120" w:line="320" w:lineRule="atLeast"/>
        <w:ind w:firstLine="422" w:firstLineChars="200"/>
        <w:rPr>
          <w:b/>
          <w:bCs/>
          <w:color w:val="auto"/>
          <w:szCs w:val="21"/>
        </w:rPr>
      </w:pPr>
      <w:r>
        <w:rPr>
          <w:rFonts w:hint="eastAsia"/>
          <w:b/>
          <w:bCs/>
          <w:color w:val="auto"/>
          <w:szCs w:val="21"/>
        </w:rPr>
        <w:t>（</w:t>
      </w:r>
      <w:r>
        <w:rPr>
          <w:b/>
          <w:bCs/>
          <w:color w:val="auto"/>
          <w:szCs w:val="21"/>
        </w:rPr>
        <w:t>8</w:t>
      </w:r>
      <w:r>
        <w:rPr>
          <w:rFonts w:hint="eastAsia"/>
          <w:b/>
          <w:bCs/>
          <w:color w:val="auto"/>
          <w:szCs w:val="21"/>
        </w:rPr>
        <w:t>）对于单边任意参数的要求，例“长度≥5</w:t>
      </w:r>
      <w:r>
        <w:rPr>
          <w:b/>
          <w:bCs/>
          <w:color w:val="auto"/>
          <w:szCs w:val="21"/>
        </w:rPr>
        <w:t>0cm</w:t>
      </w:r>
      <w:r>
        <w:rPr>
          <w:rFonts w:hint="eastAsia"/>
          <w:b/>
          <w:bCs/>
          <w:color w:val="auto"/>
          <w:szCs w:val="21"/>
        </w:rPr>
        <w:t>”，若响应为5</w:t>
      </w:r>
      <w:r>
        <w:rPr>
          <w:b/>
          <w:bCs/>
          <w:color w:val="auto"/>
          <w:szCs w:val="21"/>
        </w:rPr>
        <w:t>0cm</w:t>
      </w:r>
      <w:r>
        <w:rPr>
          <w:rFonts w:hint="eastAsia"/>
          <w:b/>
          <w:bCs/>
          <w:color w:val="auto"/>
          <w:szCs w:val="21"/>
        </w:rPr>
        <w:t>（</w:t>
      </w:r>
      <w:r>
        <w:rPr>
          <w:rFonts w:hint="eastAsia" w:ascii="Arial" w:hAnsi="Arial" w:cs="Arial"/>
          <w:color w:val="auto"/>
          <w:szCs w:val="21"/>
        </w:rPr>
        <w:t>不含50</w:t>
      </w:r>
      <w:r>
        <w:rPr>
          <w:b/>
          <w:bCs/>
          <w:color w:val="auto"/>
          <w:szCs w:val="21"/>
        </w:rPr>
        <w:t xml:space="preserve"> cm</w:t>
      </w:r>
      <w:r>
        <w:rPr>
          <w:rFonts w:hint="eastAsia"/>
          <w:b/>
          <w:bCs/>
          <w:color w:val="auto"/>
          <w:szCs w:val="21"/>
        </w:rPr>
        <w:t>）以上任意一个数值，均视为正偏离；若响应等于5</w:t>
      </w:r>
      <w:r>
        <w:rPr>
          <w:b/>
          <w:bCs/>
          <w:color w:val="auto"/>
          <w:szCs w:val="21"/>
        </w:rPr>
        <w:t>0cm</w:t>
      </w:r>
      <w:r>
        <w:rPr>
          <w:rFonts w:hint="eastAsia"/>
          <w:b/>
          <w:bCs/>
          <w:color w:val="auto"/>
          <w:szCs w:val="21"/>
        </w:rPr>
        <w:t>，视为无偏离；若响应小于5</w:t>
      </w:r>
      <w:r>
        <w:rPr>
          <w:b/>
          <w:bCs/>
          <w:color w:val="auto"/>
          <w:szCs w:val="21"/>
        </w:rPr>
        <w:t>0cm</w:t>
      </w:r>
      <w:r>
        <w:rPr>
          <w:rFonts w:hint="eastAsia"/>
          <w:b/>
          <w:bCs/>
          <w:color w:val="auto"/>
          <w:szCs w:val="21"/>
        </w:rPr>
        <w:t>，视为负偏离；如“长度≤5</w:t>
      </w:r>
      <w:r>
        <w:rPr>
          <w:b/>
          <w:bCs/>
          <w:color w:val="auto"/>
          <w:szCs w:val="21"/>
        </w:rPr>
        <w:t>0cm</w:t>
      </w:r>
      <w:r>
        <w:rPr>
          <w:rFonts w:hint="eastAsia"/>
          <w:b/>
          <w:bCs/>
          <w:color w:val="auto"/>
          <w:szCs w:val="21"/>
        </w:rPr>
        <w:t>”，若响应为5</w:t>
      </w:r>
      <w:r>
        <w:rPr>
          <w:b/>
          <w:bCs/>
          <w:color w:val="auto"/>
          <w:szCs w:val="21"/>
        </w:rPr>
        <w:t>0cm</w:t>
      </w:r>
      <w:r>
        <w:rPr>
          <w:rFonts w:hint="eastAsia"/>
          <w:b/>
          <w:bCs/>
          <w:color w:val="auto"/>
          <w:szCs w:val="21"/>
        </w:rPr>
        <w:t>（</w:t>
      </w:r>
      <w:r>
        <w:rPr>
          <w:rFonts w:hint="eastAsia" w:ascii="Arial" w:hAnsi="Arial" w:cs="Arial"/>
          <w:color w:val="auto"/>
          <w:szCs w:val="21"/>
        </w:rPr>
        <w:t>不含50</w:t>
      </w:r>
      <w:r>
        <w:rPr>
          <w:b/>
          <w:bCs/>
          <w:color w:val="auto"/>
          <w:szCs w:val="21"/>
        </w:rPr>
        <w:t xml:space="preserve"> cm</w:t>
      </w:r>
      <w:r>
        <w:rPr>
          <w:rFonts w:hint="eastAsia"/>
          <w:b/>
          <w:bCs/>
          <w:color w:val="auto"/>
          <w:szCs w:val="21"/>
        </w:rPr>
        <w:t>）以下任意一个数值，均视为正偏离；若响应等于5</w:t>
      </w:r>
      <w:r>
        <w:rPr>
          <w:b/>
          <w:bCs/>
          <w:color w:val="auto"/>
          <w:szCs w:val="21"/>
        </w:rPr>
        <w:t>0cm</w:t>
      </w:r>
      <w:r>
        <w:rPr>
          <w:rFonts w:hint="eastAsia"/>
          <w:b/>
          <w:bCs/>
          <w:color w:val="auto"/>
          <w:szCs w:val="21"/>
        </w:rPr>
        <w:t>，视为无偏离；若响应大于5</w:t>
      </w:r>
      <w:r>
        <w:rPr>
          <w:b/>
          <w:bCs/>
          <w:color w:val="auto"/>
          <w:szCs w:val="21"/>
        </w:rPr>
        <w:t>0cm</w:t>
      </w:r>
      <w:r>
        <w:rPr>
          <w:rFonts w:hint="eastAsia"/>
          <w:b/>
          <w:bCs/>
          <w:color w:val="auto"/>
          <w:szCs w:val="21"/>
        </w:rPr>
        <w:t>，视为负偏离。</w:t>
      </w:r>
    </w:p>
    <w:p w14:paraId="73426142">
      <w:pPr>
        <w:spacing w:before="120" w:line="320" w:lineRule="atLeast"/>
        <w:ind w:firstLine="420" w:firstLineChars="200"/>
        <w:rPr>
          <w:color w:val="auto"/>
          <w:szCs w:val="21"/>
        </w:rPr>
      </w:pPr>
      <w:r>
        <w:rPr>
          <w:rFonts w:hint="eastAsia"/>
          <w:color w:val="auto"/>
          <w:szCs w:val="21"/>
        </w:rPr>
        <w:t>（</w:t>
      </w:r>
      <w:r>
        <w:rPr>
          <w:color w:val="auto"/>
          <w:szCs w:val="21"/>
        </w:rPr>
        <w:t>9</w:t>
      </w:r>
      <w:r>
        <w:rPr>
          <w:rFonts w:hint="eastAsia"/>
          <w:color w:val="auto"/>
          <w:szCs w:val="21"/>
        </w:rPr>
        <w:t>）对于固定参数，响应与采购需求中技术参数一致，视为无偏离，其他均视为负偏离，此类参数无正偏离。</w:t>
      </w:r>
    </w:p>
    <w:p w14:paraId="549A22AD">
      <w:pPr>
        <w:spacing w:before="120" w:line="320" w:lineRule="atLeast"/>
        <w:ind w:firstLine="420" w:firstLineChars="200"/>
        <w:rPr>
          <w:color w:val="auto"/>
          <w:szCs w:val="21"/>
        </w:rPr>
      </w:pPr>
      <w:r>
        <w:rPr>
          <w:rFonts w:hint="eastAsia"/>
          <w:color w:val="auto"/>
          <w:szCs w:val="21"/>
        </w:rPr>
        <w:t>（</w:t>
      </w:r>
      <w:r>
        <w:rPr>
          <w:color w:val="auto"/>
          <w:szCs w:val="21"/>
        </w:rPr>
        <w:t>10</w:t>
      </w:r>
      <w:r>
        <w:rPr>
          <w:rFonts w:hint="eastAsia"/>
          <w:color w:val="auto"/>
          <w:szCs w:val="21"/>
        </w:rPr>
        <w:t>）如采购需求中技术参数有特殊要求与上述说明不一致的，以特殊要求为准。</w:t>
      </w:r>
    </w:p>
    <w:bookmarkEnd w:id="117"/>
    <w:p w14:paraId="383130DF">
      <w:pPr>
        <w:spacing w:before="120" w:line="320" w:lineRule="atLeast"/>
        <w:ind w:firstLine="420" w:firstLineChars="200"/>
        <w:rPr>
          <w:color w:val="auto"/>
          <w:szCs w:val="21"/>
        </w:rPr>
      </w:pPr>
    </w:p>
    <w:bookmarkEnd w:id="110"/>
    <w:bookmarkEnd w:id="114"/>
    <w:bookmarkEnd w:id="115"/>
    <w:p w14:paraId="522CB5AD">
      <w:pPr>
        <w:spacing w:before="120" w:line="320" w:lineRule="atLeast"/>
        <w:ind w:firstLine="420" w:firstLineChars="200"/>
        <w:rPr>
          <w:color w:val="auto"/>
          <w:szCs w:val="21"/>
        </w:rPr>
      </w:pPr>
    </w:p>
    <w:bookmarkEnd w:id="116"/>
    <w:p w14:paraId="4916D5B2">
      <w:pPr>
        <w:pStyle w:val="26"/>
        <w:snapToGrid w:val="0"/>
        <w:spacing w:before="120" w:after="120"/>
        <w:outlineLvl w:val="0"/>
        <w:rPr>
          <w:rFonts w:ascii="Times New Roman" w:hAnsi="Times New Roman" w:cs="Times New Roman"/>
          <w:b/>
          <w:color w:val="auto"/>
          <w:sz w:val="32"/>
          <w:szCs w:val="32"/>
        </w:rPr>
        <w:sectPr>
          <w:headerReference r:id="rId11" w:type="default"/>
          <w:pgSz w:w="11906" w:h="16838"/>
          <w:pgMar w:top="1418" w:right="1133" w:bottom="1246" w:left="1418" w:header="851" w:footer="992" w:gutter="0"/>
          <w:cols w:space="720" w:num="1"/>
          <w:docGrid w:linePitch="312" w:charSpace="0"/>
        </w:sectPr>
      </w:pPr>
    </w:p>
    <w:p w14:paraId="4A200AD6">
      <w:pPr>
        <w:pStyle w:val="26"/>
        <w:snapToGrid w:val="0"/>
        <w:spacing w:before="120" w:after="120" w:line="320" w:lineRule="exact"/>
        <w:jc w:val="center"/>
        <w:outlineLvl w:val="0"/>
        <w:rPr>
          <w:rFonts w:ascii="Times New Roman" w:hAnsi="Times New Roman" w:cs="Times New Roman"/>
          <w:color w:val="auto"/>
          <w:sz w:val="32"/>
          <w:szCs w:val="32"/>
        </w:rPr>
      </w:pPr>
      <w:bookmarkStart w:id="118" w:name="_Toc142987209"/>
      <w:bookmarkStart w:id="119" w:name="_Hlk132792163"/>
      <w:r>
        <w:rPr>
          <w:rFonts w:ascii="Times New Roman" w:hAnsi="Times New Roman" w:cs="Times New Roman"/>
          <w:color w:val="auto"/>
          <w:sz w:val="32"/>
          <w:szCs w:val="32"/>
        </w:rPr>
        <w:t>第五章  合同主要条款格式</w:t>
      </w:r>
      <w:bookmarkEnd w:id="118"/>
    </w:p>
    <w:p w14:paraId="4A4C8617">
      <w:pPr>
        <w:rPr>
          <w:color w:val="auto"/>
        </w:rPr>
      </w:pPr>
    </w:p>
    <w:p w14:paraId="74C0EBBB">
      <w:pPr>
        <w:spacing w:before="120" w:line="320" w:lineRule="atLeast"/>
        <w:ind w:firstLine="422" w:firstLineChars="200"/>
        <w:jc w:val="center"/>
        <w:outlineLvl w:val="1"/>
        <w:rPr>
          <w:b/>
          <w:bCs/>
          <w:color w:val="auto"/>
          <w:kern w:val="0"/>
          <w:szCs w:val="21"/>
        </w:rPr>
      </w:pPr>
      <w:r>
        <w:rPr>
          <w:b/>
          <w:bCs/>
          <w:color w:val="auto"/>
          <w:kern w:val="0"/>
          <w:szCs w:val="21"/>
        </w:rPr>
        <w:t>广西壮族自治区政府采购合同</w:t>
      </w:r>
    </w:p>
    <w:tbl>
      <w:tblPr>
        <w:tblStyle w:val="5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36"/>
        <w:gridCol w:w="2336"/>
        <w:gridCol w:w="2336"/>
        <w:gridCol w:w="2337"/>
      </w:tblGrid>
      <w:tr w14:paraId="59F02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36" w:type="dxa"/>
          </w:tcPr>
          <w:p w14:paraId="28205ACC">
            <w:pPr>
              <w:snapToGrid w:val="0"/>
              <w:spacing w:line="360" w:lineRule="exact"/>
              <w:ind w:right="480"/>
              <w:jc w:val="left"/>
              <w:rPr>
                <w:bCs/>
                <w:color w:val="auto"/>
                <w:szCs w:val="21"/>
              </w:rPr>
            </w:pPr>
            <w:r>
              <w:rPr>
                <w:rFonts w:hint="eastAsia"/>
                <w:bCs/>
                <w:color w:val="auto"/>
                <w:szCs w:val="21"/>
              </w:rPr>
              <w:t>合同编号：</w:t>
            </w:r>
          </w:p>
        </w:tc>
        <w:tc>
          <w:tcPr>
            <w:tcW w:w="2336" w:type="dxa"/>
          </w:tcPr>
          <w:p w14:paraId="7C48134E">
            <w:pPr>
              <w:snapToGrid w:val="0"/>
              <w:spacing w:line="360" w:lineRule="exact"/>
              <w:ind w:right="480"/>
              <w:jc w:val="left"/>
              <w:rPr>
                <w:bCs/>
                <w:color w:val="auto"/>
                <w:szCs w:val="21"/>
              </w:rPr>
            </w:pPr>
          </w:p>
        </w:tc>
        <w:tc>
          <w:tcPr>
            <w:tcW w:w="2336" w:type="dxa"/>
          </w:tcPr>
          <w:p w14:paraId="74199750">
            <w:pPr>
              <w:snapToGrid w:val="0"/>
              <w:spacing w:line="360" w:lineRule="exact"/>
              <w:ind w:right="480"/>
              <w:jc w:val="left"/>
              <w:rPr>
                <w:bCs/>
                <w:color w:val="auto"/>
                <w:szCs w:val="21"/>
              </w:rPr>
            </w:pPr>
            <w:r>
              <w:rPr>
                <w:rFonts w:hint="eastAsia"/>
                <w:bCs/>
                <w:color w:val="auto"/>
                <w:szCs w:val="21"/>
              </w:rPr>
              <w:t>采购计划号：</w:t>
            </w:r>
          </w:p>
        </w:tc>
        <w:tc>
          <w:tcPr>
            <w:tcW w:w="2337" w:type="dxa"/>
          </w:tcPr>
          <w:p w14:paraId="14CEBB32">
            <w:pPr>
              <w:snapToGrid w:val="0"/>
              <w:spacing w:line="360" w:lineRule="exact"/>
              <w:ind w:right="480"/>
              <w:jc w:val="left"/>
              <w:rPr>
                <w:bCs/>
                <w:color w:val="auto"/>
                <w:szCs w:val="21"/>
              </w:rPr>
            </w:pPr>
          </w:p>
        </w:tc>
      </w:tr>
      <w:tr w14:paraId="7A4AD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36" w:type="dxa"/>
          </w:tcPr>
          <w:p w14:paraId="6DECF08E">
            <w:pPr>
              <w:snapToGrid w:val="0"/>
              <w:spacing w:line="360" w:lineRule="exact"/>
              <w:ind w:right="480"/>
              <w:jc w:val="left"/>
              <w:rPr>
                <w:bCs/>
                <w:color w:val="auto"/>
                <w:szCs w:val="21"/>
              </w:rPr>
            </w:pPr>
            <w:r>
              <w:rPr>
                <w:rFonts w:hint="eastAsia"/>
                <w:bCs/>
                <w:color w:val="auto"/>
                <w:szCs w:val="21"/>
              </w:rPr>
              <w:t>项目名称：</w:t>
            </w:r>
          </w:p>
        </w:tc>
        <w:tc>
          <w:tcPr>
            <w:tcW w:w="2336" w:type="dxa"/>
          </w:tcPr>
          <w:p w14:paraId="35D57026">
            <w:pPr>
              <w:snapToGrid w:val="0"/>
              <w:spacing w:line="360" w:lineRule="exact"/>
              <w:ind w:right="480"/>
              <w:jc w:val="left"/>
              <w:rPr>
                <w:bCs/>
                <w:color w:val="auto"/>
                <w:szCs w:val="21"/>
              </w:rPr>
            </w:pPr>
          </w:p>
        </w:tc>
        <w:tc>
          <w:tcPr>
            <w:tcW w:w="2336" w:type="dxa"/>
          </w:tcPr>
          <w:p w14:paraId="583C1F52">
            <w:pPr>
              <w:snapToGrid w:val="0"/>
              <w:spacing w:line="360" w:lineRule="exact"/>
              <w:ind w:right="480"/>
              <w:jc w:val="left"/>
              <w:rPr>
                <w:bCs/>
                <w:color w:val="auto"/>
                <w:szCs w:val="21"/>
              </w:rPr>
            </w:pPr>
            <w:r>
              <w:rPr>
                <w:rFonts w:hint="eastAsia"/>
                <w:bCs/>
                <w:color w:val="auto"/>
                <w:szCs w:val="21"/>
              </w:rPr>
              <w:t>项目编号：</w:t>
            </w:r>
          </w:p>
        </w:tc>
        <w:tc>
          <w:tcPr>
            <w:tcW w:w="2337" w:type="dxa"/>
          </w:tcPr>
          <w:p w14:paraId="158A6B80">
            <w:pPr>
              <w:snapToGrid w:val="0"/>
              <w:spacing w:line="360" w:lineRule="exact"/>
              <w:ind w:right="480"/>
              <w:jc w:val="left"/>
              <w:rPr>
                <w:bCs/>
                <w:color w:val="auto"/>
                <w:szCs w:val="21"/>
              </w:rPr>
            </w:pPr>
          </w:p>
        </w:tc>
      </w:tr>
      <w:tr w14:paraId="1E3C4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36" w:type="dxa"/>
          </w:tcPr>
          <w:p w14:paraId="2443E12E">
            <w:pPr>
              <w:snapToGrid w:val="0"/>
              <w:spacing w:line="360" w:lineRule="exact"/>
              <w:jc w:val="left"/>
              <w:rPr>
                <w:bCs/>
                <w:color w:val="auto"/>
                <w:szCs w:val="21"/>
              </w:rPr>
            </w:pPr>
            <w:r>
              <w:rPr>
                <w:rFonts w:hint="eastAsia"/>
                <w:bCs/>
                <w:color w:val="auto"/>
                <w:szCs w:val="21"/>
              </w:rPr>
              <w:t>采购人（甲方）：</w:t>
            </w:r>
          </w:p>
        </w:tc>
        <w:tc>
          <w:tcPr>
            <w:tcW w:w="2336" w:type="dxa"/>
          </w:tcPr>
          <w:p w14:paraId="5B226213">
            <w:pPr>
              <w:snapToGrid w:val="0"/>
              <w:spacing w:line="360" w:lineRule="exact"/>
              <w:ind w:right="480"/>
              <w:jc w:val="left"/>
              <w:rPr>
                <w:bCs/>
                <w:color w:val="auto"/>
                <w:szCs w:val="21"/>
              </w:rPr>
            </w:pPr>
          </w:p>
        </w:tc>
        <w:tc>
          <w:tcPr>
            <w:tcW w:w="2336" w:type="dxa"/>
          </w:tcPr>
          <w:p w14:paraId="51194DDD">
            <w:pPr>
              <w:snapToGrid w:val="0"/>
              <w:spacing w:line="360" w:lineRule="exact"/>
              <w:jc w:val="left"/>
              <w:rPr>
                <w:bCs/>
                <w:color w:val="auto"/>
                <w:szCs w:val="21"/>
              </w:rPr>
            </w:pPr>
            <w:r>
              <w:rPr>
                <w:rFonts w:hint="eastAsia"/>
                <w:bCs/>
                <w:color w:val="auto"/>
                <w:szCs w:val="21"/>
              </w:rPr>
              <w:t>供应商（乙方）：</w:t>
            </w:r>
          </w:p>
        </w:tc>
        <w:tc>
          <w:tcPr>
            <w:tcW w:w="2337" w:type="dxa"/>
          </w:tcPr>
          <w:p w14:paraId="52CD04C1">
            <w:pPr>
              <w:snapToGrid w:val="0"/>
              <w:spacing w:line="360" w:lineRule="exact"/>
              <w:ind w:right="480"/>
              <w:jc w:val="left"/>
              <w:rPr>
                <w:bCs/>
                <w:color w:val="auto"/>
                <w:szCs w:val="21"/>
              </w:rPr>
            </w:pPr>
          </w:p>
        </w:tc>
      </w:tr>
      <w:tr w14:paraId="029D3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36" w:type="dxa"/>
          </w:tcPr>
          <w:p w14:paraId="09B2DE5B">
            <w:pPr>
              <w:snapToGrid w:val="0"/>
              <w:spacing w:line="360" w:lineRule="exact"/>
              <w:ind w:right="480"/>
              <w:jc w:val="left"/>
              <w:rPr>
                <w:bCs/>
                <w:color w:val="auto"/>
                <w:szCs w:val="21"/>
              </w:rPr>
            </w:pPr>
            <w:r>
              <w:rPr>
                <w:rFonts w:hint="eastAsia"/>
                <w:bCs/>
                <w:color w:val="auto"/>
                <w:szCs w:val="21"/>
              </w:rPr>
              <w:t>签订地点：</w:t>
            </w:r>
          </w:p>
        </w:tc>
        <w:tc>
          <w:tcPr>
            <w:tcW w:w="2336" w:type="dxa"/>
          </w:tcPr>
          <w:p w14:paraId="2E09065A">
            <w:pPr>
              <w:snapToGrid w:val="0"/>
              <w:spacing w:line="360" w:lineRule="exact"/>
              <w:ind w:right="480"/>
              <w:jc w:val="left"/>
              <w:rPr>
                <w:bCs/>
                <w:color w:val="auto"/>
                <w:szCs w:val="21"/>
              </w:rPr>
            </w:pPr>
          </w:p>
        </w:tc>
        <w:tc>
          <w:tcPr>
            <w:tcW w:w="2336" w:type="dxa"/>
          </w:tcPr>
          <w:p w14:paraId="2B457480">
            <w:pPr>
              <w:snapToGrid w:val="0"/>
              <w:spacing w:line="360" w:lineRule="exact"/>
              <w:ind w:right="480"/>
              <w:jc w:val="left"/>
              <w:rPr>
                <w:bCs/>
                <w:color w:val="auto"/>
                <w:szCs w:val="21"/>
              </w:rPr>
            </w:pPr>
            <w:r>
              <w:rPr>
                <w:rFonts w:hint="eastAsia"/>
                <w:bCs/>
                <w:color w:val="auto"/>
                <w:szCs w:val="21"/>
              </w:rPr>
              <w:t>签订时间：</w:t>
            </w:r>
          </w:p>
        </w:tc>
        <w:tc>
          <w:tcPr>
            <w:tcW w:w="2337" w:type="dxa"/>
          </w:tcPr>
          <w:p w14:paraId="2293291F">
            <w:pPr>
              <w:snapToGrid w:val="0"/>
              <w:spacing w:line="360" w:lineRule="exact"/>
              <w:ind w:right="480"/>
              <w:jc w:val="left"/>
              <w:rPr>
                <w:bCs/>
                <w:color w:val="auto"/>
                <w:szCs w:val="21"/>
              </w:rPr>
            </w:pPr>
          </w:p>
        </w:tc>
      </w:tr>
    </w:tbl>
    <w:p w14:paraId="6533CEE2">
      <w:pPr>
        <w:snapToGrid w:val="0"/>
        <w:spacing w:line="360" w:lineRule="exact"/>
        <w:ind w:firstLine="420" w:firstLineChars="200"/>
        <w:rPr>
          <w:color w:val="auto"/>
          <w:szCs w:val="21"/>
        </w:rPr>
      </w:pPr>
    </w:p>
    <w:p w14:paraId="0F949896">
      <w:pPr>
        <w:pStyle w:val="26"/>
        <w:spacing w:line="300" w:lineRule="exact"/>
        <w:ind w:firstLine="420" w:firstLineChars="200"/>
        <w:rPr>
          <w:rFonts w:ascii="Times New Roman" w:hAnsi="Times New Roman" w:cs="Times New Roman"/>
          <w:color w:val="auto"/>
        </w:rPr>
      </w:pPr>
      <w:r>
        <w:rPr>
          <w:rFonts w:ascii="Times New Roman" w:hAnsi="Times New Roman" w:cs="Times New Roman"/>
          <w:color w:val="auto"/>
        </w:rPr>
        <w:t>根据《中华人民共和国政府采购法》</w:t>
      </w:r>
      <w:r>
        <w:rPr>
          <w:rFonts w:hint="eastAsia" w:ascii="Times New Roman" w:hAnsi="Times New Roman" w:cs="Times New Roman"/>
          <w:color w:val="auto"/>
        </w:rPr>
        <w:t>、</w:t>
      </w:r>
      <w:r>
        <w:rPr>
          <w:rFonts w:ascii="Times New Roman" w:hAnsi="Times New Roman" w:cs="Times New Roman"/>
          <w:color w:val="auto"/>
        </w:rPr>
        <w:t>《中华人民共和国政府采购法</w:t>
      </w:r>
      <w:r>
        <w:rPr>
          <w:rFonts w:hint="eastAsia" w:ascii="Times New Roman" w:hAnsi="Times New Roman" w:cs="Times New Roman"/>
          <w:color w:val="auto"/>
        </w:rPr>
        <w:t>实施条例</w:t>
      </w:r>
      <w:r>
        <w:rPr>
          <w:rFonts w:ascii="Times New Roman" w:hAnsi="Times New Roman" w:cs="Times New Roman"/>
          <w:color w:val="auto"/>
        </w:rPr>
        <w:t>》等法律、法规规定，按照招标文件规定</w:t>
      </w:r>
      <w:r>
        <w:rPr>
          <w:rFonts w:hint="eastAsia" w:ascii="Times New Roman" w:hAnsi="Times New Roman" w:cs="Times New Roman"/>
          <w:color w:val="auto"/>
        </w:rPr>
        <w:t>、</w:t>
      </w:r>
      <w:r>
        <w:rPr>
          <w:rFonts w:ascii="Times New Roman" w:hAnsi="Times New Roman" w:cs="Times New Roman"/>
          <w:color w:val="auto"/>
        </w:rPr>
        <w:t>乙方投标文件及其承诺</w:t>
      </w:r>
      <w:r>
        <w:rPr>
          <w:rFonts w:hint="eastAsia" w:ascii="Times New Roman" w:hAnsi="Times New Roman" w:cs="Times New Roman"/>
          <w:color w:val="auto"/>
        </w:rPr>
        <w:t>和中标通知书</w:t>
      </w:r>
      <w:r>
        <w:rPr>
          <w:rFonts w:ascii="Times New Roman" w:hAnsi="Times New Roman" w:cs="Times New Roman"/>
          <w:color w:val="auto"/>
        </w:rPr>
        <w:t>，甲乙双方签订本合同。</w:t>
      </w:r>
    </w:p>
    <w:p w14:paraId="52AE6CDC">
      <w:pPr>
        <w:snapToGrid w:val="0"/>
        <w:spacing w:line="360" w:lineRule="exact"/>
        <w:ind w:firstLine="422" w:firstLineChars="200"/>
        <w:rPr>
          <w:b/>
          <w:color w:val="auto"/>
          <w:szCs w:val="21"/>
        </w:rPr>
      </w:pPr>
      <w:r>
        <w:rPr>
          <w:b/>
          <w:color w:val="auto"/>
          <w:szCs w:val="21"/>
        </w:rPr>
        <w:t>第一条　合同标的</w:t>
      </w:r>
    </w:p>
    <w:p w14:paraId="089320DF">
      <w:pPr>
        <w:snapToGrid w:val="0"/>
        <w:spacing w:line="300" w:lineRule="exact"/>
        <w:ind w:firstLine="420" w:firstLineChars="200"/>
        <w:rPr>
          <w:color w:val="auto"/>
          <w:szCs w:val="21"/>
        </w:rPr>
      </w:pPr>
      <w:r>
        <w:rPr>
          <w:color w:val="auto"/>
          <w:szCs w:val="21"/>
        </w:rPr>
        <w:t>1.</w:t>
      </w:r>
      <w:r>
        <w:rPr>
          <w:rFonts w:hint="eastAsia"/>
          <w:color w:val="auto"/>
          <w:szCs w:val="21"/>
        </w:rPr>
        <w:t>合同标的</w:t>
      </w:r>
      <w:r>
        <w:rPr>
          <w:color w:val="auto"/>
          <w:szCs w:val="21"/>
        </w:rPr>
        <w:t>一览表</w:t>
      </w:r>
    </w:p>
    <w:tbl>
      <w:tblPr>
        <w:tblStyle w:val="51"/>
        <w:tblW w:w="954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
        <w:gridCol w:w="1304"/>
        <w:gridCol w:w="1081"/>
        <w:gridCol w:w="1194"/>
        <w:gridCol w:w="1193"/>
        <w:gridCol w:w="672"/>
        <w:gridCol w:w="1080"/>
        <w:gridCol w:w="1080"/>
        <w:gridCol w:w="1440"/>
      </w:tblGrid>
      <w:tr w14:paraId="61FBE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496" w:type="dxa"/>
            <w:vAlign w:val="center"/>
          </w:tcPr>
          <w:p w14:paraId="0F60C289">
            <w:pPr>
              <w:snapToGrid w:val="0"/>
              <w:spacing w:line="300" w:lineRule="exact"/>
              <w:jc w:val="center"/>
              <w:rPr>
                <w:color w:val="auto"/>
                <w:szCs w:val="21"/>
              </w:rPr>
            </w:pPr>
            <w:r>
              <w:rPr>
                <w:color w:val="auto"/>
                <w:szCs w:val="21"/>
              </w:rPr>
              <w:t>序号</w:t>
            </w:r>
          </w:p>
        </w:tc>
        <w:tc>
          <w:tcPr>
            <w:tcW w:w="1304" w:type="dxa"/>
            <w:vAlign w:val="center"/>
          </w:tcPr>
          <w:p w14:paraId="0E13CC1A">
            <w:pPr>
              <w:snapToGrid w:val="0"/>
              <w:spacing w:line="300" w:lineRule="exact"/>
              <w:jc w:val="center"/>
              <w:rPr>
                <w:color w:val="auto"/>
                <w:szCs w:val="21"/>
              </w:rPr>
            </w:pPr>
            <w:r>
              <w:rPr>
                <w:color w:val="auto"/>
                <w:szCs w:val="21"/>
              </w:rPr>
              <w:t>标的</w:t>
            </w:r>
          </w:p>
          <w:p w14:paraId="2889BC1E">
            <w:pPr>
              <w:snapToGrid w:val="0"/>
              <w:spacing w:line="300" w:lineRule="exact"/>
              <w:jc w:val="center"/>
              <w:rPr>
                <w:color w:val="auto"/>
                <w:szCs w:val="21"/>
              </w:rPr>
            </w:pPr>
            <w:r>
              <w:rPr>
                <w:color w:val="auto"/>
                <w:szCs w:val="21"/>
              </w:rPr>
              <w:t>名称</w:t>
            </w:r>
          </w:p>
        </w:tc>
        <w:tc>
          <w:tcPr>
            <w:tcW w:w="1081" w:type="dxa"/>
            <w:vAlign w:val="center"/>
          </w:tcPr>
          <w:p w14:paraId="470286FE">
            <w:pPr>
              <w:snapToGrid w:val="0"/>
              <w:spacing w:line="300" w:lineRule="exact"/>
              <w:jc w:val="center"/>
              <w:rPr>
                <w:color w:val="auto"/>
                <w:szCs w:val="21"/>
              </w:rPr>
            </w:pPr>
            <w:r>
              <w:rPr>
                <w:color w:val="auto"/>
                <w:szCs w:val="21"/>
              </w:rPr>
              <w:t>商标</w:t>
            </w:r>
          </w:p>
          <w:p w14:paraId="47018BAD">
            <w:pPr>
              <w:snapToGrid w:val="0"/>
              <w:spacing w:line="300" w:lineRule="exact"/>
              <w:jc w:val="center"/>
              <w:rPr>
                <w:color w:val="auto"/>
                <w:szCs w:val="21"/>
              </w:rPr>
            </w:pPr>
            <w:r>
              <w:rPr>
                <w:color w:val="auto"/>
                <w:szCs w:val="21"/>
              </w:rPr>
              <w:t>品牌</w:t>
            </w:r>
          </w:p>
        </w:tc>
        <w:tc>
          <w:tcPr>
            <w:tcW w:w="1194" w:type="dxa"/>
            <w:vAlign w:val="center"/>
          </w:tcPr>
          <w:p w14:paraId="215837AD">
            <w:pPr>
              <w:snapToGrid w:val="0"/>
              <w:spacing w:line="300" w:lineRule="exact"/>
              <w:jc w:val="center"/>
              <w:rPr>
                <w:color w:val="auto"/>
                <w:szCs w:val="21"/>
              </w:rPr>
            </w:pPr>
            <w:r>
              <w:rPr>
                <w:color w:val="auto"/>
                <w:szCs w:val="21"/>
              </w:rPr>
              <w:t>型号</w:t>
            </w:r>
          </w:p>
          <w:p w14:paraId="505CBACB">
            <w:pPr>
              <w:snapToGrid w:val="0"/>
              <w:spacing w:line="300" w:lineRule="exact"/>
              <w:jc w:val="center"/>
              <w:rPr>
                <w:color w:val="auto"/>
                <w:szCs w:val="21"/>
              </w:rPr>
            </w:pPr>
            <w:r>
              <w:rPr>
                <w:color w:val="auto"/>
                <w:szCs w:val="21"/>
              </w:rPr>
              <w:t>参数</w:t>
            </w:r>
          </w:p>
        </w:tc>
        <w:tc>
          <w:tcPr>
            <w:tcW w:w="1193" w:type="dxa"/>
            <w:vAlign w:val="center"/>
          </w:tcPr>
          <w:p w14:paraId="1076DA83">
            <w:pPr>
              <w:snapToGrid w:val="0"/>
              <w:spacing w:line="300" w:lineRule="exact"/>
              <w:jc w:val="center"/>
              <w:rPr>
                <w:color w:val="auto"/>
                <w:szCs w:val="21"/>
              </w:rPr>
            </w:pPr>
            <w:r>
              <w:rPr>
                <w:color w:val="auto"/>
                <w:szCs w:val="21"/>
              </w:rPr>
              <w:t>生产</w:t>
            </w:r>
          </w:p>
          <w:p w14:paraId="3AA9821F">
            <w:pPr>
              <w:snapToGrid w:val="0"/>
              <w:spacing w:line="300" w:lineRule="exact"/>
              <w:jc w:val="center"/>
              <w:rPr>
                <w:color w:val="auto"/>
                <w:szCs w:val="21"/>
              </w:rPr>
            </w:pPr>
            <w:r>
              <w:rPr>
                <w:color w:val="auto"/>
                <w:szCs w:val="21"/>
              </w:rPr>
              <w:t>厂家</w:t>
            </w:r>
          </w:p>
        </w:tc>
        <w:tc>
          <w:tcPr>
            <w:tcW w:w="672" w:type="dxa"/>
            <w:vAlign w:val="center"/>
          </w:tcPr>
          <w:p w14:paraId="13F1B163">
            <w:pPr>
              <w:snapToGrid w:val="0"/>
              <w:spacing w:line="300" w:lineRule="exact"/>
              <w:jc w:val="center"/>
              <w:rPr>
                <w:color w:val="auto"/>
                <w:szCs w:val="21"/>
              </w:rPr>
            </w:pPr>
            <w:r>
              <w:rPr>
                <w:color w:val="auto"/>
                <w:szCs w:val="21"/>
              </w:rPr>
              <w:t>数  量</w:t>
            </w:r>
          </w:p>
        </w:tc>
        <w:tc>
          <w:tcPr>
            <w:tcW w:w="1080" w:type="dxa"/>
            <w:vAlign w:val="center"/>
          </w:tcPr>
          <w:p w14:paraId="3A2ED970">
            <w:pPr>
              <w:snapToGrid w:val="0"/>
              <w:spacing w:line="300" w:lineRule="exact"/>
              <w:jc w:val="center"/>
              <w:rPr>
                <w:color w:val="auto"/>
                <w:szCs w:val="21"/>
              </w:rPr>
            </w:pPr>
            <w:r>
              <w:rPr>
                <w:color w:val="auto"/>
                <w:szCs w:val="21"/>
              </w:rPr>
              <w:t>单位</w:t>
            </w:r>
          </w:p>
        </w:tc>
        <w:tc>
          <w:tcPr>
            <w:tcW w:w="1080" w:type="dxa"/>
            <w:vAlign w:val="center"/>
          </w:tcPr>
          <w:p w14:paraId="3258798D">
            <w:pPr>
              <w:snapToGrid w:val="0"/>
              <w:spacing w:line="300" w:lineRule="exact"/>
              <w:jc w:val="center"/>
              <w:rPr>
                <w:color w:val="auto"/>
                <w:szCs w:val="21"/>
              </w:rPr>
            </w:pPr>
            <w:r>
              <w:rPr>
                <w:color w:val="auto"/>
                <w:szCs w:val="21"/>
              </w:rPr>
              <w:t>单价</w:t>
            </w:r>
          </w:p>
          <w:p w14:paraId="073BE43A">
            <w:pPr>
              <w:snapToGrid w:val="0"/>
              <w:spacing w:line="300" w:lineRule="exact"/>
              <w:jc w:val="center"/>
              <w:rPr>
                <w:color w:val="auto"/>
                <w:szCs w:val="21"/>
              </w:rPr>
            </w:pPr>
            <w:r>
              <w:rPr>
                <w:color w:val="auto"/>
                <w:szCs w:val="21"/>
              </w:rPr>
              <w:t>（元）</w:t>
            </w:r>
          </w:p>
        </w:tc>
        <w:tc>
          <w:tcPr>
            <w:tcW w:w="1440" w:type="dxa"/>
            <w:vAlign w:val="center"/>
          </w:tcPr>
          <w:p w14:paraId="1FAF3BEC">
            <w:pPr>
              <w:snapToGrid w:val="0"/>
              <w:spacing w:line="300" w:lineRule="exact"/>
              <w:jc w:val="center"/>
              <w:rPr>
                <w:color w:val="auto"/>
                <w:szCs w:val="21"/>
              </w:rPr>
            </w:pPr>
            <w:r>
              <w:rPr>
                <w:rFonts w:hint="eastAsia"/>
                <w:color w:val="auto"/>
                <w:szCs w:val="21"/>
              </w:rPr>
              <w:t>合计</w:t>
            </w:r>
          </w:p>
          <w:p w14:paraId="209A7EB7">
            <w:pPr>
              <w:snapToGrid w:val="0"/>
              <w:spacing w:line="300" w:lineRule="exact"/>
              <w:jc w:val="center"/>
              <w:rPr>
                <w:color w:val="auto"/>
                <w:szCs w:val="21"/>
              </w:rPr>
            </w:pPr>
            <w:r>
              <w:rPr>
                <w:color w:val="auto"/>
                <w:szCs w:val="21"/>
              </w:rPr>
              <w:t>（元）</w:t>
            </w:r>
          </w:p>
        </w:tc>
      </w:tr>
      <w:tr w14:paraId="6D8CA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496" w:type="dxa"/>
            <w:vAlign w:val="center"/>
          </w:tcPr>
          <w:p w14:paraId="1894CF76">
            <w:pPr>
              <w:snapToGrid w:val="0"/>
              <w:spacing w:line="300" w:lineRule="exact"/>
              <w:jc w:val="center"/>
              <w:rPr>
                <w:color w:val="auto"/>
                <w:szCs w:val="21"/>
              </w:rPr>
            </w:pPr>
            <w:r>
              <w:rPr>
                <w:color w:val="auto"/>
                <w:szCs w:val="21"/>
              </w:rPr>
              <w:t>1</w:t>
            </w:r>
          </w:p>
        </w:tc>
        <w:tc>
          <w:tcPr>
            <w:tcW w:w="1304" w:type="dxa"/>
            <w:vAlign w:val="center"/>
          </w:tcPr>
          <w:p w14:paraId="1FE7A89A">
            <w:pPr>
              <w:snapToGrid w:val="0"/>
              <w:spacing w:line="300" w:lineRule="exact"/>
              <w:jc w:val="center"/>
              <w:rPr>
                <w:color w:val="auto"/>
                <w:szCs w:val="21"/>
              </w:rPr>
            </w:pPr>
          </w:p>
        </w:tc>
        <w:tc>
          <w:tcPr>
            <w:tcW w:w="1081" w:type="dxa"/>
            <w:vAlign w:val="center"/>
          </w:tcPr>
          <w:p w14:paraId="153BE168">
            <w:pPr>
              <w:snapToGrid w:val="0"/>
              <w:spacing w:line="300" w:lineRule="exact"/>
              <w:jc w:val="center"/>
              <w:rPr>
                <w:color w:val="auto"/>
                <w:szCs w:val="21"/>
              </w:rPr>
            </w:pPr>
          </w:p>
        </w:tc>
        <w:tc>
          <w:tcPr>
            <w:tcW w:w="1194" w:type="dxa"/>
            <w:vAlign w:val="center"/>
          </w:tcPr>
          <w:p w14:paraId="354314DE">
            <w:pPr>
              <w:snapToGrid w:val="0"/>
              <w:spacing w:line="300" w:lineRule="exact"/>
              <w:jc w:val="center"/>
              <w:rPr>
                <w:color w:val="auto"/>
                <w:szCs w:val="21"/>
              </w:rPr>
            </w:pPr>
          </w:p>
        </w:tc>
        <w:tc>
          <w:tcPr>
            <w:tcW w:w="1193" w:type="dxa"/>
          </w:tcPr>
          <w:p w14:paraId="69846A6D">
            <w:pPr>
              <w:snapToGrid w:val="0"/>
              <w:spacing w:line="300" w:lineRule="exact"/>
              <w:jc w:val="center"/>
              <w:rPr>
                <w:color w:val="auto"/>
                <w:szCs w:val="21"/>
              </w:rPr>
            </w:pPr>
          </w:p>
        </w:tc>
        <w:tc>
          <w:tcPr>
            <w:tcW w:w="672" w:type="dxa"/>
          </w:tcPr>
          <w:p w14:paraId="17F3D960">
            <w:pPr>
              <w:snapToGrid w:val="0"/>
              <w:spacing w:line="300" w:lineRule="exact"/>
              <w:jc w:val="center"/>
              <w:rPr>
                <w:color w:val="auto"/>
                <w:szCs w:val="21"/>
              </w:rPr>
            </w:pPr>
          </w:p>
        </w:tc>
        <w:tc>
          <w:tcPr>
            <w:tcW w:w="1080" w:type="dxa"/>
          </w:tcPr>
          <w:p w14:paraId="00E7026F">
            <w:pPr>
              <w:snapToGrid w:val="0"/>
              <w:spacing w:line="300" w:lineRule="exact"/>
              <w:jc w:val="center"/>
              <w:rPr>
                <w:color w:val="auto"/>
                <w:szCs w:val="21"/>
              </w:rPr>
            </w:pPr>
          </w:p>
        </w:tc>
        <w:tc>
          <w:tcPr>
            <w:tcW w:w="1080" w:type="dxa"/>
            <w:vAlign w:val="center"/>
          </w:tcPr>
          <w:p w14:paraId="39550589">
            <w:pPr>
              <w:snapToGrid w:val="0"/>
              <w:spacing w:line="300" w:lineRule="exact"/>
              <w:jc w:val="center"/>
              <w:rPr>
                <w:color w:val="auto"/>
                <w:szCs w:val="21"/>
              </w:rPr>
            </w:pPr>
          </w:p>
        </w:tc>
        <w:tc>
          <w:tcPr>
            <w:tcW w:w="1440" w:type="dxa"/>
            <w:vAlign w:val="center"/>
          </w:tcPr>
          <w:p w14:paraId="0DC22EDE">
            <w:pPr>
              <w:snapToGrid w:val="0"/>
              <w:spacing w:line="300" w:lineRule="exact"/>
              <w:jc w:val="center"/>
              <w:rPr>
                <w:color w:val="auto"/>
                <w:szCs w:val="21"/>
              </w:rPr>
            </w:pPr>
          </w:p>
        </w:tc>
      </w:tr>
      <w:tr w14:paraId="2E71C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496" w:type="dxa"/>
            <w:vAlign w:val="center"/>
          </w:tcPr>
          <w:p w14:paraId="4906930A">
            <w:pPr>
              <w:snapToGrid w:val="0"/>
              <w:spacing w:line="300" w:lineRule="exact"/>
              <w:jc w:val="center"/>
              <w:rPr>
                <w:color w:val="auto"/>
                <w:szCs w:val="21"/>
              </w:rPr>
            </w:pPr>
            <w:r>
              <w:rPr>
                <w:color w:val="auto"/>
                <w:szCs w:val="21"/>
              </w:rPr>
              <w:t>2</w:t>
            </w:r>
          </w:p>
        </w:tc>
        <w:tc>
          <w:tcPr>
            <w:tcW w:w="1304" w:type="dxa"/>
            <w:vAlign w:val="center"/>
          </w:tcPr>
          <w:p w14:paraId="1C43B7C8">
            <w:pPr>
              <w:snapToGrid w:val="0"/>
              <w:spacing w:line="300" w:lineRule="exact"/>
              <w:jc w:val="center"/>
              <w:rPr>
                <w:color w:val="auto"/>
                <w:szCs w:val="21"/>
              </w:rPr>
            </w:pPr>
          </w:p>
        </w:tc>
        <w:tc>
          <w:tcPr>
            <w:tcW w:w="1081" w:type="dxa"/>
            <w:vAlign w:val="center"/>
          </w:tcPr>
          <w:p w14:paraId="6CEE42A1">
            <w:pPr>
              <w:snapToGrid w:val="0"/>
              <w:spacing w:line="300" w:lineRule="exact"/>
              <w:jc w:val="center"/>
              <w:rPr>
                <w:color w:val="auto"/>
                <w:szCs w:val="21"/>
              </w:rPr>
            </w:pPr>
          </w:p>
        </w:tc>
        <w:tc>
          <w:tcPr>
            <w:tcW w:w="1194" w:type="dxa"/>
            <w:vAlign w:val="center"/>
          </w:tcPr>
          <w:p w14:paraId="0B7F0590">
            <w:pPr>
              <w:snapToGrid w:val="0"/>
              <w:spacing w:line="300" w:lineRule="exact"/>
              <w:jc w:val="center"/>
              <w:rPr>
                <w:color w:val="auto"/>
                <w:szCs w:val="21"/>
              </w:rPr>
            </w:pPr>
          </w:p>
        </w:tc>
        <w:tc>
          <w:tcPr>
            <w:tcW w:w="1193" w:type="dxa"/>
          </w:tcPr>
          <w:p w14:paraId="23052E85">
            <w:pPr>
              <w:snapToGrid w:val="0"/>
              <w:spacing w:line="300" w:lineRule="exact"/>
              <w:jc w:val="center"/>
              <w:rPr>
                <w:color w:val="auto"/>
                <w:szCs w:val="21"/>
              </w:rPr>
            </w:pPr>
          </w:p>
        </w:tc>
        <w:tc>
          <w:tcPr>
            <w:tcW w:w="672" w:type="dxa"/>
          </w:tcPr>
          <w:p w14:paraId="18D6698E">
            <w:pPr>
              <w:snapToGrid w:val="0"/>
              <w:spacing w:line="300" w:lineRule="exact"/>
              <w:jc w:val="center"/>
              <w:rPr>
                <w:color w:val="auto"/>
                <w:szCs w:val="21"/>
              </w:rPr>
            </w:pPr>
          </w:p>
        </w:tc>
        <w:tc>
          <w:tcPr>
            <w:tcW w:w="1080" w:type="dxa"/>
          </w:tcPr>
          <w:p w14:paraId="749C19C4">
            <w:pPr>
              <w:snapToGrid w:val="0"/>
              <w:spacing w:line="300" w:lineRule="exact"/>
              <w:jc w:val="center"/>
              <w:rPr>
                <w:color w:val="auto"/>
                <w:szCs w:val="21"/>
              </w:rPr>
            </w:pPr>
          </w:p>
        </w:tc>
        <w:tc>
          <w:tcPr>
            <w:tcW w:w="1080" w:type="dxa"/>
            <w:vAlign w:val="center"/>
          </w:tcPr>
          <w:p w14:paraId="2395625A">
            <w:pPr>
              <w:snapToGrid w:val="0"/>
              <w:spacing w:line="300" w:lineRule="exact"/>
              <w:jc w:val="center"/>
              <w:rPr>
                <w:color w:val="auto"/>
                <w:szCs w:val="21"/>
              </w:rPr>
            </w:pPr>
          </w:p>
        </w:tc>
        <w:tc>
          <w:tcPr>
            <w:tcW w:w="1440" w:type="dxa"/>
            <w:vAlign w:val="center"/>
          </w:tcPr>
          <w:p w14:paraId="34EACAC5">
            <w:pPr>
              <w:snapToGrid w:val="0"/>
              <w:spacing w:line="300" w:lineRule="exact"/>
              <w:jc w:val="center"/>
              <w:rPr>
                <w:color w:val="auto"/>
                <w:szCs w:val="21"/>
              </w:rPr>
            </w:pPr>
          </w:p>
        </w:tc>
      </w:tr>
      <w:tr w14:paraId="7819A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496" w:type="dxa"/>
            <w:vAlign w:val="center"/>
          </w:tcPr>
          <w:p w14:paraId="5E77148B">
            <w:pPr>
              <w:snapToGrid w:val="0"/>
              <w:spacing w:line="300" w:lineRule="exact"/>
              <w:jc w:val="center"/>
              <w:rPr>
                <w:color w:val="auto"/>
                <w:szCs w:val="21"/>
              </w:rPr>
            </w:pPr>
            <w:r>
              <w:rPr>
                <w:color w:val="auto"/>
                <w:szCs w:val="21"/>
              </w:rPr>
              <w:t>3</w:t>
            </w:r>
          </w:p>
        </w:tc>
        <w:tc>
          <w:tcPr>
            <w:tcW w:w="1304" w:type="dxa"/>
            <w:vAlign w:val="center"/>
          </w:tcPr>
          <w:p w14:paraId="195C1016">
            <w:pPr>
              <w:snapToGrid w:val="0"/>
              <w:spacing w:line="300" w:lineRule="exact"/>
              <w:jc w:val="center"/>
              <w:rPr>
                <w:color w:val="auto"/>
                <w:szCs w:val="21"/>
              </w:rPr>
            </w:pPr>
          </w:p>
        </w:tc>
        <w:tc>
          <w:tcPr>
            <w:tcW w:w="1081" w:type="dxa"/>
            <w:vAlign w:val="center"/>
          </w:tcPr>
          <w:p w14:paraId="7BE1CB91">
            <w:pPr>
              <w:snapToGrid w:val="0"/>
              <w:spacing w:line="300" w:lineRule="exact"/>
              <w:jc w:val="center"/>
              <w:rPr>
                <w:color w:val="auto"/>
                <w:szCs w:val="21"/>
              </w:rPr>
            </w:pPr>
          </w:p>
        </w:tc>
        <w:tc>
          <w:tcPr>
            <w:tcW w:w="1194" w:type="dxa"/>
            <w:vAlign w:val="center"/>
          </w:tcPr>
          <w:p w14:paraId="204B86FE">
            <w:pPr>
              <w:snapToGrid w:val="0"/>
              <w:spacing w:line="300" w:lineRule="exact"/>
              <w:jc w:val="center"/>
              <w:rPr>
                <w:color w:val="auto"/>
                <w:szCs w:val="21"/>
              </w:rPr>
            </w:pPr>
          </w:p>
        </w:tc>
        <w:tc>
          <w:tcPr>
            <w:tcW w:w="1193" w:type="dxa"/>
          </w:tcPr>
          <w:p w14:paraId="0C8687EE">
            <w:pPr>
              <w:snapToGrid w:val="0"/>
              <w:spacing w:line="300" w:lineRule="exact"/>
              <w:jc w:val="center"/>
              <w:rPr>
                <w:color w:val="auto"/>
                <w:szCs w:val="21"/>
              </w:rPr>
            </w:pPr>
          </w:p>
        </w:tc>
        <w:tc>
          <w:tcPr>
            <w:tcW w:w="672" w:type="dxa"/>
          </w:tcPr>
          <w:p w14:paraId="20197E25">
            <w:pPr>
              <w:snapToGrid w:val="0"/>
              <w:spacing w:line="300" w:lineRule="exact"/>
              <w:jc w:val="center"/>
              <w:rPr>
                <w:color w:val="auto"/>
                <w:szCs w:val="21"/>
              </w:rPr>
            </w:pPr>
          </w:p>
        </w:tc>
        <w:tc>
          <w:tcPr>
            <w:tcW w:w="1080" w:type="dxa"/>
          </w:tcPr>
          <w:p w14:paraId="0D090C43">
            <w:pPr>
              <w:snapToGrid w:val="0"/>
              <w:spacing w:line="300" w:lineRule="exact"/>
              <w:jc w:val="center"/>
              <w:rPr>
                <w:color w:val="auto"/>
                <w:szCs w:val="21"/>
              </w:rPr>
            </w:pPr>
          </w:p>
        </w:tc>
        <w:tc>
          <w:tcPr>
            <w:tcW w:w="1080" w:type="dxa"/>
            <w:vAlign w:val="center"/>
          </w:tcPr>
          <w:p w14:paraId="2F28305F">
            <w:pPr>
              <w:snapToGrid w:val="0"/>
              <w:spacing w:line="300" w:lineRule="exact"/>
              <w:jc w:val="center"/>
              <w:rPr>
                <w:color w:val="auto"/>
                <w:szCs w:val="21"/>
              </w:rPr>
            </w:pPr>
          </w:p>
        </w:tc>
        <w:tc>
          <w:tcPr>
            <w:tcW w:w="1440" w:type="dxa"/>
            <w:vAlign w:val="center"/>
          </w:tcPr>
          <w:p w14:paraId="33D471AC">
            <w:pPr>
              <w:snapToGrid w:val="0"/>
              <w:spacing w:line="300" w:lineRule="exact"/>
              <w:jc w:val="center"/>
              <w:rPr>
                <w:color w:val="auto"/>
                <w:szCs w:val="21"/>
              </w:rPr>
            </w:pPr>
          </w:p>
        </w:tc>
      </w:tr>
      <w:tr w14:paraId="4831B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trPr>
        <w:tc>
          <w:tcPr>
            <w:tcW w:w="9540" w:type="dxa"/>
            <w:gridSpan w:val="9"/>
            <w:vAlign w:val="center"/>
          </w:tcPr>
          <w:p w14:paraId="0A1E51B8">
            <w:pPr>
              <w:snapToGrid w:val="0"/>
              <w:spacing w:line="300" w:lineRule="exact"/>
              <w:rPr>
                <w:rFonts w:hint="eastAsia" w:ascii="宋体" w:hAnsi="宋体"/>
                <w:color w:val="auto"/>
                <w:szCs w:val="21"/>
              </w:rPr>
            </w:pPr>
            <w:r>
              <w:rPr>
                <w:rFonts w:hint="eastAsia" w:ascii="宋体" w:hAnsi="宋体"/>
                <w:color w:val="auto"/>
                <w:szCs w:val="21"/>
              </w:rPr>
              <w:t>总价（</w:t>
            </w:r>
            <w:r>
              <w:rPr>
                <w:rFonts w:ascii="宋体" w:hAnsi="宋体"/>
                <w:color w:val="auto"/>
                <w:szCs w:val="21"/>
              </w:rPr>
              <w:t>人民币</w:t>
            </w:r>
            <w:r>
              <w:rPr>
                <w:rFonts w:hint="eastAsia" w:ascii="宋体" w:hAnsi="宋体"/>
                <w:color w:val="auto"/>
                <w:szCs w:val="21"/>
              </w:rPr>
              <w:t>）</w:t>
            </w:r>
            <w:r>
              <w:rPr>
                <w:rFonts w:ascii="宋体" w:hAnsi="宋体"/>
                <w:color w:val="auto"/>
                <w:szCs w:val="21"/>
              </w:rPr>
              <w:t xml:space="preserve">（大写）                          （小写）                 </w:t>
            </w:r>
          </w:p>
        </w:tc>
      </w:tr>
    </w:tbl>
    <w:p w14:paraId="35BEE234">
      <w:pPr>
        <w:pStyle w:val="26"/>
        <w:spacing w:line="300" w:lineRule="exact"/>
        <w:ind w:firstLine="420" w:firstLineChars="200"/>
        <w:rPr>
          <w:rFonts w:hint="eastAsia" w:hAnsi="宋体" w:cs="Times New Roman"/>
          <w:color w:val="auto"/>
        </w:rPr>
      </w:pPr>
      <w:bookmarkStart w:id="120" w:name="_Hlk77609505"/>
      <w:r>
        <w:rPr>
          <w:rFonts w:hint="eastAsia" w:hAnsi="宋体" w:cs="Times New Roman"/>
          <w:color w:val="auto"/>
        </w:rPr>
        <w:t>2.合同价格形式：固定总价</w:t>
      </w:r>
    </w:p>
    <w:bookmarkEnd w:id="120"/>
    <w:p w14:paraId="76F8B609">
      <w:pPr>
        <w:pStyle w:val="26"/>
        <w:spacing w:line="300" w:lineRule="exact"/>
        <w:ind w:firstLine="420" w:firstLineChars="200"/>
        <w:rPr>
          <w:rFonts w:hint="eastAsia" w:hAnsi="宋体" w:cs="Times New Roman"/>
          <w:color w:val="auto"/>
        </w:rPr>
      </w:pPr>
      <w:r>
        <w:rPr>
          <w:rFonts w:hAnsi="宋体" w:cs="Times New Roman"/>
          <w:color w:val="auto"/>
        </w:rPr>
        <w:t>3</w:t>
      </w:r>
      <w:r>
        <w:rPr>
          <w:rFonts w:hint="eastAsia" w:hAnsi="宋体" w:cs="Times New Roman"/>
          <w:color w:val="auto"/>
        </w:rPr>
        <w:t>.</w:t>
      </w:r>
      <w:r>
        <w:rPr>
          <w:rFonts w:hAnsi="宋体" w:cs="Times New Roman"/>
          <w:color w:val="auto"/>
        </w:rPr>
        <w:t>合同</w:t>
      </w:r>
      <w:r>
        <w:rPr>
          <w:rFonts w:hint="eastAsia" w:hAnsi="宋体" w:cs="Times New Roman"/>
          <w:color w:val="auto"/>
        </w:rPr>
        <w:t>总价</w:t>
      </w:r>
      <w:r>
        <w:rPr>
          <w:rFonts w:hAnsi="宋体" w:cs="Times New Roman"/>
          <w:color w:val="auto"/>
        </w:rPr>
        <w:t>包括</w:t>
      </w:r>
      <w:r>
        <w:rPr>
          <w:rFonts w:hint="eastAsia"/>
          <w:color w:val="auto"/>
        </w:rPr>
        <w:t>产品价、运输费（含装卸费）、保险费、安装调试费、机房建设费、税费、培训费、产品检测费、产品质保期内维护费等全部费用。</w:t>
      </w:r>
    </w:p>
    <w:p w14:paraId="3E6C6C9C">
      <w:pPr>
        <w:snapToGrid w:val="0"/>
        <w:spacing w:line="360" w:lineRule="exact"/>
        <w:ind w:firstLine="422" w:firstLineChars="200"/>
        <w:rPr>
          <w:color w:val="auto"/>
          <w:szCs w:val="21"/>
        </w:rPr>
      </w:pPr>
      <w:r>
        <w:rPr>
          <w:b/>
          <w:color w:val="auto"/>
          <w:szCs w:val="21"/>
        </w:rPr>
        <w:t>第二条　质量保证</w:t>
      </w:r>
    </w:p>
    <w:p w14:paraId="608F6188">
      <w:pPr>
        <w:pStyle w:val="26"/>
        <w:spacing w:line="300" w:lineRule="exact"/>
        <w:ind w:firstLine="420" w:firstLineChars="200"/>
        <w:rPr>
          <w:rFonts w:ascii="Times New Roman" w:hAnsi="Times New Roman" w:cs="Times New Roman"/>
          <w:color w:val="auto"/>
        </w:rPr>
      </w:pPr>
      <w:r>
        <w:rPr>
          <w:rFonts w:ascii="Times New Roman" w:hAnsi="Times New Roman" w:cs="Times New Roman"/>
          <w:color w:val="auto"/>
        </w:rPr>
        <w:t>1.乙方所提供的货物型号、技术规格、技术参数等</w:t>
      </w:r>
      <w:r>
        <w:rPr>
          <w:rFonts w:hint="eastAsia" w:ascii="Times New Roman" w:hAnsi="Times New Roman" w:cs="Times New Roman"/>
          <w:color w:val="auto"/>
        </w:rPr>
        <w:t>指标</w:t>
      </w:r>
      <w:r>
        <w:rPr>
          <w:rFonts w:ascii="Times New Roman" w:hAnsi="Times New Roman" w:cs="Times New Roman"/>
          <w:color w:val="auto"/>
        </w:rPr>
        <w:t>必须与</w:t>
      </w:r>
      <w:r>
        <w:rPr>
          <w:rFonts w:hint="eastAsia"/>
          <w:color w:val="auto"/>
        </w:rPr>
        <w:t>招标文件要求、投标文件响应</w:t>
      </w:r>
      <w:r>
        <w:rPr>
          <w:rFonts w:ascii="Times New Roman" w:hAnsi="Times New Roman" w:cs="Times New Roman"/>
          <w:color w:val="auto"/>
        </w:rPr>
        <w:t>和承诺相一致。</w:t>
      </w:r>
      <w:r>
        <w:rPr>
          <w:rFonts w:hint="eastAsia" w:ascii="Times New Roman" w:hAnsi="Times New Roman" w:cs="Times New Roman"/>
          <w:color w:val="auto"/>
        </w:rPr>
        <w:t>合同标的一览表中如有</w:t>
      </w:r>
      <w:r>
        <w:rPr>
          <w:rFonts w:ascii="Times New Roman" w:hAnsi="Times New Roman" w:cs="Times New Roman"/>
          <w:color w:val="auto"/>
        </w:rPr>
        <w:t>列入</w:t>
      </w:r>
      <w:r>
        <w:rPr>
          <w:rFonts w:hint="eastAsia" w:ascii="Times New Roman" w:hAnsi="Times New Roman" w:cs="Times New Roman"/>
          <w:color w:val="auto"/>
        </w:rPr>
        <w:t>节能产品或环境标志产品</w:t>
      </w:r>
      <w:r>
        <w:rPr>
          <w:rFonts w:ascii="Times New Roman" w:hAnsi="Times New Roman" w:cs="Times New Roman"/>
          <w:color w:val="auto"/>
        </w:rPr>
        <w:t>政府采购</w:t>
      </w:r>
      <w:r>
        <w:rPr>
          <w:rFonts w:hint="eastAsia" w:ascii="Times New Roman" w:hAnsi="Times New Roman" w:cs="Times New Roman"/>
          <w:color w:val="auto"/>
        </w:rPr>
        <w:t>品目</w:t>
      </w:r>
      <w:r>
        <w:rPr>
          <w:rFonts w:ascii="Times New Roman" w:hAnsi="Times New Roman" w:cs="Times New Roman"/>
          <w:color w:val="auto"/>
        </w:rPr>
        <w:t>清单的产品</w:t>
      </w:r>
      <w:r>
        <w:rPr>
          <w:rFonts w:hint="eastAsia" w:ascii="Times New Roman" w:hAnsi="Times New Roman" w:cs="Times New Roman"/>
          <w:color w:val="auto"/>
        </w:rPr>
        <w:t>，乙方必须提供在清单中的产品，</w:t>
      </w:r>
      <w:bookmarkStart w:id="121" w:name="_Hlk138843205"/>
      <w:r>
        <w:rPr>
          <w:rFonts w:hint="eastAsia" w:ascii="Times New Roman" w:hAnsi="Times New Roman" w:cs="Times New Roman"/>
          <w:color w:val="auto"/>
        </w:rPr>
        <w:t>合同标的一览表中如有网络安全专用产品，乙方必须提供在</w:t>
      </w:r>
      <w:r>
        <w:rPr>
          <w:rFonts w:hint="eastAsia"/>
          <w:color w:val="auto"/>
        </w:rPr>
        <w:t>《网络关键设备和网络安全专用产品安全认证和安全检测结果》中的产品或具有《计算机信息系统安全专用产品销售许可证》的产品。</w:t>
      </w:r>
    </w:p>
    <w:bookmarkEnd w:id="121"/>
    <w:p w14:paraId="779D7578">
      <w:pPr>
        <w:pStyle w:val="26"/>
        <w:spacing w:line="300" w:lineRule="exact"/>
        <w:ind w:firstLine="420" w:firstLineChars="200"/>
        <w:rPr>
          <w:rFonts w:ascii="Times New Roman" w:hAnsi="Times New Roman" w:cs="Times New Roman"/>
          <w:color w:val="auto"/>
        </w:rPr>
      </w:pPr>
      <w:r>
        <w:rPr>
          <w:rFonts w:ascii="Times New Roman" w:hAnsi="Times New Roman" w:cs="Times New Roman"/>
          <w:color w:val="auto"/>
        </w:rPr>
        <w:t>2.乙方所提供的货物必须是全新、未使用的原装产品，且在正常安装、使用和保养条件下，其使用寿命期内各项指标均达到</w:t>
      </w:r>
      <w:r>
        <w:rPr>
          <w:rFonts w:hint="eastAsia" w:ascii="Times New Roman" w:hAnsi="Times New Roman" w:cs="Times New Roman"/>
          <w:color w:val="auto"/>
        </w:rPr>
        <w:t>招标文件</w:t>
      </w:r>
      <w:r>
        <w:rPr>
          <w:rFonts w:ascii="Times New Roman" w:hAnsi="Times New Roman" w:cs="Times New Roman"/>
          <w:color w:val="auto"/>
        </w:rPr>
        <w:t>要求。</w:t>
      </w:r>
    </w:p>
    <w:p w14:paraId="6EB07F57">
      <w:pPr>
        <w:snapToGrid w:val="0"/>
        <w:spacing w:line="360" w:lineRule="exact"/>
        <w:ind w:firstLine="422" w:firstLineChars="200"/>
        <w:rPr>
          <w:color w:val="auto"/>
          <w:szCs w:val="21"/>
        </w:rPr>
      </w:pPr>
      <w:r>
        <w:rPr>
          <w:b/>
          <w:color w:val="auto"/>
          <w:szCs w:val="21"/>
        </w:rPr>
        <w:t>第三条  权利保证</w:t>
      </w:r>
    </w:p>
    <w:p w14:paraId="04122B77">
      <w:pPr>
        <w:pStyle w:val="26"/>
        <w:spacing w:line="300" w:lineRule="exact"/>
        <w:ind w:firstLine="420" w:firstLineChars="200"/>
        <w:rPr>
          <w:rFonts w:ascii="Times New Roman" w:hAnsi="Times New Roman" w:cs="Times New Roman"/>
          <w:color w:val="auto"/>
        </w:rPr>
      </w:pPr>
      <w:r>
        <w:rPr>
          <w:rFonts w:hint="eastAsia" w:ascii="Times New Roman" w:hAnsi="Times New Roman" w:cs="Times New Roman"/>
          <w:color w:val="auto"/>
        </w:rPr>
        <w:t>1.</w:t>
      </w:r>
      <w:r>
        <w:rPr>
          <w:rFonts w:ascii="Times New Roman" w:hAnsi="Times New Roman" w:cs="Times New Roman"/>
          <w:color w:val="auto"/>
        </w:rPr>
        <w:t>乙方应保证所提供货物在使用时不会侵犯任何第三方的专利权、商标权、工业设计权或其他权利。</w:t>
      </w:r>
    </w:p>
    <w:p w14:paraId="481A1546">
      <w:pPr>
        <w:pStyle w:val="26"/>
        <w:spacing w:line="300" w:lineRule="exact"/>
        <w:ind w:firstLine="420" w:firstLineChars="200"/>
        <w:rPr>
          <w:rFonts w:ascii="Times New Roman" w:hAnsi="Times New Roman" w:cs="Times New Roman"/>
          <w:color w:val="auto"/>
        </w:rPr>
      </w:pPr>
      <w:r>
        <w:rPr>
          <w:rFonts w:hint="eastAsia" w:ascii="Times New Roman" w:hAnsi="Times New Roman" w:cs="Times New Roman"/>
          <w:color w:val="auto"/>
        </w:rPr>
        <w:t>2.</w:t>
      </w:r>
      <w:r>
        <w:rPr>
          <w:rFonts w:ascii="Times New Roman" w:hAnsi="Times New Roman" w:cs="Times New Roman"/>
          <w:color w:val="auto"/>
        </w:rPr>
        <w:t>乙方应按招标文件规定的时间向甲方提供使用货物的有关技术资料。</w:t>
      </w:r>
    </w:p>
    <w:p w14:paraId="2BAEFC3E">
      <w:pPr>
        <w:pStyle w:val="26"/>
        <w:spacing w:line="300" w:lineRule="exact"/>
        <w:ind w:firstLine="420" w:firstLineChars="200"/>
        <w:rPr>
          <w:rFonts w:ascii="Times New Roman" w:hAnsi="Times New Roman" w:cs="Times New Roman"/>
          <w:color w:val="auto"/>
        </w:rPr>
      </w:pPr>
      <w:r>
        <w:rPr>
          <w:rFonts w:hint="eastAsia" w:ascii="Times New Roman" w:hAnsi="Times New Roman" w:cs="Times New Roman"/>
          <w:color w:val="auto"/>
        </w:rPr>
        <w:t>3.</w:t>
      </w:r>
      <w:r>
        <w:rPr>
          <w:rFonts w:ascii="Times New Roman" w:hAnsi="Times New Roman" w:cs="Times New Roman"/>
          <w:color w:val="auto"/>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730F99E2">
      <w:pPr>
        <w:pStyle w:val="26"/>
        <w:spacing w:line="300" w:lineRule="exact"/>
        <w:ind w:firstLine="420" w:firstLineChars="200"/>
        <w:rPr>
          <w:rFonts w:ascii="Times New Roman" w:hAnsi="Times New Roman" w:cs="Times New Roman"/>
          <w:color w:val="auto"/>
        </w:rPr>
      </w:pPr>
      <w:r>
        <w:rPr>
          <w:rFonts w:hint="eastAsia" w:ascii="Times New Roman" w:hAnsi="Times New Roman" w:cs="Times New Roman"/>
          <w:color w:val="auto"/>
        </w:rPr>
        <w:t>4.</w:t>
      </w:r>
      <w:r>
        <w:rPr>
          <w:rFonts w:ascii="Times New Roman" w:hAnsi="Times New Roman" w:cs="Times New Roman"/>
          <w:color w:val="auto"/>
        </w:rPr>
        <w:t>乙方保证所交付的货物的所有权完全属于乙方且无任何抵押、质押、查封等产权</w:t>
      </w:r>
      <w:r>
        <w:rPr>
          <w:rFonts w:hint="eastAsia" w:ascii="Times New Roman" w:hAnsi="Times New Roman" w:cs="Times New Roman"/>
          <w:color w:val="auto"/>
        </w:rPr>
        <w:t>问题</w:t>
      </w:r>
      <w:r>
        <w:rPr>
          <w:rFonts w:ascii="Times New Roman" w:hAnsi="Times New Roman" w:cs="Times New Roman"/>
          <w:color w:val="auto"/>
        </w:rPr>
        <w:t>。</w:t>
      </w:r>
    </w:p>
    <w:p w14:paraId="388F5841">
      <w:pPr>
        <w:pStyle w:val="26"/>
        <w:spacing w:line="300" w:lineRule="exact"/>
        <w:ind w:firstLine="420" w:firstLineChars="200"/>
        <w:rPr>
          <w:rFonts w:ascii="Times New Roman" w:hAnsi="Times New Roman" w:cs="Times New Roman"/>
          <w:color w:val="auto"/>
        </w:rPr>
      </w:pPr>
      <w:bookmarkStart w:id="122" w:name="_Hlk77610067"/>
      <w:r>
        <w:rPr>
          <w:rFonts w:hint="eastAsia" w:ascii="Times New Roman" w:hAnsi="Times New Roman" w:cs="Times New Roman"/>
          <w:color w:val="auto"/>
        </w:rPr>
        <w:t>5.如采购项目涉及采购标的的知识产权归属的，产权归属为：</w:t>
      </w:r>
      <w:r>
        <w:rPr>
          <w:rFonts w:hint="eastAsia" w:ascii="Times New Roman" w:hAnsi="Times New Roman" w:cs="Times New Roman"/>
          <w:color w:val="auto"/>
          <w:u w:val="single"/>
        </w:rPr>
        <w:t xml:space="preserve"> </w:t>
      </w:r>
      <w:r>
        <w:rPr>
          <w:rFonts w:ascii="Times New Roman" w:hAnsi="Times New Roman" w:cs="Times New Roman"/>
          <w:color w:val="auto"/>
          <w:u w:val="single"/>
        </w:rPr>
        <w:t xml:space="preserve">   </w:t>
      </w:r>
      <w:r>
        <w:rPr>
          <w:rFonts w:hint="eastAsia" w:ascii="Times New Roman" w:hAnsi="Times New Roman" w:cs="Times New Roman"/>
          <w:color w:val="auto"/>
          <w:u w:val="single"/>
        </w:rPr>
        <w:t>甲方</w:t>
      </w:r>
      <w:r>
        <w:rPr>
          <w:rFonts w:ascii="Times New Roman" w:hAnsi="Times New Roman" w:cs="Times New Roman"/>
          <w:color w:val="auto"/>
          <w:u w:val="single"/>
        </w:rPr>
        <w:t xml:space="preserve">     </w:t>
      </w:r>
      <w:r>
        <w:rPr>
          <w:rFonts w:ascii="Times New Roman" w:hAnsi="Times New Roman" w:cs="Times New Roman"/>
          <w:color w:val="auto"/>
        </w:rPr>
        <w:t xml:space="preserve">  </w:t>
      </w:r>
      <w:r>
        <w:rPr>
          <w:rFonts w:hint="eastAsia" w:ascii="Times New Roman" w:hAnsi="Times New Roman" w:cs="Times New Roman"/>
          <w:color w:val="auto"/>
        </w:rPr>
        <w:t xml:space="preserve"> </w:t>
      </w:r>
    </w:p>
    <w:p w14:paraId="6E3997D7">
      <w:pPr>
        <w:spacing w:line="276" w:lineRule="auto"/>
        <w:ind w:firstLine="420" w:firstLineChars="200"/>
        <w:rPr>
          <w:color w:val="auto"/>
          <w:szCs w:val="21"/>
        </w:rPr>
      </w:pPr>
      <w:r>
        <w:rPr>
          <w:rFonts w:hint="eastAsia"/>
          <w:color w:val="auto"/>
        </w:rPr>
        <w:t>6.产权纠纷处理方式：</w:t>
      </w:r>
      <w:r>
        <w:rPr>
          <w:rFonts w:hint="eastAsia"/>
          <w:color w:val="auto"/>
          <w:szCs w:val="21"/>
        </w:rPr>
        <w:t>甲方</w:t>
      </w:r>
      <w:r>
        <w:rPr>
          <w:color w:val="auto"/>
          <w:szCs w:val="21"/>
        </w:rPr>
        <w:t>在中华人民共和国境内使用</w:t>
      </w:r>
      <w:r>
        <w:rPr>
          <w:rFonts w:hint="eastAsia"/>
          <w:color w:val="auto"/>
          <w:szCs w:val="21"/>
        </w:rPr>
        <w:t>乙方</w:t>
      </w:r>
      <w:r>
        <w:rPr>
          <w:color w:val="auto"/>
          <w:szCs w:val="21"/>
        </w:rPr>
        <w:t>提供的产品及服务时免受第三方提出的侵犯其专利权或其它知识产权的起诉。如果第三方提出侵权指控，</w:t>
      </w:r>
      <w:r>
        <w:rPr>
          <w:rFonts w:hint="eastAsia"/>
          <w:color w:val="auto"/>
          <w:szCs w:val="21"/>
        </w:rPr>
        <w:t>乙方</w:t>
      </w:r>
      <w:r>
        <w:rPr>
          <w:color w:val="auto"/>
          <w:szCs w:val="21"/>
        </w:rPr>
        <w:t>应</w:t>
      </w:r>
      <w:r>
        <w:rPr>
          <w:rFonts w:hint="eastAsia"/>
          <w:color w:val="auto"/>
          <w:szCs w:val="21"/>
        </w:rPr>
        <w:t>妥善处理纠纷并</w:t>
      </w:r>
      <w:r>
        <w:rPr>
          <w:color w:val="auto"/>
          <w:szCs w:val="21"/>
        </w:rPr>
        <w:t>承担由此而引起的一切法律责任和费用。</w:t>
      </w:r>
    </w:p>
    <w:bookmarkEnd w:id="122"/>
    <w:p w14:paraId="32831854">
      <w:pPr>
        <w:snapToGrid w:val="0"/>
        <w:spacing w:line="360" w:lineRule="exact"/>
        <w:ind w:firstLine="422" w:firstLineChars="200"/>
        <w:rPr>
          <w:b/>
          <w:color w:val="auto"/>
          <w:szCs w:val="21"/>
        </w:rPr>
      </w:pPr>
      <w:r>
        <w:rPr>
          <w:b/>
          <w:color w:val="auto"/>
          <w:szCs w:val="21"/>
        </w:rPr>
        <w:t>第四条  包装和运输</w:t>
      </w:r>
    </w:p>
    <w:p w14:paraId="6A4926DB">
      <w:pPr>
        <w:pStyle w:val="26"/>
        <w:spacing w:line="300" w:lineRule="exact"/>
        <w:ind w:firstLine="420" w:firstLineChars="200"/>
        <w:rPr>
          <w:rFonts w:ascii="Times New Roman" w:hAnsi="Times New Roman" w:cs="Times New Roman"/>
          <w:color w:val="auto"/>
        </w:rPr>
      </w:pPr>
      <w:bookmarkStart w:id="123" w:name="_Hlk88989517"/>
      <w:r>
        <w:rPr>
          <w:rFonts w:ascii="Times New Roman" w:hAnsi="Times New Roman" w:cs="Times New Roman"/>
          <w:color w:val="auto"/>
        </w:rPr>
        <w:t>1.乙方提供的货物均应按招标文件要求的包装材料、包装标准、包装方式进行包装，每一包装单元内应附详细的装箱单和质量合格证</w:t>
      </w:r>
      <w:r>
        <w:rPr>
          <w:rFonts w:hint="eastAsia" w:ascii="Times New Roman" w:hAnsi="Times New Roman" w:cs="Times New Roman"/>
          <w:color w:val="auto"/>
        </w:rPr>
        <w:t xml:space="preserve">。 </w:t>
      </w:r>
    </w:p>
    <w:p w14:paraId="13647F52">
      <w:pPr>
        <w:pStyle w:val="26"/>
        <w:spacing w:line="300" w:lineRule="exact"/>
        <w:ind w:firstLine="420" w:firstLineChars="200"/>
        <w:rPr>
          <w:rFonts w:ascii="Times New Roman" w:hAnsi="Times New Roman" w:cs="Times New Roman"/>
          <w:color w:val="auto"/>
        </w:rPr>
      </w:pPr>
      <w:r>
        <w:rPr>
          <w:rFonts w:ascii="Times New Roman" w:hAnsi="Times New Roman" w:cs="Times New Roman"/>
          <w:color w:val="auto"/>
        </w:rPr>
        <w:t>2.使用说明书、质量检验证明书、随配附件和工具以及清单一并附于货物内。</w:t>
      </w:r>
    </w:p>
    <w:p w14:paraId="11752583">
      <w:pPr>
        <w:pStyle w:val="26"/>
        <w:snapToGrid w:val="0"/>
        <w:spacing w:line="300" w:lineRule="exact"/>
        <w:ind w:firstLine="420" w:firstLineChars="200"/>
        <w:jc w:val="left"/>
        <w:rPr>
          <w:rFonts w:ascii="Times New Roman" w:hAnsi="Times New Roman" w:cs="Times New Roman"/>
          <w:color w:val="auto"/>
        </w:rPr>
      </w:pPr>
      <w:r>
        <w:rPr>
          <w:rFonts w:hint="eastAsia" w:ascii="Times New Roman" w:hAnsi="Times New Roman" w:cs="Times New Roman"/>
          <w:color w:val="auto"/>
        </w:rPr>
        <w:t>3</w:t>
      </w:r>
      <w:r>
        <w:rPr>
          <w:rFonts w:ascii="Times New Roman" w:hAnsi="Times New Roman" w:cs="Times New Roman"/>
          <w:color w:val="auto"/>
        </w:rPr>
        <w:t>. 乙方应</w:t>
      </w:r>
      <w:r>
        <w:rPr>
          <w:rFonts w:hint="eastAsia" w:ascii="Times New Roman" w:hAnsi="Times New Roman" w:cs="Times New Roman"/>
          <w:color w:val="auto"/>
        </w:rPr>
        <w:t>确保包装要求</w:t>
      </w:r>
      <w:r>
        <w:rPr>
          <w:rFonts w:ascii="Times New Roman" w:hAnsi="Times New Roman" w:cs="Times New Roman"/>
          <w:color w:val="auto"/>
        </w:rPr>
        <w:t>满足运输距离、防潮、防震、防锈和防破损装卸等要求，以保证货物安全运达甲方指定地点。</w:t>
      </w:r>
    </w:p>
    <w:p w14:paraId="562CD952">
      <w:pPr>
        <w:pStyle w:val="26"/>
        <w:spacing w:line="300" w:lineRule="exact"/>
        <w:ind w:firstLine="420" w:firstLineChars="200"/>
        <w:rPr>
          <w:rFonts w:ascii="Times New Roman" w:hAnsi="Times New Roman" w:cs="Times New Roman"/>
          <w:color w:val="auto"/>
        </w:rPr>
      </w:pPr>
      <w:r>
        <w:rPr>
          <w:rFonts w:hint="eastAsia" w:ascii="Times New Roman" w:hAnsi="Times New Roman" w:cs="Times New Roman"/>
          <w:color w:val="auto"/>
        </w:rPr>
        <w:t>4</w:t>
      </w:r>
      <w:r>
        <w:rPr>
          <w:rFonts w:ascii="Times New Roman" w:hAnsi="Times New Roman" w:cs="Times New Roman"/>
          <w:color w:val="auto"/>
        </w:rPr>
        <w:t>.</w:t>
      </w:r>
      <w:r>
        <w:rPr>
          <w:rFonts w:hint="eastAsia" w:ascii="Times New Roman" w:hAnsi="Times New Roman" w:cs="Times New Roman"/>
          <w:color w:val="auto"/>
        </w:rPr>
        <w:t>乙方提供的货物包装及快递包装应满足《财政部等三部门联合印发商品包装和快递包装政府采购需求标准（试行）》财办库【2020】123号文要求。</w:t>
      </w:r>
    </w:p>
    <w:p w14:paraId="119A0A9D">
      <w:pPr>
        <w:pStyle w:val="26"/>
        <w:snapToGrid w:val="0"/>
        <w:spacing w:line="300" w:lineRule="exact"/>
        <w:ind w:firstLine="420" w:firstLineChars="200"/>
        <w:jc w:val="left"/>
        <w:rPr>
          <w:rFonts w:ascii="Times New Roman" w:hAnsi="Times New Roman" w:cs="Times New Roman"/>
          <w:color w:val="auto"/>
        </w:rPr>
      </w:pPr>
      <w:r>
        <w:rPr>
          <w:rFonts w:hint="eastAsia" w:ascii="Times New Roman" w:hAnsi="Times New Roman" w:cs="Times New Roman"/>
          <w:color w:val="auto"/>
        </w:rPr>
        <w:t>5</w:t>
      </w:r>
      <w:r>
        <w:rPr>
          <w:rFonts w:ascii="Times New Roman" w:hAnsi="Times New Roman" w:cs="Times New Roman"/>
          <w:color w:val="auto"/>
        </w:rPr>
        <w:t>. 乙方在货物发运手续办理完毕后二十四小时内或货到甲方四十八小时前通知甲方，以准备</w:t>
      </w:r>
      <w:r>
        <w:rPr>
          <w:rFonts w:hint="eastAsia" w:ascii="Times New Roman" w:hAnsi="Times New Roman" w:cs="Times New Roman"/>
          <w:color w:val="auto"/>
        </w:rPr>
        <w:t>交付</w:t>
      </w:r>
      <w:r>
        <w:rPr>
          <w:rFonts w:ascii="Times New Roman" w:hAnsi="Times New Roman" w:cs="Times New Roman"/>
          <w:color w:val="auto"/>
        </w:rPr>
        <w:t>。</w:t>
      </w:r>
    </w:p>
    <w:p w14:paraId="5D95EB1F">
      <w:pPr>
        <w:pStyle w:val="26"/>
        <w:spacing w:line="300" w:lineRule="exact"/>
        <w:ind w:firstLine="420" w:firstLineChars="200"/>
        <w:rPr>
          <w:rFonts w:ascii="Times New Roman" w:hAnsi="Times New Roman" w:cs="Times New Roman"/>
          <w:color w:val="auto"/>
        </w:rPr>
      </w:pPr>
      <w:r>
        <w:rPr>
          <w:rFonts w:hint="eastAsia" w:ascii="Times New Roman" w:hAnsi="Times New Roman" w:cs="Times New Roman"/>
          <w:color w:val="auto"/>
        </w:rPr>
        <w:t>6</w:t>
      </w:r>
      <w:r>
        <w:rPr>
          <w:rFonts w:ascii="Times New Roman" w:hAnsi="Times New Roman" w:cs="Times New Roman"/>
          <w:color w:val="auto"/>
        </w:rPr>
        <w:t>.货物的运输方式：</w:t>
      </w:r>
      <w:r>
        <w:rPr>
          <w:rFonts w:ascii="Times New Roman" w:hAnsi="Times New Roman" w:cs="Times New Roman"/>
          <w:color w:val="auto"/>
          <w:u w:val="single"/>
        </w:rPr>
        <w:t>乙方自定</w:t>
      </w:r>
      <w:r>
        <w:rPr>
          <w:rFonts w:ascii="Times New Roman" w:hAnsi="Times New Roman" w:cs="Times New Roman"/>
          <w:color w:val="auto"/>
        </w:rPr>
        <w:t>。</w:t>
      </w:r>
    </w:p>
    <w:p w14:paraId="5B69E60B">
      <w:pPr>
        <w:pStyle w:val="26"/>
        <w:spacing w:line="300" w:lineRule="exact"/>
        <w:ind w:firstLine="420" w:firstLineChars="200"/>
        <w:rPr>
          <w:rFonts w:ascii="Times New Roman" w:hAnsi="Times New Roman" w:cs="Times New Roman"/>
          <w:color w:val="auto"/>
        </w:rPr>
      </w:pPr>
      <w:r>
        <w:rPr>
          <w:rFonts w:hint="eastAsia" w:ascii="Times New Roman" w:hAnsi="Times New Roman" w:cs="Times New Roman"/>
          <w:color w:val="auto"/>
        </w:rPr>
        <w:t>7</w:t>
      </w:r>
      <w:r>
        <w:rPr>
          <w:rFonts w:ascii="Times New Roman" w:hAnsi="Times New Roman" w:cs="Times New Roman"/>
          <w:color w:val="auto"/>
        </w:rPr>
        <w:t>.乙方负责货物运输，货物运输合理损耗及计算方法：</w:t>
      </w:r>
      <w:r>
        <w:rPr>
          <w:rFonts w:ascii="Times New Roman" w:hAnsi="Times New Roman" w:cs="Times New Roman"/>
          <w:color w:val="auto"/>
          <w:u w:val="single"/>
        </w:rPr>
        <w:t xml:space="preserve">由乙方负责 </w:t>
      </w:r>
      <w:r>
        <w:rPr>
          <w:rFonts w:ascii="Times New Roman" w:hAnsi="Times New Roman" w:cs="Times New Roman"/>
          <w:color w:val="auto"/>
        </w:rPr>
        <w:t>。</w:t>
      </w:r>
    </w:p>
    <w:p w14:paraId="08AB0F6A">
      <w:pPr>
        <w:pStyle w:val="26"/>
        <w:spacing w:line="300" w:lineRule="exact"/>
        <w:ind w:firstLine="420" w:firstLineChars="200"/>
        <w:rPr>
          <w:rFonts w:ascii="Times New Roman" w:hAnsi="Times New Roman" w:cs="Times New Roman"/>
          <w:color w:val="auto"/>
        </w:rPr>
      </w:pPr>
      <w:bookmarkStart w:id="124" w:name="_Hlk60654270"/>
      <w:r>
        <w:rPr>
          <w:rFonts w:hint="eastAsia" w:ascii="Times New Roman" w:hAnsi="Times New Roman" w:cs="Times New Roman"/>
          <w:color w:val="auto"/>
        </w:rPr>
        <w:t>8</w:t>
      </w:r>
      <w:r>
        <w:rPr>
          <w:rFonts w:ascii="Times New Roman" w:hAnsi="Times New Roman" w:cs="Times New Roman"/>
          <w:color w:val="auto"/>
        </w:rPr>
        <w:t xml:space="preserve"> 货物在交付甲方前发生的风险均由乙方负责。</w:t>
      </w:r>
    </w:p>
    <w:p w14:paraId="257AF9B3">
      <w:pPr>
        <w:pStyle w:val="26"/>
        <w:snapToGrid w:val="0"/>
        <w:spacing w:line="300" w:lineRule="exact"/>
        <w:ind w:firstLine="420" w:firstLineChars="200"/>
        <w:jc w:val="left"/>
        <w:rPr>
          <w:rFonts w:ascii="Times New Roman" w:hAnsi="Times New Roman" w:cs="Times New Roman"/>
          <w:color w:val="auto"/>
        </w:rPr>
      </w:pPr>
      <w:r>
        <w:rPr>
          <w:rFonts w:hint="eastAsia" w:ascii="Times New Roman" w:hAnsi="Times New Roman" w:cs="Times New Roman"/>
          <w:color w:val="auto"/>
        </w:rPr>
        <w:t>9</w:t>
      </w:r>
      <w:r>
        <w:rPr>
          <w:rFonts w:ascii="Times New Roman" w:hAnsi="Times New Roman" w:cs="Times New Roman"/>
          <w:color w:val="auto"/>
        </w:rPr>
        <w:t>. 货物在规定的交付期限内由乙方送达甲方指定的地点并</w:t>
      </w:r>
      <w:r>
        <w:rPr>
          <w:rFonts w:hint="eastAsia" w:ascii="Times New Roman" w:hAnsi="Times New Roman" w:cs="Times New Roman"/>
          <w:color w:val="auto"/>
        </w:rPr>
        <w:t>到货</w:t>
      </w:r>
      <w:r>
        <w:rPr>
          <w:rFonts w:ascii="Times New Roman" w:hAnsi="Times New Roman" w:cs="Times New Roman"/>
          <w:color w:val="auto"/>
        </w:rPr>
        <w:t>验收合格后视为交付，乙方同时需通知甲方货物已送达。</w:t>
      </w:r>
    </w:p>
    <w:bookmarkEnd w:id="123"/>
    <w:bookmarkEnd w:id="124"/>
    <w:p w14:paraId="79CA1799">
      <w:pPr>
        <w:snapToGrid w:val="0"/>
        <w:spacing w:line="360" w:lineRule="exact"/>
        <w:ind w:firstLine="422" w:firstLineChars="200"/>
        <w:rPr>
          <w:color w:val="auto"/>
          <w:szCs w:val="21"/>
        </w:rPr>
      </w:pPr>
      <w:r>
        <w:rPr>
          <w:b/>
          <w:color w:val="auto"/>
          <w:szCs w:val="21"/>
        </w:rPr>
        <w:t>第五条  交付和验收</w:t>
      </w:r>
    </w:p>
    <w:p w14:paraId="58F84509">
      <w:pPr>
        <w:snapToGrid w:val="0"/>
        <w:spacing w:line="300" w:lineRule="exact"/>
        <w:ind w:firstLine="420" w:firstLineChars="200"/>
        <w:rPr>
          <w:color w:val="auto"/>
          <w:szCs w:val="21"/>
        </w:rPr>
      </w:pPr>
      <w:r>
        <w:rPr>
          <w:color w:val="auto"/>
          <w:szCs w:val="21"/>
        </w:rPr>
        <w:t>1.交付</w:t>
      </w:r>
      <w:r>
        <w:rPr>
          <w:rFonts w:hint="eastAsia"/>
          <w:color w:val="auto"/>
          <w:szCs w:val="21"/>
        </w:rPr>
        <w:t>及</w:t>
      </w:r>
      <w:r>
        <w:rPr>
          <w:color w:val="auto"/>
          <w:szCs w:val="21"/>
        </w:rPr>
        <w:t>使用时间：</w:t>
      </w:r>
      <w:r>
        <w:rPr>
          <w:color w:val="auto"/>
          <w:szCs w:val="21"/>
          <w:u w:val="single"/>
        </w:rPr>
        <w:t>按乙方投标文件中所承诺的时间</w:t>
      </w:r>
      <w:r>
        <w:rPr>
          <w:color w:val="auto"/>
          <w:szCs w:val="21"/>
        </w:rPr>
        <w:t>；地点：</w:t>
      </w:r>
      <w:r>
        <w:rPr>
          <w:color w:val="auto"/>
          <w:szCs w:val="21"/>
          <w:u w:val="single"/>
        </w:rPr>
        <w:t xml:space="preserve"> 甲方指定地点。</w:t>
      </w:r>
    </w:p>
    <w:p w14:paraId="477D5F3C">
      <w:pPr>
        <w:snapToGrid w:val="0"/>
        <w:spacing w:line="300" w:lineRule="exact"/>
        <w:ind w:firstLine="420" w:firstLineChars="200"/>
        <w:rPr>
          <w:color w:val="auto"/>
        </w:rPr>
      </w:pPr>
      <w:bookmarkStart w:id="125" w:name="_Hlk88989539"/>
      <w:r>
        <w:rPr>
          <w:color w:val="auto"/>
        </w:rPr>
        <w:t>2.</w:t>
      </w:r>
      <w:r>
        <w:rPr>
          <w:rFonts w:hint="eastAsia"/>
          <w:color w:val="auto"/>
        </w:rPr>
        <w:t>交付标准：</w:t>
      </w:r>
      <w:r>
        <w:rPr>
          <w:color w:val="auto"/>
        </w:rPr>
        <w:t>乙方交</w:t>
      </w:r>
      <w:r>
        <w:rPr>
          <w:rFonts w:hint="eastAsia"/>
          <w:color w:val="auto"/>
        </w:rPr>
        <w:t>付</w:t>
      </w:r>
      <w:r>
        <w:rPr>
          <w:color w:val="auto"/>
        </w:rPr>
        <w:t>前应对</w:t>
      </w:r>
      <w:r>
        <w:rPr>
          <w:rFonts w:hint="eastAsia"/>
          <w:color w:val="auto"/>
        </w:rPr>
        <w:t>货物</w:t>
      </w:r>
      <w:r>
        <w:rPr>
          <w:color w:val="auto"/>
        </w:rPr>
        <w:t>作出全面检查</w:t>
      </w:r>
      <w:r>
        <w:rPr>
          <w:rFonts w:hint="eastAsia"/>
          <w:color w:val="auto"/>
        </w:rPr>
        <w:t>后</w:t>
      </w:r>
      <w:r>
        <w:rPr>
          <w:color w:val="auto"/>
        </w:rPr>
        <w:t>，</w:t>
      </w:r>
      <w:r>
        <w:rPr>
          <w:color w:val="auto"/>
          <w:szCs w:val="21"/>
        </w:rPr>
        <w:t>将</w:t>
      </w:r>
      <w:r>
        <w:rPr>
          <w:rFonts w:hint="eastAsia"/>
          <w:color w:val="auto"/>
          <w:szCs w:val="21"/>
        </w:rPr>
        <w:t>符合合同文件要求的货物与相关</w:t>
      </w:r>
      <w:r>
        <w:rPr>
          <w:color w:val="auto"/>
          <w:szCs w:val="21"/>
        </w:rPr>
        <w:t>的装箱清单、用户手册、保修卡</w:t>
      </w:r>
      <w:r>
        <w:rPr>
          <w:rFonts w:hint="eastAsia"/>
          <w:color w:val="auto"/>
          <w:szCs w:val="21"/>
        </w:rPr>
        <w:t>等单证和</w:t>
      </w:r>
      <w:r>
        <w:rPr>
          <w:color w:val="auto"/>
          <w:szCs w:val="21"/>
        </w:rPr>
        <w:t>资料、工具和备品备件等</w:t>
      </w:r>
      <w:r>
        <w:rPr>
          <w:rFonts w:hint="eastAsia"/>
          <w:color w:val="auto"/>
          <w:szCs w:val="21"/>
        </w:rPr>
        <w:t>一同</w:t>
      </w:r>
      <w:r>
        <w:rPr>
          <w:color w:val="auto"/>
          <w:szCs w:val="21"/>
        </w:rPr>
        <w:t>交付给甲方。</w:t>
      </w:r>
    </w:p>
    <w:p w14:paraId="2FBB4907">
      <w:pPr>
        <w:snapToGrid w:val="0"/>
        <w:spacing w:line="300" w:lineRule="exact"/>
        <w:ind w:firstLine="420" w:firstLineChars="200"/>
        <w:rPr>
          <w:color w:val="auto"/>
        </w:rPr>
      </w:pPr>
      <w:r>
        <w:rPr>
          <w:rFonts w:hint="eastAsia"/>
          <w:color w:val="auto"/>
        </w:rPr>
        <w:t>3</w:t>
      </w:r>
      <w:r>
        <w:rPr>
          <w:color w:val="auto"/>
        </w:rPr>
        <w:t>.</w:t>
      </w:r>
      <w:r>
        <w:rPr>
          <w:rFonts w:hint="eastAsia"/>
          <w:color w:val="auto"/>
        </w:rPr>
        <w:t>验收程序：验收一般分为到货验收、初步验收及最终验收三次单项验收。经甲方同意，单项验收可以部分或全部合并进行。本项目采用的验收方式为：到货验收、初步验收、最终验收。</w:t>
      </w:r>
    </w:p>
    <w:p w14:paraId="3EED6F47">
      <w:pPr>
        <w:snapToGrid w:val="0"/>
        <w:spacing w:line="300" w:lineRule="exact"/>
        <w:ind w:firstLine="420" w:firstLineChars="200"/>
        <w:rPr>
          <w:color w:val="auto"/>
        </w:rPr>
      </w:pPr>
      <w:r>
        <w:rPr>
          <w:rFonts w:hint="eastAsia"/>
          <w:color w:val="auto"/>
        </w:rPr>
        <w:t>（1）到货验收：</w:t>
      </w:r>
      <w:r>
        <w:rPr>
          <w:color w:val="auto"/>
        </w:rPr>
        <w:t>甲方</w:t>
      </w:r>
      <w:r>
        <w:rPr>
          <w:rFonts w:hint="eastAsia"/>
          <w:color w:val="auto"/>
        </w:rPr>
        <w:t>在接到</w:t>
      </w:r>
      <w:r>
        <w:rPr>
          <w:color w:val="auto"/>
        </w:rPr>
        <w:t>乙方</w:t>
      </w:r>
      <w:r>
        <w:rPr>
          <w:rFonts w:hint="eastAsia"/>
          <w:color w:val="auto"/>
        </w:rPr>
        <w:t>通知后对交付</w:t>
      </w:r>
      <w:r>
        <w:rPr>
          <w:color w:val="auto"/>
        </w:rPr>
        <w:t>的货物依据</w:t>
      </w:r>
      <w:r>
        <w:rPr>
          <w:rFonts w:hint="eastAsia"/>
          <w:color w:val="auto"/>
        </w:rPr>
        <w:t>验收标准</w:t>
      </w:r>
      <w:r>
        <w:rPr>
          <w:color w:val="auto"/>
        </w:rPr>
        <w:t>进行</w:t>
      </w:r>
      <w:r>
        <w:rPr>
          <w:rFonts w:hint="eastAsia"/>
          <w:color w:val="auto"/>
        </w:rPr>
        <w:t>到货验收</w:t>
      </w:r>
      <w:r>
        <w:rPr>
          <w:color w:val="auto"/>
        </w:rPr>
        <w:t>，</w:t>
      </w:r>
      <w:r>
        <w:rPr>
          <w:rFonts w:hint="eastAsia"/>
          <w:color w:val="auto"/>
        </w:rPr>
        <w:t>对品牌、规格型号、</w:t>
      </w:r>
      <w:r>
        <w:rPr>
          <w:color w:val="auto"/>
        </w:rPr>
        <w:t>外观、</w:t>
      </w:r>
      <w:r>
        <w:rPr>
          <w:rFonts w:hint="eastAsia"/>
          <w:color w:val="auto"/>
        </w:rPr>
        <w:t>有关资料及备品备件、包装要求</w:t>
      </w:r>
      <w:r>
        <w:rPr>
          <w:color w:val="auto"/>
        </w:rPr>
        <w:t>符合招标文件</w:t>
      </w:r>
      <w:r>
        <w:rPr>
          <w:rFonts w:hint="eastAsia"/>
          <w:color w:val="auto"/>
        </w:rPr>
        <w:t>及合同</w:t>
      </w:r>
      <w:r>
        <w:rPr>
          <w:color w:val="auto"/>
        </w:rPr>
        <w:t>要求的，</w:t>
      </w:r>
      <w:r>
        <w:rPr>
          <w:rFonts w:hint="eastAsia"/>
          <w:color w:val="auto"/>
        </w:rPr>
        <w:t>视为到货验收合格</w:t>
      </w:r>
      <w:r>
        <w:rPr>
          <w:color w:val="auto"/>
        </w:rPr>
        <w:t>给予签收</w:t>
      </w:r>
      <w:r>
        <w:rPr>
          <w:rFonts w:hint="eastAsia"/>
          <w:color w:val="auto"/>
        </w:rPr>
        <w:t>。</w:t>
      </w:r>
    </w:p>
    <w:p w14:paraId="35D2D98D">
      <w:pPr>
        <w:pStyle w:val="26"/>
        <w:snapToGrid w:val="0"/>
        <w:spacing w:line="300" w:lineRule="exact"/>
        <w:ind w:firstLine="420" w:firstLineChars="200"/>
        <w:jc w:val="left"/>
        <w:rPr>
          <w:rFonts w:ascii="Times New Roman" w:hAnsi="Times New Roman" w:cs="Times New Roman"/>
          <w:color w:val="auto"/>
        </w:rPr>
      </w:pPr>
      <w:r>
        <w:rPr>
          <w:rFonts w:hint="eastAsia" w:ascii="Times New Roman" w:hAnsi="Times New Roman" w:cs="Times New Roman"/>
          <w:color w:val="auto"/>
        </w:rPr>
        <w:t>（2）初步验收：货物需进行安装调试的，应在安装调试后进行初步验收。</w:t>
      </w:r>
      <w:r>
        <w:rPr>
          <w:rFonts w:ascii="Times New Roman" w:hAnsi="Times New Roman" w:cs="Times New Roman"/>
          <w:color w:val="auto"/>
        </w:rPr>
        <w:t xml:space="preserve"> </w:t>
      </w:r>
      <w:r>
        <w:rPr>
          <w:rFonts w:hint="eastAsia" w:ascii="Times New Roman" w:hAnsi="Times New Roman" w:cs="Times New Roman"/>
          <w:color w:val="auto"/>
        </w:rPr>
        <w:t>甲方</w:t>
      </w:r>
      <w:r>
        <w:rPr>
          <w:rFonts w:ascii="Times New Roman" w:hAnsi="Times New Roman" w:cs="Times New Roman"/>
          <w:color w:val="auto"/>
        </w:rPr>
        <w:t>在</w:t>
      </w:r>
      <w:r>
        <w:rPr>
          <w:rFonts w:hint="eastAsia" w:ascii="Times New Roman" w:hAnsi="Times New Roman" w:cs="Times New Roman"/>
          <w:color w:val="auto"/>
        </w:rPr>
        <w:t>接到</w:t>
      </w:r>
      <w:r>
        <w:rPr>
          <w:rFonts w:ascii="Times New Roman" w:hAnsi="Times New Roman" w:cs="Times New Roman"/>
          <w:color w:val="auto"/>
        </w:rPr>
        <w:t>乙方通知</w:t>
      </w:r>
      <w:r>
        <w:rPr>
          <w:rFonts w:hint="eastAsia" w:ascii="Times New Roman" w:hAnsi="Times New Roman" w:cs="Times New Roman"/>
          <w:color w:val="auto"/>
        </w:rPr>
        <w:t>后进行</w:t>
      </w:r>
      <w:r>
        <w:rPr>
          <w:rFonts w:ascii="Times New Roman" w:hAnsi="Times New Roman" w:cs="Times New Roman"/>
          <w:color w:val="auto"/>
        </w:rPr>
        <w:t>初步验收</w:t>
      </w:r>
      <w:r>
        <w:rPr>
          <w:rFonts w:hint="eastAsia"/>
          <w:color w:val="auto"/>
        </w:rPr>
        <w:t>。</w:t>
      </w:r>
    </w:p>
    <w:p w14:paraId="74F0B921">
      <w:pPr>
        <w:snapToGrid w:val="0"/>
        <w:spacing w:line="300" w:lineRule="exact"/>
        <w:ind w:firstLine="420" w:firstLineChars="200"/>
        <w:rPr>
          <w:rStyle w:val="58"/>
          <w:color w:val="auto"/>
        </w:rPr>
      </w:pPr>
      <w:r>
        <w:rPr>
          <w:rFonts w:hint="eastAsia"/>
          <w:color w:val="auto"/>
        </w:rPr>
        <w:t>（3）最终验收：货物满足合同交付标准后，依照本合同验收标准进行最终验收。甲方在乙方通知后进行最终验收。</w:t>
      </w:r>
    </w:p>
    <w:p w14:paraId="51FB2F0F">
      <w:pPr>
        <w:snapToGrid w:val="0"/>
        <w:spacing w:line="300" w:lineRule="exact"/>
        <w:ind w:firstLine="420" w:firstLineChars="200"/>
        <w:rPr>
          <w:color w:val="auto"/>
        </w:rPr>
      </w:pPr>
      <w:r>
        <w:rPr>
          <w:color w:val="auto"/>
        </w:rPr>
        <w:t>4</w:t>
      </w:r>
      <w:r>
        <w:rPr>
          <w:rFonts w:hint="eastAsia"/>
          <w:color w:val="auto"/>
        </w:rPr>
        <w:t>.</w:t>
      </w:r>
      <w:r>
        <w:rPr>
          <w:color w:val="auto"/>
        </w:rPr>
        <w:t>验收标准：按国家有关</w:t>
      </w:r>
      <w:r>
        <w:rPr>
          <w:rFonts w:hint="eastAsia"/>
          <w:color w:val="auto"/>
        </w:rPr>
        <w:t>标准</w:t>
      </w:r>
      <w:r>
        <w:rPr>
          <w:color w:val="auto"/>
        </w:rPr>
        <w:t>以及甲方招标文件的</w:t>
      </w:r>
      <w:r>
        <w:rPr>
          <w:rFonts w:hint="eastAsia"/>
          <w:color w:val="auto"/>
        </w:rPr>
        <w:t>采购需求</w:t>
      </w:r>
      <w:r>
        <w:rPr>
          <w:color w:val="auto"/>
        </w:rPr>
        <w:t>、乙方的投标文件</w:t>
      </w:r>
      <w:r>
        <w:rPr>
          <w:rFonts w:hint="eastAsia"/>
          <w:color w:val="auto"/>
        </w:rPr>
        <w:t>响应</w:t>
      </w:r>
      <w:r>
        <w:rPr>
          <w:color w:val="auto"/>
        </w:rPr>
        <w:t>及承诺与本合同约定进行验收；</w:t>
      </w:r>
      <w:r>
        <w:rPr>
          <w:rFonts w:hint="eastAsia"/>
          <w:color w:val="auto"/>
        </w:rPr>
        <w:t>上述标准如</w:t>
      </w:r>
      <w:r>
        <w:rPr>
          <w:color w:val="auto"/>
        </w:rPr>
        <w:t>有</w:t>
      </w:r>
      <w:r>
        <w:rPr>
          <w:rFonts w:hint="eastAsia"/>
          <w:color w:val="auto"/>
        </w:rPr>
        <w:t>不一致事项</w:t>
      </w:r>
      <w:r>
        <w:rPr>
          <w:color w:val="auto"/>
        </w:rPr>
        <w:t>，</w:t>
      </w:r>
      <w:r>
        <w:rPr>
          <w:rFonts w:hint="eastAsia"/>
          <w:color w:val="auto"/>
        </w:rPr>
        <w:t>以</w:t>
      </w:r>
      <w:r>
        <w:rPr>
          <w:color w:val="auto"/>
        </w:rPr>
        <w:t>招标</w:t>
      </w:r>
      <w:r>
        <w:rPr>
          <w:rFonts w:hint="eastAsia"/>
          <w:color w:val="auto"/>
        </w:rPr>
        <w:t>文件</w:t>
      </w:r>
      <w:r>
        <w:rPr>
          <w:color w:val="auto"/>
        </w:rPr>
        <w:t>与投标文件中</w:t>
      </w:r>
      <w:r>
        <w:rPr>
          <w:rFonts w:hint="eastAsia"/>
          <w:color w:val="auto"/>
        </w:rPr>
        <w:t>对应要求或指标中</w:t>
      </w:r>
      <w:r>
        <w:rPr>
          <w:color w:val="auto"/>
        </w:rPr>
        <w:t>较优</w:t>
      </w:r>
      <w:r>
        <w:rPr>
          <w:rFonts w:hint="eastAsia"/>
          <w:color w:val="auto"/>
        </w:rPr>
        <w:t>作为验收标准。如果货物中有执行国家强制标准的，则验收标准不得低于国家强制标准。</w:t>
      </w:r>
    </w:p>
    <w:p w14:paraId="2C4926E5">
      <w:pPr>
        <w:pStyle w:val="26"/>
        <w:snapToGrid w:val="0"/>
        <w:spacing w:line="300" w:lineRule="exact"/>
        <w:ind w:firstLine="420" w:firstLineChars="200"/>
        <w:jc w:val="left"/>
        <w:rPr>
          <w:color w:val="auto"/>
        </w:rPr>
      </w:pPr>
      <w:r>
        <w:rPr>
          <w:rFonts w:ascii="Times New Roman" w:hAnsi="Times New Roman" w:cs="Times New Roman"/>
          <w:color w:val="auto"/>
        </w:rPr>
        <w:t>5.</w:t>
      </w:r>
      <w:r>
        <w:rPr>
          <w:rFonts w:hint="eastAsia" w:ascii="Times New Roman" w:hAnsi="Times New Roman" w:cs="Times New Roman"/>
          <w:color w:val="auto"/>
        </w:rPr>
        <w:t>验收地点及验收期限：到货验收地点为货物交付地点，其他验收地点为货物使用或安装地点；</w:t>
      </w:r>
      <w:r>
        <w:rPr>
          <w:rFonts w:hint="eastAsia"/>
          <w:color w:val="auto"/>
        </w:rPr>
        <w:t>各单项验收应在甲方收到乙方的书面验收申请后</w:t>
      </w:r>
      <w:r>
        <w:rPr>
          <w:color w:val="auto"/>
          <w:u w:val="single"/>
        </w:rPr>
        <w:t>5</w:t>
      </w:r>
      <w:r>
        <w:rPr>
          <w:rFonts w:hint="eastAsia"/>
          <w:color w:val="auto"/>
        </w:rPr>
        <w:t>个工作日内组织。乙方在提出验收申请时，应确保已具备验收条件。</w:t>
      </w:r>
      <w:r>
        <w:rPr>
          <w:color w:val="auto"/>
        </w:rPr>
        <w:t>甲方</w:t>
      </w:r>
      <w:r>
        <w:rPr>
          <w:rFonts w:hint="eastAsia"/>
          <w:color w:val="auto"/>
        </w:rPr>
        <w:t>收到乙方书面通知后</w:t>
      </w:r>
      <w:r>
        <w:rPr>
          <w:color w:val="auto"/>
        </w:rPr>
        <w:t>无故不进行验收工作</w:t>
      </w:r>
      <w:r>
        <w:rPr>
          <w:rFonts w:hint="eastAsia"/>
          <w:color w:val="auto"/>
        </w:rPr>
        <w:t>的，验收期限结束之日起视为当次单项验收合格。</w:t>
      </w:r>
    </w:p>
    <w:p w14:paraId="0D65EDDF">
      <w:pPr>
        <w:pStyle w:val="26"/>
        <w:snapToGrid w:val="0"/>
        <w:spacing w:line="300" w:lineRule="exact"/>
        <w:ind w:firstLine="420" w:firstLineChars="200"/>
        <w:jc w:val="left"/>
        <w:rPr>
          <w:color w:val="auto"/>
        </w:rPr>
      </w:pPr>
      <w:r>
        <w:rPr>
          <w:rFonts w:ascii="Times New Roman" w:hAnsi="Times New Roman" w:cs="Times New Roman"/>
          <w:color w:val="auto"/>
        </w:rPr>
        <w:t>6</w:t>
      </w:r>
      <w:r>
        <w:rPr>
          <w:rFonts w:hint="eastAsia" w:ascii="Times New Roman" w:hAnsi="Times New Roman" w:cs="Times New Roman"/>
          <w:color w:val="auto"/>
        </w:rPr>
        <w:t>.</w:t>
      </w:r>
      <w:r>
        <w:rPr>
          <w:rFonts w:ascii="Times New Roman" w:hAnsi="Times New Roman" w:cs="Times New Roman"/>
          <w:color w:val="auto"/>
        </w:rPr>
        <w:t>验收</w:t>
      </w:r>
      <w:r>
        <w:rPr>
          <w:rFonts w:hint="eastAsia" w:ascii="Times New Roman" w:hAnsi="Times New Roman" w:cs="Times New Roman"/>
          <w:color w:val="auto"/>
        </w:rPr>
        <w:t>结果：在任一单项验收环节，甲、乙双方代表均应在场，交付的货物及相关资料、备品备件等符合验收标准的为单项验收合格，不符合验收标准的为单项验收不合格。验收结果由甲方出具</w:t>
      </w:r>
      <w:r>
        <w:rPr>
          <w:color w:val="auto"/>
        </w:rPr>
        <w:t>验收结果报告</w:t>
      </w:r>
      <w:r>
        <w:rPr>
          <w:rFonts w:hint="eastAsia"/>
          <w:color w:val="auto"/>
        </w:rPr>
        <w:t>或</w:t>
      </w:r>
      <w:r>
        <w:rPr>
          <w:color w:val="auto"/>
        </w:rPr>
        <w:t>验收书</w:t>
      </w:r>
      <w:r>
        <w:rPr>
          <w:rFonts w:hint="eastAsia"/>
          <w:color w:val="auto"/>
        </w:rPr>
        <w:t>，</w:t>
      </w:r>
      <w:r>
        <w:rPr>
          <w:color w:val="auto"/>
        </w:rPr>
        <w:t>列明各项标准的验收情况</w:t>
      </w:r>
      <w:r>
        <w:rPr>
          <w:rFonts w:hint="eastAsia"/>
          <w:color w:val="auto"/>
        </w:rPr>
        <w:t>，由甲、乙双方代表共同签字确认并加盖甲方公章</w:t>
      </w:r>
      <w:r>
        <w:rPr>
          <w:color w:val="auto"/>
        </w:rPr>
        <w:t>，甲乙双方各执一份</w:t>
      </w:r>
      <w:r>
        <w:rPr>
          <w:rFonts w:hint="eastAsia"/>
          <w:color w:val="auto"/>
        </w:rPr>
        <w:t>。验收结果报告或验收书经双方代表签字后即视为验收结果已通知甲、乙双方。如乙方对验收结果有异议的，应在验收现场以书面的形式出具说明，否则视为认可验收结果。</w:t>
      </w:r>
    </w:p>
    <w:p w14:paraId="1A632CDA">
      <w:pPr>
        <w:pStyle w:val="26"/>
        <w:snapToGrid w:val="0"/>
        <w:spacing w:line="300" w:lineRule="exact"/>
        <w:ind w:firstLine="420" w:firstLineChars="200"/>
        <w:jc w:val="left"/>
        <w:rPr>
          <w:color w:val="auto"/>
        </w:rPr>
      </w:pPr>
      <w:r>
        <w:rPr>
          <w:rFonts w:ascii="Times New Roman" w:hAnsi="Times New Roman" w:cs="Times New Roman"/>
          <w:color w:val="auto"/>
        </w:rPr>
        <w:t>7.</w:t>
      </w:r>
      <w:r>
        <w:rPr>
          <w:rFonts w:hint="eastAsia" w:ascii="Times New Roman" w:hAnsi="Times New Roman" w:cs="Times New Roman"/>
          <w:color w:val="auto"/>
        </w:rPr>
        <w:t>不予签收或单项验收不合格的，</w:t>
      </w:r>
      <w:r>
        <w:rPr>
          <w:rFonts w:hint="eastAsia"/>
          <w:color w:val="auto"/>
        </w:rPr>
        <w:t>乙方应在不同验收阶段的当次验收后</w:t>
      </w:r>
      <w:r>
        <w:rPr>
          <w:color w:val="auto"/>
          <w:u w:val="single"/>
        </w:rPr>
        <w:t>5</w:t>
      </w:r>
      <w:r>
        <w:rPr>
          <w:rFonts w:hint="eastAsia"/>
          <w:color w:val="auto"/>
        </w:rPr>
        <w:t>个工作日内就不符合要求项以补充、更换、修理等甲方认可的方式进行整改并重新验收，未按时进行整改或整改后重新验收仍不合格的</w:t>
      </w:r>
      <w:r>
        <w:rPr>
          <w:color w:val="auto"/>
        </w:rPr>
        <w:t>视为逾期交货</w:t>
      </w:r>
      <w:r>
        <w:rPr>
          <w:rFonts w:hint="eastAsia"/>
          <w:color w:val="auto"/>
        </w:rPr>
        <w:t>，逾期交货最长不得超过</w:t>
      </w:r>
      <w:r>
        <w:rPr>
          <w:color w:val="auto"/>
          <w:u w:val="single"/>
        </w:rPr>
        <w:t>30</w:t>
      </w:r>
      <w:r>
        <w:rPr>
          <w:rFonts w:hint="eastAsia"/>
          <w:color w:val="auto"/>
        </w:rPr>
        <w:t>日，超过</w:t>
      </w:r>
      <w:r>
        <w:rPr>
          <w:color w:val="auto"/>
          <w:u w:val="single"/>
        </w:rPr>
        <w:t>30</w:t>
      </w:r>
      <w:r>
        <w:rPr>
          <w:rFonts w:hint="eastAsia"/>
          <w:color w:val="auto"/>
        </w:rPr>
        <w:t>日则视为最终验收不合格</w:t>
      </w:r>
      <w:r>
        <w:rPr>
          <w:color w:val="auto"/>
        </w:rPr>
        <w:t>。</w:t>
      </w:r>
      <w:r>
        <w:rPr>
          <w:rFonts w:hint="eastAsia"/>
          <w:color w:val="auto"/>
        </w:rPr>
        <w:t>逾期交货不影响本条第1款约定的使用时间。</w:t>
      </w:r>
    </w:p>
    <w:p w14:paraId="69BC5A72">
      <w:pPr>
        <w:snapToGrid w:val="0"/>
        <w:spacing w:line="300" w:lineRule="exact"/>
        <w:ind w:firstLine="420" w:firstLineChars="200"/>
        <w:rPr>
          <w:color w:val="auto"/>
          <w:szCs w:val="21"/>
        </w:rPr>
      </w:pPr>
      <w:r>
        <w:rPr>
          <w:color w:val="auto"/>
        </w:rPr>
        <w:t>8.甲方</w:t>
      </w:r>
      <w:r>
        <w:rPr>
          <w:rFonts w:hint="eastAsia"/>
          <w:color w:val="auto"/>
        </w:rPr>
        <w:t>有权委托第三方机构组织验收</w:t>
      </w:r>
      <w:r>
        <w:rPr>
          <w:color w:val="auto"/>
        </w:rPr>
        <w:t>，</w:t>
      </w:r>
      <w:r>
        <w:rPr>
          <w:rFonts w:hint="eastAsia"/>
          <w:color w:val="auto"/>
        </w:rPr>
        <w:t>验收按上述规定执行，</w:t>
      </w:r>
      <w:r>
        <w:rPr>
          <w:color w:val="auto"/>
        </w:rPr>
        <w:t>乙方</w:t>
      </w:r>
      <w:r>
        <w:rPr>
          <w:rFonts w:hint="eastAsia"/>
          <w:color w:val="auto"/>
        </w:rPr>
        <w:t>应予以</w:t>
      </w:r>
      <w:r>
        <w:rPr>
          <w:color w:val="auto"/>
        </w:rPr>
        <w:t>配合。对</w:t>
      </w:r>
      <w:r>
        <w:rPr>
          <w:rFonts w:hint="eastAsia"/>
          <w:color w:val="auto"/>
        </w:rPr>
        <w:t>大型或</w:t>
      </w:r>
      <w:r>
        <w:rPr>
          <w:color w:val="auto"/>
        </w:rPr>
        <w:t>技术复杂的货物，甲方应请国家认</w:t>
      </w:r>
      <w:r>
        <w:rPr>
          <w:rFonts w:hint="eastAsia"/>
          <w:color w:val="auto"/>
        </w:rPr>
        <w:t>可</w:t>
      </w:r>
      <w:r>
        <w:rPr>
          <w:color w:val="auto"/>
        </w:rPr>
        <w:t>的专业检测机构参与初步验收及最终验收，并由其出具质量检测报告。</w:t>
      </w:r>
      <w:r>
        <w:rPr>
          <w:rFonts w:hint="eastAsia"/>
          <w:color w:val="auto"/>
        </w:rPr>
        <w:t>甲方委托第三方机构组织或专业检测机构参与验收的，</w:t>
      </w:r>
      <w:r>
        <w:rPr>
          <w:color w:val="auto"/>
        </w:rPr>
        <w:t>验收费用由乙方负责。费用标准参照国家或自治区有关规定执行。</w:t>
      </w:r>
    </w:p>
    <w:p w14:paraId="79E6AA8A">
      <w:pPr>
        <w:pStyle w:val="26"/>
        <w:snapToGrid w:val="0"/>
        <w:spacing w:line="300" w:lineRule="exact"/>
        <w:ind w:firstLine="420" w:firstLineChars="200"/>
        <w:jc w:val="left"/>
        <w:rPr>
          <w:rFonts w:ascii="Times New Roman" w:hAnsi="Times New Roman" w:cs="Times New Roman"/>
          <w:color w:val="auto"/>
        </w:rPr>
      </w:pPr>
      <w:r>
        <w:rPr>
          <w:rFonts w:ascii="Times New Roman" w:hAnsi="Times New Roman" w:cs="Times New Roman"/>
          <w:color w:val="auto"/>
        </w:rPr>
        <w:t>9.其他未尽事宜应严格按照《关于印发广西壮族自治区政府采购项目履约验收管理办法的通知》[桂财采〔2015〕22号]以及《财政部关于进一步加强政府采购需求和履约验收管理的指导意见》[财库〔2016〕205号]规定执行。</w:t>
      </w:r>
    </w:p>
    <w:p w14:paraId="21297C40">
      <w:pPr>
        <w:snapToGrid w:val="0"/>
        <w:spacing w:line="300" w:lineRule="exact"/>
        <w:ind w:firstLine="420" w:firstLineChars="200"/>
        <w:rPr>
          <w:color w:val="auto"/>
        </w:rPr>
      </w:pPr>
      <w:r>
        <w:rPr>
          <w:rFonts w:hint="eastAsia"/>
          <w:color w:val="auto"/>
          <w:szCs w:val="21"/>
        </w:rPr>
        <w:t>1</w:t>
      </w:r>
      <w:r>
        <w:rPr>
          <w:color w:val="auto"/>
          <w:szCs w:val="21"/>
        </w:rPr>
        <w:t>0.甲方委托第三方组织验收</w:t>
      </w:r>
      <w:r>
        <w:rPr>
          <w:rFonts w:hint="eastAsia"/>
          <w:color w:val="auto"/>
          <w:szCs w:val="21"/>
        </w:rPr>
        <w:t>的</w:t>
      </w:r>
      <w:r>
        <w:rPr>
          <w:color w:val="auto"/>
          <w:szCs w:val="21"/>
        </w:rPr>
        <w:t>，其验收时间</w:t>
      </w:r>
      <w:r>
        <w:rPr>
          <w:rFonts w:hint="eastAsia"/>
          <w:color w:val="auto"/>
          <w:szCs w:val="21"/>
        </w:rPr>
        <w:t>、验收程序</w:t>
      </w:r>
      <w:r>
        <w:rPr>
          <w:color w:val="auto"/>
          <w:szCs w:val="21"/>
        </w:rPr>
        <w:t>以该项目验收方案确定的验收时间</w:t>
      </w:r>
      <w:r>
        <w:rPr>
          <w:rFonts w:hint="eastAsia"/>
          <w:color w:val="auto"/>
          <w:szCs w:val="21"/>
        </w:rPr>
        <w:t>、验收程序</w:t>
      </w:r>
      <w:r>
        <w:rPr>
          <w:color w:val="auto"/>
          <w:szCs w:val="21"/>
        </w:rPr>
        <w:t>为准，验收结果以该项目验收报告结论为准。</w:t>
      </w:r>
    </w:p>
    <w:p w14:paraId="4F907080">
      <w:pPr>
        <w:pStyle w:val="26"/>
        <w:snapToGrid w:val="0"/>
        <w:spacing w:line="300" w:lineRule="exact"/>
        <w:ind w:firstLine="420" w:firstLineChars="200"/>
        <w:jc w:val="left"/>
        <w:rPr>
          <w:rFonts w:ascii="Times New Roman" w:hAnsi="Times New Roman" w:cs="Times New Roman"/>
          <w:color w:val="auto"/>
        </w:rPr>
      </w:pPr>
      <w:r>
        <w:rPr>
          <w:rFonts w:hint="eastAsia" w:ascii="Times New Roman" w:hAnsi="Times New Roman" w:cs="Times New Roman"/>
          <w:color w:val="auto"/>
        </w:rPr>
        <w:t>1</w:t>
      </w:r>
      <w:r>
        <w:rPr>
          <w:rFonts w:ascii="Times New Roman" w:hAnsi="Times New Roman" w:cs="Times New Roman"/>
          <w:color w:val="auto"/>
        </w:rPr>
        <w:t>1.</w:t>
      </w:r>
      <w:r>
        <w:rPr>
          <w:rFonts w:hint="eastAsia" w:ascii="Times New Roman" w:hAnsi="Times New Roman" w:cs="Times New Roman"/>
          <w:color w:val="auto"/>
        </w:rPr>
        <w:t>履约验收方案详见附件。</w:t>
      </w:r>
    </w:p>
    <w:bookmarkEnd w:id="125"/>
    <w:p w14:paraId="7338C2C0">
      <w:pPr>
        <w:snapToGrid w:val="0"/>
        <w:spacing w:line="360" w:lineRule="exact"/>
        <w:ind w:firstLine="422" w:firstLineChars="200"/>
        <w:rPr>
          <w:b/>
          <w:color w:val="auto"/>
          <w:szCs w:val="21"/>
        </w:rPr>
      </w:pPr>
      <w:r>
        <w:rPr>
          <w:b/>
          <w:color w:val="auto"/>
          <w:szCs w:val="21"/>
        </w:rPr>
        <w:t>第六条  安装和培训</w:t>
      </w:r>
    </w:p>
    <w:p w14:paraId="6394414D">
      <w:pPr>
        <w:snapToGrid w:val="0"/>
        <w:spacing w:line="300" w:lineRule="exact"/>
        <w:ind w:firstLine="420" w:firstLineChars="200"/>
        <w:rPr>
          <w:color w:val="auto"/>
          <w:szCs w:val="21"/>
        </w:rPr>
      </w:pPr>
      <w:r>
        <w:rPr>
          <w:color w:val="auto"/>
          <w:szCs w:val="21"/>
        </w:rPr>
        <w:t>1.甲方应提供必要安装条件（如场地、电源、水源等）。</w:t>
      </w:r>
    </w:p>
    <w:p w14:paraId="499A030F">
      <w:pPr>
        <w:snapToGrid w:val="0"/>
        <w:spacing w:line="300" w:lineRule="exact"/>
        <w:ind w:firstLine="420" w:firstLineChars="200"/>
        <w:rPr>
          <w:color w:val="auto"/>
          <w:szCs w:val="21"/>
          <w:u w:val="single"/>
        </w:rPr>
      </w:pPr>
      <w:r>
        <w:rPr>
          <w:color w:val="auto"/>
          <w:szCs w:val="21"/>
        </w:rPr>
        <w:t>2.乙方负责甲方有关人员的培训。培训时间、地点：</w:t>
      </w:r>
      <w:r>
        <w:rPr>
          <w:color w:val="auto"/>
          <w:szCs w:val="21"/>
          <w:u w:val="single"/>
        </w:rPr>
        <w:t xml:space="preserve"> 由甲方决定。</w:t>
      </w:r>
    </w:p>
    <w:p w14:paraId="3474395B">
      <w:pPr>
        <w:snapToGrid w:val="0"/>
        <w:spacing w:line="360" w:lineRule="exact"/>
        <w:ind w:firstLine="422" w:firstLineChars="200"/>
        <w:rPr>
          <w:b/>
          <w:color w:val="auto"/>
          <w:szCs w:val="21"/>
        </w:rPr>
      </w:pPr>
      <w:r>
        <w:rPr>
          <w:b/>
          <w:color w:val="auto"/>
          <w:szCs w:val="21"/>
        </w:rPr>
        <w:t>第七条  售后服务、质保期</w:t>
      </w:r>
    </w:p>
    <w:p w14:paraId="69C928E7">
      <w:pPr>
        <w:snapToGrid w:val="0"/>
        <w:spacing w:line="300" w:lineRule="exact"/>
        <w:ind w:firstLine="420" w:firstLineChars="200"/>
        <w:rPr>
          <w:color w:val="auto"/>
          <w:szCs w:val="21"/>
        </w:rPr>
      </w:pPr>
      <w:r>
        <w:rPr>
          <w:color w:val="auto"/>
          <w:szCs w:val="21"/>
        </w:rPr>
        <w:t>1.乙方应按照国家有关法律法规和“三包”规定以及</w:t>
      </w:r>
      <w:r>
        <w:rPr>
          <w:rFonts w:hint="eastAsia"/>
          <w:color w:val="auto"/>
          <w:szCs w:val="21"/>
        </w:rPr>
        <w:t>招标文件、投标文件</w:t>
      </w:r>
      <w:r>
        <w:rPr>
          <w:color w:val="auto"/>
          <w:szCs w:val="21"/>
        </w:rPr>
        <w:t>和本合同附件，为甲方提供售后服务。</w:t>
      </w:r>
    </w:p>
    <w:p w14:paraId="653325BE">
      <w:pPr>
        <w:snapToGrid w:val="0"/>
        <w:spacing w:line="300" w:lineRule="exact"/>
        <w:ind w:firstLine="420" w:firstLineChars="200"/>
        <w:rPr>
          <w:color w:val="auto"/>
          <w:szCs w:val="21"/>
          <w:u w:val="single"/>
        </w:rPr>
      </w:pPr>
      <w:r>
        <w:rPr>
          <w:color w:val="auto"/>
          <w:szCs w:val="21"/>
        </w:rPr>
        <w:t>2.货物质保期：</w:t>
      </w:r>
      <w:r>
        <w:rPr>
          <w:color w:val="auto"/>
          <w:szCs w:val="21"/>
          <w:u w:val="single"/>
        </w:rPr>
        <w:t>按乙方承诺，但是不得低于</w:t>
      </w:r>
      <w:r>
        <w:rPr>
          <w:rFonts w:hint="eastAsia"/>
          <w:color w:val="auto"/>
          <w:szCs w:val="21"/>
          <w:u w:val="single"/>
        </w:rPr>
        <w:t>招标文件的要求</w:t>
      </w:r>
      <w:r>
        <w:rPr>
          <w:color w:val="auto"/>
          <w:szCs w:val="21"/>
        </w:rPr>
        <w:t>。</w:t>
      </w:r>
    </w:p>
    <w:p w14:paraId="763BE594">
      <w:pPr>
        <w:snapToGrid w:val="0"/>
        <w:spacing w:line="300" w:lineRule="exact"/>
        <w:ind w:firstLine="420" w:firstLineChars="200"/>
        <w:rPr>
          <w:color w:val="auto"/>
          <w:szCs w:val="21"/>
        </w:rPr>
      </w:pPr>
      <w:bookmarkStart w:id="126" w:name="_Hlk88989563"/>
      <w:r>
        <w:rPr>
          <w:rFonts w:hint="eastAsia"/>
          <w:color w:val="auto"/>
          <w:szCs w:val="21"/>
        </w:rPr>
        <w:t>3</w:t>
      </w:r>
      <w:r>
        <w:rPr>
          <w:color w:val="auto"/>
          <w:szCs w:val="21"/>
        </w:rPr>
        <w:t>. 乙方提供货物的质量保证期按交货验收合格之日起计（期限见《采购需求》中的要求）。在保证期内因货物本身的质量问题发生故障，乙方应负责免费修理和更换零部件。对达不到技术要求者，根据实际情况，经双方协商，可按以下办法处理：</w:t>
      </w:r>
    </w:p>
    <w:p w14:paraId="72E34CC2">
      <w:pPr>
        <w:snapToGrid w:val="0"/>
        <w:spacing w:line="300" w:lineRule="exact"/>
        <w:ind w:firstLine="420" w:firstLineChars="200"/>
        <w:rPr>
          <w:color w:val="auto"/>
          <w:szCs w:val="21"/>
        </w:rPr>
      </w:pPr>
      <w:r>
        <w:rPr>
          <w:color w:val="auto"/>
          <w:szCs w:val="21"/>
        </w:rPr>
        <w:t>（1）更换：由乙方承担所发生的全部费用。</w:t>
      </w:r>
    </w:p>
    <w:p w14:paraId="1504A132">
      <w:pPr>
        <w:snapToGrid w:val="0"/>
        <w:spacing w:line="300" w:lineRule="exact"/>
        <w:ind w:firstLine="420" w:firstLineChars="200"/>
        <w:rPr>
          <w:color w:val="auto"/>
          <w:szCs w:val="21"/>
        </w:rPr>
      </w:pPr>
      <w:r>
        <w:rPr>
          <w:color w:val="auto"/>
          <w:szCs w:val="21"/>
        </w:rPr>
        <w:t>（</w:t>
      </w:r>
      <w:r>
        <w:rPr>
          <w:rFonts w:hint="eastAsia"/>
          <w:color w:val="auto"/>
          <w:szCs w:val="21"/>
        </w:rPr>
        <w:t>2</w:t>
      </w:r>
      <w:r>
        <w:rPr>
          <w:color w:val="auto"/>
          <w:szCs w:val="21"/>
        </w:rPr>
        <w:t>）退货处理：乙方应退还甲方支付的合同款，同时应承担该货物的直接费用（运输、保险、检验、货款利息及银行手续费等）。</w:t>
      </w:r>
    </w:p>
    <w:p w14:paraId="6DA8B23C">
      <w:pPr>
        <w:pStyle w:val="26"/>
        <w:snapToGrid w:val="0"/>
        <w:spacing w:line="300" w:lineRule="exact"/>
        <w:ind w:firstLine="420" w:firstLineChars="200"/>
        <w:rPr>
          <w:rFonts w:ascii="Times New Roman" w:hAnsi="Times New Roman" w:cs="Times New Roman"/>
          <w:color w:val="auto"/>
        </w:rPr>
      </w:pPr>
      <w:r>
        <w:rPr>
          <w:rFonts w:hint="eastAsia" w:ascii="Times New Roman" w:hAnsi="Times New Roman" w:cs="Times New Roman"/>
          <w:color w:val="auto"/>
        </w:rPr>
        <w:t>4</w:t>
      </w:r>
      <w:r>
        <w:rPr>
          <w:rFonts w:ascii="Times New Roman" w:hAnsi="Times New Roman" w:cs="Times New Roman"/>
          <w:color w:val="auto"/>
        </w:rPr>
        <w:t>.如在使用过程中发生质量问题，乙方在接到甲方通知后在</w:t>
      </w:r>
      <w:r>
        <w:rPr>
          <w:rFonts w:ascii="Times New Roman" w:hAnsi="Times New Roman" w:cs="Times New Roman"/>
          <w:color w:val="auto"/>
          <w:u w:val="single"/>
        </w:rPr>
        <w:t xml:space="preserve">   24   </w:t>
      </w:r>
      <w:r>
        <w:rPr>
          <w:rFonts w:ascii="Times New Roman" w:hAnsi="Times New Roman" w:cs="Times New Roman"/>
          <w:color w:val="auto"/>
        </w:rPr>
        <w:t>小时内到达甲方现场。</w:t>
      </w:r>
    </w:p>
    <w:p w14:paraId="7BCA950A">
      <w:pPr>
        <w:pStyle w:val="26"/>
        <w:snapToGrid w:val="0"/>
        <w:spacing w:line="300" w:lineRule="exact"/>
        <w:ind w:firstLine="420" w:firstLineChars="200"/>
        <w:rPr>
          <w:rFonts w:ascii="Times New Roman" w:hAnsi="Times New Roman" w:cs="Times New Roman"/>
          <w:color w:val="auto"/>
        </w:rPr>
      </w:pPr>
      <w:r>
        <w:rPr>
          <w:rFonts w:hint="eastAsia" w:ascii="Times New Roman" w:hAnsi="Times New Roman" w:cs="Times New Roman"/>
          <w:color w:val="auto"/>
        </w:rPr>
        <w:t>5</w:t>
      </w:r>
      <w:r>
        <w:rPr>
          <w:rFonts w:ascii="Times New Roman" w:hAnsi="Times New Roman" w:cs="Times New Roman"/>
          <w:color w:val="auto"/>
        </w:rPr>
        <w:t>.在质保期内，乙方应对货物出现的质量及安全问题负责处理解决并承担一切费用。</w:t>
      </w:r>
    </w:p>
    <w:p w14:paraId="25C49A8B">
      <w:pPr>
        <w:pStyle w:val="26"/>
        <w:snapToGrid w:val="0"/>
        <w:spacing w:line="300" w:lineRule="exact"/>
        <w:ind w:firstLine="420" w:firstLineChars="200"/>
        <w:rPr>
          <w:color w:val="auto"/>
        </w:rPr>
      </w:pPr>
      <w:r>
        <w:rPr>
          <w:rFonts w:hint="eastAsia" w:ascii="Times New Roman" w:hAnsi="Times New Roman" w:cs="Times New Roman"/>
          <w:color w:val="auto"/>
        </w:rPr>
        <w:t>6</w:t>
      </w:r>
      <w:r>
        <w:rPr>
          <w:rFonts w:ascii="Times New Roman" w:hAnsi="Times New Roman" w:cs="Times New Roman"/>
          <w:color w:val="auto"/>
        </w:rPr>
        <w:t>.上述的货物因人为因素出现的故障不在免费保修范围内。超过质保期的机器设备，终生维修，维修时只收部件成本费。</w:t>
      </w:r>
    </w:p>
    <w:p w14:paraId="02698E5B">
      <w:pPr>
        <w:snapToGrid w:val="0"/>
        <w:spacing w:line="300" w:lineRule="exact"/>
        <w:ind w:firstLine="420" w:firstLineChars="200"/>
        <w:rPr>
          <w:color w:val="auto"/>
          <w:szCs w:val="21"/>
          <w:u w:val="single"/>
        </w:rPr>
      </w:pPr>
      <w:r>
        <w:rPr>
          <w:rFonts w:hint="eastAsia"/>
          <w:color w:val="auto"/>
          <w:szCs w:val="21"/>
        </w:rPr>
        <w:t>7</w:t>
      </w:r>
      <w:r>
        <w:rPr>
          <w:color w:val="auto"/>
          <w:szCs w:val="21"/>
        </w:rPr>
        <w:t>.乙方提供的服务承诺和售后服务及质保期责任等其它具体约定事项。</w:t>
      </w:r>
    </w:p>
    <w:bookmarkEnd w:id="126"/>
    <w:p w14:paraId="2686F3F4">
      <w:pPr>
        <w:snapToGrid w:val="0"/>
        <w:spacing w:line="360" w:lineRule="exact"/>
        <w:ind w:firstLine="422" w:firstLineChars="200"/>
        <w:rPr>
          <w:color w:val="auto"/>
          <w:szCs w:val="21"/>
        </w:rPr>
      </w:pPr>
      <w:r>
        <w:rPr>
          <w:b/>
          <w:color w:val="auto"/>
          <w:szCs w:val="21"/>
        </w:rPr>
        <w:t>第八条　付款方式</w:t>
      </w:r>
    </w:p>
    <w:p w14:paraId="2249A8A5">
      <w:pPr>
        <w:snapToGrid w:val="0"/>
        <w:spacing w:line="300" w:lineRule="exact"/>
        <w:ind w:firstLine="420" w:firstLineChars="200"/>
        <w:rPr>
          <w:color w:val="auto"/>
          <w:szCs w:val="21"/>
        </w:rPr>
      </w:pPr>
      <w:r>
        <w:rPr>
          <w:color w:val="auto"/>
          <w:szCs w:val="21"/>
        </w:rPr>
        <w:t>1.资金性质：</w:t>
      </w:r>
      <w:r>
        <w:rPr>
          <w:rFonts w:hint="eastAsia"/>
          <w:color w:val="auto"/>
          <w:szCs w:val="21"/>
          <w:lang w:val="en-US" w:eastAsia="zh-CN"/>
        </w:rPr>
        <w:t>财政</w:t>
      </w:r>
      <w:r>
        <w:rPr>
          <w:rFonts w:hint="eastAsia"/>
          <w:color w:val="auto"/>
          <w:szCs w:val="21"/>
        </w:rPr>
        <w:t>资金</w:t>
      </w:r>
      <w:r>
        <w:rPr>
          <w:color w:val="auto"/>
          <w:szCs w:val="21"/>
        </w:rPr>
        <w:t>。</w:t>
      </w:r>
    </w:p>
    <w:p w14:paraId="7ED7739E">
      <w:pPr>
        <w:snapToGrid w:val="0"/>
        <w:spacing w:line="300" w:lineRule="exact"/>
        <w:ind w:firstLine="420" w:firstLineChars="200"/>
        <w:rPr>
          <w:color w:val="auto"/>
          <w:szCs w:val="21"/>
        </w:rPr>
      </w:pPr>
      <w:r>
        <w:rPr>
          <w:color w:val="auto"/>
          <w:szCs w:val="21"/>
        </w:rPr>
        <w:t>2.付款方式：</w:t>
      </w:r>
    </w:p>
    <w:p w14:paraId="50F0B803">
      <w:pPr>
        <w:snapToGrid w:val="0"/>
        <w:spacing w:line="360" w:lineRule="exact"/>
        <w:ind w:firstLine="420" w:firstLineChars="200"/>
        <w:rPr>
          <w:b/>
          <w:color w:val="auto"/>
          <w:szCs w:val="21"/>
        </w:rPr>
      </w:pPr>
      <w:bookmarkStart w:id="127" w:name="_Hlk47715495"/>
      <w:bookmarkStart w:id="128" w:name="_Hlk48144383"/>
      <w:r>
        <w:rPr>
          <w:rFonts w:hint="eastAsia"/>
          <w:color w:val="auto"/>
          <w:szCs w:val="21"/>
        </w:rPr>
        <w:t>成交人在要求的交付期内，可分批交付，也可一次性交付，但须先按每次交付并验收完成的金额开具发票给采购人，采购人在收到发票后30日历日内按发票面额付款。如成交人未按国家要求开具发票，或未按合同履约的，视为违约，采购人有权扣减履约保证金，或要求解除合同，并追究成交人法律责任。</w:t>
      </w:r>
      <w:bookmarkEnd w:id="127"/>
      <w:bookmarkEnd w:id="128"/>
    </w:p>
    <w:p w14:paraId="59EACFA9">
      <w:pPr>
        <w:snapToGrid w:val="0"/>
        <w:spacing w:line="360" w:lineRule="exact"/>
        <w:ind w:firstLine="422" w:firstLineChars="200"/>
        <w:rPr>
          <w:b/>
          <w:color w:val="auto"/>
          <w:szCs w:val="21"/>
        </w:rPr>
      </w:pPr>
      <w:r>
        <w:rPr>
          <w:b/>
          <w:color w:val="auto"/>
          <w:szCs w:val="21"/>
        </w:rPr>
        <w:t xml:space="preserve">第九条 </w:t>
      </w:r>
      <w:bookmarkStart w:id="129" w:name="_Hlk48144402"/>
      <w:r>
        <w:rPr>
          <w:b/>
          <w:color w:val="auto"/>
          <w:szCs w:val="21"/>
        </w:rPr>
        <w:t>履约保证金</w:t>
      </w:r>
      <w:bookmarkStart w:id="130" w:name="_Hlk47715711"/>
      <w:r>
        <w:rPr>
          <w:b/>
          <w:color w:val="auto"/>
          <w:szCs w:val="21"/>
        </w:rPr>
        <w:t xml:space="preserve"> </w:t>
      </w:r>
      <w:bookmarkEnd w:id="130"/>
      <w:r>
        <w:rPr>
          <w:b/>
          <w:color w:val="auto"/>
          <w:szCs w:val="21"/>
        </w:rPr>
        <w:t xml:space="preserve">  </w:t>
      </w:r>
    </w:p>
    <w:p w14:paraId="202D5991">
      <w:pPr>
        <w:spacing w:line="300" w:lineRule="exact"/>
        <w:ind w:firstLine="420" w:firstLineChars="200"/>
        <w:jc w:val="left"/>
        <w:rPr>
          <w:color w:val="auto"/>
          <w:szCs w:val="21"/>
        </w:rPr>
      </w:pPr>
      <w:r>
        <w:rPr>
          <w:color w:val="auto"/>
          <w:szCs w:val="21"/>
        </w:rPr>
        <w:t>履约保证金</w:t>
      </w:r>
      <w:r>
        <w:rPr>
          <w:rFonts w:hint="eastAsia"/>
          <w:color w:val="auto"/>
          <w:szCs w:val="21"/>
        </w:rPr>
        <w:t>金额及缴纳时间：</w:t>
      </w:r>
      <w:r>
        <w:rPr>
          <w:rFonts w:hint="eastAsia"/>
          <w:color w:val="auto"/>
          <w:szCs w:val="21"/>
          <w:u w:val="single"/>
        </w:rPr>
        <w:t xml:space="preserve"> </w:t>
      </w:r>
      <w:r>
        <w:rPr>
          <w:color w:val="auto"/>
          <w:szCs w:val="21"/>
          <w:u w:val="single"/>
        </w:rPr>
        <w:t xml:space="preserve">  </w:t>
      </w:r>
      <w:r>
        <w:rPr>
          <w:rFonts w:hint="eastAsia"/>
          <w:color w:val="auto"/>
          <w:szCs w:val="21"/>
          <w:u w:val="single"/>
        </w:rPr>
        <w:t>合同金额的</w:t>
      </w:r>
      <w:r>
        <w:rPr>
          <w:rFonts w:hint="eastAsia"/>
          <w:color w:val="auto"/>
          <w:szCs w:val="21"/>
          <w:u w:val="single"/>
          <w:lang w:val="en-US" w:eastAsia="zh-CN"/>
        </w:rPr>
        <w:t>2</w:t>
      </w:r>
      <w:r>
        <w:rPr>
          <w:rFonts w:hint="eastAsia"/>
          <w:color w:val="auto"/>
          <w:szCs w:val="21"/>
          <w:u w:val="single"/>
        </w:rPr>
        <w:t>%</w:t>
      </w:r>
      <w:r>
        <w:rPr>
          <w:color w:val="auto"/>
          <w:szCs w:val="21"/>
          <w:u w:val="single"/>
        </w:rPr>
        <w:t xml:space="preserve">  </w:t>
      </w:r>
      <w:r>
        <w:rPr>
          <w:rFonts w:hint="eastAsia"/>
          <w:color w:val="auto"/>
          <w:szCs w:val="21"/>
          <w:u w:val="single"/>
        </w:rPr>
        <w:t xml:space="preserve"> </w:t>
      </w:r>
      <w:bookmarkStart w:id="131" w:name="_Hlk47715729"/>
      <w:r>
        <w:rPr>
          <w:rFonts w:hint="eastAsia"/>
          <w:color w:val="auto"/>
          <w:szCs w:val="21"/>
        </w:rPr>
        <w:t>（如为中小企业，不超过合同金额的2</w:t>
      </w:r>
      <w:r>
        <w:rPr>
          <w:color w:val="auto"/>
          <w:szCs w:val="21"/>
        </w:rPr>
        <w:t>%</w:t>
      </w:r>
      <w:r>
        <w:rPr>
          <w:rFonts w:hint="eastAsia"/>
          <w:color w:val="auto"/>
          <w:szCs w:val="21"/>
        </w:rPr>
        <w:t>）</w:t>
      </w:r>
    </w:p>
    <w:p w14:paraId="06D1DAFC">
      <w:pPr>
        <w:spacing w:line="300" w:lineRule="exact"/>
        <w:ind w:firstLine="420" w:firstLineChars="200"/>
        <w:jc w:val="left"/>
        <w:rPr>
          <w:color w:val="auto"/>
          <w:szCs w:val="21"/>
        </w:rPr>
      </w:pPr>
      <w:r>
        <w:rPr>
          <w:rFonts w:hint="eastAsia"/>
          <w:color w:val="auto"/>
          <w:szCs w:val="21"/>
        </w:rPr>
        <w:t>履约保证金缴纳形式：</w:t>
      </w:r>
      <w:r>
        <w:rPr>
          <w:rFonts w:hint="eastAsia"/>
          <w:color w:val="auto"/>
          <w:szCs w:val="21"/>
          <w:lang w:val="en-US" w:eastAsia="zh-CN"/>
        </w:rPr>
        <w:t>银行转账</w:t>
      </w:r>
      <w:r>
        <w:rPr>
          <w:rFonts w:hint="eastAsia"/>
          <w:color w:val="auto"/>
          <w:szCs w:val="21"/>
        </w:rPr>
        <w:t>。</w:t>
      </w:r>
    </w:p>
    <w:p w14:paraId="3BCA97B7">
      <w:pPr>
        <w:spacing w:line="276" w:lineRule="auto"/>
        <w:ind w:firstLine="420" w:firstLineChars="200"/>
        <w:rPr>
          <w:color w:val="auto"/>
          <w:szCs w:val="21"/>
          <w:u w:val="single"/>
        </w:rPr>
      </w:pPr>
      <w:r>
        <w:rPr>
          <w:color w:val="auto"/>
          <w:szCs w:val="21"/>
        </w:rPr>
        <w:t>保证金缴纳的账号信息：</w:t>
      </w:r>
      <w:r>
        <w:rPr>
          <w:rFonts w:hint="eastAsia"/>
          <w:color w:val="auto"/>
          <w:szCs w:val="21"/>
          <w:u w:val="single"/>
        </w:rPr>
        <w:t xml:space="preserve"> </w:t>
      </w:r>
      <w:r>
        <w:rPr>
          <w:color w:val="auto"/>
          <w:szCs w:val="21"/>
          <w:u w:val="single"/>
        </w:rPr>
        <w:t xml:space="preserve">               </w:t>
      </w:r>
    </w:p>
    <w:p w14:paraId="662B1AB9">
      <w:pPr>
        <w:spacing w:line="276" w:lineRule="auto"/>
        <w:ind w:firstLine="420" w:firstLineChars="200"/>
        <w:rPr>
          <w:color w:val="auto"/>
          <w:szCs w:val="21"/>
          <w:u w:val="single"/>
        </w:rPr>
      </w:pPr>
      <w:r>
        <w:rPr>
          <w:color w:val="auto"/>
          <w:szCs w:val="21"/>
        </w:rPr>
        <w:t>开户名称：</w:t>
      </w:r>
      <w:r>
        <w:rPr>
          <w:rFonts w:hint="eastAsia" w:ascii="宋体" w:hAnsi="宋体" w:cs="宋体"/>
          <w:color w:val="auto"/>
          <w:szCs w:val="21"/>
          <w:lang w:eastAsia="zh-CN"/>
        </w:rPr>
        <w:t>广西农业职业技术大学</w:t>
      </w:r>
      <w:r>
        <w:rPr>
          <w:color w:val="auto"/>
          <w:szCs w:val="21"/>
          <w:u w:val="single"/>
        </w:rPr>
        <w:t xml:space="preserve">             </w:t>
      </w:r>
    </w:p>
    <w:p w14:paraId="1EAD23D8">
      <w:pPr>
        <w:spacing w:line="276" w:lineRule="auto"/>
        <w:ind w:firstLine="420" w:firstLineChars="200"/>
        <w:rPr>
          <w:color w:val="auto"/>
          <w:szCs w:val="21"/>
          <w:u w:val="single"/>
        </w:rPr>
      </w:pPr>
      <w:r>
        <w:rPr>
          <w:color w:val="auto"/>
          <w:szCs w:val="21"/>
        </w:rPr>
        <w:t>开户银行：</w:t>
      </w:r>
      <w:r>
        <w:rPr>
          <w:rFonts w:ascii="宋体" w:hAnsi="宋体" w:cs="宋体"/>
          <w:color w:val="auto"/>
          <w:szCs w:val="21"/>
        </w:rPr>
        <w:t>交通银行南宁市高新支行</w:t>
      </w:r>
      <w:r>
        <w:rPr>
          <w:color w:val="auto"/>
          <w:szCs w:val="21"/>
          <w:u w:val="single"/>
        </w:rPr>
        <w:t xml:space="preserve">            </w:t>
      </w:r>
    </w:p>
    <w:p w14:paraId="7344D9E0">
      <w:pPr>
        <w:spacing w:line="276" w:lineRule="auto"/>
        <w:ind w:firstLine="420" w:firstLineChars="200"/>
        <w:rPr>
          <w:color w:val="auto"/>
          <w:szCs w:val="21"/>
        </w:rPr>
      </w:pPr>
      <w:r>
        <w:rPr>
          <w:rFonts w:hint="eastAsia"/>
          <w:color w:val="auto"/>
          <w:szCs w:val="21"/>
        </w:rPr>
        <w:t>账号：451060601010160018997</w:t>
      </w:r>
      <w:r>
        <w:rPr>
          <w:color w:val="auto"/>
          <w:szCs w:val="21"/>
        </w:rPr>
        <w:t xml:space="preserve">       </w:t>
      </w:r>
    </w:p>
    <w:bookmarkEnd w:id="129"/>
    <w:bookmarkEnd w:id="131"/>
    <w:p w14:paraId="6EE265D9">
      <w:pPr>
        <w:snapToGrid w:val="0"/>
        <w:spacing w:line="360" w:lineRule="exact"/>
        <w:ind w:firstLine="420" w:firstLineChars="200"/>
        <w:rPr>
          <w:rFonts w:hint="eastAsia"/>
          <w:color w:val="auto"/>
          <w:szCs w:val="21"/>
        </w:rPr>
      </w:pPr>
      <w:r>
        <w:rPr>
          <w:rFonts w:hint="eastAsia"/>
          <w:color w:val="auto"/>
          <w:szCs w:val="21"/>
        </w:rPr>
        <w:t>乙方在签订合同之前，足额提交履约保证金。未提交履约保证金的，不予签订合同。</w:t>
      </w:r>
    </w:p>
    <w:p w14:paraId="7C2FFF38">
      <w:pPr>
        <w:snapToGrid w:val="0"/>
        <w:spacing w:line="360" w:lineRule="exact"/>
        <w:ind w:firstLine="420" w:firstLineChars="200"/>
        <w:rPr>
          <w:rFonts w:hint="eastAsia" w:eastAsia="宋体"/>
          <w:color w:val="auto"/>
          <w:szCs w:val="21"/>
          <w:lang w:val="en-US" w:eastAsia="zh-CN"/>
        </w:rPr>
      </w:pPr>
      <w:r>
        <w:rPr>
          <w:rFonts w:hint="eastAsia"/>
          <w:color w:val="auto"/>
          <w:szCs w:val="21"/>
          <w:lang w:val="en-US" w:eastAsia="zh-CN"/>
        </w:rPr>
        <w:t>履约保证金的退还：</w:t>
      </w:r>
      <w:r>
        <w:rPr>
          <w:rFonts w:hint="eastAsia"/>
          <w:color w:val="auto"/>
          <w:szCs w:val="21"/>
        </w:rPr>
        <w:t>履约保证金自项目验收合格1年后无息退还。</w:t>
      </w:r>
      <w:r>
        <w:rPr>
          <w:rFonts w:hint="eastAsia" w:ascii="宋体" w:hAnsi="宋体"/>
          <w:color w:val="auto"/>
          <w:szCs w:val="21"/>
        </w:rPr>
        <w:t>逾期退还的，乙方可要求甲方支付违约金。</w:t>
      </w:r>
    </w:p>
    <w:p w14:paraId="0DB2DD1E">
      <w:pPr>
        <w:snapToGrid w:val="0"/>
        <w:spacing w:line="360" w:lineRule="exact"/>
        <w:ind w:firstLine="420" w:firstLineChars="200"/>
        <w:rPr>
          <w:rFonts w:hint="eastAsia" w:eastAsia="宋体"/>
          <w:color w:val="auto"/>
          <w:szCs w:val="21"/>
          <w:lang w:eastAsia="zh-CN"/>
        </w:rPr>
      </w:pPr>
      <w:r>
        <w:rPr>
          <w:rFonts w:hint="eastAsia" w:ascii="Times New Roman" w:hAnsi="Times New Roman" w:eastAsia="宋体" w:cs="Times New Roman"/>
          <w:color w:val="auto"/>
          <w:sz w:val="21"/>
          <w:szCs w:val="21"/>
        </w:rPr>
        <w:t>不予退还的情形</w:t>
      </w:r>
      <w:r>
        <w:rPr>
          <w:rFonts w:hint="eastAsia" w:cs="Times New Roman"/>
          <w:color w:val="auto"/>
          <w:sz w:val="21"/>
          <w:szCs w:val="21"/>
          <w:lang w:eastAsia="zh-CN"/>
        </w:rPr>
        <w:t>：</w:t>
      </w:r>
      <w:r>
        <w:rPr>
          <w:rFonts w:hint="eastAsia" w:ascii="宋体" w:hAnsi="宋体"/>
          <w:color w:val="auto"/>
          <w:szCs w:val="21"/>
        </w:rPr>
        <w:t>如果乙方出现</w:t>
      </w:r>
      <w:r>
        <w:rPr>
          <w:rFonts w:hint="eastAsia" w:ascii="宋体" w:hAnsi="宋体" w:cs="宋体"/>
          <w:b/>
          <w:bCs/>
          <w:color w:val="auto"/>
          <w:szCs w:val="15"/>
          <w:lang w:val="en-US" w:eastAsia="zh-CN"/>
        </w:rPr>
        <w:t>本章</w:t>
      </w:r>
      <w:r>
        <w:rPr>
          <w:rFonts w:hint="eastAsia" w:ascii="宋体" w:hAnsi="宋体" w:cs="宋体"/>
          <w:color w:val="auto"/>
          <w:szCs w:val="15"/>
        </w:rPr>
        <w:t>约定</w:t>
      </w:r>
      <w:r>
        <w:rPr>
          <w:rFonts w:hint="eastAsia" w:ascii="宋体" w:hAnsi="宋体" w:cs="宋体"/>
          <w:color w:val="auto"/>
          <w:szCs w:val="15"/>
          <w:lang w:val="en-US" w:eastAsia="zh-CN"/>
        </w:rPr>
        <w:t>的违约</w:t>
      </w:r>
      <w:r>
        <w:rPr>
          <w:rFonts w:hint="eastAsia" w:ascii="宋体" w:hAnsi="宋体" w:cs="宋体"/>
          <w:color w:val="auto"/>
          <w:szCs w:val="15"/>
        </w:rPr>
        <w:t>情形的</w:t>
      </w:r>
      <w:r>
        <w:rPr>
          <w:rFonts w:hint="eastAsia" w:ascii="宋体" w:hAnsi="宋体"/>
          <w:color w:val="auto"/>
          <w:szCs w:val="21"/>
        </w:rPr>
        <w:t>，履约保证金不予退还；如果乙方未能按合同约定全面履行义务，甲方有权从履约保证金中取得补偿或赔偿，且不影响甲方要求乙方承担合同约定的超过履约保证金的违约责任的权利。</w:t>
      </w:r>
    </w:p>
    <w:p w14:paraId="1FE8782C">
      <w:pPr>
        <w:snapToGrid w:val="0"/>
        <w:spacing w:line="360" w:lineRule="exact"/>
        <w:ind w:firstLine="422" w:firstLineChars="200"/>
        <w:rPr>
          <w:b/>
          <w:color w:val="auto"/>
          <w:szCs w:val="21"/>
        </w:rPr>
      </w:pPr>
      <w:r>
        <w:rPr>
          <w:b/>
          <w:color w:val="auto"/>
          <w:szCs w:val="21"/>
        </w:rPr>
        <w:t>第十条 税费</w:t>
      </w:r>
    </w:p>
    <w:p w14:paraId="34570627">
      <w:pPr>
        <w:snapToGrid w:val="0"/>
        <w:spacing w:line="300" w:lineRule="exact"/>
        <w:ind w:firstLine="420" w:firstLineChars="200"/>
        <w:rPr>
          <w:color w:val="auto"/>
          <w:szCs w:val="21"/>
        </w:rPr>
      </w:pPr>
      <w:r>
        <w:rPr>
          <w:color w:val="auto"/>
          <w:szCs w:val="21"/>
        </w:rPr>
        <w:t>本合同执行中相关的一切税费均由乙方</w:t>
      </w:r>
      <w:r>
        <w:rPr>
          <w:rFonts w:hint="eastAsia"/>
          <w:color w:val="auto"/>
          <w:szCs w:val="21"/>
        </w:rPr>
        <w:t>承</w:t>
      </w:r>
      <w:r>
        <w:rPr>
          <w:color w:val="auto"/>
          <w:szCs w:val="21"/>
        </w:rPr>
        <w:t>担。</w:t>
      </w:r>
    </w:p>
    <w:p w14:paraId="0993DBAA">
      <w:pPr>
        <w:snapToGrid w:val="0"/>
        <w:spacing w:line="360" w:lineRule="exact"/>
        <w:ind w:firstLine="422" w:firstLineChars="200"/>
        <w:rPr>
          <w:b/>
          <w:color w:val="auto"/>
          <w:szCs w:val="21"/>
        </w:rPr>
      </w:pPr>
      <w:r>
        <w:rPr>
          <w:b/>
          <w:color w:val="auto"/>
          <w:szCs w:val="21"/>
        </w:rPr>
        <w:t>第十</w:t>
      </w:r>
      <w:r>
        <w:rPr>
          <w:rFonts w:hint="eastAsia"/>
          <w:b/>
          <w:color w:val="auto"/>
          <w:szCs w:val="21"/>
        </w:rPr>
        <w:t>一</w:t>
      </w:r>
      <w:r>
        <w:rPr>
          <w:b/>
          <w:color w:val="auto"/>
          <w:szCs w:val="21"/>
        </w:rPr>
        <w:t>条　违约责任</w:t>
      </w:r>
    </w:p>
    <w:p w14:paraId="085EC5E7">
      <w:pPr>
        <w:snapToGrid w:val="0"/>
        <w:spacing w:line="300" w:lineRule="exact"/>
        <w:ind w:firstLine="420" w:firstLineChars="200"/>
        <w:rPr>
          <w:color w:val="auto"/>
          <w:szCs w:val="21"/>
        </w:rPr>
      </w:pPr>
      <w:bookmarkStart w:id="132" w:name="_Hlk19114097"/>
      <w:bookmarkStart w:id="133" w:name="_Hlk88989677"/>
      <w:r>
        <w:rPr>
          <w:rFonts w:hint="eastAsia"/>
          <w:color w:val="auto"/>
          <w:szCs w:val="21"/>
        </w:rPr>
        <w:t>1</w:t>
      </w:r>
      <w:r>
        <w:rPr>
          <w:color w:val="auto"/>
          <w:szCs w:val="21"/>
        </w:rPr>
        <w:t>.最终验收不合格的，甲方</w:t>
      </w:r>
      <w:r>
        <w:rPr>
          <w:rFonts w:hint="eastAsia"/>
          <w:color w:val="auto"/>
          <w:szCs w:val="21"/>
        </w:rPr>
        <w:t>有权</w:t>
      </w:r>
      <w:r>
        <w:rPr>
          <w:color w:val="auto"/>
          <w:szCs w:val="21"/>
        </w:rPr>
        <w:t>解除合同，由此产生的费用由乙方承担</w:t>
      </w:r>
      <w:r>
        <w:rPr>
          <w:rFonts w:hint="eastAsia"/>
          <w:color w:val="auto"/>
          <w:szCs w:val="21"/>
        </w:rPr>
        <w:t>，给甲方造成其他损失的，乙方应进行赔偿，并承担甲方追究的其他违约责任。</w:t>
      </w:r>
    </w:p>
    <w:p w14:paraId="36DAEAC9">
      <w:pPr>
        <w:snapToGrid w:val="0"/>
        <w:spacing w:line="300" w:lineRule="exact"/>
        <w:ind w:firstLine="420" w:firstLineChars="200"/>
        <w:rPr>
          <w:color w:val="auto"/>
          <w:szCs w:val="21"/>
        </w:rPr>
      </w:pPr>
      <w:r>
        <w:rPr>
          <w:rFonts w:hint="eastAsia"/>
          <w:color w:val="auto"/>
          <w:szCs w:val="21"/>
        </w:rPr>
        <w:t>2</w:t>
      </w:r>
      <w:r>
        <w:rPr>
          <w:color w:val="auto"/>
          <w:szCs w:val="21"/>
        </w:rPr>
        <w:t>.乙方逾期交货的，</w:t>
      </w:r>
      <w:r>
        <w:rPr>
          <w:rFonts w:hint="eastAsia"/>
          <w:color w:val="auto"/>
          <w:szCs w:val="21"/>
        </w:rPr>
        <w:t>应</w:t>
      </w:r>
      <w:r>
        <w:rPr>
          <w:color w:val="auto"/>
          <w:szCs w:val="21"/>
        </w:rPr>
        <w:t>向</w:t>
      </w:r>
      <w:r>
        <w:rPr>
          <w:rFonts w:hint="eastAsia"/>
          <w:color w:val="auto"/>
          <w:szCs w:val="21"/>
        </w:rPr>
        <w:t>甲</w:t>
      </w:r>
      <w:r>
        <w:rPr>
          <w:color w:val="auto"/>
          <w:szCs w:val="21"/>
        </w:rPr>
        <w:t>方</w:t>
      </w:r>
      <w:r>
        <w:rPr>
          <w:rFonts w:hint="eastAsia"/>
          <w:color w:val="auto"/>
          <w:szCs w:val="21"/>
        </w:rPr>
        <w:t>支付</w:t>
      </w:r>
      <w:r>
        <w:rPr>
          <w:color w:val="auto"/>
          <w:szCs w:val="21"/>
        </w:rPr>
        <w:t>违约</w:t>
      </w:r>
      <w:r>
        <w:rPr>
          <w:rFonts w:hint="eastAsia"/>
          <w:color w:val="auto"/>
          <w:szCs w:val="21"/>
        </w:rPr>
        <w:t>金，标准为合同总价</w:t>
      </w:r>
      <w:r>
        <w:rPr>
          <w:rFonts w:hint="eastAsia"/>
          <w:color w:val="auto"/>
          <w:szCs w:val="21"/>
          <w:u w:val="single"/>
          <w:lang w:val="en-US" w:eastAsia="zh-CN"/>
        </w:rPr>
        <w:t>5</w:t>
      </w:r>
      <w:r>
        <w:rPr>
          <w:color w:val="auto"/>
          <w:szCs w:val="21"/>
          <w:u w:val="single"/>
        </w:rPr>
        <w:t>‰</w:t>
      </w:r>
      <w:r>
        <w:rPr>
          <w:color w:val="auto"/>
          <w:szCs w:val="21"/>
        </w:rPr>
        <w:t>/</w:t>
      </w:r>
      <w:r>
        <w:rPr>
          <w:rFonts w:hint="eastAsia"/>
          <w:color w:val="auto"/>
          <w:szCs w:val="21"/>
        </w:rPr>
        <w:t>日</w:t>
      </w:r>
      <w:r>
        <w:rPr>
          <w:color w:val="auto"/>
          <w:szCs w:val="21"/>
        </w:rPr>
        <w:t>，但违约金累计不得超过违约货款额</w:t>
      </w:r>
      <w:r>
        <w:rPr>
          <w:rFonts w:hint="eastAsia"/>
          <w:color w:val="auto"/>
          <w:szCs w:val="21"/>
          <w:u w:val="single"/>
          <w:lang w:val="en-US" w:eastAsia="zh-CN"/>
        </w:rPr>
        <w:t>10</w:t>
      </w:r>
      <w:r>
        <w:rPr>
          <w:color w:val="auto"/>
          <w:szCs w:val="21"/>
          <w:u w:val="single"/>
        </w:rPr>
        <w:t>%，</w:t>
      </w:r>
      <w:r>
        <w:rPr>
          <w:color w:val="auto"/>
          <w:szCs w:val="21"/>
        </w:rPr>
        <w:t>甲方延期付货款的，</w:t>
      </w:r>
      <w:r>
        <w:rPr>
          <w:rFonts w:hint="eastAsia"/>
          <w:color w:val="auto"/>
          <w:szCs w:val="21"/>
        </w:rPr>
        <w:t>应</w:t>
      </w:r>
      <w:r>
        <w:rPr>
          <w:color w:val="auto"/>
          <w:szCs w:val="21"/>
        </w:rPr>
        <w:t>向乙方</w:t>
      </w:r>
      <w:r>
        <w:rPr>
          <w:rFonts w:hint="eastAsia"/>
          <w:color w:val="auto"/>
          <w:szCs w:val="21"/>
        </w:rPr>
        <w:t>支</w:t>
      </w:r>
      <w:r>
        <w:rPr>
          <w:color w:val="auto"/>
          <w:szCs w:val="21"/>
        </w:rPr>
        <w:t>付延期滞纳金</w:t>
      </w:r>
      <w:r>
        <w:rPr>
          <w:rFonts w:hint="eastAsia"/>
          <w:color w:val="auto"/>
          <w:szCs w:val="21"/>
        </w:rPr>
        <w:t>，标准为合同总价</w:t>
      </w:r>
      <w:r>
        <w:rPr>
          <w:color w:val="auto"/>
          <w:szCs w:val="21"/>
        </w:rPr>
        <w:t>额</w:t>
      </w:r>
      <w:r>
        <w:rPr>
          <w:rFonts w:hint="eastAsia"/>
          <w:color w:val="auto"/>
          <w:szCs w:val="21"/>
          <w:u w:val="single"/>
          <w:lang w:val="en-US" w:eastAsia="zh-CN"/>
        </w:rPr>
        <w:t>5</w:t>
      </w:r>
      <w:r>
        <w:rPr>
          <w:color w:val="auto"/>
          <w:szCs w:val="21"/>
          <w:u w:val="single"/>
        </w:rPr>
        <w:t>‰/</w:t>
      </w:r>
      <w:r>
        <w:rPr>
          <w:rFonts w:hint="eastAsia"/>
          <w:color w:val="auto"/>
          <w:szCs w:val="21"/>
          <w:u w:val="single"/>
        </w:rPr>
        <w:t>日</w:t>
      </w:r>
      <w:r>
        <w:rPr>
          <w:color w:val="auto"/>
          <w:szCs w:val="21"/>
        </w:rPr>
        <w:t>，但滞纳金累计不得超过延期货款额</w:t>
      </w:r>
      <w:r>
        <w:rPr>
          <w:rFonts w:hint="eastAsia"/>
          <w:color w:val="auto"/>
          <w:szCs w:val="21"/>
          <w:u w:val="single"/>
          <w:lang w:val="en-US" w:eastAsia="zh-CN"/>
        </w:rPr>
        <w:t>10</w:t>
      </w:r>
      <w:r>
        <w:rPr>
          <w:color w:val="auto"/>
          <w:szCs w:val="21"/>
          <w:u w:val="single"/>
        </w:rPr>
        <w:t>%</w:t>
      </w:r>
      <w:r>
        <w:rPr>
          <w:color w:val="auto"/>
          <w:szCs w:val="21"/>
        </w:rPr>
        <w:t>。</w:t>
      </w:r>
    </w:p>
    <w:p w14:paraId="076DFFE2">
      <w:pPr>
        <w:snapToGrid w:val="0"/>
        <w:spacing w:line="300" w:lineRule="exact"/>
        <w:ind w:firstLine="420" w:firstLineChars="200"/>
        <w:rPr>
          <w:color w:val="auto"/>
          <w:szCs w:val="21"/>
        </w:rPr>
      </w:pPr>
      <w:r>
        <w:rPr>
          <w:rFonts w:hint="eastAsia"/>
          <w:color w:val="auto"/>
          <w:szCs w:val="21"/>
        </w:rPr>
        <w:t>3</w:t>
      </w:r>
      <w:r>
        <w:rPr>
          <w:color w:val="auto"/>
          <w:szCs w:val="21"/>
        </w:rPr>
        <w:t>.乙方未按本合同和投标文件中规定的服务承诺提供售后服务的，乙方应按本合同</w:t>
      </w:r>
      <w:r>
        <w:rPr>
          <w:rFonts w:hint="eastAsia"/>
          <w:color w:val="auto"/>
          <w:szCs w:val="21"/>
        </w:rPr>
        <w:t>总</w:t>
      </w:r>
      <w:r>
        <w:rPr>
          <w:color w:val="auto"/>
          <w:szCs w:val="21"/>
        </w:rPr>
        <w:t>金额</w:t>
      </w:r>
      <w:r>
        <w:rPr>
          <w:color w:val="auto"/>
          <w:szCs w:val="21"/>
          <w:u w:val="single"/>
        </w:rPr>
        <w:t xml:space="preserve"> </w:t>
      </w:r>
      <w:r>
        <w:rPr>
          <w:rFonts w:hint="eastAsia"/>
          <w:color w:val="auto"/>
          <w:szCs w:val="21"/>
          <w:u w:val="single"/>
          <w:lang w:val="en-US" w:eastAsia="zh-CN"/>
        </w:rPr>
        <w:t>10</w:t>
      </w:r>
      <w:r>
        <w:rPr>
          <w:color w:val="auto"/>
          <w:szCs w:val="21"/>
          <w:u w:val="single"/>
        </w:rPr>
        <w:t>%</w:t>
      </w:r>
      <w:r>
        <w:rPr>
          <w:color w:val="auto"/>
          <w:szCs w:val="21"/>
        </w:rPr>
        <w:t>向甲方支付违约金。</w:t>
      </w:r>
    </w:p>
    <w:p w14:paraId="21FE32EE">
      <w:pPr>
        <w:snapToGrid w:val="0"/>
        <w:spacing w:line="300" w:lineRule="exact"/>
        <w:ind w:firstLine="420" w:firstLineChars="200"/>
        <w:rPr>
          <w:color w:val="auto"/>
          <w:szCs w:val="21"/>
        </w:rPr>
      </w:pPr>
      <w:r>
        <w:rPr>
          <w:rFonts w:hint="eastAsia"/>
          <w:color w:val="auto"/>
          <w:szCs w:val="21"/>
        </w:rPr>
        <w:t>4</w:t>
      </w:r>
      <w:r>
        <w:rPr>
          <w:color w:val="auto"/>
          <w:szCs w:val="21"/>
        </w:rPr>
        <w:t>.乙方提供的货物在质量保证期内，因设计、工艺或材料的缺陷和其它质量原因造成的问题，由乙方负责，费用从</w:t>
      </w:r>
      <w:r>
        <w:rPr>
          <w:rFonts w:hint="eastAsia"/>
          <w:color w:val="auto"/>
          <w:szCs w:val="21"/>
        </w:rPr>
        <w:t>剩余支付货款</w:t>
      </w:r>
      <w:r>
        <w:rPr>
          <w:color w:val="auto"/>
          <w:szCs w:val="21"/>
        </w:rPr>
        <w:t>中扣除，</w:t>
      </w:r>
      <w:r>
        <w:rPr>
          <w:rFonts w:hint="eastAsia"/>
          <w:color w:val="auto"/>
          <w:szCs w:val="21"/>
        </w:rPr>
        <w:t>剩余支付货款</w:t>
      </w:r>
      <w:r>
        <w:rPr>
          <w:color w:val="auto"/>
          <w:szCs w:val="21"/>
        </w:rPr>
        <w:t>不足以支付的，由乙方另行支付。</w:t>
      </w:r>
    </w:p>
    <w:p w14:paraId="2FF4A649">
      <w:pPr>
        <w:snapToGrid w:val="0"/>
        <w:spacing w:line="300" w:lineRule="exact"/>
        <w:ind w:firstLine="420" w:firstLineChars="200"/>
        <w:rPr>
          <w:color w:val="auto"/>
          <w:szCs w:val="21"/>
        </w:rPr>
      </w:pPr>
      <w:r>
        <w:rPr>
          <w:rFonts w:hint="eastAsia"/>
          <w:color w:val="auto"/>
          <w:szCs w:val="21"/>
        </w:rPr>
        <w:t>5</w:t>
      </w:r>
      <w:r>
        <w:rPr>
          <w:color w:val="auto"/>
          <w:szCs w:val="21"/>
        </w:rPr>
        <w:t>.乙方提供的货物如侵犯了第三方合法权益而引发的任何纠纷或诉讼，均由乙方负责交涉并承担全部责任。</w:t>
      </w:r>
    </w:p>
    <w:p w14:paraId="579BFF7B">
      <w:pPr>
        <w:snapToGrid w:val="0"/>
        <w:spacing w:line="300" w:lineRule="exact"/>
        <w:ind w:firstLine="420" w:firstLineChars="200"/>
        <w:rPr>
          <w:color w:val="auto"/>
          <w:szCs w:val="21"/>
        </w:rPr>
      </w:pPr>
      <w:r>
        <w:rPr>
          <w:rFonts w:hint="eastAsia"/>
          <w:color w:val="auto"/>
          <w:szCs w:val="21"/>
        </w:rPr>
        <w:t>6</w:t>
      </w:r>
      <w:r>
        <w:rPr>
          <w:color w:val="auto"/>
          <w:szCs w:val="21"/>
        </w:rPr>
        <w:t>.其它违约行为按违约货款额</w:t>
      </w:r>
      <w:r>
        <w:rPr>
          <w:rFonts w:hint="eastAsia"/>
          <w:color w:val="auto"/>
          <w:szCs w:val="21"/>
          <w:lang w:val="en-US" w:eastAsia="zh-CN"/>
        </w:rPr>
        <w:t>10</w:t>
      </w:r>
      <w:r>
        <w:rPr>
          <w:color w:val="auto"/>
          <w:szCs w:val="21"/>
        </w:rPr>
        <w:t>%收取违约金并赔偿经济损失。</w:t>
      </w:r>
    </w:p>
    <w:p w14:paraId="16A4FE08">
      <w:pPr>
        <w:snapToGrid w:val="0"/>
        <w:spacing w:line="300" w:lineRule="exact"/>
        <w:ind w:firstLine="420" w:firstLineChars="200"/>
        <w:rPr>
          <w:color w:val="auto"/>
          <w:szCs w:val="21"/>
        </w:rPr>
      </w:pPr>
      <w:r>
        <w:rPr>
          <w:rFonts w:hint="eastAsia"/>
          <w:color w:val="auto"/>
          <w:szCs w:val="21"/>
        </w:rPr>
        <w:t>7</w:t>
      </w:r>
      <w:r>
        <w:rPr>
          <w:color w:val="auto"/>
          <w:szCs w:val="21"/>
        </w:rPr>
        <w:t>.</w:t>
      </w:r>
      <w:r>
        <w:rPr>
          <w:rFonts w:hint="eastAsia"/>
          <w:color w:val="auto"/>
          <w:szCs w:val="21"/>
        </w:rPr>
        <w:t>因甲方原因导致变更、中止或者终止政府采购合同的，应当依照合同约定对乙方受到的损失予以赔偿或者补偿。</w:t>
      </w:r>
      <w:r>
        <w:rPr>
          <w:color w:val="auto"/>
          <w:szCs w:val="21"/>
        </w:rPr>
        <w:t>赔偿（补偿）标准：</w:t>
      </w:r>
      <w:r>
        <w:rPr>
          <w:rFonts w:hint="eastAsia"/>
          <w:color w:val="auto"/>
          <w:szCs w:val="21"/>
          <w:u w:val="single"/>
        </w:rPr>
        <w:t xml:space="preserve"> </w:t>
      </w:r>
      <w:r>
        <w:rPr>
          <w:color w:val="auto"/>
          <w:szCs w:val="21"/>
          <w:u w:val="single"/>
        </w:rPr>
        <w:t xml:space="preserve"> </w:t>
      </w:r>
      <w:r>
        <w:rPr>
          <w:rFonts w:hint="eastAsia"/>
          <w:color w:val="auto"/>
          <w:szCs w:val="21"/>
          <w:u w:val="single"/>
        </w:rPr>
        <w:t>按实际损失赔偿</w:t>
      </w:r>
      <w:r>
        <w:rPr>
          <w:color w:val="auto"/>
          <w:szCs w:val="21"/>
          <w:u w:val="single"/>
        </w:rPr>
        <w:t xml:space="preserve">  </w:t>
      </w:r>
      <w:r>
        <w:rPr>
          <w:rFonts w:hint="eastAsia"/>
          <w:color w:val="auto"/>
          <w:szCs w:val="21"/>
        </w:rPr>
        <w:t>。</w:t>
      </w:r>
    </w:p>
    <w:bookmarkEnd w:id="132"/>
    <w:bookmarkEnd w:id="133"/>
    <w:p w14:paraId="52B24568">
      <w:pPr>
        <w:pStyle w:val="26"/>
        <w:snapToGrid w:val="0"/>
        <w:spacing w:before="120" w:after="120" w:line="360" w:lineRule="exact"/>
        <w:ind w:firstLine="413" w:firstLineChars="196"/>
        <w:rPr>
          <w:rFonts w:ascii="Times New Roman" w:hAnsi="Times New Roman" w:cs="Times New Roman"/>
          <w:b/>
          <w:color w:val="auto"/>
        </w:rPr>
      </w:pPr>
      <w:r>
        <w:rPr>
          <w:rFonts w:ascii="Times New Roman" w:hAnsi="Times New Roman" w:cs="Times New Roman"/>
          <w:b/>
          <w:color w:val="auto"/>
        </w:rPr>
        <w:t>第十</w:t>
      </w:r>
      <w:r>
        <w:rPr>
          <w:rFonts w:hint="eastAsia" w:ascii="Times New Roman" w:hAnsi="Times New Roman" w:cs="Times New Roman"/>
          <w:b/>
          <w:color w:val="auto"/>
        </w:rPr>
        <w:t>二</w:t>
      </w:r>
      <w:r>
        <w:rPr>
          <w:rFonts w:ascii="Times New Roman" w:hAnsi="Times New Roman" w:cs="Times New Roman"/>
          <w:b/>
          <w:color w:val="auto"/>
        </w:rPr>
        <w:t>条 不可抗力事件处理</w:t>
      </w:r>
    </w:p>
    <w:p w14:paraId="1C1D9215">
      <w:pPr>
        <w:snapToGrid w:val="0"/>
        <w:spacing w:line="300" w:lineRule="exact"/>
        <w:ind w:firstLine="420" w:firstLineChars="200"/>
        <w:rPr>
          <w:color w:val="auto"/>
          <w:szCs w:val="21"/>
        </w:rPr>
      </w:pPr>
      <w:r>
        <w:rPr>
          <w:color w:val="auto"/>
          <w:szCs w:val="21"/>
        </w:rPr>
        <w:t>1. 在合同有效期内，任何一方因不可抗力事件导致不能履行合同，则合同履行期可延长，其延长期与不可抗力影响期相同。</w:t>
      </w:r>
    </w:p>
    <w:p w14:paraId="3579E74D">
      <w:pPr>
        <w:snapToGrid w:val="0"/>
        <w:spacing w:line="300" w:lineRule="exact"/>
        <w:ind w:firstLine="420" w:firstLineChars="200"/>
        <w:rPr>
          <w:color w:val="auto"/>
          <w:szCs w:val="21"/>
        </w:rPr>
      </w:pPr>
      <w:r>
        <w:rPr>
          <w:color w:val="auto"/>
          <w:szCs w:val="21"/>
        </w:rPr>
        <w:t>2. 不可抗力事件发生后，应立即通知对方，并寄送有关权威机构出具的证明。</w:t>
      </w:r>
    </w:p>
    <w:p w14:paraId="20AB4D3E">
      <w:pPr>
        <w:snapToGrid w:val="0"/>
        <w:spacing w:line="300" w:lineRule="exact"/>
        <w:ind w:firstLine="420" w:firstLineChars="200"/>
        <w:rPr>
          <w:color w:val="auto"/>
          <w:szCs w:val="21"/>
        </w:rPr>
      </w:pPr>
      <w:r>
        <w:rPr>
          <w:color w:val="auto"/>
          <w:szCs w:val="21"/>
        </w:rPr>
        <w:t>3. 不可抗力事件延续一百二十天以上，双方应通过友好协商，确定是否继续履行合同。</w:t>
      </w:r>
    </w:p>
    <w:p w14:paraId="66BEF5F3">
      <w:pPr>
        <w:snapToGrid w:val="0"/>
        <w:spacing w:line="360" w:lineRule="exact"/>
        <w:ind w:firstLine="422" w:firstLineChars="200"/>
        <w:rPr>
          <w:color w:val="auto"/>
          <w:szCs w:val="21"/>
        </w:rPr>
      </w:pPr>
      <w:r>
        <w:rPr>
          <w:b/>
          <w:color w:val="auto"/>
          <w:szCs w:val="21"/>
        </w:rPr>
        <w:t>第十</w:t>
      </w:r>
      <w:r>
        <w:rPr>
          <w:rFonts w:hint="eastAsia"/>
          <w:b/>
          <w:color w:val="auto"/>
          <w:szCs w:val="21"/>
        </w:rPr>
        <w:t>三</w:t>
      </w:r>
      <w:r>
        <w:rPr>
          <w:b/>
          <w:color w:val="auto"/>
          <w:szCs w:val="21"/>
        </w:rPr>
        <w:t>条  合同争议解决</w:t>
      </w:r>
    </w:p>
    <w:p w14:paraId="46EE4E7B">
      <w:pPr>
        <w:snapToGrid w:val="0"/>
        <w:spacing w:line="300" w:lineRule="exact"/>
        <w:ind w:firstLine="420" w:firstLineChars="200"/>
        <w:rPr>
          <w:color w:val="auto"/>
          <w:szCs w:val="21"/>
        </w:rPr>
      </w:pPr>
      <w:r>
        <w:rPr>
          <w:color w:val="auto"/>
          <w:szCs w:val="21"/>
        </w:rPr>
        <w:t>1</w:t>
      </w:r>
      <w:r>
        <w:rPr>
          <w:rFonts w:hint="eastAsia"/>
          <w:color w:val="auto"/>
          <w:szCs w:val="21"/>
        </w:rPr>
        <w:t>.</w:t>
      </w:r>
      <w:r>
        <w:rPr>
          <w:color w:val="auto"/>
          <w:szCs w:val="21"/>
        </w:rPr>
        <w:t xml:space="preserve"> 因货物质量问题</w:t>
      </w:r>
      <w:r>
        <w:rPr>
          <w:rFonts w:hint="eastAsia"/>
          <w:color w:val="auto"/>
          <w:szCs w:val="21"/>
        </w:rPr>
        <w:t>或验收结果</w:t>
      </w:r>
      <w:r>
        <w:rPr>
          <w:color w:val="auto"/>
          <w:szCs w:val="21"/>
        </w:rPr>
        <w:t>发生争议的，应邀请国家认</w:t>
      </w:r>
      <w:r>
        <w:rPr>
          <w:rFonts w:hint="eastAsia"/>
          <w:color w:val="auto"/>
          <w:szCs w:val="21"/>
        </w:rPr>
        <w:t>定</w:t>
      </w:r>
      <w:r>
        <w:rPr>
          <w:color w:val="auto"/>
          <w:szCs w:val="21"/>
        </w:rPr>
        <w:t>的质量检测机构按照国家标准对货物质量进行验收。货物符合</w:t>
      </w:r>
      <w:r>
        <w:rPr>
          <w:rFonts w:hint="eastAsia"/>
          <w:color w:val="auto"/>
          <w:szCs w:val="21"/>
        </w:rPr>
        <w:t>验收</w:t>
      </w:r>
      <w:r>
        <w:rPr>
          <w:color w:val="auto"/>
          <w:szCs w:val="21"/>
        </w:rPr>
        <w:t>标准的，鉴定费由甲方承担；货物不符合</w:t>
      </w:r>
      <w:r>
        <w:rPr>
          <w:rFonts w:hint="eastAsia"/>
          <w:color w:val="auto"/>
          <w:szCs w:val="21"/>
        </w:rPr>
        <w:t>验收</w:t>
      </w:r>
      <w:r>
        <w:rPr>
          <w:color w:val="auto"/>
          <w:szCs w:val="21"/>
        </w:rPr>
        <w:t>标准的，鉴定费由乙方承担。</w:t>
      </w:r>
    </w:p>
    <w:p w14:paraId="3F45B168">
      <w:pPr>
        <w:snapToGrid w:val="0"/>
        <w:spacing w:line="300" w:lineRule="exact"/>
        <w:ind w:firstLine="420" w:firstLineChars="200"/>
        <w:rPr>
          <w:color w:val="auto"/>
          <w:szCs w:val="21"/>
        </w:rPr>
      </w:pPr>
      <w:r>
        <w:rPr>
          <w:color w:val="auto"/>
          <w:szCs w:val="21"/>
        </w:rPr>
        <w:t xml:space="preserve">2 </w:t>
      </w:r>
      <w:r>
        <w:rPr>
          <w:rFonts w:hint="eastAsia"/>
          <w:color w:val="auto"/>
          <w:szCs w:val="21"/>
        </w:rPr>
        <w:t>.</w:t>
      </w:r>
      <w:r>
        <w:rPr>
          <w:color w:val="auto"/>
          <w:szCs w:val="21"/>
        </w:rPr>
        <w:t>因履行本合同引起的或与本合同有关的争议，甲乙双方应首先通过友好协商解决，如果协商不能解决，可向甲方所在地人民法院提起诉讼。</w:t>
      </w:r>
    </w:p>
    <w:p w14:paraId="6FB3ABC2">
      <w:pPr>
        <w:snapToGrid w:val="0"/>
        <w:spacing w:line="300" w:lineRule="exact"/>
        <w:ind w:firstLine="420" w:firstLineChars="200"/>
        <w:rPr>
          <w:color w:val="auto"/>
          <w:szCs w:val="21"/>
        </w:rPr>
      </w:pPr>
      <w:r>
        <w:rPr>
          <w:color w:val="auto"/>
          <w:szCs w:val="21"/>
        </w:rPr>
        <w:t xml:space="preserve">3 </w:t>
      </w:r>
      <w:r>
        <w:rPr>
          <w:rFonts w:hint="eastAsia"/>
          <w:color w:val="auto"/>
          <w:szCs w:val="21"/>
        </w:rPr>
        <w:t>.</w:t>
      </w:r>
      <w:r>
        <w:rPr>
          <w:color w:val="auto"/>
          <w:szCs w:val="21"/>
        </w:rPr>
        <w:t>诉讼期间，本合同继续履行。</w:t>
      </w:r>
    </w:p>
    <w:p w14:paraId="5AD12E88">
      <w:pPr>
        <w:pStyle w:val="26"/>
        <w:snapToGrid w:val="0"/>
        <w:spacing w:before="120" w:after="120" w:line="360" w:lineRule="exact"/>
        <w:ind w:firstLine="422" w:firstLineChars="200"/>
        <w:rPr>
          <w:rFonts w:ascii="Times New Roman" w:hAnsi="Times New Roman" w:cs="Times New Roman"/>
          <w:b/>
          <w:color w:val="auto"/>
        </w:rPr>
      </w:pPr>
      <w:r>
        <w:rPr>
          <w:rFonts w:ascii="Times New Roman" w:hAnsi="Times New Roman" w:cs="Times New Roman"/>
          <w:b/>
          <w:color w:val="auto"/>
        </w:rPr>
        <w:t>第十</w:t>
      </w:r>
      <w:r>
        <w:rPr>
          <w:rFonts w:hint="eastAsia" w:ascii="Times New Roman" w:hAnsi="Times New Roman" w:cs="Times New Roman"/>
          <w:b/>
          <w:color w:val="auto"/>
        </w:rPr>
        <w:t>四</w:t>
      </w:r>
      <w:r>
        <w:rPr>
          <w:rFonts w:ascii="Times New Roman" w:hAnsi="Times New Roman" w:cs="Times New Roman"/>
          <w:b/>
          <w:color w:val="auto"/>
        </w:rPr>
        <w:t>条 合同生效及其它</w:t>
      </w:r>
    </w:p>
    <w:p w14:paraId="25F2F764">
      <w:pPr>
        <w:snapToGrid w:val="0"/>
        <w:spacing w:line="300" w:lineRule="exact"/>
        <w:ind w:firstLine="420" w:firstLineChars="200"/>
        <w:rPr>
          <w:color w:val="auto"/>
          <w:szCs w:val="21"/>
        </w:rPr>
      </w:pPr>
      <w:r>
        <w:rPr>
          <w:color w:val="auto"/>
          <w:szCs w:val="21"/>
        </w:rPr>
        <w:t>1</w:t>
      </w:r>
      <w:r>
        <w:rPr>
          <w:rFonts w:hint="eastAsia"/>
          <w:color w:val="auto"/>
          <w:szCs w:val="21"/>
        </w:rPr>
        <w:t>.</w:t>
      </w:r>
      <w:r>
        <w:rPr>
          <w:color w:val="auto"/>
          <w:szCs w:val="21"/>
        </w:rPr>
        <w:t xml:space="preserve"> 合同经双方法定代表人或授权代表签字并加盖单位公章后生效。</w:t>
      </w:r>
    </w:p>
    <w:p w14:paraId="750984F3">
      <w:pPr>
        <w:snapToGrid w:val="0"/>
        <w:spacing w:line="300" w:lineRule="exact"/>
        <w:ind w:firstLine="420" w:firstLineChars="200"/>
        <w:rPr>
          <w:color w:val="auto"/>
          <w:szCs w:val="21"/>
        </w:rPr>
      </w:pPr>
      <w:r>
        <w:rPr>
          <w:color w:val="auto"/>
          <w:szCs w:val="21"/>
        </w:rPr>
        <w:t>2</w:t>
      </w:r>
      <w:r>
        <w:rPr>
          <w:rFonts w:hint="eastAsia"/>
          <w:color w:val="auto"/>
          <w:szCs w:val="21"/>
        </w:rPr>
        <w:t>.</w:t>
      </w:r>
      <w:r>
        <w:rPr>
          <w:color w:val="auto"/>
          <w:szCs w:val="21"/>
        </w:rPr>
        <w:t xml:space="preserve"> 合同执行中涉及采购资金和采购内容修改或补充的，须</w:t>
      </w:r>
      <w:r>
        <w:rPr>
          <w:rFonts w:hint="eastAsia"/>
          <w:color w:val="auto"/>
          <w:szCs w:val="21"/>
        </w:rPr>
        <w:t>报</w:t>
      </w:r>
      <w:r>
        <w:rPr>
          <w:color w:val="auto"/>
          <w:szCs w:val="21"/>
        </w:rPr>
        <w:t>财政部门</w:t>
      </w:r>
      <w:r>
        <w:rPr>
          <w:rFonts w:hint="eastAsia"/>
          <w:color w:val="auto"/>
          <w:szCs w:val="21"/>
        </w:rPr>
        <w:t>备案</w:t>
      </w:r>
      <w:r>
        <w:rPr>
          <w:color w:val="auto"/>
          <w:szCs w:val="21"/>
        </w:rPr>
        <w:t>，</w:t>
      </w:r>
      <w:r>
        <w:rPr>
          <w:rFonts w:hint="eastAsia"/>
          <w:color w:val="auto"/>
          <w:szCs w:val="21"/>
        </w:rPr>
        <w:t>经</w:t>
      </w:r>
      <w:r>
        <w:rPr>
          <w:color w:val="auto"/>
          <w:szCs w:val="21"/>
        </w:rPr>
        <w:t>财政部门</w:t>
      </w:r>
      <w:r>
        <w:rPr>
          <w:rFonts w:hint="eastAsia"/>
          <w:color w:val="auto"/>
          <w:szCs w:val="21"/>
        </w:rPr>
        <w:t>同意后</w:t>
      </w:r>
      <w:r>
        <w:rPr>
          <w:color w:val="auto"/>
          <w:szCs w:val="21"/>
        </w:rPr>
        <w:t>签书面补充协议。</w:t>
      </w:r>
    </w:p>
    <w:p w14:paraId="093E6560">
      <w:pPr>
        <w:snapToGrid w:val="0"/>
        <w:spacing w:line="300" w:lineRule="exact"/>
        <w:ind w:firstLine="420" w:firstLineChars="200"/>
        <w:rPr>
          <w:color w:val="auto"/>
          <w:szCs w:val="21"/>
        </w:rPr>
      </w:pPr>
      <w:r>
        <w:rPr>
          <w:color w:val="auto"/>
          <w:szCs w:val="21"/>
        </w:rPr>
        <w:t>3</w:t>
      </w:r>
      <w:r>
        <w:rPr>
          <w:rFonts w:hint="eastAsia"/>
          <w:color w:val="auto"/>
          <w:szCs w:val="21"/>
        </w:rPr>
        <w:t>.</w:t>
      </w:r>
      <w:r>
        <w:rPr>
          <w:color w:val="auto"/>
          <w:szCs w:val="21"/>
        </w:rPr>
        <w:t xml:space="preserve"> </w:t>
      </w:r>
      <w:r>
        <w:rPr>
          <w:rFonts w:hint="eastAsia"/>
          <w:color w:val="auto"/>
          <w:szCs w:val="21"/>
        </w:rPr>
        <w:t>如无特别说明，</w:t>
      </w:r>
      <w:r>
        <w:rPr>
          <w:color w:val="auto"/>
          <w:szCs w:val="21"/>
        </w:rPr>
        <w:t>本合同使用货币币制为人民币</w:t>
      </w:r>
      <w:r>
        <w:rPr>
          <w:rFonts w:hint="eastAsia"/>
          <w:color w:val="auto"/>
          <w:szCs w:val="21"/>
        </w:rPr>
        <w:t>，使用单位为中国国家法定计量单位。</w:t>
      </w:r>
    </w:p>
    <w:p w14:paraId="39C3DA88">
      <w:pPr>
        <w:snapToGrid w:val="0"/>
        <w:spacing w:line="300" w:lineRule="exact"/>
        <w:ind w:firstLine="420" w:firstLineChars="200"/>
        <w:rPr>
          <w:color w:val="auto"/>
          <w:szCs w:val="21"/>
        </w:rPr>
      </w:pPr>
      <w:r>
        <w:rPr>
          <w:color w:val="auto"/>
          <w:szCs w:val="21"/>
        </w:rPr>
        <w:t>4.</w:t>
      </w:r>
      <w:r>
        <w:rPr>
          <w:rFonts w:hint="eastAsia"/>
          <w:color w:val="auto"/>
          <w:szCs w:val="21"/>
        </w:rPr>
        <w:t xml:space="preserve"> 本合同中提及的招标与谈判、磋商、询价、单一来源采购为同一含义，提及的投标与响应为同一含义，提及的中标与成交为同一含义。</w:t>
      </w:r>
    </w:p>
    <w:p w14:paraId="29A37843">
      <w:pPr>
        <w:snapToGrid w:val="0"/>
        <w:spacing w:line="300" w:lineRule="exact"/>
        <w:ind w:firstLine="420" w:firstLineChars="200"/>
        <w:rPr>
          <w:color w:val="auto"/>
          <w:szCs w:val="21"/>
        </w:rPr>
      </w:pPr>
      <w:r>
        <w:rPr>
          <w:rFonts w:hint="eastAsia"/>
          <w:color w:val="auto"/>
          <w:szCs w:val="21"/>
        </w:rPr>
        <w:t>5.</w:t>
      </w:r>
      <w:r>
        <w:rPr>
          <w:color w:val="auto"/>
          <w:szCs w:val="21"/>
        </w:rPr>
        <w:t xml:space="preserve"> 本合同未尽事宜，遵照《</w:t>
      </w:r>
      <w:r>
        <w:rPr>
          <w:rFonts w:hint="eastAsia"/>
          <w:color w:val="auto"/>
          <w:szCs w:val="21"/>
        </w:rPr>
        <w:t>民法典</w:t>
      </w:r>
      <w:r>
        <w:rPr>
          <w:color w:val="auto"/>
          <w:szCs w:val="21"/>
        </w:rPr>
        <w:t>》有关条文执行。</w:t>
      </w:r>
    </w:p>
    <w:p w14:paraId="7F49688B">
      <w:pPr>
        <w:snapToGrid w:val="0"/>
        <w:spacing w:line="300" w:lineRule="exact"/>
        <w:ind w:firstLine="420" w:firstLineChars="200"/>
        <w:rPr>
          <w:color w:val="auto"/>
          <w:szCs w:val="21"/>
        </w:rPr>
      </w:pPr>
      <w:r>
        <w:rPr>
          <w:color w:val="auto"/>
          <w:szCs w:val="21"/>
        </w:rPr>
        <w:t>6</w:t>
      </w:r>
      <w:r>
        <w:rPr>
          <w:rFonts w:hint="eastAsia"/>
          <w:color w:val="auto"/>
          <w:szCs w:val="21"/>
        </w:rPr>
        <w:t>.</w:t>
      </w:r>
      <w:r>
        <w:rPr>
          <w:color w:val="auto"/>
          <w:szCs w:val="21"/>
        </w:rPr>
        <w:t xml:space="preserve"> </w:t>
      </w:r>
      <w:r>
        <w:rPr>
          <w:rFonts w:hint="eastAsia"/>
          <w:color w:val="auto"/>
          <w:szCs w:val="21"/>
        </w:rPr>
        <w:t xml:space="preserve">本合同（□是  </w:t>
      </w:r>
      <w:r>
        <w:rPr>
          <w:color w:val="auto"/>
          <w:szCs w:val="21"/>
        </w:rPr>
        <w:sym w:font="Wingdings 2" w:char="F052"/>
      </w:r>
      <w:r>
        <w:rPr>
          <w:rFonts w:hint="eastAsia"/>
          <w:color w:val="auto"/>
          <w:szCs w:val="21"/>
        </w:rPr>
        <w:t>否）为中小企业预留合同</w:t>
      </w:r>
    </w:p>
    <w:p w14:paraId="3E3CA444">
      <w:pPr>
        <w:snapToGrid w:val="0"/>
        <w:spacing w:line="360" w:lineRule="exact"/>
        <w:ind w:firstLine="422" w:firstLineChars="200"/>
        <w:rPr>
          <w:b/>
          <w:color w:val="auto"/>
          <w:szCs w:val="21"/>
        </w:rPr>
      </w:pPr>
      <w:r>
        <w:rPr>
          <w:b/>
          <w:color w:val="auto"/>
          <w:szCs w:val="21"/>
        </w:rPr>
        <w:t>第十</w:t>
      </w:r>
      <w:r>
        <w:rPr>
          <w:rFonts w:hint="eastAsia"/>
          <w:b/>
          <w:color w:val="auto"/>
          <w:szCs w:val="21"/>
        </w:rPr>
        <w:t>五</w:t>
      </w:r>
      <w:r>
        <w:rPr>
          <w:b/>
          <w:color w:val="auto"/>
          <w:szCs w:val="21"/>
        </w:rPr>
        <w:t>条　合同的变更、终止与转让</w:t>
      </w:r>
    </w:p>
    <w:p w14:paraId="3776A3A3">
      <w:pPr>
        <w:snapToGrid w:val="0"/>
        <w:spacing w:line="300" w:lineRule="exact"/>
        <w:ind w:firstLine="420" w:firstLineChars="200"/>
        <w:rPr>
          <w:color w:val="auto"/>
          <w:szCs w:val="21"/>
        </w:rPr>
      </w:pPr>
      <w:r>
        <w:rPr>
          <w:color w:val="auto"/>
          <w:szCs w:val="21"/>
        </w:rPr>
        <w:t>1.除《中华人民共和国政府采购法》第五十条规定的情形外，本合同一经签订，甲乙双方不得擅自变更、中止或终止。</w:t>
      </w:r>
    </w:p>
    <w:p w14:paraId="5D70835F">
      <w:pPr>
        <w:snapToGrid w:val="0"/>
        <w:spacing w:line="300" w:lineRule="exact"/>
        <w:ind w:firstLine="420" w:firstLineChars="200"/>
        <w:rPr>
          <w:color w:val="auto"/>
          <w:szCs w:val="21"/>
        </w:rPr>
      </w:pPr>
      <w:r>
        <w:rPr>
          <w:color w:val="auto"/>
          <w:szCs w:val="21"/>
        </w:rPr>
        <w:t>2.未经甲方书面同意，乙方不得擅自转让（无进口资格的乙方委托进口货物除外）其应履行的合同义务。</w:t>
      </w:r>
    </w:p>
    <w:p w14:paraId="406CC793">
      <w:pPr>
        <w:snapToGrid w:val="0"/>
        <w:spacing w:line="360" w:lineRule="exact"/>
        <w:ind w:firstLine="422" w:firstLineChars="200"/>
        <w:rPr>
          <w:b/>
          <w:color w:val="auto"/>
          <w:szCs w:val="21"/>
        </w:rPr>
      </w:pPr>
      <w:r>
        <w:rPr>
          <w:b/>
          <w:color w:val="auto"/>
          <w:szCs w:val="21"/>
        </w:rPr>
        <w:t>第十</w:t>
      </w:r>
      <w:r>
        <w:rPr>
          <w:rFonts w:hint="eastAsia"/>
          <w:b/>
          <w:color w:val="auto"/>
          <w:szCs w:val="21"/>
        </w:rPr>
        <w:t>六</w:t>
      </w:r>
      <w:r>
        <w:rPr>
          <w:b/>
          <w:color w:val="auto"/>
          <w:szCs w:val="21"/>
        </w:rPr>
        <w:t>条　</w:t>
      </w:r>
      <w:r>
        <w:rPr>
          <w:rFonts w:hint="eastAsia"/>
          <w:b/>
          <w:color w:val="auto"/>
          <w:szCs w:val="21"/>
        </w:rPr>
        <w:t>合同文件的组成</w:t>
      </w:r>
    </w:p>
    <w:p w14:paraId="28313A1B">
      <w:pPr>
        <w:snapToGrid w:val="0"/>
        <w:spacing w:line="300" w:lineRule="exact"/>
        <w:ind w:firstLine="420" w:firstLineChars="200"/>
        <w:rPr>
          <w:rFonts w:hint="eastAsia" w:hAnsi="宋体" w:cs="宋体"/>
          <w:color w:val="auto"/>
          <w:kern w:val="0"/>
        </w:rPr>
      </w:pPr>
      <w:r>
        <w:rPr>
          <w:color w:val="auto"/>
          <w:szCs w:val="21"/>
        </w:rPr>
        <w:t>1.</w:t>
      </w:r>
      <w:r>
        <w:rPr>
          <w:rFonts w:hint="eastAsia" w:hAnsi="宋体" w:cs="宋体"/>
          <w:color w:val="auto"/>
          <w:kern w:val="0"/>
        </w:rPr>
        <w:t>政府采购合同；</w:t>
      </w:r>
    </w:p>
    <w:p w14:paraId="038EE046">
      <w:pPr>
        <w:snapToGrid w:val="0"/>
        <w:spacing w:line="300" w:lineRule="exact"/>
        <w:ind w:firstLine="420" w:firstLineChars="200"/>
        <w:rPr>
          <w:color w:val="auto"/>
          <w:szCs w:val="21"/>
        </w:rPr>
      </w:pPr>
      <w:r>
        <w:rPr>
          <w:rFonts w:hint="eastAsia"/>
          <w:color w:val="auto"/>
          <w:szCs w:val="21"/>
        </w:rPr>
        <w:t>2.</w:t>
      </w:r>
      <w:r>
        <w:rPr>
          <w:color w:val="auto"/>
          <w:szCs w:val="21"/>
        </w:rPr>
        <w:t>中标通知书</w:t>
      </w:r>
      <w:r>
        <w:rPr>
          <w:rFonts w:hint="eastAsia"/>
          <w:color w:val="auto"/>
          <w:szCs w:val="21"/>
        </w:rPr>
        <w:t>（如有）；</w:t>
      </w:r>
    </w:p>
    <w:p w14:paraId="1B3E9554">
      <w:pPr>
        <w:snapToGrid w:val="0"/>
        <w:spacing w:line="300" w:lineRule="exact"/>
        <w:ind w:firstLine="420" w:firstLineChars="200"/>
        <w:rPr>
          <w:color w:val="auto"/>
          <w:szCs w:val="21"/>
        </w:rPr>
      </w:pPr>
      <w:r>
        <w:rPr>
          <w:rFonts w:hint="eastAsia"/>
          <w:color w:val="auto"/>
          <w:szCs w:val="21"/>
        </w:rPr>
        <w:t>3</w:t>
      </w:r>
      <w:r>
        <w:rPr>
          <w:color w:val="auto"/>
          <w:szCs w:val="21"/>
        </w:rPr>
        <w:t>.乙方的投标文件；</w:t>
      </w:r>
    </w:p>
    <w:p w14:paraId="4AF37E53">
      <w:pPr>
        <w:snapToGrid w:val="0"/>
        <w:spacing w:line="300" w:lineRule="exact"/>
        <w:ind w:firstLine="420" w:firstLineChars="200"/>
        <w:rPr>
          <w:color w:val="auto"/>
          <w:szCs w:val="21"/>
        </w:rPr>
      </w:pPr>
      <w:r>
        <w:rPr>
          <w:rFonts w:hint="eastAsia"/>
          <w:color w:val="auto"/>
          <w:szCs w:val="21"/>
        </w:rPr>
        <w:t>4</w:t>
      </w:r>
      <w:r>
        <w:rPr>
          <w:color w:val="auto"/>
          <w:szCs w:val="21"/>
        </w:rPr>
        <w:t>.</w:t>
      </w:r>
      <w:r>
        <w:rPr>
          <w:rFonts w:hint="eastAsia"/>
          <w:color w:val="auto"/>
          <w:szCs w:val="21"/>
        </w:rPr>
        <w:t>采购文件</w:t>
      </w:r>
      <w:r>
        <w:rPr>
          <w:color w:val="auto"/>
          <w:szCs w:val="21"/>
        </w:rPr>
        <w:t>；</w:t>
      </w:r>
    </w:p>
    <w:p w14:paraId="7A420293">
      <w:pPr>
        <w:snapToGrid w:val="0"/>
        <w:spacing w:line="300" w:lineRule="exact"/>
        <w:ind w:firstLine="420" w:firstLineChars="200"/>
        <w:rPr>
          <w:color w:val="auto"/>
          <w:szCs w:val="21"/>
        </w:rPr>
      </w:pPr>
      <w:r>
        <w:rPr>
          <w:rFonts w:hint="eastAsia"/>
          <w:color w:val="auto"/>
        </w:rPr>
        <w:t>5.其他合同文件。</w:t>
      </w:r>
    </w:p>
    <w:p w14:paraId="5169CC18">
      <w:pPr>
        <w:snapToGrid w:val="0"/>
        <w:spacing w:line="300" w:lineRule="exact"/>
        <w:ind w:firstLine="422" w:firstLineChars="200"/>
        <w:rPr>
          <w:color w:val="auto"/>
          <w:szCs w:val="21"/>
        </w:rPr>
      </w:pPr>
      <w:r>
        <w:rPr>
          <w:b/>
          <w:color w:val="auto"/>
          <w:szCs w:val="21"/>
        </w:rPr>
        <w:t>第</w:t>
      </w:r>
      <w:r>
        <w:rPr>
          <w:rFonts w:hint="eastAsia"/>
          <w:b/>
          <w:color w:val="auto"/>
          <w:szCs w:val="21"/>
        </w:rPr>
        <w:t>十七</w:t>
      </w:r>
      <w:r>
        <w:rPr>
          <w:b/>
          <w:color w:val="auto"/>
          <w:szCs w:val="21"/>
        </w:rPr>
        <w:t>条　</w:t>
      </w:r>
      <w:r>
        <w:rPr>
          <w:color w:val="auto"/>
          <w:szCs w:val="21"/>
        </w:rPr>
        <w:t>本合同一式</w:t>
      </w:r>
      <w:r>
        <w:rPr>
          <w:rFonts w:hint="eastAsia"/>
          <w:color w:val="auto"/>
          <w:szCs w:val="21"/>
          <w:lang w:val="en-US" w:eastAsia="zh-CN"/>
        </w:rPr>
        <w:t>伍</w:t>
      </w:r>
      <w:r>
        <w:rPr>
          <w:color w:val="auto"/>
          <w:szCs w:val="21"/>
        </w:rPr>
        <w:t>份，具有同等法律效力。</w:t>
      </w:r>
      <w:r>
        <w:rPr>
          <w:rFonts w:hint="eastAsia"/>
          <w:color w:val="auto"/>
          <w:szCs w:val="21"/>
        </w:rPr>
        <w:t>甲方</w:t>
      </w:r>
      <w:r>
        <w:rPr>
          <w:rFonts w:hint="eastAsia"/>
          <w:color w:val="auto"/>
          <w:szCs w:val="21"/>
          <w:lang w:val="en-US" w:eastAsia="zh-CN"/>
        </w:rPr>
        <w:t>叁</w:t>
      </w:r>
      <w:r>
        <w:rPr>
          <w:rFonts w:hint="eastAsia"/>
          <w:color w:val="auto"/>
          <w:szCs w:val="21"/>
        </w:rPr>
        <w:t>份，乙方</w:t>
      </w:r>
      <w:r>
        <w:rPr>
          <w:rFonts w:hint="eastAsia"/>
          <w:color w:val="auto"/>
          <w:szCs w:val="21"/>
          <w:lang w:val="en-US" w:eastAsia="zh-CN"/>
        </w:rPr>
        <w:t>壹</w:t>
      </w:r>
      <w:r>
        <w:rPr>
          <w:rFonts w:hint="eastAsia"/>
          <w:color w:val="auto"/>
          <w:szCs w:val="21"/>
        </w:rPr>
        <w:t>份(可根据需要增加），采购代理机构壹份</w:t>
      </w:r>
      <w:r>
        <w:rPr>
          <w:color w:val="auto"/>
          <w:szCs w:val="21"/>
        </w:rPr>
        <w:t>。</w:t>
      </w:r>
    </w:p>
    <w:p w14:paraId="62C796F3">
      <w:pPr>
        <w:snapToGrid w:val="0"/>
        <w:spacing w:line="300" w:lineRule="exact"/>
        <w:ind w:firstLine="420" w:firstLineChars="200"/>
        <w:rPr>
          <w:color w:val="auto"/>
          <w:szCs w:val="21"/>
        </w:rPr>
      </w:pPr>
      <w:r>
        <w:rPr>
          <w:color w:val="auto"/>
          <w:szCs w:val="21"/>
        </w:rPr>
        <w:t>本合同经甲乙双方法定代表人或授权代表签字并加盖单位公章后生效。</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7"/>
        <w:gridCol w:w="4688"/>
      </w:tblGrid>
      <w:tr w14:paraId="3DBB3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trPr>
        <w:tc>
          <w:tcPr>
            <w:tcW w:w="4437" w:type="dxa"/>
            <w:vAlign w:val="center"/>
          </w:tcPr>
          <w:p w14:paraId="1DF6C724">
            <w:pPr>
              <w:snapToGrid w:val="0"/>
              <w:spacing w:line="360" w:lineRule="exact"/>
              <w:rPr>
                <w:color w:val="auto"/>
                <w:szCs w:val="21"/>
              </w:rPr>
            </w:pPr>
            <w:r>
              <w:rPr>
                <w:color w:val="auto"/>
                <w:szCs w:val="21"/>
              </w:rPr>
              <w:t xml:space="preserve">甲方（章）           </w:t>
            </w:r>
          </w:p>
          <w:p w14:paraId="1F4261E8">
            <w:pPr>
              <w:snapToGrid w:val="0"/>
              <w:spacing w:line="360" w:lineRule="exact"/>
              <w:ind w:right="105" w:firstLine="945" w:firstLineChars="450"/>
              <w:jc w:val="right"/>
              <w:rPr>
                <w:color w:val="auto"/>
                <w:szCs w:val="21"/>
              </w:rPr>
            </w:pPr>
          </w:p>
        </w:tc>
        <w:tc>
          <w:tcPr>
            <w:tcW w:w="4688" w:type="dxa"/>
            <w:vAlign w:val="center"/>
          </w:tcPr>
          <w:p w14:paraId="50B2D31A">
            <w:pPr>
              <w:snapToGrid w:val="0"/>
              <w:spacing w:line="360" w:lineRule="exact"/>
              <w:rPr>
                <w:color w:val="auto"/>
                <w:szCs w:val="21"/>
              </w:rPr>
            </w:pPr>
            <w:r>
              <w:rPr>
                <w:color w:val="auto"/>
                <w:szCs w:val="21"/>
              </w:rPr>
              <w:t xml:space="preserve">乙方（章）              </w:t>
            </w:r>
          </w:p>
          <w:p w14:paraId="775973C5">
            <w:pPr>
              <w:snapToGrid w:val="0"/>
              <w:spacing w:line="360" w:lineRule="exact"/>
              <w:jc w:val="right"/>
              <w:rPr>
                <w:color w:val="auto"/>
                <w:szCs w:val="21"/>
              </w:rPr>
            </w:pPr>
          </w:p>
        </w:tc>
      </w:tr>
      <w:tr w14:paraId="53BC7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4437" w:type="dxa"/>
            <w:vAlign w:val="center"/>
          </w:tcPr>
          <w:p w14:paraId="528335A9">
            <w:pPr>
              <w:snapToGrid w:val="0"/>
              <w:spacing w:line="360" w:lineRule="exact"/>
              <w:rPr>
                <w:color w:val="auto"/>
                <w:szCs w:val="21"/>
              </w:rPr>
            </w:pPr>
            <w:r>
              <w:rPr>
                <w:color w:val="auto"/>
                <w:szCs w:val="21"/>
              </w:rPr>
              <w:t>单位地址：</w:t>
            </w:r>
          </w:p>
        </w:tc>
        <w:tc>
          <w:tcPr>
            <w:tcW w:w="4688" w:type="dxa"/>
            <w:vAlign w:val="center"/>
          </w:tcPr>
          <w:p w14:paraId="0EAE6745">
            <w:pPr>
              <w:snapToGrid w:val="0"/>
              <w:spacing w:line="360" w:lineRule="exact"/>
              <w:rPr>
                <w:color w:val="auto"/>
                <w:szCs w:val="21"/>
              </w:rPr>
            </w:pPr>
            <w:r>
              <w:rPr>
                <w:color w:val="auto"/>
                <w:szCs w:val="21"/>
              </w:rPr>
              <w:t>单位地址：</w:t>
            </w:r>
          </w:p>
        </w:tc>
      </w:tr>
      <w:tr w14:paraId="68283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4437" w:type="dxa"/>
            <w:vAlign w:val="center"/>
          </w:tcPr>
          <w:p w14:paraId="7F5AEE26">
            <w:pPr>
              <w:snapToGrid w:val="0"/>
              <w:spacing w:line="360" w:lineRule="exact"/>
              <w:rPr>
                <w:color w:val="auto"/>
                <w:szCs w:val="21"/>
              </w:rPr>
            </w:pPr>
            <w:r>
              <w:rPr>
                <w:color w:val="auto"/>
                <w:szCs w:val="21"/>
              </w:rPr>
              <w:t>法定代表人：</w:t>
            </w:r>
          </w:p>
        </w:tc>
        <w:tc>
          <w:tcPr>
            <w:tcW w:w="4688" w:type="dxa"/>
            <w:vAlign w:val="center"/>
          </w:tcPr>
          <w:p w14:paraId="5E6F1FEA">
            <w:pPr>
              <w:snapToGrid w:val="0"/>
              <w:spacing w:line="360" w:lineRule="exact"/>
              <w:rPr>
                <w:color w:val="auto"/>
                <w:szCs w:val="21"/>
              </w:rPr>
            </w:pPr>
            <w:r>
              <w:rPr>
                <w:color w:val="auto"/>
                <w:szCs w:val="21"/>
              </w:rPr>
              <w:t>法定代表人：</w:t>
            </w:r>
          </w:p>
        </w:tc>
      </w:tr>
      <w:tr w14:paraId="5ADE3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4437" w:type="dxa"/>
            <w:vAlign w:val="center"/>
          </w:tcPr>
          <w:p w14:paraId="6970A41F">
            <w:pPr>
              <w:snapToGrid w:val="0"/>
              <w:spacing w:line="360" w:lineRule="exact"/>
              <w:rPr>
                <w:color w:val="auto"/>
                <w:szCs w:val="21"/>
              </w:rPr>
            </w:pPr>
            <w:r>
              <w:rPr>
                <w:color w:val="auto"/>
                <w:szCs w:val="21"/>
              </w:rPr>
              <w:t>委托代理人：</w:t>
            </w:r>
          </w:p>
        </w:tc>
        <w:tc>
          <w:tcPr>
            <w:tcW w:w="4688" w:type="dxa"/>
            <w:vAlign w:val="center"/>
          </w:tcPr>
          <w:p w14:paraId="215527A2">
            <w:pPr>
              <w:snapToGrid w:val="0"/>
              <w:spacing w:line="360" w:lineRule="exact"/>
              <w:rPr>
                <w:color w:val="auto"/>
                <w:szCs w:val="21"/>
              </w:rPr>
            </w:pPr>
            <w:r>
              <w:rPr>
                <w:color w:val="auto"/>
                <w:szCs w:val="21"/>
              </w:rPr>
              <w:t>委托代理人</w:t>
            </w:r>
            <w:r>
              <w:rPr>
                <w:rFonts w:hint="eastAsia"/>
                <w:color w:val="auto"/>
                <w:szCs w:val="21"/>
              </w:rPr>
              <w:t>：</w:t>
            </w:r>
          </w:p>
        </w:tc>
      </w:tr>
      <w:tr w14:paraId="09DEE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trPr>
        <w:tc>
          <w:tcPr>
            <w:tcW w:w="4437" w:type="dxa"/>
            <w:vAlign w:val="center"/>
          </w:tcPr>
          <w:p w14:paraId="1A7E1455">
            <w:pPr>
              <w:snapToGrid w:val="0"/>
              <w:spacing w:line="360" w:lineRule="exact"/>
              <w:rPr>
                <w:color w:val="auto"/>
                <w:szCs w:val="21"/>
              </w:rPr>
            </w:pPr>
            <w:r>
              <w:rPr>
                <w:color w:val="auto"/>
                <w:szCs w:val="21"/>
              </w:rPr>
              <w:t>电话：</w:t>
            </w:r>
          </w:p>
        </w:tc>
        <w:tc>
          <w:tcPr>
            <w:tcW w:w="4688" w:type="dxa"/>
            <w:vAlign w:val="center"/>
          </w:tcPr>
          <w:p w14:paraId="71DEC2AA">
            <w:pPr>
              <w:snapToGrid w:val="0"/>
              <w:spacing w:line="360" w:lineRule="exact"/>
              <w:rPr>
                <w:color w:val="auto"/>
                <w:szCs w:val="21"/>
              </w:rPr>
            </w:pPr>
            <w:r>
              <w:rPr>
                <w:color w:val="auto"/>
                <w:szCs w:val="21"/>
              </w:rPr>
              <w:t>电话：</w:t>
            </w:r>
          </w:p>
        </w:tc>
      </w:tr>
      <w:tr w14:paraId="52DD4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4437" w:type="dxa"/>
            <w:vAlign w:val="center"/>
          </w:tcPr>
          <w:p w14:paraId="46455884">
            <w:pPr>
              <w:snapToGrid w:val="0"/>
              <w:spacing w:line="360" w:lineRule="exact"/>
              <w:rPr>
                <w:color w:val="auto"/>
                <w:szCs w:val="21"/>
              </w:rPr>
            </w:pPr>
            <w:r>
              <w:rPr>
                <w:color w:val="auto"/>
                <w:szCs w:val="21"/>
              </w:rPr>
              <w:t>开户银行：</w:t>
            </w:r>
          </w:p>
        </w:tc>
        <w:tc>
          <w:tcPr>
            <w:tcW w:w="4688" w:type="dxa"/>
            <w:vAlign w:val="center"/>
          </w:tcPr>
          <w:p w14:paraId="6D618FF9">
            <w:pPr>
              <w:snapToGrid w:val="0"/>
              <w:spacing w:line="360" w:lineRule="exact"/>
              <w:rPr>
                <w:color w:val="auto"/>
                <w:szCs w:val="21"/>
              </w:rPr>
            </w:pPr>
            <w:r>
              <w:rPr>
                <w:color w:val="auto"/>
                <w:szCs w:val="21"/>
              </w:rPr>
              <w:t>开户银行：</w:t>
            </w:r>
          </w:p>
        </w:tc>
      </w:tr>
      <w:tr w14:paraId="62BBB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4437" w:type="dxa"/>
            <w:vAlign w:val="center"/>
          </w:tcPr>
          <w:p w14:paraId="0D6DFCA9">
            <w:pPr>
              <w:snapToGrid w:val="0"/>
              <w:spacing w:line="360" w:lineRule="exact"/>
              <w:rPr>
                <w:color w:val="auto"/>
                <w:szCs w:val="21"/>
              </w:rPr>
            </w:pPr>
            <w:r>
              <w:rPr>
                <w:color w:val="auto"/>
                <w:szCs w:val="21"/>
              </w:rPr>
              <w:t>账号：</w:t>
            </w:r>
          </w:p>
        </w:tc>
        <w:tc>
          <w:tcPr>
            <w:tcW w:w="4688" w:type="dxa"/>
            <w:vAlign w:val="center"/>
          </w:tcPr>
          <w:p w14:paraId="4F82A9DF">
            <w:pPr>
              <w:snapToGrid w:val="0"/>
              <w:spacing w:line="360" w:lineRule="exact"/>
              <w:rPr>
                <w:color w:val="auto"/>
                <w:szCs w:val="21"/>
              </w:rPr>
            </w:pPr>
            <w:r>
              <w:rPr>
                <w:color w:val="auto"/>
                <w:szCs w:val="21"/>
              </w:rPr>
              <w:t>账号：</w:t>
            </w:r>
          </w:p>
        </w:tc>
      </w:tr>
    </w:tbl>
    <w:p w14:paraId="579A7D65">
      <w:pPr>
        <w:pStyle w:val="26"/>
        <w:snapToGrid w:val="0"/>
        <w:rPr>
          <w:rFonts w:ascii="Times New Roman" w:hAnsi="Times New Roman" w:cs="Times New Roman"/>
          <w:color w:val="auto"/>
        </w:rPr>
      </w:pPr>
    </w:p>
    <w:p w14:paraId="5CC98034">
      <w:pPr>
        <w:widowControl/>
        <w:jc w:val="left"/>
        <w:rPr>
          <w:color w:val="auto"/>
          <w:szCs w:val="21"/>
        </w:rPr>
      </w:pPr>
      <w:r>
        <w:rPr>
          <w:color w:val="auto"/>
        </w:rPr>
        <w:br w:type="page"/>
      </w:r>
    </w:p>
    <w:p w14:paraId="3948360A">
      <w:pPr>
        <w:spacing w:before="120" w:line="320" w:lineRule="atLeast"/>
        <w:jc w:val="left"/>
        <w:outlineLvl w:val="1"/>
        <w:rPr>
          <w:b/>
          <w:bCs/>
          <w:color w:val="auto"/>
          <w:kern w:val="0"/>
          <w:szCs w:val="21"/>
        </w:rPr>
      </w:pPr>
      <w:r>
        <w:rPr>
          <w:b/>
          <w:bCs/>
          <w:color w:val="auto"/>
          <w:kern w:val="0"/>
          <w:szCs w:val="21"/>
        </w:rPr>
        <w:t>合同附件1</w:t>
      </w:r>
    </w:p>
    <w:p w14:paraId="224DEDBC">
      <w:pPr>
        <w:snapToGrid w:val="0"/>
        <w:spacing w:line="360" w:lineRule="exact"/>
        <w:jc w:val="center"/>
        <w:rPr>
          <w:b/>
          <w:bCs/>
          <w:color w:val="auto"/>
          <w:szCs w:val="21"/>
        </w:rPr>
      </w:pPr>
      <w:r>
        <w:rPr>
          <w:b/>
          <w:bCs/>
          <w:color w:val="auto"/>
          <w:szCs w:val="21"/>
        </w:rPr>
        <w:t>政府采购项目履约保证金退付意见书</w:t>
      </w:r>
    </w:p>
    <w:p w14:paraId="22A5FF71">
      <w:pPr>
        <w:jc w:val="center"/>
        <w:rPr>
          <w:color w:val="auto"/>
          <w:sz w:val="36"/>
          <w:szCs w:val="36"/>
        </w:rPr>
      </w:pP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640"/>
      </w:tblGrid>
      <w:tr w14:paraId="1AC5C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vAlign w:val="center"/>
          </w:tcPr>
          <w:p w14:paraId="55456A17">
            <w:pPr>
              <w:jc w:val="center"/>
              <w:rPr>
                <w:color w:val="auto"/>
                <w:szCs w:val="21"/>
              </w:rPr>
            </w:pPr>
            <w:r>
              <w:rPr>
                <w:color w:val="auto"/>
                <w:szCs w:val="21"/>
              </w:rPr>
              <w:t>供</w:t>
            </w:r>
          </w:p>
          <w:p w14:paraId="6303DE9A">
            <w:pPr>
              <w:jc w:val="center"/>
              <w:rPr>
                <w:color w:val="auto"/>
                <w:szCs w:val="21"/>
              </w:rPr>
            </w:pPr>
            <w:r>
              <w:rPr>
                <w:color w:val="auto"/>
                <w:szCs w:val="21"/>
              </w:rPr>
              <w:t>应</w:t>
            </w:r>
          </w:p>
          <w:p w14:paraId="267FA984">
            <w:pPr>
              <w:jc w:val="center"/>
              <w:rPr>
                <w:color w:val="auto"/>
                <w:szCs w:val="21"/>
              </w:rPr>
            </w:pPr>
            <w:r>
              <w:rPr>
                <w:color w:val="auto"/>
                <w:szCs w:val="21"/>
              </w:rPr>
              <w:t>商</w:t>
            </w:r>
          </w:p>
          <w:p w14:paraId="0A96F231">
            <w:pPr>
              <w:jc w:val="center"/>
              <w:rPr>
                <w:color w:val="auto"/>
                <w:szCs w:val="21"/>
              </w:rPr>
            </w:pPr>
            <w:r>
              <w:rPr>
                <w:color w:val="auto"/>
                <w:szCs w:val="21"/>
              </w:rPr>
              <w:t>申</w:t>
            </w:r>
          </w:p>
          <w:p w14:paraId="5BD5EEFB">
            <w:pPr>
              <w:jc w:val="center"/>
              <w:rPr>
                <w:color w:val="auto"/>
                <w:szCs w:val="21"/>
              </w:rPr>
            </w:pPr>
            <w:r>
              <w:rPr>
                <w:color w:val="auto"/>
                <w:szCs w:val="21"/>
              </w:rPr>
              <w:t>请</w:t>
            </w:r>
          </w:p>
        </w:tc>
        <w:tc>
          <w:tcPr>
            <w:tcW w:w="8640" w:type="dxa"/>
            <w:vAlign w:val="center"/>
          </w:tcPr>
          <w:p w14:paraId="393E0154">
            <w:pPr>
              <w:rPr>
                <w:color w:val="auto"/>
                <w:szCs w:val="21"/>
              </w:rPr>
            </w:pPr>
            <w:r>
              <w:rPr>
                <w:color w:val="auto"/>
                <w:szCs w:val="21"/>
              </w:rPr>
              <w:t>项目编号：</w:t>
            </w:r>
          </w:p>
        </w:tc>
      </w:tr>
      <w:tr w14:paraId="7E443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vAlign w:val="center"/>
          </w:tcPr>
          <w:p w14:paraId="31752CF5">
            <w:pPr>
              <w:rPr>
                <w:color w:val="auto"/>
                <w:szCs w:val="21"/>
              </w:rPr>
            </w:pPr>
          </w:p>
        </w:tc>
        <w:tc>
          <w:tcPr>
            <w:tcW w:w="8640" w:type="dxa"/>
            <w:vAlign w:val="center"/>
          </w:tcPr>
          <w:p w14:paraId="774A73AA">
            <w:pPr>
              <w:rPr>
                <w:color w:val="auto"/>
                <w:szCs w:val="21"/>
              </w:rPr>
            </w:pPr>
            <w:r>
              <w:rPr>
                <w:color w:val="auto"/>
                <w:szCs w:val="21"/>
              </w:rPr>
              <w:t>项目名称：</w:t>
            </w:r>
          </w:p>
        </w:tc>
      </w:tr>
      <w:tr w14:paraId="587AF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tcPr>
          <w:p w14:paraId="1A159F5B">
            <w:pPr>
              <w:rPr>
                <w:color w:val="auto"/>
                <w:szCs w:val="21"/>
              </w:rPr>
            </w:pPr>
          </w:p>
        </w:tc>
        <w:tc>
          <w:tcPr>
            <w:tcW w:w="8640" w:type="dxa"/>
          </w:tcPr>
          <w:p w14:paraId="4A8F3781">
            <w:pPr>
              <w:rPr>
                <w:color w:val="auto"/>
                <w:szCs w:val="21"/>
              </w:rPr>
            </w:pPr>
            <w:r>
              <w:rPr>
                <w:color w:val="auto"/>
                <w:szCs w:val="21"/>
              </w:rPr>
              <w:t xml:space="preserve">  </w:t>
            </w:r>
          </w:p>
          <w:p w14:paraId="73513AB5">
            <w:pPr>
              <w:spacing w:line="400" w:lineRule="exact"/>
              <w:ind w:firstLine="420" w:firstLineChars="200"/>
              <w:rPr>
                <w:color w:val="auto"/>
                <w:szCs w:val="21"/>
              </w:rPr>
            </w:pPr>
            <w:r>
              <w:rPr>
                <w:color w:val="auto"/>
                <w:szCs w:val="21"/>
              </w:rPr>
              <w:t>该项目已于</w:t>
            </w:r>
            <w:r>
              <w:rPr>
                <w:color w:val="auto"/>
                <w:szCs w:val="21"/>
                <w:u w:val="single"/>
              </w:rPr>
              <w:t xml:space="preserve">       </w:t>
            </w:r>
            <w:r>
              <w:rPr>
                <w:color w:val="auto"/>
                <w:szCs w:val="21"/>
              </w:rPr>
              <w:t>年</w:t>
            </w:r>
            <w:r>
              <w:rPr>
                <w:color w:val="auto"/>
                <w:szCs w:val="21"/>
                <w:u w:val="single"/>
              </w:rPr>
              <w:t xml:space="preserve">     </w:t>
            </w:r>
            <w:r>
              <w:rPr>
                <w:color w:val="auto"/>
                <w:szCs w:val="21"/>
              </w:rPr>
              <w:t>月</w:t>
            </w:r>
            <w:r>
              <w:rPr>
                <w:color w:val="auto"/>
                <w:szCs w:val="21"/>
                <w:u w:val="single"/>
              </w:rPr>
              <w:t xml:space="preserve">     </w:t>
            </w:r>
            <w:r>
              <w:rPr>
                <w:color w:val="auto"/>
                <w:szCs w:val="21"/>
              </w:rPr>
              <w:t>日验收并交付使用。根据合同规定，该项目的履约保证金期限于</w:t>
            </w:r>
            <w:r>
              <w:rPr>
                <w:color w:val="auto"/>
                <w:szCs w:val="21"/>
                <w:u w:val="single"/>
              </w:rPr>
              <w:t xml:space="preserve">         </w:t>
            </w:r>
            <w:r>
              <w:rPr>
                <w:color w:val="auto"/>
                <w:szCs w:val="21"/>
              </w:rPr>
              <w:t>年</w:t>
            </w:r>
            <w:r>
              <w:rPr>
                <w:color w:val="auto"/>
                <w:szCs w:val="21"/>
                <w:u w:val="single"/>
              </w:rPr>
              <w:t xml:space="preserve">      </w:t>
            </w:r>
            <w:r>
              <w:rPr>
                <w:color w:val="auto"/>
                <w:szCs w:val="21"/>
              </w:rPr>
              <w:t>月</w:t>
            </w:r>
            <w:r>
              <w:rPr>
                <w:color w:val="auto"/>
                <w:szCs w:val="21"/>
                <w:u w:val="single"/>
              </w:rPr>
              <w:t xml:space="preserve">       </w:t>
            </w:r>
            <w:r>
              <w:rPr>
                <w:color w:val="auto"/>
                <w:szCs w:val="21"/>
              </w:rPr>
              <w:t>日已满，请将履约保证金</w:t>
            </w:r>
          </w:p>
          <w:p w14:paraId="0E4632B5">
            <w:pPr>
              <w:spacing w:line="400" w:lineRule="exact"/>
              <w:rPr>
                <w:color w:val="auto"/>
                <w:szCs w:val="21"/>
              </w:rPr>
            </w:pPr>
            <w:r>
              <w:rPr>
                <w:color w:val="auto"/>
                <w:szCs w:val="21"/>
                <w:u w:val="single"/>
              </w:rPr>
              <w:t xml:space="preserve">                                        </w:t>
            </w:r>
            <w:r>
              <w:rPr>
                <w:color w:val="auto"/>
                <w:szCs w:val="21"/>
              </w:rPr>
              <w:t>（大写）¥</w:t>
            </w:r>
            <w:r>
              <w:rPr>
                <w:color w:val="auto"/>
                <w:szCs w:val="21"/>
                <w:u w:val="single"/>
              </w:rPr>
              <w:t xml:space="preserve">          </w:t>
            </w:r>
            <w:r>
              <w:rPr>
                <w:color w:val="auto"/>
                <w:szCs w:val="21"/>
              </w:rPr>
              <w:t>（小写）退付到达以下账户。</w:t>
            </w:r>
          </w:p>
          <w:p w14:paraId="36141475">
            <w:pPr>
              <w:spacing w:line="400" w:lineRule="exact"/>
              <w:ind w:firstLine="705"/>
              <w:rPr>
                <w:color w:val="auto"/>
                <w:szCs w:val="21"/>
              </w:rPr>
            </w:pPr>
            <w:r>
              <w:rPr>
                <w:color w:val="auto"/>
                <w:szCs w:val="21"/>
              </w:rPr>
              <w:t>单位名称：</w:t>
            </w:r>
          </w:p>
          <w:p w14:paraId="3B61AA04">
            <w:pPr>
              <w:spacing w:line="400" w:lineRule="exact"/>
              <w:ind w:firstLine="705"/>
              <w:rPr>
                <w:color w:val="auto"/>
                <w:szCs w:val="21"/>
              </w:rPr>
            </w:pPr>
            <w:r>
              <w:rPr>
                <w:color w:val="auto"/>
                <w:szCs w:val="21"/>
              </w:rPr>
              <w:t>开户银行：</w:t>
            </w:r>
          </w:p>
          <w:p w14:paraId="2CC4294E">
            <w:pPr>
              <w:spacing w:line="400" w:lineRule="exact"/>
              <w:ind w:firstLine="705"/>
              <w:rPr>
                <w:color w:val="auto"/>
                <w:szCs w:val="21"/>
              </w:rPr>
            </w:pPr>
            <w:r>
              <w:rPr>
                <w:color w:val="auto"/>
                <w:szCs w:val="21"/>
              </w:rPr>
              <w:t>账   号：</w:t>
            </w:r>
          </w:p>
          <w:p w14:paraId="7C71649B">
            <w:pPr>
              <w:spacing w:line="400" w:lineRule="exact"/>
              <w:rPr>
                <w:color w:val="auto"/>
                <w:szCs w:val="21"/>
              </w:rPr>
            </w:pPr>
            <w:r>
              <w:rPr>
                <w:color w:val="auto"/>
                <w:szCs w:val="21"/>
              </w:rPr>
              <w:t>联系人及电话：</w:t>
            </w:r>
          </w:p>
          <w:p w14:paraId="252D9542">
            <w:pPr>
              <w:spacing w:line="400" w:lineRule="exact"/>
              <w:rPr>
                <w:color w:val="auto"/>
                <w:szCs w:val="21"/>
              </w:rPr>
            </w:pPr>
          </w:p>
          <w:p w14:paraId="60C3BDB2">
            <w:pPr>
              <w:spacing w:line="520" w:lineRule="exact"/>
              <w:jc w:val="center"/>
              <w:rPr>
                <w:color w:val="auto"/>
                <w:szCs w:val="21"/>
              </w:rPr>
            </w:pPr>
            <w:r>
              <w:rPr>
                <w:color w:val="auto"/>
                <w:szCs w:val="21"/>
              </w:rPr>
              <w:t xml:space="preserve">                                     供应商</w:t>
            </w:r>
            <w:r>
              <w:rPr>
                <w:rFonts w:hint="eastAsia"/>
                <w:color w:val="auto"/>
                <w:szCs w:val="21"/>
              </w:rPr>
              <w:t>公</w:t>
            </w:r>
            <w:r>
              <w:rPr>
                <w:color w:val="auto"/>
                <w:szCs w:val="21"/>
              </w:rPr>
              <w:t>章：</w:t>
            </w:r>
          </w:p>
          <w:p w14:paraId="505142C2">
            <w:pPr>
              <w:spacing w:line="520" w:lineRule="exact"/>
              <w:jc w:val="center"/>
              <w:rPr>
                <w:color w:val="auto"/>
                <w:szCs w:val="21"/>
              </w:rPr>
            </w:pPr>
            <w:r>
              <w:rPr>
                <w:color w:val="auto"/>
                <w:szCs w:val="21"/>
              </w:rPr>
              <w:t xml:space="preserve">                           年    月     日</w:t>
            </w:r>
          </w:p>
        </w:tc>
      </w:tr>
      <w:tr w14:paraId="6ED10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00946410">
            <w:pPr>
              <w:jc w:val="center"/>
              <w:rPr>
                <w:color w:val="auto"/>
                <w:szCs w:val="21"/>
              </w:rPr>
            </w:pPr>
            <w:r>
              <w:rPr>
                <w:color w:val="auto"/>
                <w:szCs w:val="21"/>
              </w:rPr>
              <w:t>采</w:t>
            </w:r>
          </w:p>
          <w:p w14:paraId="57CF753B">
            <w:pPr>
              <w:jc w:val="center"/>
              <w:rPr>
                <w:color w:val="auto"/>
                <w:szCs w:val="21"/>
              </w:rPr>
            </w:pPr>
            <w:r>
              <w:rPr>
                <w:color w:val="auto"/>
                <w:szCs w:val="21"/>
              </w:rPr>
              <w:t>购</w:t>
            </w:r>
          </w:p>
          <w:p w14:paraId="4CD133D9">
            <w:pPr>
              <w:jc w:val="center"/>
              <w:rPr>
                <w:color w:val="auto"/>
                <w:szCs w:val="21"/>
              </w:rPr>
            </w:pPr>
            <w:r>
              <w:rPr>
                <w:color w:val="auto"/>
                <w:szCs w:val="21"/>
              </w:rPr>
              <w:t>单</w:t>
            </w:r>
          </w:p>
          <w:p w14:paraId="10BEE1DA">
            <w:pPr>
              <w:jc w:val="center"/>
              <w:rPr>
                <w:color w:val="auto"/>
                <w:szCs w:val="21"/>
              </w:rPr>
            </w:pPr>
            <w:r>
              <w:rPr>
                <w:color w:val="auto"/>
                <w:szCs w:val="21"/>
              </w:rPr>
              <w:t>位</w:t>
            </w:r>
          </w:p>
          <w:p w14:paraId="05EB2FC1">
            <w:pPr>
              <w:jc w:val="center"/>
              <w:rPr>
                <w:color w:val="auto"/>
                <w:szCs w:val="21"/>
              </w:rPr>
            </w:pPr>
            <w:r>
              <w:rPr>
                <w:color w:val="auto"/>
                <w:szCs w:val="21"/>
              </w:rPr>
              <w:t>意</w:t>
            </w:r>
          </w:p>
          <w:p w14:paraId="2A93C480">
            <w:pPr>
              <w:jc w:val="center"/>
              <w:rPr>
                <w:color w:val="auto"/>
                <w:szCs w:val="21"/>
              </w:rPr>
            </w:pPr>
            <w:r>
              <w:rPr>
                <w:color w:val="auto"/>
                <w:szCs w:val="21"/>
              </w:rPr>
              <w:t>见</w:t>
            </w:r>
          </w:p>
        </w:tc>
        <w:tc>
          <w:tcPr>
            <w:tcW w:w="8640" w:type="dxa"/>
          </w:tcPr>
          <w:p w14:paraId="01E61D9F">
            <w:pPr>
              <w:rPr>
                <w:color w:val="auto"/>
                <w:szCs w:val="21"/>
              </w:rPr>
            </w:pPr>
          </w:p>
          <w:p w14:paraId="740B1C4C">
            <w:pPr>
              <w:rPr>
                <w:color w:val="auto"/>
                <w:szCs w:val="21"/>
              </w:rPr>
            </w:pPr>
            <w:r>
              <w:rPr>
                <w:color w:val="auto"/>
                <w:szCs w:val="21"/>
              </w:rPr>
              <w:t>退付意见：是否同意退付履约保证金及退付金额：</w:t>
            </w:r>
          </w:p>
          <w:p w14:paraId="69499103">
            <w:pPr>
              <w:rPr>
                <w:color w:val="auto"/>
                <w:szCs w:val="21"/>
              </w:rPr>
            </w:pPr>
          </w:p>
          <w:p w14:paraId="464D052B">
            <w:pPr>
              <w:rPr>
                <w:color w:val="auto"/>
                <w:szCs w:val="21"/>
              </w:rPr>
            </w:pPr>
          </w:p>
          <w:p w14:paraId="13CC1DBD">
            <w:pPr>
              <w:spacing w:line="520" w:lineRule="exact"/>
              <w:rPr>
                <w:color w:val="auto"/>
                <w:szCs w:val="21"/>
              </w:rPr>
            </w:pPr>
            <w:r>
              <w:rPr>
                <w:color w:val="auto"/>
                <w:szCs w:val="21"/>
              </w:rPr>
              <w:t>联系人及电话：                                 采购单位</w:t>
            </w:r>
            <w:r>
              <w:rPr>
                <w:rFonts w:hint="eastAsia"/>
                <w:color w:val="auto"/>
                <w:szCs w:val="21"/>
              </w:rPr>
              <w:t>公</w:t>
            </w:r>
            <w:r>
              <w:rPr>
                <w:color w:val="auto"/>
                <w:szCs w:val="21"/>
              </w:rPr>
              <w:t>章</w:t>
            </w:r>
          </w:p>
          <w:p w14:paraId="189D8A58">
            <w:pPr>
              <w:spacing w:line="520" w:lineRule="exact"/>
              <w:jc w:val="center"/>
              <w:rPr>
                <w:color w:val="auto"/>
                <w:szCs w:val="21"/>
              </w:rPr>
            </w:pPr>
            <w:r>
              <w:rPr>
                <w:color w:val="auto"/>
                <w:szCs w:val="21"/>
              </w:rPr>
              <w:t xml:space="preserve">                                        年    月     日</w:t>
            </w:r>
          </w:p>
        </w:tc>
      </w:tr>
      <w:tr w14:paraId="613B2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64B94D5A">
            <w:pPr>
              <w:jc w:val="center"/>
              <w:rPr>
                <w:color w:val="auto"/>
                <w:szCs w:val="21"/>
              </w:rPr>
            </w:pPr>
            <w:r>
              <w:rPr>
                <w:color w:val="auto"/>
                <w:szCs w:val="21"/>
              </w:rPr>
              <w:t>财</w:t>
            </w:r>
          </w:p>
          <w:p w14:paraId="33D95262">
            <w:pPr>
              <w:jc w:val="center"/>
              <w:rPr>
                <w:color w:val="auto"/>
                <w:szCs w:val="21"/>
              </w:rPr>
            </w:pPr>
            <w:r>
              <w:rPr>
                <w:color w:val="auto"/>
                <w:szCs w:val="21"/>
              </w:rPr>
              <w:t>务</w:t>
            </w:r>
          </w:p>
          <w:p w14:paraId="333A4787">
            <w:pPr>
              <w:jc w:val="center"/>
              <w:rPr>
                <w:color w:val="auto"/>
                <w:szCs w:val="21"/>
              </w:rPr>
            </w:pPr>
            <w:r>
              <w:rPr>
                <w:color w:val="auto"/>
                <w:szCs w:val="21"/>
              </w:rPr>
              <w:t>部</w:t>
            </w:r>
          </w:p>
          <w:p w14:paraId="5DD6DC49">
            <w:pPr>
              <w:jc w:val="center"/>
              <w:rPr>
                <w:color w:val="auto"/>
                <w:szCs w:val="21"/>
              </w:rPr>
            </w:pPr>
            <w:r>
              <w:rPr>
                <w:color w:val="auto"/>
                <w:szCs w:val="21"/>
              </w:rPr>
              <w:t>门</w:t>
            </w:r>
          </w:p>
          <w:p w14:paraId="16CDB8FC">
            <w:pPr>
              <w:jc w:val="center"/>
              <w:rPr>
                <w:color w:val="auto"/>
                <w:szCs w:val="21"/>
              </w:rPr>
            </w:pPr>
            <w:r>
              <w:rPr>
                <w:color w:val="auto"/>
                <w:szCs w:val="21"/>
              </w:rPr>
              <w:t>意</w:t>
            </w:r>
          </w:p>
          <w:p w14:paraId="6D3E5491">
            <w:pPr>
              <w:jc w:val="center"/>
              <w:rPr>
                <w:color w:val="auto"/>
                <w:szCs w:val="21"/>
              </w:rPr>
            </w:pPr>
            <w:r>
              <w:rPr>
                <w:color w:val="auto"/>
                <w:szCs w:val="21"/>
              </w:rPr>
              <w:t>见</w:t>
            </w:r>
          </w:p>
        </w:tc>
        <w:tc>
          <w:tcPr>
            <w:tcW w:w="8640" w:type="dxa"/>
          </w:tcPr>
          <w:p w14:paraId="0B3F2149">
            <w:pPr>
              <w:spacing w:line="640" w:lineRule="exact"/>
              <w:rPr>
                <w:color w:val="auto"/>
                <w:szCs w:val="21"/>
              </w:rPr>
            </w:pPr>
            <w:r>
              <w:rPr>
                <w:color w:val="auto"/>
                <w:szCs w:val="21"/>
              </w:rPr>
              <w:t>此表于</w:t>
            </w:r>
            <w:r>
              <w:rPr>
                <w:color w:val="auto"/>
                <w:szCs w:val="21"/>
                <w:u w:val="single"/>
              </w:rPr>
              <w:t xml:space="preserve">     </w:t>
            </w:r>
            <w:r>
              <w:rPr>
                <w:color w:val="auto"/>
                <w:szCs w:val="21"/>
              </w:rPr>
              <w:t>年</w:t>
            </w:r>
            <w:r>
              <w:rPr>
                <w:color w:val="auto"/>
                <w:szCs w:val="21"/>
                <w:u w:val="single"/>
              </w:rPr>
              <w:t xml:space="preserve">    </w:t>
            </w:r>
            <w:r>
              <w:rPr>
                <w:color w:val="auto"/>
                <w:szCs w:val="21"/>
              </w:rPr>
              <w:t xml:space="preserve"> 月 </w:t>
            </w:r>
            <w:r>
              <w:rPr>
                <w:color w:val="auto"/>
                <w:szCs w:val="21"/>
                <w:u w:val="single"/>
              </w:rPr>
              <w:t xml:space="preserve">   </w:t>
            </w:r>
            <w:r>
              <w:rPr>
                <w:color w:val="auto"/>
                <w:szCs w:val="21"/>
              </w:rPr>
              <w:t xml:space="preserve"> 日收到。</w:t>
            </w:r>
          </w:p>
          <w:p w14:paraId="0FECA27F">
            <w:pPr>
              <w:spacing w:line="640" w:lineRule="exact"/>
              <w:rPr>
                <w:color w:val="auto"/>
                <w:szCs w:val="21"/>
              </w:rPr>
            </w:pPr>
            <w:r>
              <w:rPr>
                <w:color w:val="auto"/>
                <w:szCs w:val="21"/>
              </w:rPr>
              <w:t>会计审核：</w:t>
            </w:r>
          </w:p>
          <w:p w14:paraId="0422A5BA">
            <w:pPr>
              <w:spacing w:line="640" w:lineRule="exact"/>
              <w:rPr>
                <w:color w:val="auto"/>
                <w:szCs w:val="21"/>
              </w:rPr>
            </w:pPr>
            <w:r>
              <w:rPr>
                <w:color w:val="auto"/>
                <w:szCs w:val="21"/>
              </w:rPr>
              <w:t>财务负责人审核：</w:t>
            </w:r>
          </w:p>
          <w:p w14:paraId="403C7DE7">
            <w:pPr>
              <w:spacing w:line="640" w:lineRule="exact"/>
              <w:rPr>
                <w:color w:val="auto"/>
                <w:szCs w:val="21"/>
              </w:rPr>
            </w:pPr>
            <w:r>
              <w:rPr>
                <w:color w:val="auto"/>
                <w:szCs w:val="21"/>
              </w:rPr>
              <w:t>单位负责人签字：</w:t>
            </w:r>
          </w:p>
          <w:p w14:paraId="6BB6DCA2">
            <w:pPr>
              <w:spacing w:line="640" w:lineRule="exact"/>
              <w:rPr>
                <w:color w:val="auto"/>
                <w:szCs w:val="21"/>
              </w:rPr>
            </w:pPr>
            <w:r>
              <w:rPr>
                <w:color w:val="auto"/>
                <w:szCs w:val="21"/>
              </w:rPr>
              <w:t>出纳办理转账日期：</w:t>
            </w:r>
          </w:p>
        </w:tc>
      </w:tr>
    </w:tbl>
    <w:p w14:paraId="35F77F49">
      <w:pPr>
        <w:pStyle w:val="19"/>
        <w:ind w:left="450" w:leftChars="114" w:hanging="211" w:hangingChars="100"/>
        <w:rPr>
          <w:b/>
          <w:bCs/>
          <w:color w:val="auto"/>
          <w:sz w:val="21"/>
          <w:szCs w:val="21"/>
        </w:rPr>
      </w:pPr>
      <w:r>
        <w:rPr>
          <w:b/>
          <w:bCs/>
          <w:color w:val="auto"/>
          <w:sz w:val="21"/>
          <w:szCs w:val="21"/>
        </w:rPr>
        <w:t>注：供应商凭经采购单位审批的退付意见书到相关财务部办理履约保证金退付事宜。</w:t>
      </w:r>
    </w:p>
    <w:p w14:paraId="72DAD41B">
      <w:pPr>
        <w:widowControl/>
        <w:jc w:val="left"/>
        <w:rPr>
          <w:b/>
          <w:bCs/>
          <w:color w:val="auto"/>
          <w:szCs w:val="21"/>
        </w:rPr>
      </w:pPr>
      <w:r>
        <w:rPr>
          <w:b/>
          <w:bCs/>
          <w:color w:val="auto"/>
          <w:szCs w:val="21"/>
        </w:rPr>
        <w:br w:type="page"/>
      </w:r>
    </w:p>
    <w:p w14:paraId="5007FFAD">
      <w:pPr>
        <w:spacing w:before="120" w:line="320" w:lineRule="atLeast"/>
        <w:jc w:val="left"/>
        <w:outlineLvl w:val="1"/>
        <w:rPr>
          <w:b/>
          <w:bCs/>
          <w:color w:val="auto"/>
          <w:kern w:val="0"/>
          <w:szCs w:val="21"/>
        </w:rPr>
      </w:pPr>
      <w:r>
        <w:rPr>
          <w:b/>
          <w:bCs/>
          <w:color w:val="auto"/>
          <w:kern w:val="0"/>
          <w:szCs w:val="21"/>
        </w:rPr>
        <w:t>合同附件2</w:t>
      </w:r>
    </w:p>
    <w:p w14:paraId="5DE87107">
      <w:pPr>
        <w:snapToGrid w:val="0"/>
        <w:spacing w:line="360" w:lineRule="exact"/>
        <w:jc w:val="center"/>
        <w:rPr>
          <w:b/>
          <w:bCs/>
          <w:color w:val="auto"/>
          <w:szCs w:val="21"/>
        </w:rPr>
      </w:pPr>
      <w:bookmarkStart w:id="134" w:name="_Hlk80978015"/>
    </w:p>
    <w:p w14:paraId="394509F0">
      <w:pPr>
        <w:snapToGrid w:val="0"/>
        <w:spacing w:line="360" w:lineRule="exact"/>
        <w:jc w:val="center"/>
        <w:rPr>
          <w:b/>
          <w:bCs/>
          <w:color w:val="auto"/>
          <w:szCs w:val="21"/>
        </w:rPr>
      </w:pPr>
      <w:bookmarkStart w:id="135" w:name="_Hlk77607667"/>
      <w:r>
        <w:rPr>
          <w:b/>
          <w:bCs/>
          <w:color w:val="auto"/>
          <w:szCs w:val="21"/>
        </w:rPr>
        <w:t>履约</w:t>
      </w:r>
      <w:r>
        <w:rPr>
          <w:rFonts w:hint="eastAsia"/>
          <w:b/>
          <w:bCs/>
          <w:color w:val="auto"/>
          <w:szCs w:val="21"/>
        </w:rPr>
        <w:t>验收方案</w:t>
      </w:r>
    </w:p>
    <w:p w14:paraId="289B0159">
      <w:pPr>
        <w:widowControl/>
        <w:jc w:val="left"/>
        <w:rPr>
          <w:color w:val="auto"/>
          <w:szCs w:val="21"/>
        </w:rPr>
      </w:pPr>
    </w:p>
    <w:p w14:paraId="5D8F7FE8">
      <w:pPr>
        <w:pStyle w:val="200"/>
        <w:ind w:firstLineChars="0"/>
        <w:rPr>
          <w:rFonts w:ascii="Times New Roman" w:hAnsi="Times New Roman" w:eastAsia="宋体"/>
          <w:color w:val="auto"/>
          <w:kern w:val="2"/>
          <w:sz w:val="21"/>
          <w:szCs w:val="21"/>
        </w:rPr>
      </w:pPr>
    </w:p>
    <w:p w14:paraId="652AD98C">
      <w:pPr>
        <w:spacing w:before="120" w:line="320" w:lineRule="exact"/>
        <w:jc w:val="left"/>
        <w:rPr>
          <w:rFonts w:hint="eastAsia" w:ascii="宋体" w:hAnsi="宋体" w:cs="宋体"/>
          <w:b/>
          <w:bCs/>
          <w:color w:val="auto"/>
          <w:szCs w:val="21"/>
        </w:rPr>
      </w:pPr>
      <w:r>
        <w:rPr>
          <w:rFonts w:hint="eastAsia" w:ascii="宋体" w:hAnsi="宋体" w:cs="宋体"/>
          <w:b/>
          <w:bCs/>
          <w:color w:val="auto"/>
          <w:szCs w:val="21"/>
        </w:rPr>
        <w:t>1.履约验收工作参加人员</w:t>
      </w:r>
    </w:p>
    <w:p w14:paraId="37E8A9C6">
      <w:pPr>
        <w:spacing w:before="120" w:line="320" w:lineRule="exact"/>
        <w:jc w:val="left"/>
        <w:rPr>
          <w:rFonts w:hint="eastAsia" w:ascii="宋体" w:hAnsi="宋体" w:cs="宋体"/>
          <w:color w:val="auto"/>
          <w:szCs w:val="21"/>
        </w:rPr>
      </w:pPr>
      <w:r>
        <w:rPr>
          <w:rFonts w:hint="eastAsia" w:ascii="宋体" w:hAnsi="宋体" w:cs="宋体"/>
          <w:b/>
          <w:bCs/>
          <w:color w:val="auto"/>
          <w:szCs w:val="21"/>
        </w:rPr>
        <w:t>1.1履约验收主体单位</w:t>
      </w:r>
    </w:p>
    <w:p w14:paraId="73C5E991">
      <w:pPr>
        <w:spacing w:before="120" w:line="320" w:lineRule="exact"/>
        <w:ind w:firstLine="420" w:firstLineChars="200"/>
        <w:jc w:val="left"/>
        <w:rPr>
          <w:rFonts w:hint="eastAsia" w:ascii="宋体" w:hAnsi="宋体" w:cs="宋体"/>
          <w:color w:val="auto"/>
          <w:szCs w:val="21"/>
          <w:u w:val="single"/>
        </w:rPr>
      </w:pPr>
      <w:r>
        <w:rPr>
          <w:rStyle w:val="58"/>
          <w:rFonts w:hint="eastAsia"/>
          <w:color w:val="auto"/>
          <w:u w:val="single"/>
        </w:rPr>
        <w:t>采购人</w:t>
      </w:r>
      <w:r>
        <w:rPr>
          <w:rStyle w:val="58"/>
          <w:rFonts w:hint="eastAsia"/>
          <w:color w:val="auto"/>
        </w:rPr>
        <w:t>（如委托第三方机构签订，应注明收费方式）</w:t>
      </w:r>
    </w:p>
    <w:p w14:paraId="0A9E5B50">
      <w:pPr>
        <w:spacing w:before="120" w:line="320" w:lineRule="exact"/>
        <w:jc w:val="left"/>
        <w:rPr>
          <w:rFonts w:hint="eastAsia" w:ascii="宋体" w:hAnsi="宋体" w:cs="宋体"/>
          <w:color w:val="auto"/>
          <w:szCs w:val="21"/>
        </w:rPr>
      </w:pPr>
      <w:r>
        <w:rPr>
          <w:rFonts w:hint="eastAsia" w:ascii="宋体" w:hAnsi="宋体" w:cs="宋体"/>
          <w:b/>
          <w:bCs/>
          <w:color w:val="auto"/>
          <w:szCs w:val="21"/>
        </w:rPr>
        <w:t>1.2履约验收参加人员</w:t>
      </w:r>
    </w:p>
    <w:p w14:paraId="7821B472">
      <w:pPr>
        <w:spacing w:before="120" w:line="320" w:lineRule="exact"/>
        <w:ind w:firstLine="420" w:firstLineChars="200"/>
        <w:jc w:val="left"/>
        <w:rPr>
          <w:rFonts w:hint="eastAsia" w:ascii="宋体" w:hAnsi="宋体" w:cs="宋体"/>
          <w:color w:val="auto"/>
          <w:szCs w:val="21"/>
          <w:u w:val="single"/>
        </w:rPr>
      </w:pPr>
      <w:r>
        <w:rPr>
          <w:rFonts w:hint="eastAsia"/>
          <w:color w:val="auto"/>
        </w:rPr>
        <w:t>采购人代表、委托机构代表、成交供应商代表及采购人邀请的其他人员</w:t>
      </w:r>
    </w:p>
    <w:p w14:paraId="401475F2">
      <w:pPr>
        <w:spacing w:before="120" w:line="320" w:lineRule="exact"/>
        <w:jc w:val="left"/>
        <w:rPr>
          <w:rFonts w:hint="eastAsia" w:ascii="宋体" w:hAnsi="宋体" w:cs="宋体"/>
          <w:b/>
          <w:bCs/>
          <w:color w:val="auto"/>
          <w:szCs w:val="21"/>
        </w:rPr>
      </w:pPr>
      <w:r>
        <w:rPr>
          <w:rFonts w:hint="eastAsia" w:ascii="宋体" w:hAnsi="宋体" w:cs="宋体"/>
          <w:b/>
          <w:bCs/>
          <w:color w:val="auto"/>
          <w:szCs w:val="21"/>
        </w:rPr>
        <w:t>2.履约验收时间</w:t>
      </w:r>
    </w:p>
    <w:p w14:paraId="6BFD9A8E">
      <w:pPr>
        <w:spacing w:before="120" w:line="320" w:lineRule="exact"/>
        <w:jc w:val="left"/>
        <w:rPr>
          <w:rFonts w:hint="eastAsia" w:ascii="宋体" w:hAnsi="宋体" w:cs="宋体"/>
          <w:color w:val="auto"/>
          <w:szCs w:val="21"/>
        </w:rPr>
      </w:pPr>
      <w:r>
        <w:rPr>
          <w:rFonts w:hint="eastAsia" w:ascii="宋体" w:hAnsi="宋体" w:cs="宋体"/>
          <w:color w:val="auto"/>
          <w:szCs w:val="21"/>
        </w:rPr>
        <w:t>20XX年XX月XX日</w:t>
      </w:r>
    </w:p>
    <w:p w14:paraId="7B1F2B06">
      <w:pPr>
        <w:spacing w:before="120" w:line="320" w:lineRule="exact"/>
        <w:jc w:val="left"/>
        <w:rPr>
          <w:rFonts w:hint="eastAsia" w:ascii="宋体" w:hAnsi="宋体" w:cs="宋体"/>
          <w:b/>
          <w:bCs/>
          <w:color w:val="auto"/>
          <w:szCs w:val="21"/>
        </w:rPr>
      </w:pPr>
      <w:r>
        <w:rPr>
          <w:rFonts w:hint="eastAsia" w:ascii="宋体" w:hAnsi="宋体" w:cs="宋体"/>
          <w:b/>
          <w:bCs/>
          <w:color w:val="auto"/>
          <w:szCs w:val="21"/>
        </w:rPr>
        <w:t>3.履约验收地点</w:t>
      </w:r>
    </w:p>
    <w:p w14:paraId="75C285AE">
      <w:pPr>
        <w:spacing w:before="120" w:line="320" w:lineRule="exact"/>
        <w:jc w:val="left"/>
        <w:rPr>
          <w:rFonts w:hint="eastAsia" w:ascii="宋体" w:hAnsi="宋体" w:cs="宋体"/>
          <w:color w:val="auto"/>
          <w:szCs w:val="21"/>
        </w:rPr>
      </w:pPr>
      <w:r>
        <w:rPr>
          <w:rFonts w:hint="eastAsia" w:ascii="宋体" w:hAnsi="宋体" w:cs="宋体"/>
          <w:color w:val="auto"/>
          <w:szCs w:val="21"/>
        </w:rPr>
        <w:t>XX市XX区XX路XX号</w:t>
      </w:r>
    </w:p>
    <w:p w14:paraId="428F51D5">
      <w:pPr>
        <w:spacing w:before="120" w:line="320" w:lineRule="exact"/>
        <w:jc w:val="left"/>
        <w:rPr>
          <w:rFonts w:hint="eastAsia" w:ascii="宋体" w:hAnsi="宋体" w:cs="宋体"/>
          <w:b/>
          <w:bCs/>
          <w:color w:val="auto"/>
          <w:szCs w:val="21"/>
        </w:rPr>
      </w:pPr>
      <w:r>
        <w:rPr>
          <w:rFonts w:hint="eastAsia" w:ascii="宋体" w:hAnsi="宋体" w:cs="宋体"/>
          <w:b/>
          <w:bCs/>
          <w:color w:val="auto"/>
          <w:szCs w:val="21"/>
        </w:rPr>
        <w:t>4.履约验收方式</w:t>
      </w:r>
    </w:p>
    <w:p w14:paraId="0F432855">
      <w:pPr>
        <w:spacing w:before="120" w:line="320" w:lineRule="exact"/>
        <w:jc w:val="left"/>
        <w:rPr>
          <w:rFonts w:hint="eastAsia" w:ascii="宋体" w:hAnsi="宋体" w:cs="宋体"/>
          <w:b/>
          <w:bCs/>
          <w:color w:val="auto"/>
          <w:szCs w:val="21"/>
        </w:rPr>
      </w:pPr>
      <w:r>
        <w:rPr>
          <w:rFonts w:hint="eastAsia" w:ascii="宋体" w:hAnsi="宋体" w:cs="宋体"/>
          <w:color w:val="auto"/>
          <w:szCs w:val="21"/>
          <w:u w:val="single"/>
        </w:rPr>
        <w:t>采购人自行验收</w:t>
      </w:r>
    </w:p>
    <w:p w14:paraId="1E6EF117">
      <w:pPr>
        <w:spacing w:before="120" w:line="320" w:lineRule="exact"/>
        <w:jc w:val="left"/>
        <w:rPr>
          <w:rFonts w:hint="eastAsia" w:ascii="宋体" w:hAnsi="宋体" w:cs="宋体"/>
          <w:b/>
          <w:bCs/>
          <w:color w:val="auto"/>
          <w:szCs w:val="21"/>
        </w:rPr>
      </w:pPr>
      <w:r>
        <w:rPr>
          <w:rFonts w:hint="eastAsia" w:ascii="宋体" w:hAnsi="宋体" w:cs="宋体"/>
          <w:b/>
          <w:bCs/>
          <w:color w:val="auto"/>
          <w:szCs w:val="21"/>
        </w:rPr>
        <w:t>5.履约验收程序</w:t>
      </w:r>
    </w:p>
    <w:p w14:paraId="2123B947">
      <w:pPr>
        <w:spacing w:before="120" w:line="320" w:lineRule="exact"/>
        <w:jc w:val="left"/>
        <w:rPr>
          <w:rFonts w:hint="eastAsia" w:ascii="宋体" w:hAnsi="宋体" w:cs="宋体"/>
          <w:b/>
          <w:bCs/>
          <w:color w:val="auto"/>
          <w:szCs w:val="21"/>
        </w:rPr>
      </w:pPr>
      <w:r>
        <w:rPr>
          <w:rFonts w:hint="eastAsia" w:ascii="宋体" w:hAnsi="宋体" w:cs="宋体"/>
          <w:b/>
          <w:bCs/>
          <w:color w:val="auto"/>
          <w:szCs w:val="21"/>
        </w:rPr>
        <w:t>5.1成立验收小组</w:t>
      </w:r>
    </w:p>
    <w:p w14:paraId="72879BED">
      <w:pPr>
        <w:spacing w:before="120" w:line="320" w:lineRule="exact"/>
        <w:jc w:val="left"/>
        <w:rPr>
          <w:rFonts w:hint="eastAsia" w:ascii="宋体" w:hAnsi="宋体" w:cs="宋体"/>
          <w:b/>
          <w:bCs/>
          <w:color w:val="auto"/>
          <w:szCs w:val="21"/>
        </w:rPr>
      </w:pPr>
      <w:r>
        <w:rPr>
          <w:rFonts w:hint="eastAsia" w:ascii="宋体" w:hAnsi="宋体" w:cs="宋体"/>
          <w:b/>
          <w:bCs/>
          <w:color w:val="auto"/>
          <w:szCs w:val="21"/>
        </w:rPr>
        <w:t>5</w:t>
      </w:r>
      <w:r>
        <w:rPr>
          <w:rFonts w:ascii="宋体" w:hAnsi="宋体" w:cs="宋体"/>
          <w:b/>
          <w:bCs/>
          <w:color w:val="auto"/>
          <w:szCs w:val="21"/>
        </w:rPr>
        <w:t>.2</w:t>
      </w:r>
      <w:r>
        <w:rPr>
          <w:rFonts w:hint="eastAsia" w:ascii="宋体" w:hAnsi="宋体" w:cs="宋体"/>
          <w:b/>
          <w:bCs/>
          <w:color w:val="auto"/>
          <w:szCs w:val="21"/>
        </w:rPr>
        <w:t>量化验收标准</w:t>
      </w:r>
    </w:p>
    <w:p w14:paraId="5775C9B5">
      <w:pPr>
        <w:spacing w:before="120" w:line="320" w:lineRule="exact"/>
        <w:jc w:val="left"/>
        <w:rPr>
          <w:rFonts w:hint="eastAsia" w:ascii="宋体" w:hAnsi="宋体" w:cs="宋体"/>
          <w:b/>
          <w:bCs/>
          <w:color w:val="auto"/>
          <w:szCs w:val="21"/>
        </w:rPr>
      </w:pPr>
      <w:r>
        <w:rPr>
          <w:rFonts w:hint="eastAsia" w:ascii="宋体" w:hAnsi="宋体" w:cs="宋体"/>
          <w:b/>
          <w:bCs/>
          <w:color w:val="auto"/>
          <w:szCs w:val="21"/>
        </w:rPr>
        <w:t>5.</w:t>
      </w:r>
      <w:r>
        <w:rPr>
          <w:rFonts w:ascii="宋体" w:hAnsi="宋体" w:cs="宋体"/>
          <w:b/>
          <w:bCs/>
          <w:color w:val="auto"/>
          <w:szCs w:val="21"/>
        </w:rPr>
        <w:t>3</w:t>
      </w:r>
      <w:r>
        <w:rPr>
          <w:rFonts w:hint="eastAsia" w:ascii="宋体" w:hAnsi="宋体" w:cs="宋体"/>
          <w:b/>
          <w:bCs/>
          <w:color w:val="auto"/>
          <w:szCs w:val="21"/>
        </w:rPr>
        <w:t>组织验收</w:t>
      </w:r>
    </w:p>
    <w:p w14:paraId="5CC81346">
      <w:pPr>
        <w:spacing w:before="120" w:line="320" w:lineRule="exact"/>
        <w:jc w:val="left"/>
        <w:rPr>
          <w:rFonts w:hint="eastAsia" w:ascii="宋体" w:hAnsi="宋体" w:cs="宋体"/>
          <w:b/>
          <w:bCs/>
          <w:color w:val="auto"/>
          <w:szCs w:val="21"/>
        </w:rPr>
      </w:pPr>
      <w:r>
        <w:rPr>
          <w:rFonts w:hint="eastAsia" w:ascii="宋体" w:hAnsi="宋体" w:cs="宋体"/>
          <w:b/>
          <w:bCs/>
          <w:color w:val="auto"/>
          <w:szCs w:val="21"/>
        </w:rPr>
        <w:t>5.</w:t>
      </w:r>
      <w:r>
        <w:rPr>
          <w:rFonts w:ascii="宋体" w:hAnsi="宋体" w:cs="宋体"/>
          <w:b/>
          <w:bCs/>
          <w:color w:val="auto"/>
          <w:szCs w:val="21"/>
        </w:rPr>
        <w:t>4</w:t>
      </w:r>
      <w:r>
        <w:rPr>
          <w:rFonts w:hint="eastAsia" w:ascii="宋体" w:hAnsi="宋体" w:cs="宋体"/>
          <w:b/>
          <w:bCs/>
          <w:color w:val="auto"/>
          <w:szCs w:val="21"/>
        </w:rPr>
        <w:t>出具验收报告</w:t>
      </w:r>
    </w:p>
    <w:p w14:paraId="02983B33">
      <w:pPr>
        <w:spacing w:before="120" w:line="320" w:lineRule="exact"/>
        <w:jc w:val="left"/>
        <w:rPr>
          <w:rFonts w:hint="eastAsia" w:ascii="宋体" w:hAnsi="宋体" w:cs="宋体"/>
          <w:b/>
          <w:bCs/>
          <w:color w:val="auto"/>
          <w:szCs w:val="21"/>
        </w:rPr>
      </w:pPr>
      <w:r>
        <w:rPr>
          <w:rFonts w:hint="eastAsia" w:ascii="宋体" w:hAnsi="宋体" w:cs="宋体"/>
          <w:b/>
          <w:bCs/>
          <w:color w:val="auto"/>
          <w:szCs w:val="21"/>
        </w:rPr>
        <w:t>5.</w:t>
      </w:r>
      <w:r>
        <w:rPr>
          <w:rFonts w:ascii="宋体" w:hAnsi="宋体" w:cs="宋体"/>
          <w:b/>
          <w:bCs/>
          <w:color w:val="auto"/>
          <w:szCs w:val="21"/>
        </w:rPr>
        <w:t>5</w:t>
      </w:r>
      <w:r>
        <w:rPr>
          <w:rFonts w:hint="eastAsia" w:ascii="宋体" w:hAnsi="宋体" w:cs="宋体"/>
          <w:b/>
          <w:bCs/>
          <w:color w:val="auto"/>
          <w:szCs w:val="21"/>
        </w:rPr>
        <w:t>验收结果公告</w:t>
      </w:r>
    </w:p>
    <w:p w14:paraId="2523D40B">
      <w:pPr>
        <w:spacing w:before="120" w:line="320" w:lineRule="exact"/>
        <w:jc w:val="left"/>
        <w:rPr>
          <w:rFonts w:hint="eastAsia" w:ascii="宋体" w:hAnsi="宋体" w:cs="宋体"/>
          <w:b/>
          <w:bCs/>
          <w:color w:val="auto"/>
          <w:szCs w:val="21"/>
        </w:rPr>
      </w:pPr>
      <w:r>
        <w:rPr>
          <w:rFonts w:hint="eastAsia" w:ascii="宋体" w:hAnsi="宋体" w:cs="宋体"/>
          <w:b/>
          <w:bCs/>
          <w:color w:val="auto"/>
          <w:szCs w:val="21"/>
        </w:rPr>
        <w:t>5.</w:t>
      </w:r>
      <w:r>
        <w:rPr>
          <w:rFonts w:ascii="宋体" w:hAnsi="宋体" w:cs="宋体"/>
          <w:b/>
          <w:bCs/>
          <w:color w:val="auto"/>
          <w:szCs w:val="21"/>
        </w:rPr>
        <w:t>6</w:t>
      </w:r>
      <w:r>
        <w:rPr>
          <w:rFonts w:hint="eastAsia" w:ascii="宋体" w:hAnsi="宋体" w:cs="宋体"/>
          <w:b/>
          <w:bCs/>
          <w:color w:val="auto"/>
          <w:szCs w:val="21"/>
        </w:rPr>
        <w:t>验收资料归档</w:t>
      </w:r>
    </w:p>
    <w:p w14:paraId="6A8A6C88">
      <w:pPr>
        <w:spacing w:before="120" w:line="320" w:lineRule="exact"/>
        <w:ind w:firstLine="420" w:firstLineChars="200"/>
        <w:jc w:val="left"/>
        <w:rPr>
          <w:rFonts w:hint="eastAsia" w:ascii="宋体" w:hAnsi="宋体" w:cs="宋体"/>
          <w:color w:val="auto"/>
          <w:szCs w:val="21"/>
        </w:rPr>
      </w:pPr>
      <w:r>
        <w:rPr>
          <w:rFonts w:hint="eastAsia" w:ascii="宋体" w:hAnsi="宋体" w:cs="宋体"/>
          <w:color w:val="auto"/>
          <w:szCs w:val="21"/>
        </w:rPr>
        <w:t>采购合同项目完成验收后，采购人整理好验收原始记录、验收书等资料后妥善保管，不得变造、隐匿或者销毁，验收资料保存期为采购结束之日起至少保存15年。</w:t>
      </w:r>
    </w:p>
    <w:p w14:paraId="5B7299A3">
      <w:pPr>
        <w:spacing w:before="120" w:line="320" w:lineRule="exact"/>
        <w:jc w:val="left"/>
        <w:rPr>
          <w:rFonts w:hint="eastAsia" w:ascii="宋体" w:hAnsi="宋体" w:cs="宋体"/>
          <w:b/>
          <w:bCs/>
          <w:iCs/>
          <w:color w:val="auto"/>
          <w:szCs w:val="21"/>
        </w:rPr>
      </w:pPr>
      <w:r>
        <w:rPr>
          <w:rFonts w:hint="eastAsia" w:ascii="宋体" w:hAnsi="宋体" w:cs="宋体"/>
          <w:b/>
          <w:bCs/>
          <w:color w:val="auto"/>
          <w:szCs w:val="21"/>
        </w:rPr>
        <w:t>6.履约验收内容</w:t>
      </w:r>
    </w:p>
    <w:p w14:paraId="567CE232">
      <w:pPr>
        <w:spacing w:before="120" w:line="320" w:lineRule="exact"/>
        <w:jc w:val="left"/>
        <w:rPr>
          <w:rFonts w:hint="eastAsia" w:ascii="宋体" w:hAnsi="宋体" w:cs="宋体"/>
          <w:iCs/>
          <w:color w:val="auto"/>
          <w:szCs w:val="21"/>
        </w:rPr>
      </w:pPr>
      <w:r>
        <w:rPr>
          <w:rFonts w:hint="eastAsia" w:ascii="宋体" w:hAnsi="宋体" w:cs="宋体"/>
          <w:b/>
          <w:bCs/>
          <w:color w:val="auto"/>
          <w:szCs w:val="21"/>
        </w:rPr>
        <w:t>6.1商务验收内容</w:t>
      </w:r>
    </w:p>
    <w:p w14:paraId="0FFE8C28">
      <w:pPr>
        <w:spacing w:before="120" w:line="320" w:lineRule="exact"/>
        <w:ind w:firstLine="420" w:firstLineChars="200"/>
        <w:jc w:val="left"/>
        <w:rPr>
          <w:rFonts w:hint="eastAsia" w:ascii="宋体" w:hAnsi="宋体" w:eastAsia="Microsoft YaHei UI" w:cs="宋体"/>
          <w:color w:val="auto"/>
          <w:szCs w:val="21"/>
          <w:u w:val="single"/>
        </w:rPr>
      </w:pPr>
      <w:r>
        <w:rPr>
          <w:rFonts w:hint="eastAsia" w:ascii="宋体" w:hAnsi="宋体" w:cs="宋体"/>
          <w:color w:val="auto"/>
          <w:szCs w:val="21"/>
        </w:rPr>
        <w:t>对采购标的交付的情况、财务和服务要求，包括交付（实施）的时间（期限）和地点（范围），付款条件（进度和方式），包装和运输，售后服务，保险等进行验收。</w:t>
      </w:r>
    </w:p>
    <w:p w14:paraId="335394E7">
      <w:pPr>
        <w:spacing w:before="120" w:line="320" w:lineRule="exact"/>
        <w:jc w:val="left"/>
        <w:rPr>
          <w:rFonts w:hint="eastAsia" w:ascii="宋体" w:hAnsi="宋体" w:cs="宋体"/>
          <w:iCs/>
          <w:color w:val="auto"/>
          <w:szCs w:val="21"/>
        </w:rPr>
      </w:pPr>
      <w:r>
        <w:rPr>
          <w:rFonts w:hint="eastAsia" w:ascii="宋体" w:hAnsi="宋体" w:cs="宋体"/>
          <w:b/>
          <w:bCs/>
          <w:color w:val="auto"/>
          <w:szCs w:val="21"/>
        </w:rPr>
        <w:t>6.2技术验收内容</w:t>
      </w:r>
    </w:p>
    <w:p w14:paraId="28842881">
      <w:pPr>
        <w:spacing w:before="120" w:line="320" w:lineRule="exact"/>
        <w:ind w:firstLine="420" w:firstLineChars="200"/>
        <w:jc w:val="left"/>
        <w:rPr>
          <w:rFonts w:hint="eastAsia" w:ascii="宋体" w:hAnsi="宋体" w:cs="宋体"/>
          <w:color w:val="auto"/>
          <w:szCs w:val="21"/>
          <w:u w:val="single"/>
        </w:rPr>
      </w:pPr>
      <w:r>
        <w:rPr>
          <w:rFonts w:hint="eastAsia" w:ascii="宋体" w:hAnsi="宋体" w:cs="宋体"/>
          <w:color w:val="auto"/>
          <w:szCs w:val="21"/>
        </w:rPr>
        <w:t>对采购标的的功能和质量要求，包括性能、材料、结构、外观、安全，或者服务内容和标准等进行验收。</w:t>
      </w:r>
    </w:p>
    <w:p w14:paraId="71129462">
      <w:pPr>
        <w:spacing w:before="120" w:line="320" w:lineRule="exact"/>
        <w:jc w:val="left"/>
        <w:rPr>
          <w:rFonts w:hint="eastAsia" w:ascii="宋体" w:hAnsi="宋体" w:cs="宋体"/>
          <w:b/>
          <w:bCs/>
          <w:color w:val="auto"/>
          <w:szCs w:val="21"/>
        </w:rPr>
      </w:pPr>
      <w:r>
        <w:rPr>
          <w:rFonts w:hint="eastAsia" w:ascii="宋体" w:hAnsi="宋体" w:cs="宋体"/>
          <w:b/>
          <w:bCs/>
          <w:color w:val="auto"/>
          <w:szCs w:val="21"/>
        </w:rPr>
        <w:t>7.履约验收标准</w:t>
      </w:r>
    </w:p>
    <w:p w14:paraId="70D3644B">
      <w:pPr>
        <w:pStyle w:val="200"/>
        <w:spacing w:before="120" w:line="320" w:lineRule="exact"/>
        <w:ind w:firstLine="420"/>
        <w:rPr>
          <w:rFonts w:hint="eastAsia" w:ascii="宋体" w:hAnsi="宋体" w:eastAsia="宋体" w:cs="宋体"/>
          <w:color w:val="auto"/>
          <w:sz w:val="21"/>
          <w:szCs w:val="21"/>
        </w:rPr>
      </w:pPr>
      <w:r>
        <w:rPr>
          <w:rFonts w:hint="eastAsia" w:ascii="宋体" w:hAnsi="宋体" w:eastAsia="宋体" w:cs="宋体"/>
          <w:color w:val="auto"/>
          <w:sz w:val="21"/>
          <w:szCs w:val="21"/>
        </w:rPr>
        <w:t>验收标准：</w:t>
      </w:r>
    </w:p>
    <w:p w14:paraId="78BB7246">
      <w:pPr>
        <w:pStyle w:val="200"/>
        <w:spacing w:before="120" w:line="320" w:lineRule="exact"/>
        <w:ind w:firstLine="42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w:t>
      </w:r>
      <w:r>
        <w:rPr>
          <w:rFonts w:ascii="宋体" w:hAnsi="宋体" w:eastAsia="宋体" w:cs="宋体"/>
          <w:color w:val="auto"/>
          <w:kern w:val="2"/>
          <w:sz w:val="21"/>
          <w:szCs w:val="21"/>
        </w:rPr>
        <w:t>1）中标（成交）供应商应提供完备的技术资料、装箱单和合格证等，并派遣专业人员进行现场安装调试。验收合格条件如下：</w:t>
      </w:r>
    </w:p>
    <w:p w14:paraId="4A1BF053">
      <w:pPr>
        <w:spacing w:before="120" w:line="320" w:lineRule="exact"/>
        <w:rPr>
          <w:rFonts w:hint="eastAsia" w:ascii="宋体" w:hAnsi="宋体" w:cs="宋体"/>
          <w:color w:val="auto"/>
          <w:szCs w:val="21"/>
        </w:rPr>
      </w:pPr>
      <w:r>
        <w:rPr>
          <w:rFonts w:hint="eastAsia" w:ascii="宋体" w:hAnsi="宋体" w:cs="宋体"/>
          <w:color w:val="auto"/>
          <w:szCs w:val="21"/>
        </w:rPr>
        <w:t>货物技术参数与投标文件中响应表或证明材料一致，性能或指标达到规定的标准。否则，以实际货物技术参数与投标文件响应表参数或证明材料比较，按如下情况处理：</w:t>
      </w:r>
    </w:p>
    <w:p w14:paraId="2CDF7499">
      <w:pPr>
        <w:spacing w:before="120" w:line="320" w:lineRule="exact"/>
        <w:rPr>
          <w:rFonts w:hint="eastAsia" w:ascii="宋体" w:hAnsi="宋体" w:cs="宋体"/>
          <w:color w:val="auto"/>
          <w:szCs w:val="21"/>
        </w:rPr>
      </w:pPr>
      <w:r>
        <w:rPr>
          <w:rFonts w:hint="eastAsia" w:ascii="宋体" w:hAnsi="宋体" w:cs="宋体"/>
          <w:color w:val="auto"/>
          <w:szCs w:val="21"/>
        </w:rPr>
        <w:t>①供应商投标文件响应表或证明材料中满足或优于的技术参数，在验收时实际不满足技术参数要求的，视为供应商违约，采购人有权解除合同拒收货物，并追究供应商责任，同时报财政部门备案。</w:t>
      </w:r>
    </w:p>
    <w:p w14:paraId="1388E043">
      <w:pPr>
        <w:spacing w:before="120" w:line="320" w:lineRule="exact"/>
        <w:rPr>
          <w:rFonts w:hint="eastAsia" w:ascii="宋体" w:hAnsi="宋体" w:cs="宋体"/>
          <w:color w:val="auto"/>
          <w:szCs w:val="21"/>
        </w:rPr>
      </w:pPr>
      <w:r>
        <w:rPr>
          <w:rFonts w:hint="eastAsia" w:ascii="宋体" w:hAnsi="宋体" w:cs="宋体"/>
          <w:color w:val="auto"/>
          <w:szCs w:val="21"/>
        </w:rPr>
        <w:t>②供应商投标文件响应表或证明材料中优于的技术参数，在验收时实际仅满足并未优于技术参数要求的，视为供应商违约，采购人有权终止合同拒收货物，并追究供应商责任，同时报财政部门备案。</w:t>
      </w:r>
    </w:p>
    <w:p w14:paraId="0510132E">
      <w:pPr>
        <w:spacing w:before="120" w:line="320" w:lineRule="exact"/>
        <w:rPr>
          <w:rFonts w:hint="eastAsia" w:ascii="宋体" w:hAnsi="宋体" w:cs="宋体"/>
          <w:color w:val="auto"/>
          <w:szCs w:val="21"/>
        </w:rPr>
      </w:pPr>
      <w:r>
        <w:rPr>
          <w:rFonts w:hint="eastAsia" w:ascii="宋体" w:hAnsi="宋体" w:cs="宋体"/>
          <w:color w:val="auto"/>
          <w:szCs w:val="21"/>
        </w:rPr>
        <w:t xml:space="preserve">③供应商投标文件响应表或证明材料中不满足的技术参数，在验收时实际满足技术参数的要求，以满足技术参数的要求验收。 </w:t>
      </w:r>
    </w:p>
    <w:p w14:paraId="54BC7EF6">
      <w:pPr>
        <w:spacing w:before="120" w:line="320" w:lineRule="exact"/>
        <w:rPr>
          <w:rFonts w:hint="eastAsia" w:ascii="宋体" w:hAnsi="宋体" w:cs="宋体"/>
          <w:color w:val="auto"/>
          <w:szCs w:val="21"/>
        </w:rPr>
      </w:pPr>
      <w:r>
        <w:rPr>
          <w:rFonts w:hint="eastAsia" w:ascii="宋体" w:hAnsi="宋体" w:cs="宋体"/>
          <w:color w:val="auto"/>
          <w:szCs w:val="21"/>
        </w:rPr>
        <w:t>④供应商投标文件响应表或证明材料中满足的技术参数，在验收时实际优于技术参数的要求，以满足技术参数的要求验收。</w:t>
      </w:r>
    </w:p>
    <w:p w14:paraId="5E5F867F">
      <w:pPr>
        <w:spacing w:before="120" w:line="320" w:lineRule="exact"/>
        <w:rPr>
          <w:rFonts w:hint="eastAsia" w:ascii="宋体" w:hAnsi="宋体" w:cs="宋体"/>
          <w:color w:val="auto"/>
          <w:szCs w:val="21"/>
        </w:rPr>
      </w:pPr>
      <w:r>
        <w:rPr>
          <w:rFonts w:hint="eastAsia" w:ascii="宋体" w:hAnsi="宋体" w:cs="宋体"/>
          <w:color w:val="auto"/>
          <w:szCs w:val="21"/>
        </w:rPr>
        <w:t>⑤供应商投标文件响应表或证明材料中优于的技术参数，在验收时实际也优于技术参数的要求，但没有达到响应表或证明材料中优于的程度，由采购人与供应商协商按是否满足要求验收。</w:t>
      </w:r>
    </w:p>
    <w:p w14:paraId="11B79BE4">
      <w:pPr>
        <w:spacing w:before="120" w:line="320" w:lineRule="exact"/>
        <w:rPr>
          <w:rFonts w:hint="eastAsia" w:ascii="宋体" w:hAnsi="宋体" w:cs="宋体"/>
          <w:color w:val="auto"/>
          <w:szCs w:val="21"/>
        </w:rPr>
      </w:pPr>
      <w:r>
        <w:rPr>
          <w:rFonts w:hint="eastAsia" w:ascii="宋体" w:hAnsi="宋体" w:cs="宋体"/>
          <w:color w:val="auto"/>
          <w:szCs w:val="21"/>
        </w:rPr>
        <w:t>⑥实际货物与响应货物型号不一致的，验收时不论实际是优于还是满足技术参数的要求，采购人均有权解除合同拒收货物。如影响货物的使用、质量、档次及采购人需求的，还可视为供应商违约，追究供应商责任，同时报财政部门备案。</w:t>
      </w:r>
    </w:p>
    <w:p w14:paraId="4BE446EE">
      <w:pPr>
        <w:spacing w:before="120" w:line="320" w:lineRule="exact"/>
        <w:ind w:firstLine="420" w:firstLineChars="200"/>
        <w:jc w:val="left"/>
        <w:rPr>
          <w:rFonts w:hint="eastAsia" w:ascii="宋体" w:hAnsi="宋体" w:cs="宋体"/>
          <w:color w:val="auto"/>
          <w:szCs w:val="21"/>
        </w:rPr>
      </w:pPr>
      <w:r>
        <w:rPr>
          <w:rFonts w:hint="eastAsia" w:ascii="宋体" w:hAnsi="宋体" w:cs="宋体"/>
          <w:color w:val="auto"/>
          <w:szCs w:val="21"/>
        </w:rPr>
        <w:t>（1）技术资料、装箱单、合格证等资料齐全。</w:t>
      </w:r>
    </w:p>
    <w:p w14:paraId="0F81EEC8">
      <w:pPr>
        <w:spacing w:before="120" w:line="320" w:lineRule="exact"/>
        <w:ind w:firstLine="420" w:firstLineChars="200"/>
        <w:jc w:val="left"/>
        <w:rPr>
          <w:rFonts w:hint="eastAsia" w:ascii="宋体" w:hAnsi="宋体" w:cs="宋体"/>
          <w:color w:val="auto"/>
          <w:szCs w:val="21"/>
        </w:rPr>
      </w:pPr>
      <w:r>
        <w:rPr>
          <w:rFonts w:hint="eastAsia" w:ascii="宋体" w:hAnsi="宋体" w:cs="宋体"/>
          <w:color w:val="auto"/>
          <w:szCs w:val="21"/>
        </w:rPr>
        <w:t>（2）在测试或试运行期间所出现的问题得到解决，并运行或工作正常。</w:t>
      </w:r>
    </w:p>
    <w:p w14:paraId="06B22BBA">
      <w:pPr>
        <w:spacing w:before="120" w:line="320" w:lineRule="exact"/>
        <w:ind w:firstLine="420" w:firstLineChars="200"/>
        <w:jc w:val="left"/>
        <w:rPr>
          <w:rFonts w:hint="eastAsia" w:ascii="宋体" w:hAnsi="宋体" w:cs="宋体"/>
          <w:color w:val="auto"/>
          <w:szCs w:val="21"/>
        </w:rPr>
      </w:pPr>
      <w:r>
        <w:rPr>
          <w:rFonts w:hint="eastAsia" w:ascii="宋体" w:hAnsi="宋体" w:cs="宋体"/>
          <w:color w:val="auto"/>
          <w:szCs w:val="21"/>
        </w:rPr>
        <w:t>（3）在规定时间内完成交货及验收，并经采购人确认。</w:t>
      </w:r>
    </w:p>
    <w:p w14:paraId="7C443377">
      <w:pPr>
        <w:spacing w:before="120" w:line="320" w:lineRule="exact"/>
        <w:ind w:firstLine="420" w:firstLineChars="200"/>
        <w:jc w:val="left"/>
        <w:rPr>
          <w:rFonts w:hint="eastAsia" w:ascii="宋体" w:hAnsi="宋体" w:cs="宋体"/>
          <w:color w:val="auto"/>
          <w:szCs w:val="21"/>
        </w:rPr>
      </w:pPr>
      <w:r>
        <w:rPr>
          <w:rFonts w:hint="eastAsia" w:ascii="宋体" w:hAnsi="宋体" w:cs="宋体"/>
          <w:color w:val="auto"/>
          <w:szCs w:val="21"/>
        </w:rPr>
        <w:t>（4）货物在安装调试并试运行符合要求后，才作为最终验收。</w:t>
      </w:r>
    </w:p>
    <w:p w14:paraId="5F776593">
      <w:pPr>
        <w:spacing w:before="120" w:line="320" w:lineRule="exact"/>
        <w:ind w:firstLine="420" w:firstLineChars="200"/>
        <w:jc w:val="left"/>
        <w:rPr>
          <w:rFonts w:hint="eastAsia" w:ascii="宋体" w:hAnsi="宋体" w:cs="宋体"/>
          <w:color w:val="auto"/>
          <w:szCs w:val="21"/>
        </w:rPr>
      </w:pPr>
      <w:r>
        <w:rPr>
          <w:rFonts w:hint="eastAsia" w:ascii="宋体" w:hAnsi="宋体" w:cs="宋体"/>
          <w:color w:val="auto"/>
          <w:szCs w:val="21"/>
        </w:rPr>
        <w:t>（5）成交供应商提供的货物未达到招标文件规定要求，且对采购人造成损失的，由成交供应商承担一切责任，并赔偿所造成的损失。</w:t>
      </w:r>
    </w:p>
    <w:p w14:paraId="0280904C">
      <w:pPr>
        <w:spacing w:before="120" w:line="320" w:lineRule="exact"/>
        <w:ind w:firstLine="420" w:firstLineChars="200"/>
        <w:jc w:val="left"/>
        <w:rPr>
          <w:rFonts w:hint="eastAsia" w:ascii="宋体" w:hAnsi="宋体" w:cs="宋体"/>
          <w:color w:val="auto"/>
          <w:szCs w:val="21"/>
        </w:rPr>
      </w:pPr>
      <w:r>
        <w:rPr>
          <w:rFonts w:hint="eastAsia" w:ascii="宋体" w:hAnsi="宋体" w:cs="宋体"/>
          <w:color w:val="auto"/>
          <w:szCs w:val="21"/>
        </w:rPr>
        <w:t>（6）采购人需要制造商对成交供应商交付的产品（包括质量、参数等）进行确认的，制造商应予以配合并出具书面意见，相关配合事项由成交供应商与制造商协调。</w:t>
      </w:r>
    </w:p>
    <w:p w14:paraId="192C698F">
      <w:pPr>
        <w:spacing w:before="120" w:line="320" w:lineRule="exact"/>
        <w:ind w:firstLine="420" w:firstLineChars="200"/>
        <w:jc w:val="left"/>
        <w:rPr>
          <w:rFonts w:hint="eastAsia" w:ascii="宋体" w:hAnsi="宋体" w:cs="宋体"/>
          <w:color w:val="auto"/>
          <w:szCs w:val="21"/>
        </w:rPr>
      </w:pPr>
      <w:r>
        <w:rPr>
          <w:rFonts w:hint="eastAsia" w:ascii="宋体" w:hAnsi="宋体" w:cs="宋体"/>
          <w:color w:val="auto"/>
          <w:szCs w:val="21"/>
        </w:rPr>
        <w:t>（7）产品包装材料归采购人所有。</w:t>
      </w:r>
    </w:p>
    <w:p w14:paraId="57DA6466">
      <w:pPr>
        <w:spacing w:before="120" w:line="320" w:lineRule="exact"/>
        <w:ind w:firstLine="420" w:firstLineChars="200"/>
        <w:jc w:val="left"/>
        <w:rPr>
          <w:rFonts w:hint="eastAsia" w:ascii="宋体" w:hAnsi="宋体" w:cs="宋体"/>
          <w:color w:val="auto"/>
          <w:szCs w:val="21"/>
        </w:rPr>
      </w:pPr>
      <w:r>
        <w:rPr>
          <w:rFonts w:hint="eastAsia" w:ascii="宋体" w:hAnsi="宋体" w:cs="宋体"/>
          <w:color w:val="auto"/>
          <w:szCs w:val="21"/>
        </w:rPr>
        <w:t>（8）政府采购合同约定的其他要求及投标文件响应的其他标准。</w:t>
      </w:r>
    </w:p>
    <w:p w14:paraId="704A788A">
      <w:pPr>
        <w:spacing w:before="120" w:line="320" w:lineRule="exact"/>
        <w:jc w:val="left"/>
        <w:rPr>
          <w:rFonts w:hint="eastAsia" w:ascii="宋体" w:hAnsi="宋体" w:cs="宋体"/>
          <w:b/>
          <w:bCs/>
          <w:color w:val="auto"/>
          <w:szCs w:val="21"/>
        </w:rPr>
      </w:pPr>
      <w:r>
        <w:rPr>
          <w:rFonts w:hint="eastAsia" w:ascii="宋体" w:hAnsi="宋体" w:cs="宋体"/>
          <w:b/>
          <w:bCs/>
          <w:color w:val="auto"/>
          <w:szCs w:val="21"/>
        </w:rPr>
        <w:t>8.履约验收其他事项</w:t>
      </w:r>
    </w:p>
    <w:p w14:paraId="73FF3E04">
      <w:pPr>
        <w:spacing w:before="120" w:line="320" w:lineRule="exact"/>
        <w:rPr>
          <w:rFonts w:hint="eastAsia" w:ascii="仿宋" w:hAnsi="仿宋" w:eastAsia="仿宋"/>
          <w:color w:val="auto"/>
          <w:szCs w:val="21"/>
          <w:u w:val="single"/>
        </w:rPr>
      </w:pPr>
      <w:r>
        <w:rPr>
          <w:rFonts w:hint="eastAsia" w:ascii="宋体" w:hAnsi="宋体" w:cs="宋体"/>
          <w:color w:val="auto"/>
          <w:szCs w:val="21"/>
        </w:rPr>
        <w:t>无</w:t>
      </w:r>
      <w:r>
        <w:rPr>
          <w:rFonts w:hint="eastAsia" w:ascii="仿宋" w:hAnsi="仿宋" w:eastAsia="仿宋"/>
          <w:color w:val="auto"/>
          <w:szCs w:val="21"/>
          <w:u w:val="single"/>
        </w:rPr>
        <w:br w:type="page"/>
      </w:r>
    </w:p>
    <w:bookmarkEnd w:id="134"/>
    <w:bookmarkEnd w:id="135"/>
    <w:p w14:paraId="21FB1145">
      <w:pPr>
        <w:snapToGrid w:val="0"/>
        <w:spacing w:line="360" w:lineRule="exact"/>
        <w:jc w:val="center"/>
        <w:rPr>
          <w:b/>
          <w:bCs/>
          <w:color w:val="auto"/>
          <w:szCs w:val="21"/>
        </w:rPr>
      </w:pPr>
      <w:r>
        <w:rPr>
          <w:b/>
          <w:bCs/>
          <w:color w:val="auto"/>
          <w:szCs w:val="21"/>
        </w:rPr>
        <w:t>广西壮族自治区政府采购项目合同验收书</w:t>
      </w:r>
    </w:p>
    <w:p w14:paraId="37D25A9C">
      <w:pPr>
        <w:widowControl/>
        <w:snapToGrid w:val="0"/>
        <w:spacing w:before="100" w:beforeAutospacing="1" w:after="100" w:afterAutospacing="1" w:line="320" w:lineRule="exact"/>
        <w:ind w:left="-359" w:leftChars="-171" w:firstLine="420" w:firstLineChars="200"/>
        <w:jc w:val="left"/>
        <w:rPr>
          <w:color w:val="auto"/>
          <w:kern w:val="0"/>
          <w:szCs w:val="21"/>
        </w:rPr>
      </w:pPr>
      <w:r>
        <w:rPr>
          <w:color w:val="auto"/>
          <w:kern w:val="0"/>
          <w:szCs w:val="21"/>
        </w:rPr>
        <w:t>根据政府采购项目（</w:t>
      </w:r>
      <w:r>
        <w:rPr>
          <w:color w:val="auto"/>
          <w:kern w:val="0"/>
          <w:szCs w:val="21"/>
          <w:u w:val="single"/>
        </w:rPr>
        <w:t>采购合同编号：</w:t>
      </w:r>
      <w:r>
        <w:rPr>
          <w:rFonts w:cs="Arial"/>
          <w:color w:val="auto"/>
          <w:szCs w:val="21"/>
          <w:u w:val="single"/>
        </w:rPr>
        <w:t>GXZC20XX-XX-XXXXX-JDZB</w:t>
      </w:r>
      <w:r>
        <w:rPr>
          <w:color w:val="auto"/>
          <w:kern w:val="0"/>
          <w:szCs w:val="21"/>
        </w:rPr>
        <w:t>）的约定，我单位对（</w:t>
      </w:r>
      <w:r>
        <w:rPr>
          <w:rFonts w:hint="eastAsia" w:cs="Arial"/>
          <w:color w:val="auto"/>
          <w:szCs w:val="21"/>
          <w:u w:val="single"/>
        </w:rPr>
        <w:t>XXXX采购项目</w:t>
      </w:r>
      <w:r>
        <w:rPr>
          <w:color w:val="auto"/>
          <w:kern w:val="0"/>
          <w:szCs w:val="21"/>
        </w:rPr>
        <w:t>）政府采购项目中标（或成交）供应商</w:t>
      </w:r>
      <w:r>
        <w:rPr>
          <w:rFonts w:hint="eastAsia"/>
          <w:color w:val="auto"/>
          <w:kern w:val="0"/>
          <w:szCs w:val="21"/>
          <w:u w:val="single"/>
        </w:rPr>
        <w:t>XX公司（填写供应商名称）</w:t>
      </w:r>
      <w:r>
        <w:rPr>
          <w:color w:val="auto"/>
          <w:kern w:val="0"/>
          <w:szCs w:val="21"/>
        </w:rPr>
        <w:t>提供的</w:t>
      </w:r>
      <w:r>
        <w:rPr>
          <w:rFonts w:hint="eastAsia"/>
          <w:color w:val="auto"/>
          <w:kern w:val="0"/>
          <w:szCs w:val="21"/>
        </w:rPr>
        <w:t>货物（或工程、服务）</w:t>
      </w:r>
      <w:r>
        <w:rPr>
          <w:color w:val="auto"/>
          <w:kern w:val="0"/>
          <w:szCs w:val="21"/>
        </w:rPr>
        <w:t>进行了验收，验收情况如下：</w:t>
      </w:r>
    </w:p>
    <w:tbl>
      <w:tblPr>
        <w:tblStyle w:val="51"/>
        <w:tblW w:w="962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661"/>
        <w:gridCol w:w="866"/>
        <w:gridCol w:w="977"/>
        <w:gridCol w:w="2263"/>
        <w:gridCol w:w="1608"/>
        <w:gridCol w:w="850"/>
        <w:gridCol w:w="242"/>
        <w:gridCol w:w="2160"/>
      </w:tblGrid>
      <w:tr w14:paraId="7BC088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61" w:hRule="atLeast"/>
          <w:jc w:val="center"/>
        </w:trPr>
        <w:tc>
          <w:tcPr>
            <w:tcW w:w="2504" w:type="dxa"/>
            <w:gridSpan w:val="3"/>
            <w:tcBorders>
              <w:top w:val="single" w:color="auto" w:sz="8" w:space="0"/>
              <w:left w:val="single" w:color="auto" w:sz="8" w:space="0"/>
              <w:bottom w:val="single" w:color="auto" w:sz="8" w:space="0"/>
              <w:right w:val="single" w:color="auto" w:sz="8" w:space="0"/>
            </w:tcBorders>
            <w:vAlign w:val="center"/>
          </w:tcPr>
          <w:p w14:paraId="1BEAE4A5">
            <w:pPr>
              <w:widowControl/>
              <w:snapToGrid w:val="0"/>
              <w:spacing w:before="100" w:beforeAutospacing="1" w:after="100" w:afterAutospacing="1" w:line="320" w:lineRule="exact"/>
              <w:ind w:left="-3" w:firstLine="4" w:firstLineChars="2"/>
              <w:jc w:val="center"/>
              <w:rPr>
                <w:color w:val="auto"/>
                <w:kern w:val="0"/>
                <w:szCs w:val="21"/>
              </w:rPr>
            </w:pPr>
            <w:r>
              <w:rPr>
                <w:color w:val="auto"/>
                <w:kern w:val="0"/>
                <w:szCs w:val="21"/>
              </w:rPr>
              <w:t>验收方式：</w:t>
            </w:r>
          </w:p>
        </w:tc>
        <w:tc>
          <w:tcPr>
            <w:tcW w:w="7123" w:type="dxa"/>
            <w:gridSpan w:val="5"/>
            <w:tcBorders>
              <w:top w:val="single" w:color="auto" w:sz="8" w:space="0"/>
              <w:left w:val="single" w:color="auto" w:sz="8" w:space="0"/>
              <w:bottom w:val="single" w:color="auto" w:sz="8" w:space="0"/>
              <w:right w:val="single" w:color="auto" w:sz="8" w:space="0"/>
            </w:tcBorders>
            <w:vAlign w:val="center"/>
          </w:tcPr>
          <w:p w14:paraId="1D525CD8">
            <w:pPr>
              <w:widowControl/>
              <w:snapToGrid w:val="0"/>
              <w:spacing w:before="100" w:beforeAutospacing="1" w:after="100" w:afterAutospacing="1" w:line="320" w:lineRule="exact"/>
              <w:ind w:left="-3" w:firstLine="420" w:firstLineChars="200"/>
              <w:jc w:val="center"/>
              <w:rPr>
                <w:color w:val="auto"/>
                <w:kern w:val="0"/>
                <w:szCs w:val="21"/>
              </w:rPr>
            </w:pPr>
            <w:r>
              <w:rPr>
                <w:rFonts w:hint="eastAsia" w:cs="Arial"/>
                <w:color w:val="auto"/>
                <w:szCs w:val="21"/>
              </w:rPr>
              <w:t>□</w:t>
            </w:r>
            <w:r>
              <w:rPr>
                <w:color w:val="auto"/>
                <w:kern w:val="0"/>
                <w:szCs w:val="21"/>
              </w:rPr>
              <w:t>自行验收        </w:t>
            </w:r>
            <w:r>
              <w:rPr>
                <w:rFonts w:cs="Arial"/>
                <w:color w:val="auto"/>
                <w:szCs w:val="21"/>
              </w:rPr>
              <w:sym w:font="Wingdings 2" w:char="00A3"/>
            </w:r>
            <w:r>
              <w:rPr>
                <w:color w:val="auto"/>
                <w:kern w:val="0"/>
                <w:szCs w:val="21"/>
              </w:rPr>
              <w:t>委托验收</w:t>
            </w:r>
          </w:p>
        </w:tc>
      </w:tr>
      <w:tr w14:paraId="5369A1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4" w:hRule="atLeast"/>
          <w:jc w:val="center"/>
        </w:trPr>
        <w:tc>
          <w:tcPr>
            <w:tcW w:w="661" w:type="dxa"/>
            <w:tcBorders>
              <w:top w:val="single" w:color="auto" w:sz="8" w:space="0"/>
              <w:left w:val="single" w:color="auto" w:sz="8" w:space="0"/>
              <w:bottom w:val="single" w:color="auto" w:sz="8" w:space="0"/>
              <w:right w:val="single" w:color="auto" w:sz="8" w:space="0"/>
            </w:tcBorders>
            <w:vAlign w:val="center"/>
          </w:tcPr>
          <w:p w14:paraId="24364CDF">
            <w:pPr>
              <w:widowControl/>
              <w:snapToGrid w:val="0"/>
              <w:spacing w:before="100" w:beforeAutospacing="1" w:after="100" w:afterAutospacing="1" w:line="320" w:lineRule="exact"/>
              <w:ind w:firstLine="2" w:firstLineChars="1"/>
              <w:jc w:val="center"/>
              <w:rPr>
                <w:color w:val="auto"/>
                <w:kern w:val="0"/>
                <w:szCs w:val="21"/>
              </w:rPr>
            </w:pPr>
            <w:r>
              <w:rPr>
                <w:color w:val="auto"/>
                <w:kern w:val="0"/>
                <w:szCs w:val="21"/>
              </w:rPr>
              <w:t>序号</w:t>
            </w:r>
          </w:p>
        </w:tc>
        <w:tc>
          <w:tcPr>
            <w:tcW w:w="1843" w:type="dxa"/>
            <w:gridSpan w:val="2"/>
            <w:tcBorders>
              <w:top w:val="single" w:color="auto" w:sz="8" w:space="0"/>
              <w:left w:val="single" w:color="auto" w:sz="8" w:space="0"/>
              <w:bottom w:val="single" w:color="auto" w:sz="8" w:space="0"/>
              <w:right w:val="single" w:color="auto" w:sz="8" w:space="0"/>
            </w:tcBorders>
            <w:vAlign w:val="center"/>
          </w:tcPr>
          <w:p w14:paraId="522FC4FA">
            <w:pPr>
              <w:widowControl/>
              <w:snapToGrid w:val="0"/>
              <w:spacing w:before="100" w:beforeAutospacing="1" w:after="100" w:afterAutospacing="1" w:line="320" w:lineRule="exact"/>
              <w:ind w:left="-3" w:firstLine="2" w:firstLineChars="1"/>
              <w:jc w:val="center"/>
              <w:rPr>
                <w:color w:val="auto"/>
                <w:kern w:val="0"/>
                <w:szCs w:val="21"/>
              </w:rPr>
            </w:pPr>
            <w:r>
              <w:rPr>
                <w:color w:val="auto"/>
                <w:kern w:val="0"/>
                <w:szCs w:val="21"/>
              </w:rPr>
              <w:t>名  称</w:t>
            </w:r>
          </w:p>
        </w:tc>
        <w:tc>
          <w:tcPr>
            <w:tcW w:w="3871" w:type="dxa"/>
            <w:gridSpan w:val="2"/>
            <w:tcBorders>
              <w:top w:val="single" w:color="auto" w:sz="8" w:space="0"/>
              <w:left w:val="single" w:color="auto" w:sz="8" w:space="0"/>
              <w:bottom w:val="single" w:color="auto" w:sz="8" w:space="0"/>
              <w:right w:val="single" w:color="auto" w:sz="8" w:space="0"/>
            </w:tcBorders>
            <w:vAlign w:val="center"/>
          </w:tcPr>
          <w:p w14:paraId="0DA48CFB">
            <w:pPr>
              <w:widowControl/>
              <w:snapToGrid w:val="0"/>
              <w:spacing w:before="100" w:beforeAutospacing="1" w:after="100" w:afterAutospacing="1" w:line="320" w:lineRule="exact"/>
              <w:ind w:left="-3" w:firstLine="2" w:firstLineChars="1"/>
              <w:jc w:val="center"/>
              <w:rPr>
                <w:color w:val="auto"/>
                <w:kern w:val="0"/>
                <w:szCs w:val="21"/>
              </w:rPr>
            </w:pPr>
            <w:r>
              <w:rPr>
                <w:color w:val="auto"/>
                <w:kern w:val="0"/>
                <w:szCs w:val="21"/>
              </w:rPr>
              <w:t>货物型号规格、标准及配置等（或服务内容、标准）</w:t>
            </w:r>
          </w:p>
        </w:tc>
        <w:tc>
          <w:tcPr>
            <w:tcW w:w="850" w:type="dxa"/>
            <w:tcBorders>
              <w:top w:val="single" w:color="auto" w:sz="8" w:space="0"/>
              <w:left w:val="single" w:color="auto" w:sz="8" w:space="0"/>
              <w:bottom w:val="single" w:color="auto" w:sz="8" w:space="0"/>
              <w:right w:val="single" w:color="auto" w:sz="8" w:space="0"/>
            </w:tcBorders>
            <w:vAlign w:val="center"/>
          </w:tcPr>
          <w:p w14:paraId="7CC12AB5">
            <w:pPr>
              <w:widowControl/>
              <w:snapToGrid w:val="0"/>
              <w:spacing w:before="100" w:beforeAutospacing="1" w:after="100" w:afterAutospacing="1" w:line="320" w:lineRule="exact"/>
              <w:jc w:val="center"/>
              <w:rPr>
                <w:color w:val="auto"/>
                <w:kern w:val="0"/>
                <w:szCs w:val="21"/>
              </w:rPr>
            </w:pPr>
            <w:r>
              <w:rPr>
                <w:color w:val="auto"/>
                <w:kern w:val="0"/>
                <w:szCs w:val="21"/>
              </w:rPr>
              <w:t>数量</w:t>
            </w:r>
          </w:p>
        </w:tc>
        <w:tc>
          <w:tcPr>
            <w:tcW w:w="2402" w:type="dxa"/>
            <w:gridSpan w:val="2"/>
            <w:tcBorders>
              <w:top w:val="single" w:color="auto" w:sz="8" w:space="0"/>
              <w:left w:val="single" w:color="auto" w:sz="8" w:space="0"/>
              <w:bottom w:val="single" w:color="auto" w:sz="8" w:space="0"/>
              <w:right w:val="single" w:color="auto" w:sz="8" w:space="0"/>
            </w:tcBorders>
            <w:vAlign w:val="center"/>
          </w:tcPr>
          <w:p w14:paraId="1990646E">
            <w:pPr>
              <w:widowControl/>
              <w:snapToGrid w:val="0"/>
              <w:spacing w:before="100" w:beforeAutospacing="1" w:after="100" w:afterAutospacing="1" w:line="320" w:lineRule="exact"/>
              <w:ind w:left="-3" w:firstLine="2" w:firstLineChars="1"/>
              <w:jc w:val="center"/>
              <w:rPr>
                <w:color w:val="auto"/>
                <w:kern w:val="0"/>
                <w:szCs w:val="21"/>
              </w:rPr>
            </w:pPr>
            <w:r>
              <w:rPr>
                <w:color w:val="auto"/>
                <w:kern w:val="0"/>
                <w:szCs w:val="21"/>
              </w:rPr>
              <w:t>金  额</w:t>
            </w:r>
          </w:p>
        </w:tc>
      </w:tr>
      <w:tr w14:paraId="65881B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61" w:type="dxa"/>
            <w:tcBorders>
              <w:top w:val="single" w:color="auto" w:sz="8" w:space="0"/>
              <w:left w:val="single" w:color="auto" w:sz="8" w:space="0"/>
              <w:bottom w:val="single" w:color="auto" w:sz="8" w:space="0"/>
              <w:right w:val="single" w:color="auto" w:sz="8" w:space="0"/>
            </w:tcBorders>
            <w:vAlign w:val="center"/>
          </w:tcPr>
          <w:p w14:paraId="1661FDA2">
            <w:pPr>
              <w:widowControl/>
              <w:snapToGrid w:val="0"/>
              <w:spacing w:before="100" w:beforeAutospacing="1" w:after="100" w:afterAutospacing="1" w:line="320" w:lineRule="exact"/>
              <w:ind w:left="-3" w:firstLine="4" w:firstLineChars="2"/>
              <w:jc w:val="center"/>
              <w:rPr>
                <w:color w:val="auto"/>
                <w:kern w:val="0"/>
                <w:szCs w:val="21"/>
              </w:rPr>
            </w:pPr>
            <w:r>
              <w:rPr>
                <w:rFonts w:hint="eastAsia"/>
                <w:color w:val="auto"/>
                <w:kern w:val="0"/>
                <w:szCs w:val="21"/>
              </w:rPr>
              <w:t>1</w:t>
            </w:r>
          </w:p>
        </w:tc>
        <w:tc>
          <w:tcPr>
            <w:tcW w:w="1843" w:type="dxa"/>
            <w:gridSpan w:val="2"/>
            <w:tcBorders>
              <w:top w:val="single" w:color="auto" w:sz="8" w:space="0"/>
              <w:left w:val="single" w:color="auto" w:sz="8" w:space="0"/>
              <w:bottom w:val="single" w:color="auto" w:sz="8" w:space="0"/>
              <w:right w:val="single" w:color="auto" w:sz="8" w:space="0"/>
            </w:tcBorders>
            <w:vAlign w:val="center"/>
          </w:tcPr>
          <w:p w14:paraId="484BE414">
            <w:pPr>
              <w:widowControl/>
              <w:snapToGrid w:val="0"/>
              <w:spacing w:before="100" w:beforeAutospacing="1" w:after="100" w:afterAutospacing="1" w:line="320" w:lineRule="exact"/>
              <w:ind w:left="-3" w:firstLine="420" w:firstLineChars="200"/>
              <w:jc w:val="left"/>
              <w:rPr>
                <w:color w:val="auto"/>
                <w:kern w:val="0"/>
                <w:szCs w:val="21"/>
              </w:rPr>
            </w:pPr>
            <w:r>
              <w:rPr>
                <w:rFonts w:hint="eastAsia"/>
                <w:color w:val="auto"/>
                <w:kern w:val="0"/>
                <w:szCs w:val="21"/>
              </w:rPr>
              <w:t>XXXX设备</w:t>
            </w:r>
          </w:p>
        </w:tc>
        <w:tc>
          <w:tcPr>
            <w:tcW w:w="3871" w:type="dxa"/>
            <w:gridSpan w:val="2"/>
            <w:tcBorders>
              <w:top w:val="single" w:color="auto" w:sz="8" w:space="0"/>
              <w:left w:val="single" w:color="auto" w:sz="8" w:space="0"/>
              <w:bottom w:val="single" w:color="auto" w:sz="8" w:space="0"/>
              <w:right w:val="single" w:color="auto" w:sz="8" w:space="0"/>
            </w:tcBorders>
            <w:vAlign w:val="center"/>
          </w:tcPr>
          <w:p w14:paraId="22799DE5">
            <w:pPr>
              <w:pStyle w:val="202"/>
              <w:ind w:firstLine="0" w:firstLineChars="0"/>
              <w:rPr>
                <w:rFonts w:hint="eastAsia"/>
                <w:color w:val="auto"/>
                <w:kern w:val="0"/>
                <w:szCs w:val="21"/>
              </w:rPr>
            </w:pPr>
          </w:p>
        </w:tc>
        <w:tc>
          <w:tcPr>
            <w:tcW w:w="850" w:type="dxa"/>
            <w:tcBorders>
              <w:top w:val="single" w:color="auto" w:sz="8" w:space="0"/>
              <w:left w:val="single" w:color="auto" w:sz="8" w:space="0"/>
              <w:bottom w:val="single" w:color="auto" w:sz="8" w:space="0"/>
              <w:right w:val="single" w:color="auto" w:sz="8" w:space="0"/>
            </w:tcBorders>
            <w:vAlign w:val="center"/>
          </w:tcPr>
          <w:p w14:paraId="2EAB30BC">
            <w:pPr>
              <w:widowControl/>
              <w:snapToGrid w:val="0"/>
              <w:spacing w:before="100" w:beforeAutospacing="1" w:after="100" w:afterAutospacing="1" w:line="320" w:lineRule="exact"/>
              <w:jc w:val="center"/>
              <w:rPr>
                <w:color w:val="auto"/>
                <w:kern w:val="0"/>
                <w:szCs w:val="21"/>
              </w:rPr>
            </w:pPr>
            <w:r>
              <w:rPr>
                <w:color w:val="auto"/>
                <w:kern w:val="0"/>
                <w:szCs w:val="21"/>
              </w:rPr>
              <w:t>1</w:t>
            </w:r>
            <w:r>
              <w:rPr>
                <w:rFonts w:hint="eastAsia"/>
                <w:color w:val="auto"/>
                <w:kern w:val="0"/>
                <w:szCs w:val="21"/>
              </w:rPr>
              <w:t>套</w:t>
            </w:r>
          </w:p>
        </w:tc>
        <w:tc>
          <w:tcPr>
            <w:tcW w:w="2402" w:type="dxa"/>
            <w:gridSpan w:val="2"/>
            <w:tcBorders>
              <w:top w:val="single" w:color="auto" w:sz="8" w:space="0"/>
              <w:left w:val="single" w:color="auto" w:sz="8" w:space="0"/>
              <w:bottom w:val="single" w:color="auto" w:sz="8" w:space="0"/>
              <w:right w:val="single" w:color="auto" w:sz="8" w:space="0"/>
            </w:tcBorders>
            <w:vAlign w:val="center"/>
          </w:tcPr>
          <w:p w14:paraId="78796E44">
            <w:pPr>
              <w:pStyle w:val="202"/>
              <w:ind w:firstLine="0" w:firstLineChars="0"/>
              <w:jc w:val="center"/>
              <w:rPr>
                <w:rFonts w:hint="eastAsia"/>
                <w:color w:val="auto"/>
                <w:kern w:val="0"/>
                <w:szCs w:val="21"/>
              </w:rPr>
            </w:pPr>
            <w:r>
              <w:rPr>
                <w:color w:val="auto"/>
                <w:kern w:val="0"/>
                <w:szCs w:val="21"/>
              </w:rPr>
              <w:t>¥0.00元</w:t>
            </w:r>
          </w:p>
        </w:tc>
      </w:tr>
      <w:tr w14:paraId="18B4E6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375" w:type="dxa"/>
            <w:gridSpan w:val="5"/>
            <w:tcBorders>
              <w:top w:val="single" w:color="auto" w:sz="8" w:space="0"/>
              <w:left w:val="single" w:color="auto" w:sz="8" w:space="0"/>
              <w:bottom w:val="single" w:color="auto" w:sz="8" w:space="0"/>
              <w:right w:val="single" w:color="auto" w:sz="8" w:space="0"/>
            </w:tcBorders>
            <w:vAlign w:val="center"/>
          </w:tcPr>
          <w:p w14:paraId="31A5B6E9">
            <w:pPr>
              <w:pStyle w:val="202"/>
              <w:ind w:firstLine="0" w:firstLineChars="0"/>
              <w:jc w:val="center"/>
              <w:rPr>
                <w:rFonts w:hint="eastAsia"/>
                <w:color w:val="auto"/>
                <w:kern w:val="0"/>
                <w:szCs w:val="21"/>
              </w:rPr>
            </w:pPr>
            <w:r>
              <w:rPr>
                <w:rFonts w:hint="eastAsia"/>
                <w:color w:val="auto"/>
                <w:kern w:val="0"/>
                <w:szCs w:val="21"/>
              </w:rPr>
              <w:t>合 计</w:t>
            </w:r>
          </w:p>
        </w:tc>
        <w:tc>
          <w:tcPr>
            <w:tcW w:w="850" w:type="dxa"/>
            <w:tcBorders>
              <w:top w:val="single" w:color="auto" w:sz="8" w:space="0"/>
              <w:left w:val="single" w:color="auto" w:sz="8" w:space="0"/>
              <w:bottom w:val="single" w:color="auto" w:sz="8" w:space="0"/>
              <w:right w:val="single" w:color="auto" w:sz="8" w:space="0"/>
            </w:tcBorders>
            <w:vAlign w:val="center"/>
          </w:tcPr>
          <w:p w14:paraId="3D66DCDD">
            <w:pPr>
              <w:widowControl/>
              <w:snapToGrid w:val="0"/>
              <w:spacing w:before="100" w:beforeAutospacing="1" w:after="100" w:afterAutospacing="1" w:line="320" w:lineRule="exact"/>
              <w:jc w:val="center"/>
              <w:rPr>
                <w:color w:val="auto"/>
                <w:kern w:val="0"/>
                <w:szCs w:val="21"/>
              </w:rPr>
            </w:pPr>
          </w:p>
        </w:tc>
        <w:tc>
          <w:tcPr>
            <w:tcW w:w="2402" w:type="dxa"/>
            <w:gridSpan w:val="2"/>
            <w:tcBorders>
              <w:top w:val="single" w:color="auto" w:sz="8" w:space="0"/>
              <w:left w:val="single" w:color="auto" w:sz="8" w:space="0"/>
              <w:bottom w:val="single" w:color="auto" w:sz="8" w:space="0"/>
              <w:right w:val="single" w:color="auto" w:sz="8" w:space="0"/>
            </w:tcBorders>
            <w:vAlign w:val="center"/>
          </w:tcPr>
          <w:p w14:paraId="2E33EA6B">
            <w:pPr>
              <w:pStyle w:val="202"/>
              <w:ind w:firstLine="0" w:firstLineChars="0"/>
              <w:jc w:val="center"/>
              <w:rPr>
                <w:rFonts w:hint="eastAsia"/>
                <w:color w:val="auto"/>
                <w:kern w:val="0"/>
                <w:szCs w:val="21"/>
              </w:rPr>
            </w:pPr>
            <w:r>
              <w:rPr>
                <w:color w:val="auto"/>
                <w:kern w:val="0"/>
                <w:szCs w:val="21"/>
              </w:rPr>
              <w:t>¥0.00元</w:t>
            </w:r>
          </w:p>
        </w:tc>
      </w:tr>
      <w:tr w14:paraId="62D401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55" w:hRule="atLeast"/>
          <w:jc w:val="center"/>
        </w:trPr>
        <w:tc>
          <w:tcPr>
            <w:tcW w:w="9627" w:type="dxa"/>
            <w:gridSpan w:val="8"/>
            <w:tcBorders>
              <w:top w:val="single" w:color="auto" w:sz="8" w:space="0"/>
              <w:left w:val="single" w:color="auto" w:sz="8" w:space="0"/>
              <w:bottom w:val="single" w:color="auto" w:sz="8" w:space="0"/>
              <w:right w:val="single" w:color="auto" w:sz="8" w:space="0"/>
            </w:tcBorders>
            <w:vAlign w:val="center"/>
          </w:tcPr>
          <w:p w14:paraId="6EF908D0">
            <w:pPr>
              <w:widowControl/>
              <w:snapToGrid w:val="0"/>
              <w:spacing w:before="100" w:beforeAutospacing="1" w:after="100" w:afterAutospacing="1" w:line="320" w:lineRule="exact"/>
              <w:ind w:firstLine="2" w:firstLineChars="1"/>
              <w:jc w:val="left"/>
              <w:rPr>
                <w:color w:val="auto"/>
                <w:kern w:val="0"/>
                <w:szCs w:val="21"/>
              </w:rPr>
            </w:pPr>
            <w:r>
              <w:rPr>
                <w:color w:val="auto"/>
                <w:kern w:val="0"/>
                <w:szCs w:val="21"/>
              </w:rPr>
              <w:t>合计大写金额：</w:t>
            </w:r>
            <w:r>
              <w:rPr>
                <w:rFonts w:hint="eastAsia"/>
                <w:color w:val="auto"/>
                <w:kern w:val="0"/>
                <w:szCs w:val="21"/>
              </w:rPr>
              <w:t>人民币元整</w:t>
            </w:r>
          </w:p>
        </w:tc>
      </w:tr>
      <w:tr w14:paraId="4F5077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9" w:hRule="atLeast"/>
          <w:jc w:val="center"/>
        </w:trPr>
        <w:tc>
          <w:tcPr>
            <w:tcW w:w="1527" w:type="dxa"/>
            <w:gridSpan w:val="2"/>
            <w:tcBorders>
              <w:top w:val="single" w:color="auto" w:sz="8" w:space="0"/>
              <w:left w:val="single" w:color="auto" w:sz="8" w:space="0"/>
              <w:bottom w:val="single" w:color="auto" w:sz="8" w:space="0"/>
              <w:right w:val="single" w:color="auto" w:sz="8" w:space="0"/>
            </w:tcBorders>
            <w:vAlign w:val="center"/>
          </w:tcPr>
          <w:p w14:paraId="7A4117D1">
            <w:pPr>
              <w:widowControl/>
              <w:snapToGrid w:val="0"/>
              <w:spacing w:before="100" w:beforeAutospacing="1" w:after="100" w:afterAutospacing="1" w:line="320" w:lineRule="exact"/>
              <w:ind w:firstLine="2" w:firstLineChars="1"/>
              <w:jc w:val="left"/>
              <w:rPr>
                <w:rFonts w:hint="eastAsia" w:ascii="宋体" w:hAnsi="宋体" w:cs="宋体"/>
                <w:color w:val="auto"/>
                <w:kern w:val="0"/>
                <w:szCs w:val="21"/>
              </w:rPr>
            </w:pPr>
            <w:r>
              <w:rPr>
                <w:rFonts w:hint="eastAsia" w:ascii="宋体" w:hAnsi="宋体" w:cs="宋体"/>
                <w:color w:val="auto"/>
                <w:kern w:val="0"/>
                <w:szCs w:val="21"/>
              </w:rPr>
              <w:t>实际供货日期</w:t>
            </w:r>
          </w:p>
        </w:tc>
        <w:tc>
          <w:tcPr>
            <w:tcW w:w="3240" w:type="dxa"/>
            <w:gridSpan w:val="2"/>
            <w:tcBorders>
              <w:top w:val="single" w:color="auto" w:sz="8" w:space="0"/>
              <w:left w:val="single" w:color="auto" w:sz="8" w:space="0"/>
              <w:bottom w:val="single" w:color="auto" w:sz="8" w:space="0"/>
              <w:right w:val="single" w:color="auto" w:sz="8" w:space="0"/>
            </w:tcBorders>
            <w:vAlign w:val="center"/>
          </w:tcPr>
          <w:p w14:paraId="2E3B9AC6">
            <w:pPr>
              <w:snapToGrid w:val="0"/>
              <w:spacing w:before="100" w:beforeAutospacing="1" w:after="100" w:afterAutospacing="1" w:line="32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20  年  月  日</w:t>
            </w:r>
          </w:p>
        </w:tc>
        <w:tc>
          <w:tcPr>
            <w:tcW w:w="2700" w:type="dxa"/>
            <w:gridSpan w:val="3"/>
            <w:tcBorders>
              <w:top w:val="single" w:color="auto" w:sz="8" w:space="0"/>
              <w:left w:val="single" w:color="auto" w:sz="8" w:space="0"/>
              <w:bottom w:val="single" w:color="auto" w:sz="8" w:space="0"/>
              <w:right w:val="single" w:color="auto" w:sz="8" w:space="0"/>
            </w:tcBorders>
            <w:vAlign w:val="center"/>
          </w:tcPr>
          <w:p w14:paraId="3FAD5C7F">
            <w:pPr>
              <w:snapToGrid w:val="0"/>
              <w:spacing w:before="100" w:beforeAutospacing="1" w:after="100" w:afterAutospacing="1" w:line="320" w:lineRule="exact"/>
              <w:ind w:firstLine="39" w:firstLineChars="19"/>
              <w:jc w:val="center"/>
              <w:rPr>
                <w:rFonts w:hint="eastAsia" w:ascii="宋体" w:hAnsi="宋体" w:cs="宋体"/>
                <w:color w:val="auto"/>
                <w:kern w:val="0"/>
                <w:szCs w:val="21"/>
              </w:rPr>
            </w:pPr>
            <w:r>
              <w:rPr>
                <w:rFonts w:hint="eastAsia" w:ascii="宋体" w:hAnsi="宋体" w:cs="宋体"/>
                <w:color w:val="auto"/>
                <w:kern w:val="0"/>
                <w:szCs w:val="21"/>
              </w:rPr>
              <w:t>合同交货验收日期</w:t>
            </w:r>
          </w:p>
        </w:tc>
        <w:tc>
          <w:tcPr>
            <w:tcW w:w="2160" w:type="dxa"/>
            <w:tcBorders>
              <w:top w:val="single" w:color="auto" w:sz="8" w:space="0"/>
              <w:left w:val="single" w:color="auto" w:sz="8" w:space="0"/>
              <w:bottom w:val="single" w:color="auto" w:sz="8" w:space="0"/>
              <w:right w:val="single" w:color="auto" w:sz="8" w:space="0"/>
            </w:tcBorders>
            <w:vAlign w:val="center"/>
          </w:tcPr>
          <w:p w14:paraId="78C2414F">
            <w:pPr>
              <w:snapToGrid w:val="0"/>
              <w:spacing w:before="100" w:beforeAutospacing="1" w:after="100" w:afterAutospacing="1" w:line="32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20  年  月  日</w:t>
            </w:r>
          </w:p>
        </w:tc>
      </w:tr>
      <w:tr w14:paraId="79FDD3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3" w:hRule="atLeast"/>
          <w:jc w:val="center"/>
        </w:trPr>
        <w:tc>
          <w:tcPr>
            <w:tcW w:w="1527"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CFF70B7">
            <w:pPr>
              <w:widowControl/>
              <w:snapToGrid w:val="0"/>
              <w:spacing w:before="100" w:beforeAutospacing="1" w:after="100" w:afterAutospacing="1" w:line="320" w:lineRule="exact"/>
              <w:jc w:val="left"/>
              <w:rPr>
                <w:rFonts w:hint="eastAsia" w:ascii="宋体" w:hAnsi="宋体" w:cs="宋体"/>
                <w:color w:val="auto"/>
                <w:kern w:val="0"/>
                <w:szCs w:val="21"/>
              </w:rPr>
            </w:pPr>
            <w:r>
              <w:rPr>
                <w:rFonts w:hint="eastAsia" w:ascii="宋体" w:hAnsi="宋体" w:cs="宋体"/>
                <w:color w:val="auto"/>
                <w:kern w:val="0"/>
                <w:szCs w:val="21"/>
              </w:rPr>
              <w:t>验收具体内容</w:t>
            </w:r>
          </w:p>
        </w:tc>
        <w:tc>
          <w:tcPr>
            <w:tcW w:w="8100" w:type="dxa"/>
            <w:gridSpan w:val="6"/>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E93FF16">
            <w:pPr>
              <w:pStyle w:val="202"/>
              <w:ind w:firstLine="0" w:firstLineChars="0"/>
              <w:jc w:val="left"/>
              <w:rPr>
                <w:rFonts w:hint="eastAsia" w:ascii="宋体" w:hAnsi="宋体" w:eastAsia="宋体" w:cs="宋体"/>
                <w:color w:val="auto"/>
                <w:kern w:val="0"/>
                <w:szCs w:val="21"/>
              </w:rPr>
            </w:pPr>
            <w:r>
              <w:rPr>
                <w:rFonts w:hint="eastAsia" w:ascii="宋体" w:hAnsi="宋体" w:eastAsia="宋体" w:cs="宋体"/>
                <w:color w:val="auto"/>
                <w:kern w:val="0"/>
                <w:szCs w:val="21"/>
              </w:rPr>
              <w:t>1.中标人所供货的1套设备的技术性能能满足采购合同约定的技术标准。</w:t>
            </w:r>
          </w:p>
          <w:p w14:paraId="1EADCA55">
            <w:pPr>
              <w:pStyle w:val="202"/>
              <w:ind w:firstLine="0" w:firstLineChars="0"/>
              <w:jc w:val="left"/>
              <w:rPr>
                <w:rFonts w:hint="eastAsia" w:ascii="宋体" w:hAnsi="宋体" w:eastAsia="宋体" w:cs="宋体"/>
                <w:color w:val="auto"/>
                <w:kern w:val="0"/>
                <w:szCs w:val="21"/>
              </w:rPr>
            </w:pPr>
            <w:r>
              <w:rPr>
                <w:rFonts w:hint="eastAsia" w:ascii="宋体" w:hAnsi="宋体" w:eastAsia="宋体" w:cs="宋体"/>
                <w:color w:val="auto"/>
                <w:kern w:val="0"/>
                <w:szCs w:val="21"/>
              </w:rPr>
              <w:t>2.中标人对设备的安装调试符合合同约定或服务规范的要求。</w:t>
            </w:r>
          </w:p>
          <w:p w14:paraId="0C37E278">
            <w:pPr>
              <w:pStyle w:val="202"/>
              <w:ind w:firstLine="0" w:firstLineChars="0"/>
              <w:rPr>
                <w:rFonts w:hint="eastAsia" w:ascii="宋体" w:hAnsi="宋体" w:eastAsia="宋体" w:cs="宋体"/>
                <w:color w:val="auto"/>
                <w:kern w:val="0"/>
                <w:szCs w:val="21"/>
              </w:rPr>
            </w:pPr>
            <w:r>
              <w:rPr>
                <w:rFonts w:hint="eastAsia" w:ascii="宋体" w:hAnsi="宋体" w:eastAsia="宋体" w:cs="宋体"/>
                <w:color w:val="auto"/>
                <w:kern w:val="0"/>
                <w:szCs w:val="21"/>
              </w:rPr>
              <w:t>3.中标人提供的质量保证证明材料齐全。</w:t>
            </w:r>
          </w:p>
          <w:p w14:paraId="56F7C2ED">
            <w:pPr>
              <w:pStyle w:val="202"/>
              <w:ind w:firstLine="0" w:firstLineChars="0"/>
              <w:rPr>
                <w:rFonts w:hint="eastAsia" w:ascii="宋体" w:hAnsi="宋体" w:eastAsia="宋体" w:cs="宋体"/>
                <w:color w:val="auto"/>
                <w:kern w:val="0"/>
                <w:szCs w:val="21"/>
              </w:rPr>
            </w:pPr>
            <w:r>
              <w:rPr>
                <w:rFonts w:hint="eastAsia" w:ascii="宋体" w:hAnsi="宋体" w:eastAsia="宋体" w:cs="宋体"/>
                <w:color w:val="auto"/>
                <w:kern w:val="0"/>
                <w:szCs w:val="21"/>
              </w:rPr>
              <w:t>验收过程材料详见验收书附件《验收书附表——商务（服务）验收》以及《验收书附表——技术验收、安全验收》。</w:t>
            </w:r>
          </w:p>
        </w:tc>
      </w:tr>
      <w:tr w14:paraId="0E4398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6" w:hRule="atLeast"/>
          <w:jc w:val="center"/>
        </w:trPr>
        <w:tc>
          <w:tcPr>
            <w:tcW w:w="1527" w:type="dxa"/>
            <w:gridSpan w:val="2"/>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9B3CAFA">
            <w:pPr>
              <w:widowControl/>
              <w:spacing w:before="100" w:beforeAutospacing="1" w:after="100" w:afterAutospacing="1" w:line="320" w:lineRule="exact"/>
              <w:jc w:val="left"/>
              <w:rPr>
                <w:rFonts w:hint="eastAsia" w:ascii="宋体" w:hAnsi="宋体" w:cs="宋体"/>
                <w:color w:val="auto"/>
                <w:kern w:val="0"/>
                <w:szCs w:val="21"/>
              </w:rPr>
            </w:pPr>
            <w:r>
              <w:rPr>
                <w:rFonts w:hint="eastAsia" w:ascii="宋体" w:hAnsi="宋体" w:cs="宋体"/>
                <w:color w:val="auto"/>
                <w:kern w:val="0"/>
                <w:szCs w:val="21"/>
              </w:rPr>
              <w:t>验收小组意见</w:t>
            </w:r>
          </w:p>
        </w:tc>
        <w:tc>
          <w:tcPr>
            <w:tcW w:w="8100" w:type="dxa"/>
            <w:gridSpan w:val="6"/>
            <w:tcBorders>
              <w:top w:val="single" w:color="auto" w:sz="8" w:space="0"/>
              <w:left w:val="single" w:color="auto" w:sz="8" w:space="0"/>
              <w:bottom w:val="single" w:color="auto" w:sz="4" w:space="0"/>
              <w:right w:val="single" w:color="auto" w:sz="8" w:space="0"/>
            </w:tcBorders>
            <w:vAlign w:val="center"/>
          </w:tcPr>
          <w:p w14:paraId="217E8867">
            <w:pPr>
              <w:widowControl/>
              <w:spacing w:before="100" w:beforeAutospacing="1" w:after="100" w:afterAutospacing="1" w:line="320" w:lineRule="exact"/>
              <w:jc w:val="left"/>
              <w:rPr>
                <w:rFonts w:hint="eastAsia" w:ascii="宋体" w:hAnsi="宋体" w:cs="宋体"/>
                <w:color w:val="auto"/>
                <w:kern w:val="0"/>
                <w:szCs w:val="21"/>
              </w:rPr>
            </w:pPr>
            <w:r>
              <w:rPr>
                <w:rFonts w:hint="eastAsia" w:ascii="宋体" w:hAnsi="宋体" w:cs="宋体"/>
                <w:color w:val="auto"/>
                <w:kern w:val="0"/>
                <w:szCs w:val="21"/>
              </w:rPr>
              <w:t>验收结论性意见：同意（不同意）通过项目验收</w:t>
            </w:r>
          </w:p>
        </w:tc>
      </w:tr>
      <w:tr w14:paraId="416E10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37" w:hRule="atLeast"/>
          <w:jc w:val="center"/>
        </w:trPr>
        <w:tc>
          <w:tcPr>
            <w:tcW w:w="1527" w:type="dxa"/>
            <w:gridSpan w:val="2"/>
            <w:vMerge w:val="continue"/>
            <w:tcBorders>
              <w:top w:val="single" w:color="auto" w:sz="8" w:space="0"/>
              <w:left w:val="single" w:color="auto" w:sz="8" w:space="0"/>
              <w:bottom w:val="single" w:color="auto" w:sz="8" w:space="0"/>
              <w:right w:val="single" w:color="auto" w:sz="8" w:space="0"/>
            </w:tcBorders>
            <w:vAlign w:val="center"/>
          </w:tcPr>
          <w:p w14:paraId="522B4E3B">
            <w:pPr>
              <w:widowControl/>
              <w:spacing w:line="320" w:lineRule="exact"/>
              <w:jc w:val="left"/>
              <w:rPr>
                <w:rFonts w:hint="eastAsia" w:ascii="宋体" w:hAnsi="宋体" w:cs="宋体"/>
                <w:color w:val="auto"/>
                <w:kern w:val="0"/>
                <w:szCs w:val="21"/>
              </w:rPr>
            </w:pPr>
          </w:p>
        </w:tc>
        <w:tc>
          <w:tcPr>
            <w:tcW w:w="8100" w:type="dxa"/>
            <w:gridSpan w:val="6"/>
            <w:tcBorders>
              <w:top w:val="single" w:color="auto" w:sz="4" w:space="0"/>
              <w:left w:val="single" w:color="auto" w:sz="8" w:space="0"/>
              <w:bottom w:val="single" w:color="auto" w:sz="8" w:space="0"/>
              <w:right w:val="single" w:color="auto" w:sz="8" w:space="0"/>
            </w:tcBorders>
            <w:vAlign w:val="center"/>
          </w:tcPr>
          <w:p w14:paraId="62650E8A">
            <w:pPr>
              <w:pStyle w:val="202"/>
              <w:ind w:firstLine="0" w:firstLineChars="0"/>
              <w:rPr>
                <w:rFonts w:hint="eastAsia" w:ascii="宋体" w:hAnsi="宋体" w:eastAsia="宋体" w:cs="宋体"/>
                <w:color w:val="auto"/>
                <w:kern w:val="0"/>
                <w:szCs w:val="21"/>
              </w:rPr>
            </w:pPr>
            <w:r>
              <w:rPr>
                <w:rFonts w:hint="eastAsia" w:ascii="宋体" w:hAnsi="宋体" w:eastAsia="宋体" w:cs="宋体"/>
                <w:color w:val="auto"/>
                <w:kern w:val="0"/>
                <w:szCs w:val="21"/>
              </w:rPr>
              <w:t>有异议的意见和说明理由：</w:t>
            </w:r>
          </w:p>
          <w:p w14:paraId="59EBAD8E">
            <w:pPr>
              <w:pStyle w:val="202"/>
              <w:ind w:firstLine="5880" w:firstLineChars="2800"/>
              <w:rPr>
                <w:rFonts w:hint="eastAsia" w:ascii="宋体" w:hAnsi="宋体" w:eastAsia="宋体" w:cs="宋体"/>
                <w:color w:val="auto"/>
                <w:kern w:val="0"/>
                <w:szCs w:val="21"/>
              </w:rPr>
            </w:pPr>
            <w:r>
              <w:rPr>
                <w:rFonts w:hint="eastAsia" w:ascii="宋体" w:hAnsi="宋体" w:eastAsia="宋体" w:cs="宋体"/>
                <w:color w:val="auto"/>
                <w:kern w:val="0"/>
                <w:szCs w:val="21"/>
              </w:rPr>
              <w:t>签字：</w:t>
            </w:r>
          </w:p>
        </w:tc>
      </w:tr>
      <w:tr w14:paraId="4C8E72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331" w:hRule="atLeast"/>
          <w:jc w:val="center"/>
        </w:trPr>
        <w:tc>
          <w:tcPr>
            <w:tcW w:w="9627" w:type="dxa"/>
            <w:gridSpan w:val="8"/>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67173A3">
            <w:pPr>
              <w:widowControl/>
              <w:spacing w:before="100" w:beforeAutospacing="1" w:after="100" w:afterAutospacing="1" w:line="320" w:lineRule="exact"/>
              <w:jc w:val="left"/>
              <w:rPr>
                <w:color w:val="auto"/>
                <w:kern w:val="0"/>
                <w:szCs w:val="21"/>
              </w:rPr>
            </w:pPr>
            <w:r>
              <w:rPr>
                <w:color w:val="auto"/>
                <w:kern w:val="0"/>
                <w:szCs w:val="21"/>
              </w:rPr>
              <w:t>验收小组成员签字：</w:t>
            </w:r>
          </w:p>
          <w:p w14:paraId="396E03A4">
            <w:pPr>
              <w:widowControl/>
              <w:spacing w:before="100" w:beforeAutospacing="1" w:after="100" w:afterAutospacing="1" w:line="320" w:lineRule="exact"/>
              <w:jc w:val="left"/>
              <w:rPr>
                <w:color w:val="auto"/>
                <w:kern w:val="0"/>
                <w:szCs w:val="21"/>
              </w:rPr>
            </w:pPr>
          </w:p>
        </w:tc>
      </w:tr>
      <w:tr w14:paraId="4A4079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10" w:hRule="atLeast"/>
          <w:jc w:val="center"/>
        </w:trPr>
        <w:tc>
          <w:tcPr>
            <w:tcW w:w="9627" w:type="dxa"/>
            <w:gridSpan w:val="8"/>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FD46D11">
            <w:pPr>
              <w:widowControl/>
              <w:spacing w:before="100" w:beforeAutospacing="1" w:after="100" w:afterAutospacing="1" w:line="320" w:lineRule="exact"/>
              <w:jc w:val="left"/>
              <w:rPr>
                <w:color w:val="auto"/>
                <w:kern w:val="0"/>
                <w:szCs w:val="21"/>
              </w:rPr>
            </w:pPr>
            <w:r>
              <w:rPr>
                <w:color w:val="auto"/>
                <w:kern w:val="0"/>
                <w:szCs w:val="21"/>
              </w:rPr>
              <w:t>监督人员或其他相关人员签字：</w:t>
            </w:r>
          </w:p>
          <w:p w14:paraId="6368E5B0">
            <w:pPr>
              <w:widowControl/>
              <w:spacing w:before="100" w:beforeAutospacing="1" w:after="100" w:afterAutospacing="1" w:line="320" w:lineRule="exact"/>
              <w:ind w:firstLine="65" w:firstLineChars="31"/>
              <w:jc w:val="left"/>
              <w:rPr>
                <w:color w:val="auto"/>
                <w:kern w:val="0"/>
                <w:szCs w:val="21"/>
              </w:rPr>
            </w:pPr>
            <w:r>
              <w:rPr>
                <w:color w:val="auto"/>
                <w:kern w:val="0"/>
                <w:szCs w:val="21"/>
              </w:rPr>
              <w:t>或受邀机构的意见（盖章）：</w:t>
            </w:r>
          </w:p>
        </w:tc>
      </w:tr>
      <w:tr w14:paraId="71AC00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4767" w:type="dxa"/>
            <w:gridSpan w:val="4"/>
            <w:tcBorders>
              <w:top w:val="single" w:color="auto" w:sz="8" w:space="0"/>
              <w:left w:val="single" w:color="auto" w:sz="8" w:space="0"/>
              <w:bottom w:val="single" w:color="auto" w:sz="8" w:space="0"/>
              <w:right w:val="nil"/>
            </w:tcBorders>
            <w:tcMar>
              <w:top w:w="0" w:type="dxa"/>
              <w:left w:w="108" w:type="dxa"/>
              <w:bottom w:w="0" w:type="dxa"/>
              <w:right w:w="108" w:type="dxa"/>
            </w:tcMar>
            <w:vAlign w:val="center"/>
          </w:tcPr>
          <w:p w14:paraId="268EEBF9">
            <w:pPr>
              <w:widowControl/>
              <w:spacing w:before="100" w:beforeAutospacing="1" w:after="100" w:afterAutospacing="1" w:line="320" w:lineRule="exact"/>
              <w:ind w:firstLine="65" w:firstLineChars="31"/>
              <w:jc w:val="left"/>
              <w:rPr>
                <w:color w:val="auto"/>
                <w:kern w:val="0"/>
                <w:szCs w:val="21"/>
              </w:rPr>
            </w:pPr>
            <w:r>
              <w:rPr>
                <w:color w:val="auto"/>
                <w:kern w:val="0"/>
                <w:szCs w:val="21"/>
              </w:rPr>
              <w:t>中标或者成交供应商负责人签字或盖章：</w:t>
            </w:r>
          </w:p>
          <w:p w14:paraId="53FF7224">
            <w:pPr>
              <w:widowControl/>
              <w:spacing w:before="100" w:beforeAutospacing="1" w:after="100" w:afterAutospacing="1" w:line="320" w:lineRule="exact"/>
              <w:jc w:val="left"/>
              <w:rPr>
                <w:color w:val="auto"/>
                <w:kern w:val="0"/>
                <w:szCs w:val="21"/>
              </w:rPr>
            </w:pPr>
            <w:r>
              <w:rPr>
                <w:color w:val="auto"/>
                <w:kern w:val="0"/>
                <w:szCs w:val="21"/>
              </w:rPr>
              <w:t>联系电话：     </w:t>
            </w:r>
            <w:r>
              <w:rPr>
                <w:rFonts w:hint="eastAsia"/>
                <w:color w:val="auto"/>
                <w:kern w:val="0"/>
                <w:szCs w:val="21"/>
              </w:rPr>
              <w:t xml:space="preserve">   </w:t>
            </w:r>
            <w:r>
              <w:rPr>
                <w:color w:val="auto"/>
                <w:kern w:val="0"/>
                <w:szCs w:val="21"/>
              </w:rPr>
              <w:t>  年</w:t>
            </w:r>
            <w:r>
              <w:rPr>
                <w:rFonts w:hint="eastAsia"/>
                <w:color w:val="auto"/>
                <w:kern w:val="0"/>
                <w:szCs w:val="21"/>
              </w:rPr>
              <w:t xml:space="preserve">  </w:t>
            </w:r>
            <w:r>
              <w:rPr>
                <w:color w:val="auto"/>
                <w:kern w:val="0"/>
                <w:szCs w:val="21"/>
              </w:rPr>
              <w:t> 月 </w:t>
            </w:r>
            <w:r>
              <w:rPr>
                <w:rFonts w:hint="eastAsia"/>
                <w:color w:val="auto"/>
                <w:kern w:val="0"/>
                <w:szCs w:val="21"/>
              </w:rPr>
              <w:t xml:space="preserve">  </w:t>
            </w:r>
            <w:r>
              <w:rPr>
                <w:color w:val="auto"/>
                <w:kern w:val="0"/>
                <w:szCs w:val="21"/>
              </w:rPr>
              <w:t>日</w:t>
            </w:r>
          </w:p>
          <w:p w14:paraId="09CAC23F">
            <w:pPr>
              <w:widowControl/>
              <w:spacing w:before="100" w:beforeAutospacing="1" w:after="100" w:afterAutospacing="1" w:line="320" w:lineRule="exact"/>
              <w:jc w:val="left"/>
              <w:rPr>
                <w:color w:val="auto"/>
                <w:kern w:val="0"/>
                <w:szCs w:val="21"/>
              </w:rPr>
            </w:pPr>
          </w:p>
          <w:p w14:paraId="428AA555">
            <w:pPr>
              <w:widowControl/>
              <w:spacing w:before="100" w:beforeAutospacing="1" w:after="100" w:afterAutospacing="1" w:line="320" w:lineRule="exact"/>
              <w:ind w:firstLine="65" w:firstLineChars="31"/>
              <w:jc w:val="left"/>
              <w:rPr>
                <w:color w:val="auto"/>
                <w:kern w:val="0"/>
                <w:szCs w:val="21"/>
              </w:rPr>
            </w:pPr>
            <w:r>
              <w:rPr>
                <w:rFonts w:hint="eastAsia"/>
                <w:color w:val="auto"/>
                <w:kern w:val="0"/>
                <w:szCs w:val="21"/>
              </w:rPr>
              <w:t>采购人</w:t>
            </w:r>
            <w:r>
              <w:rPr>
                <w:color w:val="auto"/>
                <w:kern w:val="0"/>
                <w:szCs w:val="21"/>
              </w:rPr>
              <w:t>签字或盖章：</w:t>
            </w:r>
          </w:p>
          <w:p w14:paraId="5BF57B6E">
            <w:pPr>
              <w:widowControl/>
              <w:spacing w:before="100" w:beforeAutospacing="1" w:after="100" w:afterAutospacing="1" w:line="320" w:lineRule="exact"/>
              <w:jc w:val="left"/>
              <w:rPr>
                <w:color w:val="auto"/>
                <w:kern w:val="0"/>
                <w:szCs w:val="21"/>
              </w:rPr>
            </w:pPr>
            <w:r>
              <w:rPr>
                <w:color w:val="auto"/>
                <w:kern w:val="0"/>
                <w:szCs w:val="21"/>
              </w:rPr>
              <w:t xml:space="preserve">联系电话：      </w:t>
            </w:r>
            <w:r>
              <w:rPr>
                <w:rFonts w:hint="eastAsia"/>
                <w:color w:val="auto"/>
                <w:kern w:val="0"/>
                <w:szCs w:val="21"/>
              </w:rPr>
              <w:t xml:space="preserve"> </w:t>
            </w:r>
            <w:r>
              <w:rPr>
                <w:color w:val="auto"/>
                <w:kern w:val="0"/>
                <w:szCs w:val="21"/>
              </w:rPr>
              <w:t>  年</w:t>
            </w:r>
            <w:r>
              <w:rPr>
                <w:rFonts w:hint="eastAsia"/>
                <w:color w:val="auto"/>
                <w:kern w:val="0"/>
                <w:szCs w:val="21"/>
              </w:rPr>
              <w:t xml:space="preserve">  </w:t>
            </w:r>
            <w:r>
              <w:rPr>
                <w:color w:val="auto"/>
                <w:kern w:val="0"/>
                <w:szCs w:val="21"/>
              </w:rPr>
              <w:t> 月 </w:t>
            </w:r>
            <w:r>
              <w:rPr>
                <w:rFonts w:hint="eastAsia"/>
                <w:color w:val="auto"/>
                <w:kern w:val="0"/>
                <w:szCs w:val="21"/>
              </w:rPr>
              <w:t xml:space="preserve">  </w:t>
            </w:r>
            <w:r>
              <w:rPr>
                <w:color w:val="auto"/>
                <w:kern w:val="0"/>
                <w:szCs w:val="21"/>
              </w:rPr>
              <w:t>日</w:t>
            </w:r>
          </w:p>
        </w:tc>
        <w:tc>
          <w:tcPr>
            <w:tcW w:w="4860" w:type="dxa"/>
            <w:gridSpan w:val="4"/>
            <w:tcBorders>
              <w:top w:val="single" w:color="auto" w:sz="8" w:space="0"/>
              <w:left w:val="nil"/>
              <w:bottom w:val="single" w:color="auto" w:sz="8" w:space="0"/>
              <w:right w:val="single" w:color="auto" w:sz="8" w:space="0"/>
            </w:tcBorders>
            <w:vAlign w:val="center"/>
          </w:tcPr>
          <w:p w14:paraId="738D04B9">
            <w:pPr>
              <w:widowControl/>
              <w:spacing w:before="100" w:beforeAutospacing="1" w:after="100" w:afterAutospacing="1" w:line="320" w:lineRule="exact"/>
              <w:jc w:val="left"/>
              <w:rPr>
                <w:color w:val="auto"/>
                <w:kern w:val="0"/>
                <w:szCs w:val="21"/>
              </w:rPr>
            </w:pPr>
            <w:r>
              <w:rPr>
                <w:color w:val="auto"/>
                <w:kern w:val="0"/>
                <w:szCs w:val="21"/>
              </w:rPr>
              <w:t> 受托机构的意见（盖章）：</w:t>
            </w:r>
          </w:p>
          <w:p w14:paraId="03FB1E47">
            <w:pPr>
              <w:widowControl/>
              <w:spacing w:before="100" w:beforeAutospacing="1" w:after="100" w:afterAutospacing="1" w:line="320" w:lineRule="exact"/>
              <w:jc w:val="left"/>
              <w:rPr>
                <w:color w:val="auto"/>
                <w:kern w:val="0"/>
                <w:szCs w:val="21"/>
              </w:rPr>
            </w:pPr>
            <w:r>
              <w:rPr>
                <w:color w:val="auto"/>
                <w:kern w:val="0"/>
                <w:szCs w:val="21"/>
              </w:rPr>
              <w:t xml:space="preserve">联系电话：                 </w:t>
            </w:r>
            <w:r>
              <w:rPr>
                <w:rFonts w:hint="eastAsia"/>
                <w:color w:val="auto"/>
                <w:kern w:val="0"/>
                <w:szCs w:val="21"/>
              </w:rPr>
              <w:t xml:space="preserve">    </w:t>
            </w:r>
            <w:r>
              <w:rPr>
                <w:color w:val="auto"/>
                <w:kern w:val="0"/>
                <w:szCs w:val="21"/>
              </w:rPr>
              <w:t>年   月   日</w:t>
            </w:r>
          </w:p>
          <w:p w14:paraId="53C54104">
            <w:pPr>
              <w:widowControl/>
              <w:spacing w:before="100" w:beforeAutospacing="1" w:after="100" w:afterAutospacing="1" w:line="320" w:lineRule="exact"/>
              <w:jc w:val="left"/>
              <w:rPr>
                <w:color w:val="auto"/>
                <w:kern w:val="0"/>
                <w:szCs w:val="21"/>
              </w:rPr>
            </w:pPr>
          </w:p>
          <w:p w14:paraId="515C0B45">
            <w:pPr>
              <w:widowControl/>
              <w:spacing w:before="100" w:beforeAutospacing="1" w:after="100" w:afterAutospacing="1" w:line="320" w:lineRule="exact"/>
              <w:jc w:val="left"/>
              <w:rPr>
                <w:color w:val="auto"/>
                <w:kern w:val="0"/>
                <w:szCs w:val="21"/>
              </w:rPr>
            </w:pPr>
          </w:p>
          <w:p w14:paraId="53294795">
            <w:pPr>
              <w:widowControl/>
              <w:spacing w:before="100" w:beforeAutospacing="1" w:after="100" w:afterAutospacing="1" w:line="320" w:lineRule="exact"/>
              <w:jc w:val="left"/>
              <w:rPr>
                <w:color w:val="auto"/>
                <w:kern w:val="0"/>
                <w:szCs w:val="21"/>
              </w:rPr>
            </w:pPr>
          </w:p>
        </w:tc>
      </w:tr>
    </w:tbl>
    <w:p w14:paraId="6E8C277A">
      <w:pPr>
        <w:widowControl/>
        <w:jc w:val="left"/>
        <w:rPr>
          <w:rFonts w:hint="eastAsia" w:ascii="仿宋" w:hAnsi="仿宋" w:eastAsia="仿宋"/>
          <w:color w:val="auto"/>
          <w:szCs w:val="21"/>
          <w:u w:val="single"/>
        </w:rPr>
      </w:pPr>
      <w:r>
        <w:rPr>
          <w:color w:val="auto"/>
          <w:spacing w:val="-10"/>
          <w:kern w:val="0"/>
          <w:szCs w:val="21"/>
        </w:rPr>
        <w:t>备注：本报告单一式4份（采购单位1份、供应商1份、采购监督部门备案1份、采购代理机构1份）</w:t>
      </w:r>
    </w:p>
    <w:p w14:paraId="11D36B49">
      <w:pPr>
        <w:widowControl/>
        <w:jc w:val="left"/>
        <w:rPr>
          <w:color w:val="auto"/>
          <w:sz w:val="32"/>
          <w:szCs w:val="32"/>
        </w:rPr>
      </w:pPr>
    </w:p>
    <w:bookmarkEnd w:id="119"/>
    <w:p w14:paraId="76C77BA6">
      <w:pPr>
        <w:widowControl/>
        <w:jc w:val="left"/>
        <w:rPr>
          <w:color w:val="auto"/>
          <w:sz w:val="32"/>
          <w:szCs w:val="32"/>
        </w:rPr>
      </w:pPr>
    </w:p>
    <w:p w14:paraId="5DDF8EFB">
      <w:pPr>
        <w:pStyle w:val="26"/>
        <w:snapToGrid w:val="0"/>
        <w:spacing w:before="120" w:after="120" w:line="320" w:lineRule="exact"/>
        <w:jc w:val="center"/>
        <w:outlineLvl w:val="0"/>
        <w:rPr>
          <w:rFonts w:ascii="Times New Roman" w:hAnsi="Times New Roman" w:cs="Times New Roman"/>
          <w:color w:val="auto"/>
          <w:sz w:val="32"/>
          <w:szCs w:val="32"/>
        </w:rPr>
      </w:pPr>
      <w:bookmarkStart w:id="136" w:name="_Toc142987210"/>
      <w:r>
        <w:rPr>
          <w:rFonts w:ascii="Times New Roman" w:hAnsi="Times New Roman" w:cs="Times New Roman"/>
          <w:color w:val="auto"/>
          <w:sz w:val="32"/>
          <w:szCs w:val="32"/>
        </w:rPr>
        <w:t>第六章  投标文件格式</w:t>
      </w:r>
      <w:bookmarkEnd w:id="136"/>
    </w:p>
    <w:p w14:paraId="647D20CD">
      <w:pPr>
        <w:rPr>
          <w:color w:val="auto"/>
          <w:sz w:val="28"/>
          <w:szCs w:val="28"/>
        </w:rPr>
      </w:pPr>
    </w:p>
    <w:p w14:paraId="2F604EB6">
      <w:pPr>
        <w:rPr>
          <w:color w:val="auto"/>
          <w:sz w:val="28"/>
          <w:szCs w:val="28"/>
        </w:rPr>
      </w:pPr>
    </w:p>
    <w:p w14:paraId="1CB867B9">
      <w:pPr>
        <w:spacing w:line="500" w:lineRule="exact"/>
        <w:ind w:firstLine="560" w:firstLineChars="200"/>
        <w:rPr>
          <w:color w:val="auto"/>
          <w:sz w:val="28"/>
          <w:szCs w:val="28"/>
        </w:rPr>
      </w:pPr>
      <w:bookmarkStart w:id="137" w:name="_Hlk19114175"/>
      <w:r>
        <w:rPr>
          <w:rFonts w:hint="eastAsia"/>
          <w:color w:val="auto"/>
          <w:sz w:val="28"/>
          <w:szCs w:val="28"/>
        </w:rPr>
        <w:t>注：有签字、盖章要求的应按要求</w:t>
      </w:r>
      <w:bookmarkStart w:id="138" w:name="_Hlk89032274"/>
      <w:r>
        <w:rPr>
          <w:rFonts w:hint="eastAsia"/>
          <w:color w:val="auto"/>
          <w:sz w:val="28"/>
          <w:szCs w:val="28"/>
        </w:rPr>
        <w:t>签字（签章）、盖章（签章）</w:t>
      </w:r>
      <w:bookmarkEnd w:id="138"/>
      <w:r>
        <w:rPr>
          <w:rFonts w:hint="eastAsia"/>
          <w:color w:val="auto"/>
          <w:sz w:val="28"/>
          <w:szCs w:val="28"/>
        </w:rPr>
        <w:t>。</w:t>
      </w:r>
    </w:p>
    <w:bookmarkEnd w:id="137"/>
    <w:p w14:paraId="696FE23F">
      <w:pPr>
        <w:spacing w:line="500" w:lineRule="exact"/>
        <w:ind w:firstLine="480" w:firstLineChars="200"/>
        <w:rPr>
          <w:rFonts w:hint="eastAsia" w:ascii="宋体" w:hAnsi="宋体"/>
          <w:color w:val="auto"/>
          <w:sz w:val="24"/>
        </w:rPr>
      </w:pPr>
    </w:p>
    <w:p w14:paraId="04477404">
      <w:pPr>
        <w:spacing w:line="500" w:lineRule="exact"/>
        <w:rPr>
          <w:bCs/>
          <w:color w:val="auto"/>
          <w:sz w:val="24"/>
        </w:rPr>
      </w:pPr>
      <w:r>
        <w:rPr>
          <w:rFonts w:ascii="宋体" w:hAnsi="宋体"/>
          <w:color w:val="auto"/>
          <w:sz w:val="24"/>
        </w:rPr>
        <w:br w:type="page"/>
      </w:r>
      <w:bookmarkEnd w:id="0"/>
      <w:bookmarkEnd w:id="1"/>
    </w:p>
    <w:p w14:paraId="443A6ADC">
      <w:pPr>
        <w:snapToGrid w:val="0"/>
        <w:spacing w:before="120" w:beforeLines="50" w:after="50" w:line="440" w:lineRule="exact"/>
        <w:jc w:val="left"/>
        <w:outlineLvl w:val="1"/>
        <w:rPr>
          <w:bCs/>
          <w:color w:val="auto"/>
          <w:sz w:val="24"/>
        </w:rPr>
      </w:pPr>
      <w:r>
        <w:rPr>
          <w:bCs/>
          <w:color w:val="auto"/>
          <w:sz w:val="24"/>
        </w:rPr>
        <w:t>1．投标文件封面参考格式</w:t>
      </w:r>
      <w:bookmarkStart w:id="139" w:name="_Hlk92966991"/>
      <w:r>
        <w:rPr>
          <w:rFonts w:hint="eastAsia"/>
          <w:bCs/>
          <w:color w:val="auto"/>
          <w:sz w:val="24"/>
        </w:rPr>
        <w:t>（资格证明文件）</w:t>
      </w:r>
      <w:bookmarkEnd w:id="139"/>
      <w:r>
        <w:rPr>
          <w:bCs/>
          <w:color w:val="auto"/>
          <w:sz w:val="24"/>
        </w:rPr>
        <w:t xml:space="preserve">： </w:t>
      </w:r>
    </w:p>
    <w:p w14:paraId="1022569D">
      <w:pPr>
        <w:snapToGrid w:val="0"/>
        <w:spacing w:before="120" w:beforeLines="50" w:after="50" w:line="360" w:lineRule="exact"/>
        <w:rPr>
          <w:color w:val="auto"/>
          <w:sz w:val="24"/>
        </w:rPr>
      </w:pPr>
    </w:p>
    <w:p w14:paraId="10616C9A">
      <w:pPr>
        <w:snapToGrid w:val="0"/>
        <w:spacing w:before="120" w:beforeLines="50" w:after="50" w:line="360" w:lineRule="exact"/>
        <w:jc w:val="center"/>
        <w:rPr>
          <w:bCs/>
          <w:color w:val="auto"/>
          <w:sz w:val="24"/>
        </w:rPr>
      </w:pPr>
    </w:p>
    <w:p w14:paraId="048FFFD4">
      <w:pPr>
        <w:snapToGrid w:val="0"/>
        <w:spacing w:before="120" w:beforeLines="50" w:after="50" w:line="360" w:lineRule="exact"/>
        <w:jc w:val="center"/>
        <w:rPr>
          <w:b/>
          <w:bCs/>
          <w:color w:val="auto"/>
          <w:sz w:val="44"/>
          <w:szCs w:val="44"/>
        </w:rPr>
      </w:pPr>
      <w:r>
        <w:rPr>
          <w:rFonts w:hint="eastAsia"/>
          <w:b/>
          <w:bCs/>
          <w:color w:val="auto"/>
          <w:sz w:val="44"/>
          <w:szCs w:val="44"/>
        </w:rPr>
        <w:t>电子</w:t>
      </w:r>
      <w:r>
        <w:rPr>
          <w:b/>
          <w:bCs/>
          <w:color w:val="auto"/>
          <w:sz w:val="44"/>
          <w:szCs w:val="44"/>
        </w:rPr>
        <w:t>投标文件</w:t>
      </w:r>
    </w:p>
    <w:p w14:paraId="23561E1E">
      <w:pPr>
        <w:snapToGrid w:val="0"/>
        <w:spacing w:before="120" w:beforeLines="50" w:after="50" w:line="360" w:lineRule="exact"/>
        <w:jc w:val="center"/>
        <w:rPr>
          <w:b/>
          <w:bCs/>
          <w:color w:val="auto"/>
          <w:sz w:val="44"/>
          <w:szCs w:val="44"/>
        </w:rPr>
      </w:pPr>
    </w:p>
    <w:p w14:paraId="39CE1DEB">
      <w:pPr>
        <w:snapToGrid w:val="0"/>
        <w:spacing w:before="120" w:beforeLines="50" w:after="50" w:line="360" w:lineRule="exact"/>
        <w:jc w:val="center"/>
        <w:rPr>
          <w:b/>
          <w:bCs/>
          <w:color w:val="auto"/>
          <w:sz w:val="44"/>
          <w:szCs w:val="44"/>
        </w:rPr>
      </w:pPr>
    </w:p>
    <w:p w14:paraId="335EA2FA">
      <w:pPr>
        <w:snapToGrid w:val="0"/>
        <w:spacing w:before="120" w:beforeLines="50" w:after="50" w:line="360" w:lineRule="exact"/>
        <w:jc w:val="center"/>
        <w:rPr>
          <w:b/>
          <w:bCs/>
          <w:color w:val="auto"/>
          <w:sz w:val="44"/>
          <w:szCs w:val="44"/>
        </w:rPr>
      </w:pPr>
      <w:bookmarkStart w:id="140" w:name="_Hlk92967018"/>
      <w:r>
        <w:rPr>
          <w:b/>
          <w:bCs/>
          <w:color w:val="auto"/>
          <w:sz w:val="44"/>
          <w:szCs w:val="44"/>
        </w:rPr>
        <w:t>资格</w:t>
      </w:r>
      <w:r>
        <w:rPr>
          <w:rFonts w:hint="eastAsia"/>
          <w:b/>
          <w:bCs/>
          <w:color w:val="auto"/>
          <w:sz w:val="44"/>
          <w:szCs w:val="44"/>
        </w:rPr>
        <w:t>证明文件</w:t>
      </w:r>
    </w:p>
    <w:bookmarkEnd w:id="140"/>
    <w:p w14:paraId="509F2C28">
      <w:pPr>
        <w:snapToGrid w:val="0"/>
        <w:spacing w:before="120" w:beforeLines="50" w:after="50" w:line="360" w:lineRule="exact"/>
        <w:rPr>
          <w:bCs/>
          <w:color w:val="auto"/>
          <w:sz w:val="24"/>
        </w:rPr>
      </w:pPr>
    </w:p>
    <w:p w14:paraId="056DE47C">
      <w:pPr>
        <w:snapToGrid w:val="0"/>
        <w:spacing w:before="120" w:beforeLines="50" w:after="50" w:line="360" w:lineRule="exact"/>
        <w:rPr>
          <w:bCs/>
          <w:color w:val="auto"/>
          <w:sz w:val="24"/>
        </w:rPr>
      </w:pPr>
    </w:p>
    <w:p w14:paraId="63E31660">
      <w:pPr>
        <w:snapToGrid w:val="0"/>
        <w:spacing w:before="120" w:beforeLines="50" w:after="50" w:line="360" w:lineRule="exact"/>
        <w:rPr>
          <w:bCs/>
          <w:color w:val="auto"/>
          <w:sz w:val="24"/>
        </w:rPr>
      </w:pPr>
    </w:p>
    <w:p w14:paraId="19DE5CF5">
      <w:pPr>
        <w:snapToGrid w:val="0"/>
        <w:spacing w:before="120" w:beforeLines="50" w:after="50" w:line="360" w:lineRule="exact"/>
        <w:ind w:firstLine="720" w:firstLineChars="300"/>
        <w:rPr>
          <w:bCs/>
          <w:color w:val="auto"/>
          <w:sz w:val="24"/>
        </w:rPr>
      </w:pPr>
      <w:r>
        <w:rPr>
          <w:bCs/>
          <w:color w:val="auto"/>
          <w:sz w:val="24"/>
        </w:rPr>
        <w:t xml:space="preserve">项目名称： </w:t>
      </w:r>
    </w:p>
    <w:p w14:paraId="02A0F50E">
      <w:pPr>
        <w:snapToGrid w:val="0"/>
        <w:spacing w:before="120" w:beforeLines="50" w:after="50" w:line="360" w:lineRule="exact"/>
        <w:ind w:firstLine="720" w:firstLineChars="300"/>
        <w:rPr>
          <w:bCs/>
          <w:color w:val="auto"/>
          <w:sz w:val="24"/>
        </w:rPr>
      </w:pPr>
      <w:r>
        <w:rPr>
          <w:bCs/>
          <w:color w:val="auto"/>
          <w:sz w:val="24"/>
        </w:rPr>
        <w:t>项目编号：</w:t>
      </w:r>
    </w:p>
    <w:p w14:paraId="73E5C996">
      <w:pPr>
        <w:snapToGrid w:val="0"/>
        <w:spacing w:before="120" w:beforeLines="50" w:after="50" w:line="360" w:lineRule="exact"/>
        <w:ind w:firstLine="720" w:firstLineChars="300"/>
        <w:rPr>
          <w:bCs/>
          <w:color w:val="auto"/>
          <w:sz w:val="24"/>
        </w:rPr>
      </w:pPr>
      <w:r>
        <w:rPr>
          <w:bCs/>
          <w:color w:val="auto"/>
          <w:sz w:val="24"/>
        </w:rPr>
        <w:t>分标号：（若无</w:t>
      </w:r>
      <w:r>
        <w:rPr>
          <w:rFonts w:hint="eastAsia"/>
          <w:bCs/>
          <w:color w:val="auto"/>
          <w:sz w:val="24"/>
        </w:rPr>
        <w:t>留空或写</w:t>
      </w:r>
      <w:r>
        <w:rPr>
          <w:bCs/>
          <w:color w:val="auto"/>
          <w:sz w:val="24"/>
        </w:rPr>
        <w:t>“/”）</w:t>
      </w:r>
    </w:p>
    <w:p w14:paraId="517385D7">
      <w:pPr>
        <w:snapToGrid w:val="0"/>
        <w:spacing w:before="120" w:beforeLines="50" w:after="50" w:line="360" w:lineRule="exact"/>
        <w:ind w:firstLine="720" w:firstLineChars="300"/>
        <w:rPr>
          <w:bCs/>
          <w:color w:val="auto"/>
          <w:sz w:val="24"/>
        </w:rPr>
      </w:pPr>
      <w:r>
        <w:rPr>
          <w:bCs/>
          <w:color w:val="auto"/>
          <w:sz w:val="24"/>
        </w:rPr>
        <w:t>供应商名称：</w:t>
      </w:r>
    </w:p>
    <w:p w14:paraId="57E26DBC">
      <w:pPr>
        <w:snapToGrid w:val="0"/>
        <w:spacing w:before="120" w:beforeLines="50" w:after="50" w:line="360" w:lineRule="exact"/>
        <w:ind w:firstLine="720" w:firstLineChars="300"/>
        <w:rPr>
          <w:bCs/>
          <w:color w:val="auto"/>
          <w:sz w:val="24"/>
        </w:rPr>
      </w:pPr>
      <w:r>
        <w:rPr>
          <w:bCs/>
          <w:color w:val="auto"/>
          <w:sz w:val="24"/>
        </w:rPr>
        <w:t>供应商地址：</w:t>
      </w:r>
    </w:p>
    <w:p w14:paraId="24989CF7">
      <w:pPr>
        <w:pStyle w:val="7"/>
        <w:snapToGrid w:val="0"/>
        <w:spacing w:before="50" w:after="50" w:line="360" w:lineRule="exact"/>
        <w:ind w:firstLine="960" w:firstLineChars="400"/>
        <w:rPr>
          <w:bCs/>
          <w:color w:val="auto"/>
          <w:sz w:val="24"/>
          <w:szCs w:val="24"/>
        </w:rPr>
      </w:pPr>
    </w:p>
    <w:p w14:paraId="0DCA7724">
      <w:pPr>
        <w:snapToGrid w:val="0"/>
        <w:spacing w:before="120" w:beforeLines="50" w:after="50" w:line="360" w:lineRule="exact"/>
        <w:jc w:val="center"/>
        <w:rPr>
          <w:color w:val="auto"/>
          <w:sz w:val="24"/>
        </w:rPr>
      </w:pPr>
      <w:r>
        <w:rPr>
          <w:color w:val="auto"/>
          <w:sz w:val="24"/>
        </w:rPr>
        <w:t xml:space="preserve">                        年  月  日</w:t>
      </w:r>
    </w:p>
    <w:p w14:paraId="2B495787">
      <w:pPr>
        <w:rPr>
          <w:color w:val="auto"/>
        </w:rPr>
      </w:pPr>
      <w:bookmarkStart w:id="141" w:name="_Toc254970557"/>
      <w:bookmarkStart w:id="142" w:name="_Toc254970698"/>
      <w:r>
        <w:rPr>
          <w:color w:val="auto"/>
        </w:rPr>
        <w:br w:type="page"/>
      </w:r>
      <w:bookmarkEnd w:id="141"/>
      <w:bookmarkEnd w:id="142"/>
      <w:r>
        <w:rPr>
          <w:b/>
          <w:bCs/>
          <w:color w:val="auto"/>
        </w:rPr>
        <w:t xml:space="preserve"> </w:t>
      </w:r>
    </w:p>
    <w:p w14:paraId="37AF9968">
      <w:pPr>
        <w:snapToGrid w:val="0"/>
        <w:spacing w:before="50" w:after="50" w:line="440" w:lineRule="exact"/>
        <w:ind w:firstLine="138" w:firstLineChars="49"/>
        <w:jc w:val="center"/>
        <w:rPr>
          <w:b/>
          <w:color w:val="auto"/>
          <w:sz w:val="28"/>
          <w:szCs w:val="28"/>
        </w:rPr>
      </w:pPr>
      <w:r>
        <w:rPr>
          <w:b/>
          <w:color w:val="auto"/>
          <w:sz w:val="28"/>
          <w:szCs w:val="28"/>
        </w:rPr>
        <w:t>目录</w:t>
      </w:r>
    </w:p>
    <w:p w14:paraId="669CE992">
      <w:pPr>
        <w:snapToGrid w:val="0"/>
        <w:spacing w:before="50" w:after="50" w:line="440" w:lineRule="exact"/>
        <w:ind w:firstLine="118" w:firstLineChars="49"/>
        <w:jc w:val="center"/>
        <w:rPr>
          <w:b/>
          <w:color w:val="auto"/>
          <w:sz w:val="24"/>
        </w:rPr>
      </w:pPr>
      <w:r>
        <w:rPr>
          <w:b/>
          <w:color w:val="auto"/>
          <w:sz w:val="24"/>
        </w:rPr>
        <w:t>（应有页码）</w:t>
      </w:r>
    </w:p>
    <w:p w14:paraId="2CB9681F">
      <w:pPr>
        <w:snapToGrid w:val="0"/>
        <w:spacing w:before="50" w:after="50" w:line="440" w:lineRule="exact"/>
        <w:ind w:firstLine="118" w:firstLineChars="49"/>
        <w:jc w:val="center"/>
        <w:rPr>
          <w:b/>
          <w:color w:val="auto"/>
          <w:sz w:val="24"/>
        </w:rPr>
      </w:pPr>
      <w:r>
        <w:rPr>
          <w:b/>
          <w:color w:val="auto"/>
          <w:sz w:val="24"/>
        </w:rPr>
        <w:br w:type="page"/>
      </w:r>
    </w:p>
    <w:p w14:paraId="5FDC3E2F">
      <w:pPr>
        <w:snapToGrid w:val="0"/>
        <w:spacing w:before="50" w:after="50" w:line="440" w:lineRule="exact"/>
        <w:jc w:val="left"/>
        <w:rPr>
          <w:b/>
          <w:color w:val="auto"/>
          <w:szCs w:val="21"/>
        </w:rPr>
      </w:pPr>
      <w:bookmarkStart w:id="143" w:name="_Hlk19114217"/>
      <w:r>
        <w:rPr>
          <w:b/>
          <w:color w:val="auto"/>
          <w:szCs w:val="21"/>
        </w:rPr>
        <w:t>1．投标声明书格式：</w:t>
      </w:r>
    </w:p>
    <w:p w14:paraId="1F4A7182">
      <w:pPr>
        <w:snapToGrid w:val="0"/>
        <w:spacing w:before="120" w:beforeLines="50" w:after="50" w:line="360" w:lineRule="exact"/>
        <w:jc w:val="center"/>
        <w:rPr>
          <w:b/>
          <w:color w:val="auto"/>
          <w:szCs w:val="21"/>
        </w:rPr>
      </w:pPr>
    </w:p>
    <w:p w14:paraId="05F1594E">
      <w:pPr>
        <w:snapToGrid w:val="0"/>
        <w:spacing w:before="120" w:beforeLines="50" w:after="50" w:line="360" w:lineRule="exact"/>
        <w:jc w:val="center"/>
        <w:rPr>
          <w:b/>
          <w:color w:val="auto"/>
          <w:szCs w:val="21"/>
        </w:rPr>
      </w:pPr>
      <w:r>
        <w:rPr>
          <w:b/>
          <w:color w:val="auto"/>
          <w:szCs w:val="21"/>
        </w:rPr>
        <w:t>投标声明书</w:t>
      </w:r>
    </w:p>
    <w:p w14:paraId="16FBA6FB">
      <w:pPr>
        <w:snapToGrid w:val="0"/>
        <w:spacing w:before="120" w:beforeLines="50" w:after="50" w:line="360" w:lineRule="exact"/>
        <w:jc w:val="center"/>
        <w:rPr>
          <w:color w:val="auto"/>
          <w:szCs w:val="21"/>
        </w:rPr>
      </w:pPr>
    </w:p>
    <w:p w14:paraId="4F41B403">
      <w:pPr>
        <w:snapToGrid w:val="0"/>
        <w:spacing w:before="120" w:beforeLines="50" w:after="50" w:line="360" w:lineRule="exact"/>
        <w:rPr>
          <w:color w:val="auto"/>
          <w:szCs w:val="21"/>
        </w:rPr>
      </w:pPr>
      <w:r>
        <w:rPr>
          <w:color w:val="auto"/>
          <w:szCs w:val="21"/>
        </w:rPr>
        <w:t>致：</w:t>
      </w:r>
      <w:r>
        <w:rPr>
          <w:i/>
          <w:iCs/>
          <w:color w:val="auto"/>
          <w:szCs w:val="21"/>
          <w:u w:val="single"/>
        </w:rPr>
        <w:t>（采购</w:t>
      </w:r>
      <w:r>
        <w:rPr>
          <w:rFonts w:hint="eastAsia"/>
          <w:i/>
          <w:iCs/>
          <w:color w:val="auto"/>
          <w:szCs w:val="21"/>
          <w:u w:val="single"/>
        </w:rPr>
        <w:t>人</w:t>
      </w:r>
      <w:r>
        <w:rPr>
          <w:i/>
          <w:iCs/>
          <w:color w:val="auto"/>
          <w:szCs w:val="21"/>
          <w:u w:val="single"/>
        </w:rPr>
        <w:t>名称）</w:t>
      </w:r>
      <w:r>
        <w:rPr>
          <w:color w:val="auto"/>
          <w:szCs w:val="21"/>
        </w:rPr>
        <w:t>：</w:t>
      </w:r>
    </w:p>
    <w:p w14:paraId="26A3C636">
      <w:pPr>
        <w:snapToGrid w:val="0"/>
        <w:spacing w:before="120" w:beforeLines="50" w:after="50" w:line="360" w:lineRule="exact"/>
        <w:ind w:firstLine="630" w:firstLineChars="300"/>
        <w:rPr>
          <w:color w:val="auto"/>
          <w:szCs w:val="21"/>
        </w:rPr>
      </w:pPr>
      <w:r>
        <w:rPr>
          <w:i/>
          <w:iCs/>
          <w:color w:val="auto"/>
          <w:szCs w:val="21"/>
          <w:u w:val="single"/>
        </w:rPr>
        <w:t>（供应商名称）</w:t>
      </w:r>
      <w:r>
        <w:rPr>
          <w:color w:val="auto"/>
          <w:szCs w:val="21"/>
        </w:rPr>
        <w:t>系中华人民共和国合法企业，</w:t>
      </w:r>
      <w:r>
        <w:rPr>
          <w:rFonts w:hint="eastAsia"/>
          <w:color w:val="auto"/>
          <w:szCs w:val="21"/>
          <w:u w:val="single"/>
        </w:rPr>
        <w:t xml:space="preserve"> </w:t>
      </w:r>
      <w:r>
        <w:rPr>
          <w:i/>
          <w:iCs/>
          <w:color w:val="auto"/>
          <w:szCs w:val="21"/>
          <w:u w:val="single"/>
        </w:rPr>
        <w:t xml:space="preserve"> </w:t>
      </w:r>
      <w:r>
        <w:rPr>
          <w:rFonts w:hint="eastAsia"/>
          <w:i/>
          <w:iCs/>
          <w:color w:val="auto"/>
          <w:szCs w:val="21"/>
          <w:u w:val="single"/>
        </w:rPr>
        <w:t>（</w:t>
      </w:r>
      <w:r>
        <w:rPr>
          <w:i/>
          <w:iCs/>
          <w:color w:val="auto"/>
          <w:szCs w:val="21"/>
          <w:u w:val="single"/>
        </w:rPr>
        <w:t>经营地址</w:t>
      </w:r>
      <w:r>
        <w:rPr>
          <w:rFonts w:hint="eastAsia"/>
          <w:i/>
          <w:iCs/>
          <w:color w:val="auto"/>
          <w:szCs w:val="21"/>
          <w:u w:val="single"/>
        </w:rPr>
        <w:t xml:space="preserve">） </w:t>
      </w:r>
      <w:r>
        <w:rPr>
          <w:i/>
          <w:iCs/>
          <w:color w:val="auto"/>
          <w:szCs w:val="21"/>
          <w:u w:val="single"/>
        </w:rPr>
        <w:t xml:space="preserve"> </w:t>
      </w:r>
      <w:r>
        <w:rPr>
          <w:color w:val="auto"/>
          <w:szCs w:val="21"/>
          <w:u w:val="single"/>
        </w:rPr>
        <w:t xml:space="preserve"> </w:t>
      </w:r>
      <w:r>
        <w:rPr>
          <w:color w:val="auto"/>
          <w:szCs w:val="21"/>
        </w:rPr>
        <w:t>。</w:t>
      </w:r>
    </w:p>
    <w:p w14:paraId="73F7C767">
      <w:pPr>
        <w:snapToGrid w:val="0"/>
        <w:spacing w:before="120" w:beforeLines="50" w:after="50" w:line="360" w:lineRule="exact"/>
        <w:ind w:firstLine="645"/>
        <w:rPr>
          <w:color w:val="auto"/>
          <w:szCs w:val="21"/>
        </w:rPr>
      </w:pPr>
      <w:r>
        <w:rPr>
          <w:color w:val="auto"/>
          <w:szCs w:val="21"/>
        </w:rPr>
        <w:t>我</w:t>
      </w:r>
      <w:r>
        <w:rPr>
          <w:i/>
          <w:iCs/>
          <w:color w:val="auto"/>
          <w:szCs w:val="21"/>
          <w:u w:val="single"/>
        </w:rPr>
        <w:t>（姓名）</w:t>
      </w:r>
      <w:r>
        <w:rPr>
          <w:rFonts w:hint="eastAsia"/>
          <w:i/>
          <w:iCs/>
          <w:color w:val="auto"/>
          <w:szCs w:val="21"/>
          <w:u w:val="single"/>
        </w:rPr>
        <w:t xml:space="preserve"> </w:t>
      </w:r>
      <w:r>
        <w:rPr>
          <w:color w:val="auto"/>
          <w:szCs w:val="21"/>
        </w:rPr>
        <w:t>系</w:t>
      </w:r>
      <w:r>
        <w:rPr>
          <w:i/>
          <w:iCs/>
          <w:color w:val="auto"/>
          <w:szCs w:val="21"/>
          <w:u w:val="single"/>
        </w:rPr>
        <w:t>（供应商名称）</w:t>
      </w:r>
      <w:r>
        <w:rPr>
          <w:color w:val="auto"/>
          <w:szCs w:val="21"/>
        </w:rPr>
        <w:t>的法定代表人，我方愿意参加贵方组织的</w:t>
      </w:r>
      <w:r>
        <w:rPr>
          <w:rFonts w:hint="eastAsia"/>
          <w:color w:val="auto"/>
          <w:szCs w:val="21"/>
        </w:rPr>
        <w:t xml:space="preserve"> </w:t>
      </w:r>
      <w:r>
        <w:rPr>
          <w:rFonts w:hint="eastAsia"/>
          <w:i/>
          <w:iCs/>
          <w:color w:val="auto"/>
          <w:szCs w:val="21"/>
          <w:u w:val="single"/>
        </w:rPr>
        <w:t xml:space="preserve">（项目名称） </w:t>
      </w:r>
      <w:r>
        <w:rPr>
          <w:color w:val="auto"/>
          <w:szCs w:val="21"/>
        </w:rPr>
        <w:t>项目的投标，为便于贵方公正、择优地确定中标人及其投标产品和服务，我方就本次投标有关事项郑重声明如下：</w:t>
      </w:r>
    </w:p>
    <w:p w14:paraId="03A9A6B2">
      <w:pPr>
        <w:snapToGrid w:val="0"/>
        <w:spacing w:before="120" w:beforeLines="50" w:line="360" w:lineRule="exact"/>
        <w:ind w:firstLine="420" w:firstLineChars="200"/>
        <w:rPr>
          <w:color w:val="auto"/>
          <w:szCs w:val="21"/>
        </w:rPr>
      </w:pPr>
      <w:r>
        <w:rPr>
          <w:color w:val="auto"/>
          <w:szCs w:val="21"/>
        </w:rPr>
        <w:t>（1）我方向贵方提交的所有投标文件、资料都是准确的和真实的</w:t>
      </w:r>
      <w:r>
        <w:rPr>
          <w:rFonts w:hint="eastAsia"/>
          <w:color w:val="auto"/>
          <w:szCs w:val="21"/>
        </w:rPr>
        <w:t>。</w:t>
      </w:r>
      <w:r>
        <w:rPr>
          <w:color w:val="auto"/>
          <w:szCs w:val="21"/>
        </w:rPr>
        <w:t xml:space="preserve"> </w:t>
      </w:r>
    </w:p>
    <w:p w14:paraId="1E6C99E9">
      <w:pPr>
        <w:snapToGrid w:val="0"/>
        <w:spacing w:before="120" w:beforeLines="50" w:line="360" w:lineRule="exact"/>
        <w:ind w:firstLine="420" w:firstLineChars="200"/>
        <w:rPr>
          <w:color w:val="auto"/>
          <w:szCs w:val="21"/>
        </w:rPr>
      </w:pPr>
      <w:r>
        <w:rPr>
          <w:color w:val="auto"/>
          <w:szCs w:val="21"/>
        </w:rPr>
        <w:t>（2）我方不是采购人的附属机构；也不是为本项目提供整体设计、规范编制或者项目管理、监理、检测等服务的供应商或其附属机构。</w:t>
      </w:r>
    </w:p>
    <w:p w14:paraId="47594FAB">
      <w:pPr>
        <w:snapToGrid w:val="0"/>
        <w:spacing w:before="120" w:beforeLines="50" w:line="360" w:lineRule="exact"/>
        <w:ind w:firstLine="420" w:firstLineChars="200"/>
        <w:rPr>
          <w:color w:val="auto"/>
          <w:szCs w:val="21"/>
        </w:rPr>
      </w:pPr>
      <w:r>
        <w:rPr>
          <w:color w:val="auto"/>
          <w:szCs w:val="21"/>
        </w:rPr>
        <w:t>（3）我方承诺在参加本政府采购项目活动前，没有被纳入政府部门或银行认定的失信名单，我方具有良好的商业信誉。</w:t>
      </w:r>
    </w:p>
    <w:p w14:paraId="48522CA9">
      <w:pPr>
        <w:snapToGrid w:val="0"/>
        <w:spacing w:before="120" w:beforeLines="50" w:line="360" w:lineRule="exact"/>
        <w:ind w:firstLine="420" w:firstLineChars="200"/>
        <w:rPr>
          <w:color w:val="auto"/>
          <w:szCs w:val="21"/>
        </w:rPr>
      </w:pPr>
      <w:r>
        <w:rPr>
          <w:color w:val="auto"/>
          <w:szCs w:val="21"/>
        </w:rPr>
        <w:t>（4）我方及本人承诺在参加本政府采购项目活动前三年内，在经营活动中没有重大违法记录及不良信用记录。重大违法记录是指供供应商因违法经营受到刑事处罚或者责令停产停业、吊销许可证或者执照、较大数额罚款等行政处罚。如我方提供的声明不实，则自愿承担《政府采购法》有关提供虚假材料的规定给予的处罚。</w:t>
      </w:r>
    </w:p>
    <w:p w14:paraId="13882B8F">
      <w:pPr>
        <w:snapToGrid w:val="0"/>
        <w:spacing w:before="120" w:beforeLines="50" w:line="360" w:lineRule="exact"/>
        <w:ind w:firstLine="420" w:firstLineChars="200"/>
        <w:rPr>
          <w:color w:val="auto"/>
          <w:szCs w:val="21"/>
        </w:rPr>
      </w:pPr>
      <w:r>
        <w:rPr>
          <w:color w:val="auto"/>
          <w:szCs w:val="21"/>
        </w:rPr>
        <w:t>（5）我方承诺具有履行本项目合同所必需的设备和专业技术能力。</w:t>
      </w:r>
    </w:p>
    <w:p w14:paraId="69FBD075">
      <w:pPr>
        <w:snapToGrid w:val="0"/>
        <w:spacing w:before="120" w:beforeLines="50" w:line="360" w:lineRule="exact"/>
        <w:ind w:firstLine="420" w:firstLineChars="200"/>
        <w:rPr>
          <w:color w:val="auto"/>
          <w:szCs w:val="21"/>
        </w:rPr>
      </w:pPr>
      <w:r>
        <w:rPr>
          <w:rFonts w:hint="eastAsia"/>
          <w:color w:val="auto"/>
          <w:szCs w:val="21"/>
        </w:rPr>
        <w:t>（6）我方承诺</w:t>
      </w:r>
      <w:r>
        <w:rPr>
          <w:color w:val="auto"/>
          <w:szCs w:val="21"/>
        </w:rPr>
        <w:t>未被列入失信被执行人、重大税收违法失信主体、政府采购严重违法失信行为记录名单</w:t>
      </w:r>
      <w:r>
        <w:rPr>
          <w:rFonts w:hint="eastAsia"/>
          <w:color w:val="auto"/>
          <w:szCs w:val="21"/>
        </w:rPr>
        <w:t>，如我方提供的声明不实，则接受本次投标作为否决投标的处理，</w:t>
      </w:r>
      <w:r>
        <w:rPr>
          <w:color w:val="auto"/>
          <w:szCs w:val="21"/>
        </w:rPr>
        <w:t>并根据财库〔2016〕125号《财政部关于在政府采购活动中查询及使用信用记录有关问题的通知》规定接受失信联合惩戒。</w:t>
      </w:r>
    </w:p>
    <w:p w14:paraId="7C790B97">
      <w:pPr>
        <w:snapToGrid w:val="0"/>
        <w:spacing w:before="120" w:beforeLines="50" w:line="360" w:lineRule="exact"/>
        <w:ind w:firstLine="420" w:firstLineChars="200"/>
        <w:rPr>
          <w:color w:val="auto"/>
          <w:szCs w:val="21"/>
        </w:rPr>
      </w:pPr>
      <w:r>
        <w:rPr>
          <w:rFonts w:hint="eastAsia"/>
          <w:color w:val="auto"/>
          <w:szCs w:val="21"/>
        </w:rPr>
        <w:t>（7）我方承诺中标后按</w:t>
      </w:r>
      <w:r>
        <w:rPr>
          <w:color w:val="auto"/>
          <w:szCs w:val="21"/>
        </w:rPr>
        <w:t>规定缴纳代理服务费</w:t>
      </w:r>
      <w:r>
        <w:rPr>
          <w:rFonts w:hint="eastAsia"/>
          <w:color w:val="auto"/>
          <w:szCs w:val="21"/>
        </w:rPr>
        <w:t>。如未按时缴纳，</w:t>
      </w:r>
      <w:r>
        <w:rPr>
          <w:color w:val="auto"/>
          <w:szCs w:val="21"/>
        </w:rPr>
        <w:t>贵方可</w:t>
      </w:r>
      <w:r>
        <w:rPr>
          <w:rFonts w:hint="eastAsia"/>
          <w:color w:val="auto"/>
          <w:szCs w:val="21"/>
        </w:rPr>
        <w:t>不退还</w:t>
      </w:r>
      <w:r>
        <w:rPr>
          <w:color w:val="auto"/>
          <w:szCs w:val="21"/>
        </w:rPr>
        <w:t>我</w:t>
      </w:r>
      <w:r>
        <w:rPr>
          <w:rFonts w:hint="eastAsia"/>
          <w:color w:val="auto"/>
          <w:szCs w:val="21"/>
        </w:rPr>
        <w:t>方</w:t>
      </w:r>
      <w:r>
        <w:rPr>
          <w:color w:val="auto"/>
          <w:szCs w:val="21"/>
        </w:rPr>
        <w:t>提交的投标保证金</w:t>
      </w:r>
      <w:r>
        <w:rPr>
          <w:rFonts w:hint="eastAsia"/>
          <w:color w:val="auto"/>
          <w:szCs w:val="21"/>
        </w:rPr>
        <w:t>，并从中</w:t>
      </w:r>
      <w:r>
        <w:rPr>
          <w:color w:val="auto"/>
          <w:szCs w:val="21"/>
        </w:rPr>
        <w:t>扣除</w:t>
      </w:r>
      <w:r>
        <w:rPr>
          <w:rFonts w:hint="eastAsia"/>
          <w:color w:val="auto"/>
          <w:szCs w:val="21"/>
        </w:rPr>
        <w:t>代理服务费。</w:t>
      </w:r>
    </w:p>
    <w:p w14:paraId="4ABEA00F">
      <w:pPr>
        <w:snapToGrid w:val="0"/>
        <w:spacing w:before="120" w:beforeLines="50" w:line="360" w:lineRule="exact"/>
        <w:ind w:firstLine="420" w:firstLineChars="200"/>
        <w:rPr>
          <w:color w:val="auto"/>
          <w:szCs w:val="21"/>
        </w:rPr>
      </w:pPr>
      <w:r>
        <w:rPr>
          <w:color w:val="auto"/>
          <w:szCs w:val="21"/>
        </w:rPr>
        <w:t>我方对以上声明负全部法律责任。如有虚假或隐瞒，我方愿意承担一切后果，并不再寻求任何旨在减轻或免除法律责任的辩解。</w:t>
      </w:r>
    </w:p>
    <w:bookmarkEnd w:id="143"/>
    <w:p w14:paraId="0E0F3133">
      <w:pPr>
        <w:snapToGrid w:val="0"/>
        <w:spacing w:before="120" w:beforeLines="50" w:line="360" w:lineRule="exact"/>
        <w:ind w:firstLine="420" w:firstLineChars="200"/>
        <w:rPr>
          <w:color w:val="auto"/>
          <w:szCs w:val="21"/>
        </w:rPr>
      </w:pPr>
    </w:p>
    <w:p w14:paraId="77DF2B85">
      <w:pPr>
        <w:snapToGrid w:val="0"/>
        <w:spacing w:before="120" w:beforeLines="50" w:line="360" w:lineRule="exact"/>
        <w:rPr>
          <w:color w:val="auto"/>
          <w:szCs w:val="21"/>
          <w:u w:val="single"/>
        </w:rPr>
      </w:pPr>
    </w:p>
    <w:p w14:paraId="47957DC9">
      <w:pPr>
        <w:snapToGrid w:val="0"/>
        <w:spacing w:before="120" w:beforeLines="50" w:after="50" w:line="360" w:lineRule="exact"/>
        <w:ind w:firstLine="3570" w:firstLineChars="1700"/>
        <w:rPr>
          <w:color w:val="auto"/>
          <w:szCs w:val="21"/>
        </w:rPr>
      </w:pPr>
      <w:bookmarkStart w:id="144" w:name="_Hlk88990289"/>
      <w:r>
        <w:rPr>
          <w:color w:val="auto"/>
          <w:szCs w:val="21"/>
        </w:rPr>
        <w:t>供应商</w:t>
      </w:r>
      <w:r>
        <w:rPr>
          <w:rFonts w:hint="eastAsia"/>
          <w:color w:val="auto"/>
          <w:szCs w:val="21"/>
        </w:rPr>
        <w:t>名称（电子签章）</w:t>
      </w:r>
      <w:bookmarkEnd w:id="144"/>
      <w:r>
        <w:rPr>
          <w:color w:val="auto"/>
          <w:szCs w:val="21"/>
        </w:rPr>
        <w:t>：</w:t>
      </w:r>
      <w:r>
        <w:rPr>
          <w:color w:val="auto"/>
          <w:szCs w:val="21"/>
          <w:u w:val="single"/>
        </w:rPr>
        <w:t xml:space="preserve">                </w:t>
      </w:r>
    </w:p>
    <w:p w14:paraId="4D075439">
      <w:pPr>
        <w:snapToGrid w:val="0"/>
        <w:spacing w:before="120" w:beforeLines="50" w:after="50" w:line="360" w:lineRule="exact"/>
        <w:ind w:firstLine="210" w:firstLineChars="100"/>
        <w:rPr>
          <w:color w:val="auto"/>
          <w:szCs w:val="21"/>
        </w:rPr>
      </w:pPr>
      <w:r>
        <w:rPr>
          <w:color w:val="auto"/>
          <w:szCs w:val="21"/>
        </w:rPr>
        <w:t xml:space="preserve">                                                                        年    月    日</w:t>
      </w:r>
    </w:p>
    <w:p w14:paraId="2D36DE22">
      <w:pPr>
        <w:snapToGrid w:val="0"/>
        <w:spacing w:before="120" w:beforeLines="50" w:after="50" w:line="360" w:lineRule="exact"/>
        <w:rPr>
          <w:color w:val="auto"/>
          <w:szCs w:val="21"/>
        </w:rPr>
      </w:pPr>
      <w:r>
        <w:rPr>
          <w:color w:val="auto"/>
          <w:szCs w:val="21"/>
        </w:rPr>
        <w:br w:type="page"/>
      </w:r>
      <w:r>
        <w:rPr>
          <w:color w:val="auto"/>
          <w:szCs w:val="21"/>
        </w:rPr>
        <w:t>2．法人或者其他组织的营业执照等证明文件、自然人的身份证明。即供应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商不是以上所列的法人、组织、自然人的，则提供国家规定的相关证明材料。（加盖供应商</w:t>
      </w:r>
      <w:r>
        <w:rPr>
          <w:rFonts w:hint="eastAsia"/>
          <w:color w:val="auto"/>
          <w:szCs w:val="21"/>
        </w:rPr>
        <w:t>电子签章</w:t>
      </w:r>
      <w:r>
        <w:rPr>
          <w:color w:val="auto"/>
          <w:szCs w:val="21"/>
        </w:rPr>
        <w:t>）。</w:t>
      </w:r>
    </w:p>
    <w:p w14:paraId="2CF48682">
      <w:pPr>
        <w:snapToGrid w:val="0"/>
        <w:spacing w:before="120" w:beforeLines="50" w:after="50" w:line="440" w:lineRule="exact"/>
        <w:rPr>
          <w:color w:val="auto"/>
          <w:sz w:val="18"/>
          <w:szCs w:val="18"/>
        </w:rPr>
      </w:pPr>
    </w:p>
    <w:p w14:paraId="3BD8FFFE">
      <w:pPr>
        <w:snapToGrid w:val="0"/>
        <w:spacing w:before="120" w:beforeLines="50" w:after="50" w:line="440" w:lineRule="exact"/>
        <w:rPr>
          <w:b/>
          <w:color w:val="auto"/>
          <w:szCs w:val="21"/>
        </w:rPr>
      </w:pPr>
      <w:bookmarkStart w:id="145" w:name="_Hlk19114230"/>
      <w:r>
        <w:rPr>
          <w:color w:val="auto"/>
          <w:szCs w:val="21"/>
        </w:rPr>
        <w:t>3．财务状况报告（表）复印件或银行出具的资信证明复印件。</w:t>
      </w:r>
      <w:r>
        <w:rPr>
          <w:color w:val="auto"/>
        </w:rPr>
        <w:t>对于从取得营业执照时间起到开标时间为止不足1年的供应商，只需提交</w:t>
      </w:r>
      <w:r>
        <w:rPr>
          <w:color w:val="auto"/>
          <w:szCs w:val="21"/>
        </w:rPr>
        <w:t>开标时间前一个月的财务状况报告（表）复印件。（按“评审方法及标准” “资格审查表”规定提供）。（加盖供应商</w:t>
      </w:r>
      <w:r>
        <w:rPr>
          <w:rFonts w:hint="eastAsia"/>
          <w:color w:val="auto"/>
          <w:szCs w:val="21"/>
        </w:rPr>
        <w:t>电子签章</w:t>
      </w:r>
      <w:r>
        <w:rPr>
          <w:color w:val="auto"/>
          <w:szCs w:val="21"/>
        </w:rPr>
        <w:t>）</w:t>
      </w:r>
      <w:r>
        <w:rPr>
          <w:rFonts w:hint="eastAsia"/>
          <w:color w:val="auto"/>
          <w:szCs w:val="21"/>
        </w:rPr>
        <w:t>。</w:t>
      </w:r>
    </w:p>
    <w:p w14:paraId="0EE19A27">
      <w:pPr>
        <w:snapToGrid w:val="0"/>
        <w:spacing w:before="120" w:beforeLines="50" w:after="50" w:line="440" w:lineRule="exact"/>
        <w:rPr>
          <w:color w:val="auto"/>
          <w:szCs w:val="21"/>
        </w:rPr>
      </w:pPr>
    </w:p>
    <w:bookmarkEnd w:id="145"/>
    <w:p w14:paraId="7FE38CB3">
      <w:pPr>
        <w:snapToGrid w:val="0"/>
        <w:spacing w:before="120" w:beforeLines="50" w:after="50" w:line="440" w:lineRule="exact"/>
        <w:rPr>
          <w:color w:val="auto"/>
        </w:rPr>
      </w:pPr>
      <w:r>
        <w:rPr>
          <w:color w:val="auto"/>
        </w:rPr>
        <w:t>4．依法缴纳税费证明和社会保险缴纳证明材料</w:t>
      </w:r>
      <w:r>
        <w:rPr>
          <w:rFonts w:hint="eastAsia"/>
          <w:color w:val="auto"/>
        </w:rPr>
        <w:t>。</w:t>
      </w:r>
      <w:r>
        <w:rPr>
          <w:color w:val="auto"/>
        </w:rPr>
        <w:t>供应商成立不足</w:t>
      </w:r>
      <w:r>
        <w:rPr>
          <w:rFonts w:hint="eastAsia"/>
          <w:color w:val="auto"/>
        </w:rPr>
        <w:t>1个月的，无须提供</w:t>
      </w:r>
      <w:r>
        <w:rPr>
          <w:color w:val="auto"/>
        </w:rPr>
        <w:t>缴纳税费证明及社保缴费证明</w:t>
      </w:r>
      <w:r>
        <w:rPr>
          <w:rFonts w:hint="eastAsia"/>
          <w:color w:val="auto"/>
        </w:rPr>
        <w:t>。</w:t>
      </w:r>
      <w:r>
        <w:rPr>
          <w:color w:val="auto"/>
        </w:rPr>
        <w:t>依法免税或不需要缴纳社会保障资金的供应商，须提供相应文件证明其依法免税或不需要缴纳社会保障资金。</w:t>
      </w:r>
      <w:r>
        <w:rPr>
          <w:color w:val="auto"/>
          <w:szCs w:val="21"/>
        </w:rPr>
        <w:t>（按“评审方法及标准” “资格审查表”规定提供）（加盖供应商</w:t>
      </w:r>
      <w:r>
        <w:rPr>
          <w:rFonts w:hint="eastAsia"/>
          <w:color w:val="auto"/>
          <w:szCs w:val="21"/>
        </w:rPr>
        <w:t>电子签章</w:t>
      </w:r>
      <w:r>
        <w:rPr>
          <w:color w:val="auto"/>
          <w:szCs w:val="21"/>
        </w:rPr>
        <w:t>）</w:t>
      </w:r>
      <w:r>
        <w:rPr>
          <w:rFonts w:hint="eastAsia"/>
          <w:color w:val="auto"/>
          <w:szCs w:val="21"/>
        </w:rPr>
        <w:t>。</w:t>
      </w:r>
    </w:p>
    <w:p w14:paraId="5799BA9E">
      <w:pPr>
        <w:snapToGrid w:val="0"/>
        <w:spacing w:before="120" w:beforeLines="50" w:after="50" w:line="440" w:lineRule="exact"/>
        <w:rPr>
          <w:color w:val="auto"/>
          <w:szCs w:val="21"/>
        </w:rPr>
      </w:pPr>
    </w:p>
    <w:p w14:paraId="3F992886">
      <w:pPr>
        <w:snapToGrid w:val="0"/>
        <w:spacing w:before="50" w:after="120" w:afterLines="50" w:line="440" w:lineRule="exact"/>
        <w:jc w:val="left"/>
        <w:rPr>
          <w:color w:val="auto"/>
        </w:rPr>
      </w:pPr>
    </w:p>
    <w:p w14:paraId="71B47072">
      <w:pPr>
        <w:snapToGrid w:val="0"/>
        <w:spacing w:before="50" w:after="120" w:afterLines="50" w:line="440" w:lineRule="exact"/>
        <w:jc w:val="left"/>
        <w:rPr>
          <w:b/>
          <w:color w:val="auto"/>
          <w:szCs w:val="21"/>
        </w:rPr>
      </w:pPr>
      <w:bookmarkStart w:id="146" w:name="_Hlk19114283"/>
      <w:r>
        <w:rPr>
          <w:color w:val="auto"/>
          <w:szCs w:val="21"/>
        </w:rPr>
        <w:t>5．具备法律、行政法规规定的其他要求的证明材料</w:t>
      </w:r>
      <w:r>
        <w:rPr>
          <w:color w:val="auto"/>
        </w:rPr>
        <w:t>（</w:t>
      </w:r>
      <w:r>
        <w:rPr>
          <w:color w:val="auto"/>
          <w:szCs w:val="21"/>
        </w:rPr>
        <w:t>按“评审方法及标准” “资格审查表”规定提供</w:t>
      </w:r>
      <w:r>
        <w:rPr>
          <w:color w:val="auto"/>
        </w:rPr>
        <w:t>）。</w:t>
      </w:r>
      <w:bookmarkStart w:id="147" w:name="_Hlk48144477"/>
      <w:r>
        <w:rPr>
          <w:rFonts w:hint="eastAsia"/>
          <w:b/>
          <w:color w:val="auto"/>
          <w:szCs w:val="21"/>
        </w:rPr>
        <w:t>（如招标文件有要求时提供）</w:t>
      </w:r>
      <w:bookmarkEnd w:id="147"/>
    </w:p>
    <w:p w14:paraId="324AC877">
      <w:pPr>
        <w:widowControl/>
        <w:jc w:val="left"/>
        <w:rPr>
          <w:b/>
          <w:color w:val="auto"/>
          <w:szCs w:val="21"/>
        </w:rPr>
      </w:pPr>
    </w:p>
    <w:p w14:paraId="79F94B3A">
      <w:pPr>
        <w:widowControl/>
        <w:jc w:val="left"/>
        <w:rPr>
          <w:b/>
          <w:color w:val="auto"/>
          <w:szCs w:val="21"/>
        </w:rPr>
      </w:pPr>
    </w:p>
    <w:p w14:paraId="6BC7F3A4">
      <w:pPr>
        <w:snapToGrid w:val="0"/>
        <w:spacing w:before="50" w:after="120" w:afterLines="50" w:line="440" w:lineRule="exact"/>
        <w:jc w:val="left"/>
        <w:rPr>
          <w:b/>
          <w:color w:val="auto"/>
          <w:szCs w:val="21"/>
        </w:rPr>
      </w:pPr>
      <w:bookmarkStart w:id="148" w:name="_Hlk132792497"/>
      <w:r>
        <w:rPr>
          <w:color w:val="auto"/>
          <w:szCs w:val="21"/>
        </w:rPr>
        <w:t>6．</w:t>
      </w:r>
      <w:r>
        <w:rPr>
          <w:rFonts w:hint="eastAsia"/>
          <w:color w:val="auto"/>
        </w:rPr>
        <w:t>落实政府采购政策需满足的资格要求</w:t>
      </w:r>
      <w:r>
        <w:rPr>
          <w:color w:val="auto"/>
        </w:rPr>
        <w:t>（</w:t>
      </w:r>
      <w:r>
        <w:rPr>
          <w:color w:val="auto"/>
          <w:szCs w:val="21"/>
        </w:rPr>
        <w:t>按“评审方法及标准” “资格审查表”规定提供</w:t>
      </w:r>
      <w:r>
        <w:rPr>
          <w:color w:val="auto"/>
        </w:rPr>
        <w:t>）。</w:t>
      </w:r>
      <w:r>
        <w:rPr>
          <w:rFonts w:hint="eastAsia"/>
          <w:b/>
          <w:color w:val="auto"/>
          <w:szCs w:val="21"/>
        </w:rPr>
        <w:t>（如招标文件有要求时提供）</w:t>
      </w:r>
    </w:p>
    <w:bookmarkEnd w:id="148"/>
    <w:p w14:paraId="70DAD947">
      <w:pPr>
        <w:rPr>
          <w:color w:val="auto"/>
          <w:szCs w:val="21"/>
        </w:rPr>
      </w:pPr>
      <w:bookmarkStart w:id="149" w:name="_Hlk132792727"/>
      <w:bookmarkStart w:id="150" w:name="_Hlk132801855"/>
    </w:p>
    <w:bookmarkEnd w:id="149"/>
    <w:bookmarkEnd w:id="150"/>
    <w:p w14:paraId="16CE7EFE">
      <w:pPr>
        <w:snapToGrid w:val="0"/>
        <w:spacing w:before="50" w:after="120" w:afterLines="50" w:line="440" w:lineRule="exact"/>
        <w:jc w:val="left"/>
        <w:rPr>
          <w:b/>
          <w:color w:val="auto"/>
          <w:szCs w:val="21"/>
        </w:rPr>
      </w:pPr>
      <w:r>
        <w:rPr>
          <w:color w:val="auto"/>
          <w:szCs w:val="21"/>
        </w:rPr>
        <w:t>7．</w:t>
      </w:r>
      <w:r>
        <w:rPr>
          <w:color w:val="auto"/>
        </w:rPr>
        <w:t>满足供应商特定资格条件的其他证明材料</w:t>
      </w:r>
      <w:r>
        <w:rPr>
          <w:color w:val="auto"/>
          <w:szCs w:val="21"/>
        </w:rPr>
        <w:t>加盖供应商</w:t>
      </w:r>
      <w:r>
        <w:rPr>
          <w:rFonts w:hint="eastAsia"/>
          <w:color w:val="auto"/>
          <w:szCs w:val="21"/>
        </w:rPr>
        <w:t>电子签章</w:t>
      </w:r>
      <w:r>
        <w:rPr>
          <w:color w:val="auto"/>
        </w:rPr>
        <w:t>（</w:t>
      </w:r>
      <w:r>
        <w:rPr>
          <w:color w:val="auto"/>
          <w:szCs w:val="21"/>
        </w:rPr>
        <w:t>按“评审方法及标准” “资格审查表”“</w:t>
      </w:r>
      <w:r>
        <w:rPr>
          <w:color w:val="auto"/>
          <w:szCs w:val="21"/>
          <w:lang w:val="zh-CN"/>
        </w:rPr>
        <w:t xml:space="preserve"> 供应商应符合的</w:t>
      </w:r>
      <w:r>
        <w:rPr>
          <w:color w:val="auto"/>
          <w:szCs w:val="21"/>
        </w:rPr>
        <w:t>特定资格条件”规定提供</w:t>
      </w:r>
      <w:r>
        <w:rPr>
          <w:color w:val="auto"/>
        </w:rPr>
        <w:t>）。</w:t>
      </w:r>
      <w:r>
        <w:rPr>
          <w:rFonts w:hint="eastAsia"/>
          <w:b/>
          <w:color w:val="auto"/>
          <w:szCs w:val="21"/>
        </w:rPr>
        <w:t>（如招标文件有要求时提供）</w:t>
      </w:r>
    </w:p>
    <w:p w14:paraId="0AEA960A">
      <w:pPr>
        <w:snapToGrid w:val="0"/>
        <w:spacing w:before="50" w:after="120" w:afterLines="50" w:line="440" w:lineRule="exact"/>
        <w:jc w:val="left"/>
        <w:rPr>
          <w:color w:val="auto"/>
        </w:rPr>
      </w:pPr>
    </w:p>
    <w:p w14:paraId="648AC736">
      <w:pPr>
        <w:widowControl/>
        <w:jc w:val="left"/>
        <w:rPr>
          <w:color w:val="auto"/>
        </w:rPr>
      </w:pPr>
      <w:r>
        <w:rPr>
          <w:color w:val="auto"/>
        </w:rPr>
        <w:br w:type="page"/>
      </w:r>
    </w:p>
    <w:p w14:paraId="3B094AB1">
      <w:pPr>
        <w:snapToGrid w:val="0"/>
        <w:spacing w:before="50" w:after="120" w:afterLines="50" w:line="360" w:lineRule="auto"/>
        <w:jc w:val="left"/>
        <w:rPr>
          <w:color w:val="auto"/>
          <w:szCs w:val="21"/>
        </w:rPr>
      </w:pPr>
      <w:bookmarkStart w:id="151" w:name="_Hlk93048232"/>
      <w:r>
        <w:rPr>
          <w:color w:val="auto"/>
          <w:szCs w:val="21"/>
        </w:rPr>
        <w:t>7.1</w:t>
      </w:r>
      <w:r>
        <w:rPr>
          <w:rFonts w:hint="eastAsia"/>
          <w:color w:val="auto"/>
          <w:szCs w:val="21"/>
        </w:rPr>
        <w:t>投标人直接控股股东信息表</w:t>
      </w:r>
    </w:p>
    <w:tbl>
      <w:tblPr>
        <w:tblStyle w:val="51"/>
        <w:tblW w:w="0" w:type="auto"/>
        <w:tblInd w:w="0" w:type="dxa"/>
        <w:tblLayout w:type="fixed"/>
        <w:tblCellMar>
          <w:top w:w="0" w:type="dxa"/>
          <w:left w:w="0" w:type="dxa"/>
          <w:bottom w:w="0" w:type="dxa"/>
          <w:right w:w="0" w:type="dxa"/>
        </w:tblCellMar>
      </w:tblPr>
      <w:tblGrid>
        <w:gridCol w:w="828"/>
        <w:gridCol w:w="2269"/>
        <w:gridCol w:w="1239"/>
        <w:gridCol w:w="3722"/>
        <w:gridCol w:w="1418"/>
      </w:tblGrid>
      <w:tr w14:paraId="725AACF6">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E834D9A">
            <w:pPr>
              <w:spacing w:line="360" w:lineRule="auto"/>
              <w:jc w:val="center"/>
              <w:rPr>
                <w:color w:val="auto"/>
                <w:szCs w:val="21"/>
              </w:rPr>
            </w:pPr>
            <w:r>
              <w:rPr>
                <w:rFonts w:hint="eastAsia"/>
                <w:color w:val="auto"/>
                <w:szCs w:val="21"/>
              </w:rPr>
              <w:t>序号</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E44FCF7">
            <w:pPr>
              <w:spacing w:line="360" w:lineRule="auto"/>
              <w:jc w:val="center"/>
              <w:rPr>
                <w:color w:val="auto"/>
                <w:szCs w:val="21"/>
              </w:rPr>
            </w:pPr>
            <w:r>
              <w:rPr>
                <w:rFonts w:hint="eastAsia"/>
                <w:color w:val="auto"/>
                <w:szCs w:val="21"/>
              </w:rPr>
              <w:t>直接控股股东名称</w:t>
            </w: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7A9587C">
            <w:pPr>
              <w:spacing w:line="360" w:lineRule="auto"/>
              <w:jc w:val="center"/>
              <w:rPr>
                <w:color w:val="auto"/>
                <w:szCs w:val="21"/>
              </w:rPr>
            </w:pPr>
            <w:r>
              <w:rPr>
                <w:rFonts w:hint="eastAsia"/>
                <w:color w:val="auto"/>
                <w:szCs w:val="21"/>
              </w:rPr>
              <w:t>出资比例</w:t>
            </w: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6B47533">
            <w:pPr>
              <w:spacing w:line="360" w:lineRule="auto"/>
              <w:jc w:val="center"/>
              <w:rPr>
                <w:color w:val="auto"/>
                <w:szCs w:val="21"/>
              </w:rPr>
            </w:pPr>
            <w:r>
              <w:rPr>
                <w:rFonts w:hint="eastAsia"/>
                <w:color w:val="auto"/>
                <w:szCs w:val="21"/>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400EB96">
            <w:pPr>
              <w:spacing w:line="360" w:lineRule="auto"/>
              <w:jc w:val="center"/>
              <w:rPr>
                <w:color w:val="auto"/>
                <w:szCs w:val="21"/>
              </w:rPr>
            </w:pPr>
            <w:r>
              <w:rPr>
                <w:rFonts w:hint="eastAsia"/>
                <w:color w:val="auto"/>
                <w:szCs w:val="21"/>
              </w:rPr>
              <w:t>备注</w:t>
            </w:r>
          </w:p>
        </w:tc>
      </w:tr>
      <w:tr w14:paraId="1849A5CA">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BAA408C">
            <w:pPr>
              <w:spacing w:line="360" w:lineRule="auto"/>
              <w:jc w:val="center"/>
              <w:rPr>
                <w:color w:val="auto"/>
                <w:szCs w:val="21"/>
              </w:rPr>
            </w:pPr>
            <w:r>
              <w:rPr>
                <w:color w:val="auto"/>
                <w:szCs w:val="21"/>
              </w:rPr>
              <w:t>1</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D7AF2FA">
            <w:pPr>
              <w:spacing w:line="360" w:lineRule="auto"/>
              <w:jc w:val="center"/>
              <w:rPr>
                <w:color w:val="auto"/>
                <w:szCs w:val="21"/>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0C862E6">
            <w:pPr>
              <w:spacing w:line="360" w:lineRule="auto"/>
              <w:jc w:val="center"/>
              <w:rPr>
                <w:color w:val="auto"/>
                <w:szCs w:val="21"/>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286D19E">
            <w:pPr>
              <w:spacing w:line="360" w:lineRule="auto"/>
              <w:jc w:val="center"/>
              <w:rPr>
                <w:color w:val="auto"/>
                <w:szCs w:val="21"/>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9247FDA">
            <w:pPr>
              <w:spacing w:line="360" w:lineRule="auto"/>
              <w:jc w:val="center"/>
              <w:rPr>
                <w:color w:val="auto"/>
                <w:szCs w:val="21"/>
              </w:rPr>
            </w:pPr>
          </w:p>
        </w:tc>
      </w:tr>
      <w:tr w14:paraId="6FCA3C7D">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C69F6D2">
            <w:pPr>
              <w:spacing w:line="360" w:lineRule="auto"/>
              <w:jc w:val="center"/>
              <w:rPr>
                <w:color w:val="auto"/>
                <w:szCs w:val="21"/>
              </w:rPr>
            </w:pPr>
            <w:r>
              <w:rPr>
                <w:color w:val="auto"/>
                <w:szCs w:val="21"/>
              </w:rPr>
              <w:t>2</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82EB838">
            <w:pPr>
              <w:spacing w:line="360" w:lineRule="auto"/>
              <w:jc w:val="center"/>
              <w:rPr>
                <w:color w:val="auto"/>
                <w:szCs w:val="21"/>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35E25B1">
            <w:pPr>
              <w:spacing w:line="360" w:lineRule="auto"/>
              <w:jc w:val="center"/>
              <w:rPr>
                <w:color w:val="auto"/>
                <w:szCs w:val="21"/>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DD8DFFA">
            <w:pPr>
              <w:spacing w:line="360" w:lineRule="auto"/>
              <w:jc w:val="center"/>
              <w:rPr>
                <w:color w:val="auto"/>
                <w:szCs w:val="21"/>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4154A24">
            <w:pPr>
              <w:spacing w:line="360" w:lineRule="auto"/>
              <w:jc w:val="center"/>
              <w:rPr>
                <w:color w:val="auto"/>
                <w:szCs w:val="21"/>
              </w:rPr>
            </w:pPr>
          </w:p>
        </w:tc>
      </w:tr>
      <w:tr w14:paraId="6DF94E85">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C7F7987">
            <w:pPr>
              <w:spacing w:line="360" w:lineRule="auto"/>
              <w:jc w:val="center"/>
              <w:rPr>
                <w:color w:val="auto"/>
                <w:szCs w:val="21"/>
              </w:rPr>
            </w:pPr>
            <w:r>
              <w:rPr>
                <w:color w:val="auto"/>
                <w:szCs w:val="21"/>
              </w:rPr>
              <w:t>3</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165FC19">
            <w:pPr>
              <w:spacing w:line="360" w:lineRule="auto"/>
              <w:jc w:val="center"/>
              <w:rPr>
                <w:color w:val="auto"/>
                <w:szCs w:val="21"/>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0850C92">
            <w:pPr>
              <w:spacing w:line="360" w:lineRule="auto"/>
              <w:jc w:val="center"/>
              <w:rPr>
                <w:color w:val="auto"/>
                <w:szCs w:val="21"/>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B400D70">
            <w:pPr>
              <w:spacing w:line="360" w:lineRule="auto"/>
              <w:jc w:val="center"/>
              <w:rPr>
                <w:color w:val="auto"/>
                <w:szCs w:val="21"/>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350632B">
            <w:pPr>
              <w:spacing w:line="360" w:lineRule="auto"/>
              <w:jc w:val="center"/>
              <w:rPr>
                <w:color w:val="auto"/>
                <w:szCs w:val="21"/>
              </w:rPr>
            </w:pPr>
          </w:p>
        </w:tc>
      </w:tr>
      <w:tr w14:paraId="49B2E9C9">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04645B9">
            <w:pPr>
              <w:spacing w:line="360" w:lineRule="auto"/>
              <w:jc w:val="center"/>
              <w:rPr>
                <w:color w:val="auto"/>
                <w:szCs w:val="21"/>
              </w:rPr>
            </w:pPr>
            <w:r>
              <w:rPr>
                <w:rFonts w:hint="eastAsia"/>
                <w:color w:val="auto"/>
                <w:szCs w:val="21"/>
              </w:rPr>
              <w:t>……</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2ED71FE">
            <w:pPr>
              <w:spacing w:line="360" w:lineRule="auto"/>
              <w:jc w:val="center"/>
              <w:rPr>
                <w:color w:val="auto"/>
                <w:szCs w:val="21"/>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A3B086C">
            <w:pPr>
              <w:spacing w:line="360" w:lineRule="auto"/>
              <w:jc w:val="center"/>
              <w:rPr>
                <w:color w:val="auto"/>
                <w:szCs w:val="21"/>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5BEE77B">
            <w:pPr>
              <w:spacing w:line="360" w:lineRule="auto"/>
              <w:jc w:val="center"/>
              <w:rPr>
                <w:color w:val="auto"/>
                <w:szCs w:val="21"/>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7C34820">
            <w:pPr>
              <w:spacing w:line="360" w:lineRule="auto"/>
              <w:jc w:val="center"/>
              <w:rPr>
                <w:color w:val="auto"/>
                <w:szCs w:val="21"/>
              </w:rPr>
            </w:pPr>
          </w:p>
        </w:tc>
      </w:tr>
    </w:tbl>
    <w:p w14:paraId="6FBFAF04">
      <w:pPr>
        <w:snapToGrid w:val="0"/>
        <w:spacing w:line="360" w:lineRule="auto"/>
        <w:jc w:val="left"/>
        <w:rPr>
          <w:color w:val="auto"/>
          <w:szCs w:val="21"/>
        </w:rPr>
      </w:pPr>
      <w:r>
        <w:rPr>
          <w:rFonts w:hint="eastAsia"/>
          <w:color w:val="auto"/>
          <w:szCs w:val="21"/>
        </w:rPr>
        <w:t>注：</w:t>
      </w:r>
    </w:p>
    <w:p w14:paraId="27AA14FB">
      <w:pPr>
        <w:snapToGrid w:val="0"/>
        <w:spacing w:line="360" w:lineRule="auto"/>
        <w:jc w:val="left"/>
        <w:rPr>
          <w:color w:val="auto"/>
          <w:szCs w:val="21"/>
        </w:rPr>
      </w:pPr>
      <w:r>
        <w:rPr>
          <w:color w:val="auto"/>
          <w:szCs w:val="21"/>
        </w:rPr>
        <w:t>1.</w:t>
      </w:r>
      <w:r>
        <w:rPr>
          <w:rFonts w:hint="eastAsia"/>
          <w:color w:val="auto"/>
          <w:szCs w:val="21"/>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2F3A3A5">
      <w:pPr>
        <w:snapToGrid w:val="0"/>
        <w:spacing w:line="360" w:lineRule="auto"/>
        <w:jc w:val="left"/>
        <w:rPr>
          <w:color w:val="auto"/>
          <w:szCs w:val="21"/>
        </w:rPr>
      </w:pPr>
      <w:r>
        <w:rPr>
          <w:color w:val="auto"/>
          <w:szCs w:val="21"/>
        </w:rPr>
        <w:t>2.</w:t>
      </w:r>
      <w:r>
        <w:rPr>
          <w:rFonts w:hint="eastAsia"/>
          <w:color w:val="auto"/>
          <w:szCs w:val="21"/>
        </w:rPr>
        <w:t>本表所指的控股关系仅限于直接控股关系，不包括间接的控股关系。公司实际控制人与公司之间的关系不属于本表所指的直接控股关系。</w:t>
      </w:r>
    </w:p>
    <w:p w14:paraId="17D9CF34">
      <w:pPr>
        <w:snapToGrid w:val="0"/>
        <w:spacing w:line="360" w:lineRule="auto"/>
        <w:jc w:val="left"/>
        <w:rPr>
          <w:color w:val="auto"/>
          <w:szCs w:val="21"/>
        </w:rPr>
      </w:pPr>
      <w:r>
        <w:rPr>
          <w:color w:val="auto"/>
          <w:szCs w:val="21"/>
        </w:rPr>
        <w:t>3.</w:t>
      </w:r>
      <w:r>
        <w:rPr>
          <w:rFonts w:hint="eastAsia"/>
          <w:color w:val="auto"/>
          <w:szCs w:val="21"/>
        </w:rPr>
        <w:t>供应商不存在直接控股股东的，则填“无”。</w:t>
      </w:r>
    </w:p>
    <w:p w14:paraId="19EEC4B3">
      <w:pPr>
        <w:snapToGrid w:val="0"/>
        <w:spacing w:line="360" w:lineRule="auto"/>
        <w:jc w:val="left"/>
        <w:rPr>
          <w:color w:val="auto"/>
          <w:szCs w:val="21"/>
        </w:rPr>
      </w:pPr>
    </w:p>
    <w:p w14:paraId="77FCD373">
      <w:pPr>
        <w:snapToGrid w:val="0"/>
        <w:spacing w:line="360" w:lineRule="auto"/>
        <w:jc w:val="left"/>
        <w:rPr>
          <w:color w:val="auto"/>
          <w:szCs w:val="21"/>
        </w:rPr>
      </w:pPr>
    </w:p>
    <w:p w14:paraId="3948ED78">
      <w:pPr>
        <w:snapToGrid w:val="0"/>
        <w:spacing w:line="360" w:lineRule="auto"/>
        <w:jc w:val="left"/>
        <w:rPr>
          <w:color w:val="auto"/>
          <w:szCs w:val="21"/>
        </w:rPr>
      </w:pPr>
    </w:p>
    <w:p w14:paraId="3DCAF6D3">
      <w:pPr>
        <w:snapToGrid w:val="0"/>
        <w:spacing w:line="360" w:lineRule="auto"/>
        <w:jc w:val="left"/>
        <w:rPr>
          <w:color w:val="auto"/>
          <w:szCs w:val="21"/>
        </w:rPr>
      </w:pPr>
    </w:p>
    <w:p w14:paraId="2E6BDB83">
      <w:pPr>
        <w:snapToGrid w:val="0"/>
        <w:spacing w:line="360" w:lineRule="auto"/>
        <w:jc w:val="left"/>
        <w:rPr>
          <w:color w:val="auto"/>
          <w:szCs w:val="21"/>
        </w:rPr>
      </w:pPr>
    </w:p>
    <w:p w14:paraId="7AD108C7">
      <w:pPr>
        <w:snapToGrid w:val="0"/>
        <w:spacing w:line="360" w:lineRule="auto"/>
        <w:ind w:firstLine="4410" w:firstLineChars="2100"/>
        <w:rPr>
          <w:color w:val="auto"/>
          <w:szCs w:val="21"/>
        </w:rPr>
      </w:pPr>
      <w:r>
        <w:rPr>
          <w:rFonts w:hint="eastAsia"/>
          <w:color w:val="auto"/>
          <w:szCs w:val="21"/>
        </w:rPr>
        <w:t>供应商名称</w:t>
      </w:r>
      <w:r>
        <w:rPr>
          <w:color w:val="auto"/>
          <w:szCs w:val="21"/>
        </w:rPr>
        <w:t>(</w:t>
      </w:r>
      <w:r>
        <w:rPr>
          <w:rFonts w:hint="eastAsia"/>
          <w:color w:val="auto"/>
          <w:szCs w:val="21"/>
        </w:rPr>
        <w:t>电子签章</w:t>
      </w:r>
      <w:r>
        <w:rPr>
          <w:color w:val="auto"/>
          <w:szCs w:val="21"/>
        </w:rPr>
        <w:t>)</w:t>
      </w:r>
      <w:r>
        <w:rPr>
          <w:rFonts w:hint="eastAsia"/>
          <w:color w:val="auto"/>
          <w:szCs w:val="21"/>
        </w:rPr>
        <w:t>：</w:t>
      </w:r>
    </w:p>
    <w:p w14:paraId="404AB27A">
      <w:pPr>
        <w:snapToGrid w:val="0"/>
        <w:spacing w:line="360" w:lineRule="auto"/>
        <w:ind w:firstLine="4515" w:firstLineChars="2150"/>
        <w:rPr>
          <w:color w:val="auto"/>
          <w:szCs w:val="21"/>
        </w:rPr>
      </w:pPr>
      <w:r>
        <w:rPr>
          <w:rFonts w:hint="eastAsia"/>
          <w:color w:val="auto"/>
          <w:szCs w:val="21"/>
        </w:rPr>
        <w:t>日期：</w:t>
      </w:r>
      <w:r>
        <w:rPr>
          <w:color w:val="auto"/>
          <w:szCs w:val="21"/>
        </w:rPr>
        <w:t xml:space="preserve">  </w:t>
      </w:r>
      <w:r>
        <w:rPr>
          <w:rFonts w:hint="eastAsia"/>
          <w:color w:val="auto"/>
          <w:szCs w:val="21"/>
        </w:rPr>
        <w:t>年</w:t>
      </w:r>
      <w:r>
        <w:rPr>
          <w:color w:val="auto"/>
          <w:szCs w:val="21"/>
        </w:rPr>
        <w:t xml:space="preserve">  </w:t>
      </w:r>
      <w:r>
        <w:rPr>
          <w:rFonts w:hint="eastAsia"/>
          <w:color w:val="auto"/>
          <w:szCs w:val="21"/>
        </w:rPr>
        <w:t>月</w:t>
      </w:r>
      <w:r>
        <w:rPr>
          <w:color w:val="auto"/>
          <w:szCs w:val="21"/>
        </w:rPr>
        <w:t xml:space="preserve">   </w:t>
      </w:r>
      <w:r>
        <w:rPr>
          <w:rFonts w:hint="eastAsia"/>
          <w:color w:val="auto"/>
          <w:szCs w:val="21"/>
        </w:rPr>
        <w:t>日</w:t>
      </w:r>
    </w:p>
    <w:p w14:paraId="0CADD9A6">
      <w:pPr>
        <w:snapToGrid w:val="0"/>
        <w:jc w:val="center"/>
        <w:rPr>
          <w:rFonts w:hint="eastAsia" w:ascii="宋体" w:hAnsi="宋体"/>
          <w:b/>
          <w:color w:val="auto"/>
          <w:sz w:val="28"/>
          <w:szCs w:val="28"/>
        </w:rPr>
      </w:pPr>
      <w:r>
        <w:rPr>
          <w:rFonts w:hint="eastAsia" w:ascii="宋体" w:hAnsi="宋体"/>
          <w:b/>
          <w:color w:val="auto"/>
          <w:sz w:val="28"/>
          <w:szCs w:val="28"/>
        </w:rPr>
        <w:br w:type="page"/>
      </w:r>
    </w:p>
    <w:p w14:paraId="04837B4B">
      <w:pPr>
        <w:snapToGrid w:val="0"/>
        <w:spacing w:line="360" w:lineRule="auto"/>
        <w:jc w:val="left"/>
        <w:rPr>
          <w:color w:val="auto"/>
          <w:szCs w:val="21"/>
        </w:rPr>
      </w:pPr>
      <w:r>
        <w:rPr>
          <w:color w:val="auto"/>
          <w:szCs w:val="21"/>
        </w:rPr>
        <w:t>7.2</w:t>
      </w:r>
      <w:r>
        <w:rPr>
          <w:rFonts w:hint="eastAsia"/>
          <w:color w:val="auto"/>
          <w:szCs w:val="21"/>
        </w:rPr>
        <w:t>投标人直接管理关系信息表</w:t>
      </w:r>
    </w:p>
    <w:tbl>
      <w:tblPr>
        <w:tblStyle w:val="51"/>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6691640D">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31D9262">
            <w:pPr>
              <w:spacing w:line="360" w:lineRule="auto"/>
              <w:jc w:val="center"/>
              <w:rPr>
                <w:color w:val="auto"/>
                <w:szCs w:val="21"/>
              </w:rPr>
            </w:pPr>
            <w:r>
              <w:rPr>
                <w:rFonts w:hint="eastAsia"/>
                <w:color w:val="auto"/>
                <w:szCs w:val="21"/>
              </w:rPr>
              <w:t>序号</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085A4E6">
            <w:pPr>
              <w:spacing w:line="360" w:lineRule="auto"/>
              <w:jc w:val="center"/>
              <w:rPr>
                <w:color w:val="auto"/>
                <w:szCs w:val="21"/>
              </w:rPr>
            </w:pPr>
            <w:r>
              <w:rPr>
                <w:rFonts w:hint="eastAsia"/>
                <w:color w:val="auto"/>
                <w:szCs w:val="21"/>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213E998">
            <w:pPr>
              <w:spacing w:line="360" w:lineRule="auto"/>
              <w:jc w:val="center"/>
              <w:rPr>
                <w:color w:val="auto"/>
                <w:szCs w:val="21"/>
              </w:rPr>
            </w:pPr>
            <w:r>
              <w:rPr>
                <w:rFonts w:hint="eastAsia"/>
                <w:color w:val="auto"/>
                <w:szCs w:val="21"/>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0F51E1F">
            <w:pPr>
              <w:spacing w:line="360" w:lineRule="auto"/>
              <w:jc w:val="center"/>
              <w:rPr>
                <w:color w:val="auto"/>
                <w:szCs w:val="21"/>
              </w:rPr>
            </w:pPr>
            <w:r>
              <w:rPr>
                <w:rFonts w:hint="eastAsia"/>
                <w:color w:val="auto"/>
                <w:szCs w:val="21"/>
              </w:rPr>
              <w:t>备注</w:t>
            </w:r>
          </w:p>
        </w:tc>
      </w:tr>
      <w:tr w14:paraId="43B91773">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2B840EE">
            <w:pPr>
              <w:spacing w:line="360" w:lineRule="auto"/>
              <w:jc w:val="center"/>
              <w:rPr>
                <w:color w:val="auto"/>
                <w:szCs w:val="21"/>
              </w:rPr>
            </w:pPr>
            <w:r>
              <w:rPr>
                <w:color w:val="auto"/>
                <w:szCs w:val="21"/>
              </w:rPr>
              <w:t>1</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19FCE1E">
            <w:pPr>
              <w:spacing w:line="360" w:lineRule="auto"/>
              <w:jc w:val="center"/>
              <w:rPr>
                <w:color w:val="auto"/>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AB31EDB">
            <w:pPr>
              <w:spacing w:line="360" w:lineRule="auto"/>
              <w:jc w:val="center"/>
              <w:rPr>
                <w:color w:val="auto"/>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4B375C1">
            <w:pPr>
              <w:spacing w:line="360" w:lineRule="auto"/>
              <w:jc w:val="center"/>
              <w:rPr>
                <w:color w:val="auto"/>
                <w:szCs w:val="21"/>
              </w:rPr>
            </w:pPr>
          </w:p>
        </w:tc>
      </w:tr>
      <w:tr w14:paraId="00942237">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EC5624E">
            <w:pPr>
              <w:spacing w:line="360" w:lineRule="auto"/>
              <w:jc w:val="center"/>
              <w:rPr>
                <w:color w:val="auto"/>
                <w:szCs w:val="21"/>
              </w:rPr>
            </w:pPr>
            <w:r>
              <w:rPr>
                <w:color w:val="auto"/>
                <w:szCs w:val="21"/>
              </w:rPr>
              <w:t>2</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55927C5">
            <w:pPr>
              <w:spacing w:line="360" w:lineRule="auto"/>
              <w:jc w:val="center"/>
              <w:rPr>
                <w:color w:val="auto"/>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8579DD0">
            <w:pPr>
              <w:spacing w:line="360" w:lineRule="auto"/>
              <w:jc w:val="center"/>
              <w:rPr>
                <w:color w:val="auto"/>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44E07F5">
            <w:pPr>
              <w:spacing w:line="360" w:lineRule="auto"/>
              <w:jc w:val="center"/>
              <w:rPr>
                <w:color w:val="auto"/>
                <w:szCs w:val="21"/>
              </w:rPr>
            </w:pPr>
          </w:p>
        </w:tc>
      </w:tr>
      <w:tr w14:paraId="61C5DC4A">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DF15426">
            <w:pPr>
              <w:spacing w:line="360" w:lineRule="auto"/>
              <w:jc w:val="center"/>
              <w:rPr>
                <w:color w:val="auto"/>
                <w:szCs w:val="21"/>
              </w:rPr>
            </w:pPr>
            <w:r>
              <w:rPr>
                <w:color w:val="auto"/>
                <w:szCs w:val="21"/>
              </w:rPr>
              <w:t>3</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E360A2D">
            <w:pPr>
              <w:spacing w:line="360" w:lineRule="auto"/>
              <w:jc w:val="center"/>
              <w:rPr>
                <w:color w:val="auto"/>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A313385">
            <w:pPr>
              <w:spacing w:line="360" w:lineRule="auto"/>
              <w:jc w:val="center"/>
              <w:rPr>
                <w:color w:val="auto"/>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C92409F">
            <w:pPr>
              <w:spacing w:line="360" w:lineRule="auto"/>
              <w:jc w:val="center"/>
              <w:rPr>
                <w:color w:val="auto"/>
                <w:szCs w:val="21"/>
              </w:rPr>
            </w:pPr>
          </w:p>
        </w:tc>
      </w:tr>
      <w:tr w14:paraId="5D088482">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EA0FC7D">
            <w:pPr>
              <w:spacing w:line="360" w:lineRule="auto"/>
              <w:jc w:val="center"/>
              <w:rPr>
                <w:color w:val="auto"/>
                <w:szCs w:val="21"/>
              </w:rPr>
            </w:pPr>
            <w:r>
              <w:rPr>
                <w:rFonts w:hint="eastAsia"/>
                <w:color w:val="auto"/>
                <w:szCs w:val="21"/>
              </w:rPr>
              <w:t>……</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103400D">
            <w:pPr>
              <w:spacing w:line="360" w:lineRule="auto"/>
              <w:jc w:val="center"/>
              <w:rPr>
                <w:color w:val="auto"/>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4BCD0EA">
            <w:pPr>
              <w:spacing w:line="360" w:lineRule="auto"/>
              <w:jc w:val="center"/>
              <w:rPr>
                <w:color w:val="auto"/>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AA7A8EF">
            <w:pPr>
              <w:spacing w:line="360" w:lineRule="auto"/>
              <w:jc w:val="center"/>
              <w:rPr>
                <w:color w:val="auto"/>
                <w:szCs w:val="21"/>
              </w:rPr>
            </w:pPr>
          </w:p>
        </w:tc>
      </w:tr>
    </w:tbl>
    <w:p w14:paraId="2AD04519">
      <w:pPr>
        <w:snapToGrid w:val="0"/>
        <w:spacing w:line="360" w:lineRule="auto"/>
        <w:jc w:val="left"/>
        <w:rPr>
          <w:color w:val="auto"/>
          <w:szCs w:val="21"/>
        </w:rPr>
      </w:pPr>
      <w:r>
        <w:rPr>
          <w:rFonts w:hint="eastAsia"/>
          <w:color w:val="auto"/>
          <w:szCs w:val="21"/>
        </w:rPr>
        <w:t>注：</w:t>
      </w:r>
    </w:p>
    <w:p w14:paraId="12F789B4">
      <w:pPr>
        <w:snapToGrid w:val="0"/>
        <w:spacing w:line="360" w:lineRule="auto"/>
        <w:ind w:firstLine="420" w:firstLineChars="200"/>
        <w:jc w:val="left"/>
        <w:rPr>
          <w:color w:val="auto"/>
          <w:szCs w:val="21"/>
        </w:rPr>
      </w:pPr>
      <w:r>
        <w:rPr>
          <w:color w:val="auto"/>
          <w:szCs w:val="21"/>
        </w:rPr>
        <w:t>1.</w:t>
      </w:r>
      <w:r>
        <w:rPr>
          <w:rFonts w:hint="eastAsia"/>
          <w:color w:val="auto"/>
          <w:szCs w:val="21"/>
        </w:rPr>
        <w:t>管理关系：是指不具有出资持股关系的其他单位之间存在的管理与被管理关系，如一些上下级关系的事业单位和团体组织。</w:t>
      </w:r>
    </w:p>
    <w:p w14:paraId="3D6A8C04">
      <w:pPr>
        <w:snapToGrid w:val="0"/>
        <w:spacing w:line="360" w:lineRule="auto"/>
        <w:ind w:firstLine="420" w:firstLineChars="200"/>
        <w:jc w:val="left"/>
        <w:rPr>
          <w:color w:val="auto"/>
          <w:szCs w:val="21"/>
        </w:rPr>
      </w:pPr>
      <w:r>
        <w:rPr>
          <w:color w:val="auto"/>
          <w:szCs w:val="21"/>
        </w:rPr>
        <w:t>2.</w:t>
      </w:r>
      <w:r>
        <w:rPr>
          <w:rFonts w:hint="eastAsia"/>
          <w:color w:val="auto"/>
          <w:szCs w:val="21"/>
        </w:rPr>
        <w:t>本表所指的管理关系仅限于直接管理关系，不包括间接的管理关系。</w:t>
      </w:r>
    </w:p>
    <w:p w14:paraId="3B8A5630">
      <w:pPr>
        <w:snapToGrid w:val="0"/>
        <w:spacing w:line="360" w:lineRule="auto"/>
        <w:ind w:firstLine="420" w:firstLineChars="200"/>
        <w:jc w:val="left"/>
        <w:rPr>
          <w:color w:val="auto"/>
          <w:szCs w:val="21"/>
        </w:rPr>
      </w:pPr>
      <w:r>
        <w:rPr>
          <w:color w:val="auto"/>
          <w:szCs w:val="21"/>
        </w:rPr>
        <w:t>3.</w:t>
      </w:r>
      <w:r>
        <w:rPr>
          <w:rFonts w:hint="eastAsia"/>
          <w:color w:val="auto"/>
          <w:szCs w:val="21"/>
        </w:rPr>
        <w:t>供应商不存在直接管理关系的，则填“无”。</w:t>
      </w:r>
    </w:p>
    <w:p w14:paraId="45193605">
      <w:pPr>
        <w:snapToGrid w:val="0"/>
        <w:spacing w:line="360" w:lineRule="auto"/>
        <w:jc w:val="left"/>
        <w:rPr>
          <w:color w:val="auto"/>
          <w:szCs w:val="21"/>
        </w:rPr>
      </w:pPr>
    </w:p>
    <w:p w14:paraId="733A3BB3">
      <w:pPr>
        <w:snapToGrid w:val="0"/>
        <w:spacing w:line="360" w:lineRule="auto"/>
        <w:jc w:val="left"/>
        <w:rPr>
          <w:color w:val="auto"/>
          <w:szCs w:val="21"/>
        </w:rPr>
      </w:pPr>
    </w:p>
    <w:p w14:paraId="1C1132B9">
      <w:pPr>
        <w:snapToGrid w:val="0"/>
        <w:spacing w:line="360" w:lineRule="auto"/>
        <w:jc w:val="left"/>
        <w:rPr>
          <w:color w:val="auto"/>
          <w:szCs w:val="21"/>
        </w:rPr>
      </w:pPr>
    </w:p>
    <w:p w14:paraId="5AD39DE0">
      <w:pPr>
        <w:snapToGrid w:val="0"/>
        <w:spacing w:line="360" w:lineRule="auto"/>
        <w:jc w:val="left"/>
        <w:rPr>
          <w:color w:val="auto"/>
          <w:szCs w:val="21"/>
        </w:rPr>
      </w:pPr>
    </w:p>
    <w:p w14:paraId="035C7CD6">
      <w:pPr>
        <w:snapToGrid w:val="0"/>
        <w:spacing w:line="360" w:lineRule="auto"/>
        <w:jc w:val="left"/>
        <w:rPr>
          <w:color w:val="auto"/>
          <w:szCs w:val="21"/>
        </w:rPr>
      </w:pPr>
    </w:p>
    <w:p w14:paraId="0E2DC4C8">
      <w:pPr>
        <w:snapToGrid w:val="0"/>
        <w:spacing w:line="360" w:lineRule="auto"/>
        <w:jc w:val="left"/>
        <w:rPr>
          <w:color w:val="auto"/>
          <w:szCs w:val="21"/>
        </w:rPr>
      </w:pPr>
    </w:p>
    <w:p w14:paraId="0CE2F87D">
      <w:pPr>
        <w:snapToGrid w:val="0"/>
        <w:spacing w:line="360" w:lineRule="auto"/>
        <w:jc w:val="left"/>
        <w:rPr>
          <w:color w:val="auto"/>
          <w:szCs w:val="21"/>
        </w:rPr>
      </w:pPr>
    </w:p>
    <w:p w14:paraId="7A637FFD">
      <w:pPr>
        <w:snapToGrid w:val="0"/>
        <w:spacing w:line="360" w:lineRule="auto"/>
        <w:jc w:val="left"/>
        <w:rPr>
          <w:color w:val="auto"/>
          <w:szCs w:val="21"/>
        </w:rPr>
      </w:pPr>
    </w:p>
    <w:p w14:paraId="56321009">
      <w:pPr>
        <w:snapToGrid w:val="0"/>
        <w:spacing w:line="360" w:lineRule="auto"/>
        <w:ind w:firstLine="4410" w:firstLineChars="2100"/>
        <w:rPr>
          <w:color w:val="auto"/>
          <w:szCs w:val="21"/>
        </w:rPr>
      </w:pPr>
      <w:r>
        <w:rPr>
          <w:rFonts w:hint="eastAsia"/>
          <w:color w:val="auto"/>
          <w:szCs w:val="21"/>
        </w:rPr>
        <w:t>供应商名称</w:t>
      </w:r>
      <w:r>
        <w:rPr>
          <w:color w:val="auto"/>
          <w:szCs w:val="21"/>
        </w:rPr>
        <w:t>(</w:t>
      </w:r>
      <w:r>
        <w:rPr>
          <w:rFonts w:hint="eastAsia"/>
          <w:color w:val="auto"/>
          <w:szCs w:val="21"/>
        </w:rPr>
        <w:t>电子签章</w:t>
      </w:r>
      <w:r>
        <w:rPr>
          <w:color w:val="auto"/>
          <w:szCs w:val="21"/>
        </w:rPr>
        <w:t>)</w:t>
      </w:r>
      <w:r>
        <w:rPr>
          <w:rFonts w:hint="eastAsia"/>
          <w:color w:val="auto"/>
          <w:szCs w:val="21"/>
        </w:rPr>
        <w:t>：</w:t>
      </w:r>
    </w:p>
    <w:p w14:paraId="599DFE50">
      <w:pPr>
        <w:snapToGrid w:val="0"/>
        <w:spacing w:line="360" w:lineRule="auto"/>
        <w:ind w:firstLine="4515" w:firstLineChars="2150"/>
        <w:rPr>
          <w:color w:val="auto"/>
          <w:szCs w:val="21"/>
        </w:rPr>
      </w:pPr>
      <w:r>
        <w:rPr>
          <w:rFonts w:hint="eastAsia"/>
          <w:color w:val="auto"/>
          <w:szCs w:val="21"/>
        </w:rPr>
        <w:t>日期：</w:t>
      </w:r>
      <w:r>
        <w:rPr>
          <w:color w:val="auto"/>
          <w:szCs w:val="21"/>
        </w:rPr>
        <w:t xml:space="preserve">  </w:t>
      </w:r>
      <w:r>
        <w:rPr>
          <w:rFonts w:hint="eastAsia"/>
          <w:color w:val="auto"/>
          <w:szCs w:val="21"/>
        </w:rPr>
        <w:t>年</w:t>
      </w:r>
      <w:r>
        <w:rPr>
          <w:color w:val="auto"/>
          <w:szCs w:val="21"/>
        </w:rPr>
        <w:t xml:space="preserve">  </w:t>
      </w:r>
      <w:r>
        <w:rPr>
          <w:rFonts w:hint="eastAsia"/>
          <w:color w:val="auto"/>
          <w:szCs w:val="21"/>
        </w:rPr>
        <w:t>月</w:t>
      </w:r>
      <w:r>
        <w:rPr>
          <w:color w:val="auto"/>
          <w:szCs w:val="21"/>
        </w:rPr>
        <w:t xml:space="preserve">   </w:t>
      </w:r>
      <w:r>
        <w:rPr>
          <w:rFonts w:hint="eastAsia"/>
          <w:color w:val="auto"/>
          <w:szCs w:val="21"/>
        </w:rPr>
        <w:t>日</w:t>
      </w:r>
    </w:p>
    <w:p w14:paraId="1D32231F">
      <w:pPr>
        <w:snapToGrid w:val="0"/>
        <w:spacing w:before="50" w:after="120" w:afterLines="50" w:line="440" w:lineRule="exact"/>
        <w:jc w:val="left"/>
        <w:rPr>
          <w:color w:val="auto"/>
          <w:szCs w:val="21"/>
        </w:rPr>
      </w:pPr>
    </w:p>
    <w:bookmarkEnd w:id="151"/>
    <w:p w14:paraId="277A30DC">
      <w:pPr>
        <w:widowControl/>
        <w:jc w:val="left"/>
        <w:rPr>
          <w:color w:val="auto"/>
          <w:szCs w:val="21"/>
        </w:rPr>
      </w:pPr>
      <w:r>
        <w:rPr>
          <w:color w:val="auto"/>
          <w:szCs w:val="21"/>
        </w:rPr>
        <w:br w:type="page"/>
      </w:r>
      <w:bookmarkStart w:id="152" w:name="_Hlk65854557"/>
      <w:bookmarkStart w:id="153" w:name="_Hlk60652166"/>
      <w:bookmarkStart w:id="154" w:name="_Hlk65852070"/>
    </w:p>
    <w:bookmarkEnd w:id="152"/>
    <w:bookmarkEnd w:id="153"/>
    <w:p w14:paraId="15B11E2C">
      <w:pPr>
        <w:snapToGrid w:val="0"/>
        <w:spacing w:before="50" w:after="120" w:afterLines="50" w:line="400" w:lineRule="exact"/>
        <w:jc w:val="left"/>
        <w:rPr>
          <w:color w:val="auto"/>
          <w:szCs w:val="21"/>
        </w:rPr>
      </w:pPr>
      <w:r>
        <w:rPr>
          <w:color w:val="auto"/>
          <w:szCs w:val="21"/>
        </w:rPr>
        <w:t>8．投标保证金缴纳证明</w:t>
      </w:r>
      <w:r>
        <w:rPr>
          <w:rFonts w:hint="eastAsia"/>
          <w:color w:val="auto"/>
          <w:szCs w:val="21"/>
        </w:rPr>
        <w:t>。</w:t>
      </w:r>
      <w:r>
        <w:rPr>
          <w:rFonts w:hint="eastAsia"/>
          <w:b/>
          <w:color w:val="auto"/>
          <w:szCs w:val="21"/>
        </w:rPr>
        <w:t>（如招标文件有要求时提供）</w:t>
      </w:r>
    </w:p>
    <w:p w14:paraId="46DF44F1">
      <w:pPr>
        <w:snapToGrid w:val="0"/>
        <w:spacing w:before="50" w:after="120" w:afterLines="50" w:line="440" w:lineRule="exact"/>
        <w:jc w:val="left"/>
        <w:rPr>
          <w:color w:val="auto"/>
        </w:rPr>
      </w:pPr>
      <w:r>
        <w:rPr>
          <w:rFonts w:hint="eastAsia"/>
          <w:color w:val="auto"/>
        </w:rPr>
        <w:t>以转账、电汇形式缴纳的，提供转账、电汇凭证扫描件或复印件（网银可提供截图）</w:t>
      </w:r>
      <w:r>
        <w:rPr>
          <w:color w:val="auto"/>
        </w:rPr>
        <w:t>加盖</w:t>
      </w:r>
      <w:r>
        <w:rPr>
          <w:color w:val="auto"/>
          <w:szCs w:val="21"/>
        </w:rPr>
        <w:t>供应商</w:t>
      </w:r>
      <w:r>
        <w:rPr>
          <w:rFonts w:hint="eastAsia"/>
          <w:color w:val="auto"/>
          <w:szCs w:val="21"/>
        </w:rPr>
        <w:t>电子签章</w:t>
      </w:r>
      <w:r>
        <w:rPr>
          <w:rFonts w:hint="eastAsia"/>
          <w:color w:val="auto"/>
        </w:rPr>
        <w:t>；</w:t>
      </w:r>
    </w:p>
    <w:p w14:paraId="7E64ABE9">
      <w:pPr>
        <w:snapToGrid w:val="0"/>
        <w:spacing w:before="50" w:after="120" w:afterLines="50" w:line="440" w:lineRule="exact"/>
        <w:jc w:val="left"/>
        <w:rPr>
          <w:color w:val="auto"/>
        </w:rPr>
      </w:pPr>
      <w:r>
        <w:rPr>
          <w:rFonts w:hint="eastAsia"/>
          <w:color w:val="auto"/>
        </w:rPr>
        <w:t>以其他非现金形式缴纳的，提供原件扫描件或</w:t>
      </w:r>
      <w:r>
        <w:rPr>
          <w:color w:val="auto"/>
        </w:rPr>
        <w:t>复印件加盖</w:t>
      </w:r>
      <w:r>
        <w:rPr>
          <w:color w:val="auto"/>
          <w:szCs w:val="21"/>
        </w:rPr>
        <w:t>供应商</w:t>
      </w:r>
      <w:r>
        <w:rPr>
          <w:rFonts w:hint="eastAsia"/>
          <w:color w:val="auto"/>
          <w:szCs w:val="21"/>
        </w:rPr>
        <w:t>电子签章</w:t>
      </w:r>
      <w:r>
        <w:rPr>
          <w:rFonts w:hint="eastAsia"/>
          <w:color w:val="auto"/>
        </w:rPr>
        <w:t>。</w:t>
      </w:r>
    </w:p>
    <w:p w14:paraId="77240C17">
      <w:pPr>
        <w:snapToGrid w:val="0"/>
        <w:spacing w:before="50" w:after="120" w:afterLines="50"/>
        <w:jc w:val="left"/>
        <w:rPr>
          <w:color w:val="auto"/>
          <w:szCs w:val="21"/>
        </w:rPr>
      </w:pPr>
    </w:p>
    <w:p w14:paraId="3CF0D7B3">
      <w:pPr>
        <w:snapToGrid w:val="0"/>
        <w:spacing w:before="50" w:after="120" w:afterLines="50"/>
        <w:jc w:val="left"/>
        <w:rPr>
          <w:color w:val="auto"/>
          <w:szCs w:val="21"/>
        </w:rPr>
      </w:pPr>
      <w:r>
        <w:rPr>
          <w:color w:val="auto"/>
          <w:szCs w:val="21"/>
        </w:rPr>
        <w:t>9．供应商认为应当要提交的</w:t>
      </w:r>
      <w:r>
        <w:rPr>
          <w:rFonts w:hint="eastAsia"/>
          <w:color w:val="auto"/>
          <w:szCs w:val="21"/>
        </w:rPr>
        <w:t>其他</w:t>
      </w:r>
      <w:r>
        <w:rPr>
          <w:color w:val="auto"/>
          <w:szCs w:val="21"/>
        </w:rPr>
        <w:t>资格证明材料。</w:t>
      </w:r>
      <w:r>
        <w:rPr>
          <w:bCs/>
          <w:color w:val="auto"/>
          <w:sz w:val="24"/>
        </w:rPr>
        <w:t xml:space="preserve"> </w:t>
      </w:r>
    </w:p>
    <w:p w14:paraId="7E8FC5EA">
      <w:pPr>
        <w:spacing w:line="276" w:lineRule="auto"/>
        <w:rPr>
          <w:color w:val="auto"/>
          <w:szCs w:val="21"/>
        </w:rPr>
      </w:pPr>
    </w:p>
    <w:p w14:paraId="6CA8A4AE">
      <w:pPr>
        <w:widowControl/>
        <w:jc w:val="left"/>
        <w:rPr>
          <w:color w:val="auto"/>
          <w:szCs w:val="21"/>
        </w:rPr>
      </w:pPr>
      <w:r>
        <w:rPr>
          <w:color w:val="auto"/>
          <w:szCs w:val="21"/>
        </w:rPr>
        <w:br w:type="page"/>
      </w:r>
      <w:bookmarkEnd w:id="154"/>
    </w:p>
    <w:bookmarkEnd w:id="146"/>
    <w:p w14:paraId="1CC29F06">
      <w:pPr>
        <w:snapToGrid w:val="0"/>
        <w:spacing w:before="120" w:beforeLines="50" w:after="50" w:line="440" w:lineRule="exact"/>
        <w:jc w:val="left"/>
        <w:outlineLvl w:val="1"/>
        <w:rPr>
          <w:bCs/>
          <w:color w:val="auto"/>
          <w:sz w:val="24"/>
        </w:rPr>
      </w:pPr>
      <w:r>
        <w:rPr>
          <w:bCs/>
          <w:color w:val="auto"/>
          <w:sz w:val="24"/>
        </w:rPr>
        <w:t>2．投标文件封面参考格式</w:t>
      </w:r>
      <w:r>
        <w:rPr>
          <w:rFonts w:hint="eastAsia"/>
          <w:bCs/>
          <w:color w:val="auto"/>
          <w:sz w:val="24"/>
        </w:rPr>
        <w:t>（商务技术文件）</w:t>
      </w:r>
      <w:r>
        <w:rPr>
          <w:bCs/>
          <w:color w:val="auto"/>
          <w:sz w:val="24"/>
        </w:rPr>
        <w:t xml:space="preserve">： </w:t>
      </w:r>
    </w:p>
    <w:p w14:paraId="715B6DBD">
      <w:pPr>
        <w:snapToGrid w:val="0"/>
        <w:spacing w:before="50" w:after="120" w:afterLines="50" w:line="400" w:lineRule="exact"/>
        <w:jc w:val="left"/>
        <w:rPr>
          <w:bCs/>
          <w:color w:val="auto"/>
          <w:sz w:val="24"/>
        </w:rPr>
      </w:pPr>
    </w:p>
    <w:p w14:paraId="5B8DCD37">
      <w:pPr>
        <w:snapToGrid w:val="0"/>
        <w:spacing w:before="120" w:beforeLines="50" w:after="50" w:line="360" w:lineRule="exact"/>
        <w:rPr>
          <w:color w:val="auto"/>
          <w:sz w:val="24"/>
        </w:rPr>
      </w:pPr>
    </w:p>
    <w:p w14:paraId="6A06A400">
      <w:pPr>
        <w:snapToGrid w:val="0"/>
        <w:spacing w:before="120" w:beforeLines="50" w:after="50" w:line="360" w:lineRule="exact"/>
        <w:jc w:val="center"/>
        <w:rPr>
          <w:bCs/>
          <w:color w:val="auto"/>
          <w:sz w:val="24"/>
        </w:rPr>
      </w:pPr>
    </w:p>
    <w:p w14:paraId="1BCE78DB">
      <w:pPr>
        <w:snapToGrid w:val="0"/>
        <w:spacing w:before="120" w:beforeLines="50" w:after="50" w:line="360" w:lineRule="exact"/>
        <w:jc w:val="center"/>
        <w:rPr>
          <w:b/>
          <w:bCs/>
          <w:color w:val="auto"/>
          <w:sz w:val="44"/>
          <w:szCs w:val="44"/>
        </w:rPr>
      </w:pPr>
      <w:r>
        <w:rPr>
          <w:rFonts w:hint="eastAsia"/>
          <w:b/>
          <w:bCs/>
          <w:color w:val="auto"/>
          <w:sz w:val="44"/>
          <w:szCs w:val="44"/>
        </w:rPr>
        <w:t>电子</w:t>
      </w:r>
      <w:r>
        <w:rPr>
          <w:b/>
          <w:bCs/>
          <w:color w:val="auto"/>
          <w:sz w:val="44"/>
          <w:szCs w:val="44"/>
        </w:rPr>
        <w:t>投标文件</w:t>
      </w:r>
    </w:p>
    <w:p w14:paraId="5AFF2FC4">
      <w:pPr>
        <w:snapToGrid w:val="0"/>
        <w:spacing w:before="120" w:beforeLines="50" w:after="50" w:line="360" w:lineRule="exact"/>
        <w:jc w:val="center"/>
        <w:rPr>
          <w:b/>
          <w:bCs/>
          <w:color w:val="auto"/>
          <w:sz w:val="44"/>
          <w:szCs w:val="44"/>
        </w:rPr>
      </w:pPr>
    </w:p>
    <w:p w14:paraId="0AD8539D">
      <w:pPr>
        <w:snapToGrid w:val="0"/>
        <w:spacing w:before="120" w:beforeLines="50" w:after="50" w:line="360" w:lineRule="exact"/>
        <w:jc w:val="center"/>
        <w:rPr>
          <w:b/>
          <w:bCs/>
          <w:color w:val="auto"/>
          <w:sz w:val="44"/>
          <w:szCs w:val="44"/>
        </w:rPr>
      </w:pPr>
    </w:p>
    <w:p w14:paraId="280C669C">
      <w:pPr>
        <w:snapToGrid w:val="0"/>
        <w:spacing w:before="120" w:beforeLines="50" w:after="50" w:line="360" w:lineRule="exact"/>
        <w:jc w:val="center"/>
        <w:rPr>
          <w:b/>
          <w:bCs/>
          <w:color w:val="auto"/>
          <w:sz w:val="44"/>
          <w:szCs w:val="44"/>
        </w:rPr>
      </w:pPr>
      <w:r>
        <w:rPr>
          <w:b/>
          <w:bCs/>
          <w:color w:val="auto"/>
          <w:sz w:val="44"/>
          <w:szCs w:val="44"/>
        </w:rPr>
        <w:t xml:space="preserve"> 商务技术文件</w:t>
      </w:r>
    </w:p>
    <w:p w14:paraId="7EC92777">
      <w:pPr>
        <w:snapToGrid w:val="0"/>
        <w:spacing w:before="120" w:beforeLines="50" w:after="50" w:line="360" w:lineRule="exact"/>
        <w:rPr>
          <w:bCs/>
          <w:color w:val="auto"/>
          <w:sz w:val="24"/>
        </w:rPr>
      </w:pPr>
    </w:p>
    <w:p w14:paraId="05FBF44C">
      <w:pPr>
        <w:snapToGrid w:val="0"/>
        <w:spacing w:before="120" w:beforeLines="50" w:after="50" w:line="360" w:lineRule="exact"/>
        <w:rPr>
          <w:bCs/>
          <w:color w:val="auto"/>
          <w:sz w:val="24"/>
        </w:rPr>
      </w:pPr>
    </w:p>
    <w:p w14:paraId="2DD7C906">
      <w:pPr>
        <w:snapToGrid w:val="0"/>
        <w:spacing w:before="120" w:beforeLines="50" w:after="50" w:line="360" w:lineRule="exact"/>
        <w:rPr>
          <w:bCs/>
          <w:color w:val="auto"/>
          <w:sz w:val="24"/>
        </w:rPr>
      </w:pPr>
    </w:p>
    <w:p w14:paraId="4A47B49C">
      <w:pPr>
        <w:snapToGrid w:val="0"/>
        <w:spacing w:before="120" w:beforeLines="50" w:after="50" w:line="360" w:lineRule="exact"/>
        <w:ind w:firstLine="720" w:firstLineChars="300"/>
        <w:rPr>
          <w:bCs/>
          <w:color w:val="auto"/>
          <w:sz w:val="24"/>
        </w:rPr>
      </w:pPr>
      <w:r>
        <w:rPr>
          <w:bCs/>
          <w:color w:val="auto"/>
          <w:sz w:val="24"/>
        </w:rPr>
        <w:t xml:space="preserve">项目名称： </w:t>
      </w:r>
    </w:p>
    <w:p w14:paraId="3BE89ED0">
      <w:pPr>
        <w:snapToGrid w:val="0"/>
        <w:spacing w:before="120" w:beforeLines="50" w:after="50" w:line="360" w:lineRule="exact"/>
        <w:ind w:firstLine="720" w:firstLineChars="300"/>
        <w:rPr>
          <w:bCs/>
          <w:color w:val="auto"/>
          <w:sz w:val="24"/>
        </w:rPr>
      </w:pPr>
      <w:r>
        <w:rPr>
          <w:bCs/>
          <w:color w:val="auto"/>
          <w:sz w:val="24"/>
        </w:rPr>
        <w:t>项目编号：</w:t>
      </w:r>
    </w:p>
    <w:p w14:paraId="662158BE">
      <w:pPr>
        <w:snapToGrid w:val="0"/>
        <w:spacing w:before="120" w:beforeLines="50" w:after="50" w:line="360" w:lineRule="exact"/>
        <w:ind w:firstLine="720" w:firstLineChars="300"/>
        <w:rPr>
          <w:bCs/>
          <w:color w:val="auto"/>
          <w:sz w:val="24"/>
        </w:rPr>
      </w:pPr>
      <w:r>
        <w:rPr>
          <w:bCs/>
          <w:color w:val="auto"/>
          <w:sz w:val="24"/>
        </w:rPr>
        <w:t>分标号：（若无</w:t>
      </w:r>
      <w:r>
        <w:rPr>
          <w:rFonts w:hint="eastAsia"/>
          <w:bCs/>
          <w:color w:val="auto"/>
          <w:sz w:val="24"/>
        </w:rPr>
        <w:t>留空或写</w:t>
      </w:r>
      <w:r>
        <w:rPr>
          <w:bCs/>
          <w:color w:val="auto"/>
          <w:sz w:val="24"/>
        </w:rPr>
        <w:t>“/”）</w:t>
      </w:r>
    </w:p>
    <w:p w14:paraId="2856604B">
      <w:pPr>
        <w:snapToGrid w:val="0"/>
        <w:spacing w:before="120" w:beforeLines="50" w:after="50" w:line="360" w:lineRule="exact"/>
        <w:ind w:firstLine="720" w:firstLineChars="300"/>
        <w:rPr>
          <w:bCs/>
          <w:color w:val="auto"/>
          <w:sz w:val="24"/>
        </w:rPr>
      </w:pPr>
      <w:r>
        <w:rPr>
          <w:bCs/>
          <w:color w:val="auto"/>
          <w:sz w:val="24"/>
        </w:rPr>
        <w:t>供应商名称：</w:t>
      </w:r>
    </w:p>
    <w:p w14:paraId="14B8ECF9">
      <w:pPr>
        <w:snapToGrid w:val="0"/>
        <w:spacing w:before="120" w:beforeLines="50" w:after="50" w:line="360" w:lineRule="exact"/>
        <w:ind w:firstLine="720" w:firstLineChars="300"/>
        <w:rPr>
          <w:bCs/>
          <w:color w:val="auto"/>
          <w:sz w:val="24"/>
        </w:rPr>
      </w:pPr>
      <w:r>
        <w:rPr>
          <w:bCs/>
          <w:color w:val="auto"/>
          <w:sz w:val="24"/>
        </w:rPr>
        <w:t>供应商地址：</w:t>
      </w:r>
    </w:p>
    <w:p w14:paraId="1567CA20">
      <w:pPr>
        <w:snapToGrid w:val="0"/>
        <w:spacing w:before="120" w:beforeLines="50" w:after="50" w:line="360" w:lineRule="exact"/>
        <w:ind w:firstLine="720" w:firstLineChars="300"/>
        <w:rPr>
          <w:bCs/>
          <w:color w:val="auto"/>
          <w:sz w:val="24"/>
        </w:rPr>
      </w:pPr>
    </w:p>
    <w:p w14:paraId="49C1F3E8">
      <w:pPr>
        <w:pStyle w:val="7"/>
        <w:snapToGrid w:val="0"/>
        <w:spacing w:before="50" w:after="50" w:line="360" w:lineRule="exact"/>
        <w:ind w:firstLine="960" w:firstLineChars="400"/>
        <w:rPr>
          <w:bCs/>
          <w:color w:val="auto"/>
          <w:sz w:val="24"/>
          <w:szCs w:val="24"/>
        </w:rPr>
      </w:pPr>
    </w:p>
    <w:p w14:paraId="30B6F3A8">
      <w:pPr>
        <w:snapToGrid w:val="0"/>
        <w:spacing w:before="120" w:beforeLines="50" w:after="50" w:line="360" w:lineRule="exact"/>
        <w:jc w:val="center"/>
        <w:rPr>
          <w:color w:val="auto"/>
          <w:sz w:val="24"/>
        </w:rPr>
      </w:pPr>
      <w:r>
        <w:rPr>
          <w:color w:val="auto"/>
          <w:sz w:val="24"/>
        </w:rPr>
        <w:t xml:space="preserve">                        年  月  日</w:t>
      </w:r>
    </w:p>
    <w:p w14:paraId="75AE4ED7">
      <w:pPr>
        <w:rPr>
          <w:color w:val="auto"/>
        </w:rPr>
      </w:pPr>
      <w:r>
        <w:rPr>
          <w:color w:val="auto"/>
        </w:rPr>
        <w:br w:type="page"/>
      </w:r>
    </w:p>
    <w:p w14:paraId="3B139401">
      <w:pPr>
        <w:snapToGrid w:val="0"/>
        <w:spacing w:before="50" w:after="50" w:line="440" w:lineRule="exact"/>
        <w:ind w:firstLine="138" w:firstLineChars="49"/>
        <w:jc w:val="center"/>
        <w:rPr>
          <w:b/>
          <w:color w:val="auto"/>
          <w:sz w:val="28"/>
          <w:szCs w:val="28"/>
        </w:rPr>
      </w:pPr>
      <w:r>
        <w:rPr>
          <w:b/>
          <w:color w:val="auto"/>
          <w:sz w:val="28"/>
          <w:szCs w:val="28"/>
        </w:rPr>
        <w:t>目录</w:t>
      </w:r>
    </w:p>
    <w:p w14:paraId="7921B49D">
      <w:pPr>
        <w:snapToGrid w:val="0"/>
        <w:spacing w:before="50" w:after="50" w:line="440" w:lineRule="exact"/>
        <w:ind w:firstLine="118" w:firstLineChars="49"/>
        <w:jc w:val="center"/>
        <w:rPr>
          <w:b/>
          <w:color w:val="auto"/>
          <w:sz w:val="24"/>
        </w:rPr>
      </w:pPr>
      <w:r>
        <w:rPr>
          <w:b/>
          <w:color w:val="auto"/>
          <w:sz w:val="24"/>
        </w:rPr>
        <w:t>（应有页码）</w:t>
      </w:r>
    </w:p>
    <w:p w14:paraId="1D1AEB77">
      <w:pPr>
        <w:rPr>
          <w:b/>
          <w:color w:val="auto"/>
          <w:szCs w:val="21"/>
        </w:rPr>
      </w:pPr>
      <w:r>
        <w:rPr>
          <w:color w:val="auto"/>
        </w:rPr>
        <w:br w:type="page"/>
      </w:r>
      <w:bookmarkStart w:id="155" w:name="_Toc462320613"/>
      <w:bookmarkStart w:id="156" w:name="_Toc462223472"/>
      <w:bookmarkStart w:id="157" w:name="_Toc455309222"/>
      <w:bookmarkStart w:id="158" w:name="_Hlk19114325"/>
      <w:r>
        <w:rPr>
          <w:color w:val="auto"/>
          <w:szCs w:val="21"/>
        </w:rPr>
        <w:t>1．法定代表人身份证明</w:t>
      </w:r>
      <w:r>
        <w:rPr>
          <w:rFonts w:hint="eastAsia"/>
          <w:b/>
          <w:color w:val="auto"/>
          <w:szCs w:val="21"/>
        </w:rPr>
        <w:t>（无授权</w:t>
      </w:r>
      <w:r>
        <w:rPr>
          <w:b/>
          <w:color w:val="auto"/>
          <w:szCs w:val="21"/>
        </w:rPr>
        <w:t>代表</w:t>
      </w:r>
      <w:r>
        <w:rPr>
          <w:rFonts w:hint="eastAsia"/>
          <w:b/>
          <w:color w:val="auto"/>
          <w:szCs w:val="21"/>
        </w:rPr>
        <w:t>时提供）</w:t>
      </w:r>
      <w:r>
        <w:rPr>
          <w:b/>
          <w:color w:val="auto"/>
          <w:szCs w:val="21"/>
        </w:rPr>
        <w:t>：</w:t>
      </w:r>
    </w:p>
    <w:p w14:paraId="2CC7F498">
      <w:pPr>
        <w:snapToGrid w:val="0"/>
        <w:spacing w:before="120" w:beforeLines="50" w:after="50" w:line="440" w:lineRule="exact"/>
        <w:jc w:val="center"/>
        <w:rPr>
          <w:color w:val="auto"/>
          <w:szCs w:val="21"/>
        </w:rPr>
      </w:pPr>
    </w:p>
    <w:p w14:paraId="0DFF462F">
      <w:pPr>
        <w:snapToGrid w:val="0"/>
        <w:spacing w:before="120" w:beforeLines="50" w:after="50" w:line="440" w:lineRule="exact"/>
        <w:jc w:val="center"/>
        <w:rPr>
          <w:b/>
          <w:color w:val="auto"/>
          <w:szCs w:val="21"/>
        </w:rPr>
      </w:pPr>
      <w:r>
        <w:rPr>
          <w:b/>
          <w:color w:val="auto"/>
          <w:szCs w:val="21"/>
        </w:rPr>
        <w:t>法定代表人身份证明</w:t>
      </w:r>
      <w:bookmarkEnd w:id="155"/>
      <w:bookmarkEnd w:id="156"/>
      <w:bookmarkEnd w:id="157"/>
    </w:p>
    <w:p w14:paraId="1534402F">
      <w:pPr>
        <w:spacing w:line="360" w:lineRule="auto"/>
        <w:rPr>
          <w:color w:val="auto"/>
        </w:rPr>
      </w:pPr>
    </w:p>
    <w:p w14:paraId="108F0D04">
      <w:pPr>
        <w:spacing w:line="540" w:lineRule="exact"/>
        <w:rPr>
          <w:color w:val="auto"/>
          <w:szCs w:val="21"/>
        </w:rPr>
      </w:pPr>
      <w:r>
        <w:rPr>
          <w:color w:val="auto"/>
          <w:szCs w:val="21"/>
        </w:rPr>
        <w:t>供应商名称：</w:t>
      </w:r>
      <w:r>
        <w:rPr>
          <w:color w:val="auto"/>
          <w:szCs w:val="21"/>
          <w:u w:val="single"/>
        </w:rPr>
        <w:t xml:space="preserve">                                         </w:t>
      </w:r>
    </w:p>
    <w:p w14:paraId="5AF2FFEF">
      <w:pPr>
        <w:spacing w:line="540" w:lineRule="exact"/>
        <w:rPr>
          <w:color w:val="auto"/>
          <w:szCs w:val="21"/>
        </w:rPr>
      </w:pPr>
      <w:r>
        <w:rPr>
          <w:color w:val="auto"/>
          <w:szCs w:val="21"/>
        </w:rPr>
        <w:t>单位性质：</w:t>
      </w:r>
      <w:r>
        <w:rPr>
          <w:color w:val="auto"/>
          <w:szCs w:val="21"/>
          <w:u w:val="single"/>
        </w:rPr>
        <w:t xml:space="preserve">                                           </w:t>
      </w:r>
    </w:p>
    <w:p w14:paraId="3751577B">
      <w:pPr>
        <w:spacing w:line="540" w:lineRule="exact"/>
        <w:rPr>
          <w:color w:val="auto"/>
          <w:szCs w:val="21"/>
        </w:rPr>
      </w:pPr>
      <w:r>
        <w:rPr>
          <w:color w:val="auto"/>
          <w:szCs w:val="21"/>
        </w:rPr>
        <w:t>地址：</w:t>
      </w:r>
      <w:r>
        <w:rPr>
          <w:color w:val="auto"/>
          <w:szCs w:val="21"/>
          <w:u w:val="single"/>
        </w:rPr>
        <w:t xml:space="preserve">                                               </w:t>
      </w:r>
    </w:p>
    <w:p w14:paraId="4695D37D">
      <w:pPr>
        <w:spacing w:line="540" w:lineRule="exact"/>
        <w:rPr>
          <w:color w:val="auto"/>
          <w:szCs w:val="21"/>
          <w:u w:val="single"/>
        </w:rPr>
      </w:pPr>
      <w:r>
        <w:rPr>
          <w:color w:val="auto"/>
          <w:szCs w:val="21"/>
        </w:rPr>
        <w:t>成立时间：</w:t>
      </w:r>
      <w:r>
        <w:rPr>
          <w:color w:val="auto"/>
          <w:szCs w:val="21"/>
          <w:u w:val="single"/>
        </w:rPr>
        <w:t xml:space="preserve">          年        月        日</w:t>
      </w:r>
    </w:p>
    <w:p w14:paraId="7CDF3906">
      <w:pPr>
        <w:spacing w:line="540" w:lineRule="exact"/>
        <w:rPr>
          <w:color w:val="auto"/>
          <w:szCs w:val="21"/>
        </w:rPr>
      </w:pPr>
      <w:r>
        <w:rPr>
          <w:color w:val="auto"/>
          <w:szCs w:val="21"/>
        </w:rPr>
        <w:t>经营期限：</w:t>
      </w:r>
      <w:r>
        <w:rPr>
          <w:color w:val="auto"/>
          <w:szCs w:val="21"/>
          <w:u w:val="single"/>
        </w:rPr>
        <w:t xml:space="preserve">                                           </w:t>
      </w:r>
    </w:p>
    <w:p w14:paraId="1A9B9A7C">
      <w:pPr>
        <w:spacing w:line="540" w:lineRule="exact"/>
        <w:rPr>
          <w:color w:val="auto"/>
          <w:szCs w:val="21"/>
        </w:rPr>
      </w:pPr>
      <w:r>
        <w:rPr>
          <w:color w:val="auto"/>
          <w:szCs w:val="21"/>
        </w:rPr>
        <w:t>姓名：</w:t>
      </w:r>
      <w:r>
        <w:rPr>
          <w:color w:val="auto"/>
          <w:szCs w:val="21"/>
          <w:u w:val="single"/>
        </w:rPr>
        <w:t xml:space="preserve">                   </w:t>
      </w:r>
      <w:r>
        <w:rPr>
          <w:color w:val="auto"/>
          <w:szCs w:val="21"/>
        </w:rPr>
        <w:t>；性别：</w:t>
      </w:r>
      <w:r>
        <w:rPr>
          <w:color w:val="auto"/>
          <w:szCs w:val="21"/>
          <w:u w:val="single"/>
        </w:rPr>
        <w:t xml:space="preserve">              </w:t>
      </w:r>
      <w:r>
        <w:rPr>
          <w:color w:val="auto"/>
          <w:szCs w:val="21"/>
        </w:rPr>
        <w:t xml:space="preserve">        </w:t>
      </w:r>
    </w:p>
    <w:p w14:paraId="5E8251E6">
      <w:pPr>
        <w:spacing w:line="540" w:lineRule="exact"/>
        <w:rPr>
          <w:color w:val="auto"/>
          <w:szCs w:val="21"/>
        </w:rPr>
      </w:pPr>
      <w:r>
        <w:rPr>
          <w:color w:val="auto"/>
          <w:szCs w:val="21"/>
        </w:rPr>
        <w:t>年龄：</w:t>
      </w:r>
      <w:r>
        <w:rPr>
          <w:color w:val="auto"/>
          <w:szCs w:val="21"/>
          <w:u w:val="single"/>
        </w:rPr>
        <w:t xml:space="preserve">         </w:t>
      </w:r>
      <w:r>
        <w:rPr>
          <w:color w:val="auto"/>
          <w:szCs w:val="21"/>
        </w:rPr>
        <w:t>；职务：</w:t>
      </w:r>
      <w:r>
        <w:rPr>
          <w:color w:val="auto"/>
          <w:szCs w:val="21"/>
          <w:u w:val="single"/>
        </w:rPr>
        <w:t xml:space="preserve">              </w:t>
      </w:r>
      <w:r>
        <w:rPr>
          <w:color w:val="auto"/>
          <w:szCs w:val="21"/>
        </w:rPr>
        <w:t>；身份证：</w:t>
      </w:r>
      <w:r>
        <w:rPr>
          <w:color w:val="auto"/>
          <w:szCs w:val="21"/>
          <w:u w:val="single"/>
        </w:rPr>
        <w:t xml:space="preserve">                                      </w:t>
      </w:r>
    </w:p>
    <w:p w14:paraId="488CD000">
      <w:pPr>
        <w:spacing w:line="540" w:lineRule="exact"/>
        <w:rPr>
          <w:color w:val="auto"/>
          <w:szCs w:val="21"/>
        </w:rPr>
      </w:pPr>
      <w:r>
        <w:rPr>
          <w:color w:val="auto"/>
          <w:szCs w:val="21"/>
        </w:rPr>
        <w:t>系</w:t>
      </w:r>
      <w:r>
        <w:rPr>
          <w:color w:val="auto"/>
          <w:szCs w:val="21"/>
          <w:u w:val="single"/>
        </w:rPr>
        <w:t xml:space="preserve">                                      （ 供应商名称）</w:t>
      </w:r>
      <w:r>
        <w:rPr>
          <w:color w:val="auto"/>
          <w:szCs w:val="21"/>
        </w:rPr>
        <w:t>的法定代表人。</w:t>
      </w:r>
    </w:p>
    <w:p w14:paraId="5D147BF8">
      <w:pPr>
        <w:spacing w:line="540" w:lineRule="exact"/>
        <w:rPr>
          <w:color w:val="auto"/>
          <w:szCs w:val="21"/>
        </w:rPr>
      </w:pPr>
    </w:p>
    <w:p w14:paraId="75E4CF7A">
      <w:pPr>
        <w:spacing w:line="540" w:lineRule="exact"/>
        <w:ind w:firstLine="420" w:firstLineChars="200"/>
        <w:rPr>
          <w:color w:val="auto"/>
          <w:szCs w:val="21"/>
        </w:rPr>
      </w:pPr>
      <w:r>
        <w:rPr>
          <w:color w:val="auto"/>
          <w:szCs w:val="21"/>
        </w:rPr>
        <w:t>特此证明。</w:t>
      </w:r>
    </w:p>
    <w:p w14:paraId="65F87B39">
      <w:pPr>
        <w:spacing w:line="360" w:lineRule="auto"/>
        <w:ind w:firstLine="4830" w:firstLineChars="2300"/>
        <w:rPr>
          <w:color w:val="auto"/>
          <w:szCs w:val="21"/>
        </w:rPr>
      </w:pPr>
      <w:r>
        <w:rPr>
          <w:color w:val="auto"/>
          <w:szCs w:val="21"/>
        </w:rPr>
        <w:t>供应商</w:t>
      </w:r>
      <w:r>
        <w:rPr>
          <w:rFonts w:hint="eastAsia"/>
          <w:color w:val="auto"/>
          <w:szCs w:val="21"/>
        </w:rPr>
        <w:t>名称(电子签章</w:t>
      </w:r>
      <w:r>
        <w:rPr>
          <w:color w:val="auto"/>
          <w:szCs w:val="21"/>
        </w:rPr>
        <w:t>)：</w:t>
      </w:r>
      <w:r>
        <w:rPr>
          <w:color w:val="auto"/>
          <w:szCs w:val="21"/>
          <w:u w:val="single"/>
        </w:rPr>
        <w:t xml:space="preserve">                </w:t>
      </w:r>
    </w:p>
    <w:p w14:paraId="089C15F3">
      <w:pPr>
        <w:spacing w:line="360" w:lineRule="auto"/>
        <w:rPr>
          <w:color w:val="auto"/>
          <w:szCs w:val="21"/>
        </w:rPr>
      </w:pPr>
      <w:r>
        <w:rPr>
          <w:color w:val="auto"/>
          <w:szCs w:val="21"/>
        </w:rPr>
        <w:t xml:space="preserve">                                                                                               年       月       日 </w:t>
      </w:r>
    </w:p>
    <w:p w14:paraId="6702AF64">
      <w:pPr>
        <w:spacing w:line="360" w:lineRule="auto"/>
        <w:ind w:firstLine="420" w:firstLineChars="200"/>
        <w:rPr>
          <w:color w:val="auto"/>
          <w:szCs w:val="21"/>
        </w:rPr>
      </w:pPr>
    </w:p>
    <w:p w14:paraId="6D0F7E4B">
      <w:pPr>
        <w:spacing w:line="360" w:lineRule="auto"/>
        <w:rPr>
          <w:color w:val="auto"/>
          <w:szCs w:val="21"/>
        </w:rPr>
      </w:pPr>
      <w:r>
        <w:rPr>
          <w:color w:val="auto"/>
          <w:szCs w:val="21"/>
        </w:rPr>
        <w:t>附件：法定代表人身份证复印件</w:t>
      </w:r>
    </w:p>
    <w:p w14:paraId="066D03D4">
      <w:pPr>
        <w:spacing w:line="360" w:lineRule="auto"/>
        <w:rPr>
          <w:color w:val="auto"/>
          <w:szCs w:val="21"/>
        </w:rPr>
      </w:pPr>
    </w:p>
    <w:bookmarkEnd w:id="158"/>
    <w:p w14:paraId="1F3883CE">
      <w:pPr>
        <w:snapToGrid w:val="0"/>
        <w:spacing w:before="120" w:beforeLines="50" w:after="50" w:line="360" w:lineRule="exact"/>
        <w:rPr>
          <w:b/>
          <w:color w:val="auto"/>
          <w:szCs w:val="21"/>
        </w:rPr>
      </w:pPr>
      <w:r>
        <w:rPr>
          <w:b/>
          <w:color w:val="auto"/>
          <w:szCs w:val="21"/>
        </w:rPr>
        <w:br w:type="page"/>
      </w:r>
      <w:r>
        <w:rPr>
          <w:rFonts w:hint="eastAsia"/>
          <w:b/>
          <w:color w:val="auto"/>
          <w:szCs w:val="21"/>
        </w:rPr>
        <w:t>1</w:t>
      </w:r>
      <w:r>
        <w:rPr>
          <w:b/>
          <w:color w:val="auto"/>
          <w:szCs w:val="21"/>
        </w:rPr>
        <w:t>．</w:t>
      </w:r>
      <w:r>
        <w:rPr>
          <w:rFonts w:hint="eastAsia"/>
          <w:b/>
          <w:color w:val="auto"/>
          <w:szCs w:val="21"/>
        </w:rPr>
        <w:t>授权</w:t>
      </w:r>
      <w:r>
        <w:rPr>
          <w:b/>
          <w:color w:val="auto"/>
          <w:szCs w:val="21"/>
        </w:rPr>
        <w:t>委托书</w:t>
      </w:r>
      <w:r>
        <w:rPr>
          <w:rFonts w:hint="eastAsia"/>
          <w:b/>
          <w:color w:val="auto"/>
          <w:szCs w:val="21"/>
        </w:rPr>
        <w:t>（有授权</w:t>
      </w:r>
      <w:r>
        <w:rPr>
          <w:b/>
          <w:color w:val="auto"/>
          <w:szCs w:val="21"/>
        </w:rPr>
        <w:t>代表</w:t>
      </w:r>
      <w:r>
        <w:rPr>
          <w:rFonts w:hint="eastAsia"/>
          <w:b/>
          <w:color w:val="auto"/>
          <w:szCs w:val="21"/>
        </w:rPr>
        <w:t>时提供）</w:t>
      </w:r>
      <w:r>
        <w:rPr>
          <w:b/>
          <w:color w:val="auto"/>
          <w:szCs w:val="21"/>
        </w:rPr>
        <w:t>：</w:t>
      </w:r>
    </w:p>
    <w:p w14:paraId="56253A9E">
      <w:pPr>
        <w:snapToGrid w:val="0"/>
        <w:spacing w:before="120" w:beforeLines="50" w:after="50" w:line="440" w:lineRule="exact"/>
        <w:jc w:val="center"/>
        <w:rPr>
          <w:b/>
          <w:color w:val="auto"/>
          <w:szCs w:val="21"/>
        </w:rPr>
      </w:pPr>
    </w:p>
    <w:p w14:paraId="6D46B5DC">
      <w:pPr>
        <w:snapToGrid w:val="0"/>
        <w:spacing w:before="120" w:beforeLines="50" w:after="50" w:line="440" w:lineRule="exact"/>
        <w:jc w:val="center"/>
        <w:rPr>
          <w:b/>
          <w:color w:val="auto"/>
          <w:szCs w:val="21"/>
        </w:rPr>
      </w:pPr>
      <w:r>
        <w:rPr>
          <w:b/>
          <w:color w:val="auto"/>
          <w:szCs w:val="21"/>
        </w:rPr>
        <w:t>法定代表人授权委托书</w:t>
      </w:r>
    </w:p>
    <w:p w14:paraId="4CBB996E">
      <w:pPr>
        <w:snapToGrid w:val="0"/>
        <w:spacing w:before="120" w:beforeLines="50" w:after="50" w:line="440" w:lineRule="exact"/>
        <w:rPr>
          <w:b/>
          <w:bCs/>
          <w:color w:val="auto"/>
          <w:szCs w:val="21"/>
        </w:rPr>
      </w:pPr>
      <w:r>
        <w:rPr>
          <w:bCs/>
          <w:color w:val="auto"/>
          <w:szCs w:val="21"/>
        </w:rPr>
        <w:t>致：</w:t>
      </w:r>
      <w:r>
        <w:rPr>
          <w:i/>
          <w:iCs/>
          <w:color w:val="auto"/>
          <w:szCs w:val="21"/>
          <w:u w:val="single"/>
        </w:rPr>
        <w:t>（采购</w:t>
      </w:r>
      <w:r>
        <w:rPr>
          <w:rFonts w:hint="eastAsia"/>
          <w:i/>
          <w:iCs/>
          <w:color w:val="auto"/>
          <w:szCs w:val="21"/>
          <w:u w:val="single"/>
        </w:rPr>
        <w:t>人</w:t>
      </w:r>
      <w:r>
        <w:rPr>
          <w:i/>
          <w:iCs/>
          <w:color w:val="auto"/>
          <w:szCs w:val="21"/>
          <w:u w:val="single"/>
        </w:rPr>
        <w:t>名称）</w:t>
      </w:r>
      <w:r>
        <w:rPr>
          <w:color w:val="auto"/>
          <w:szCs w:val="21"/>
        </w:rPr>
        <w:t>：</w:t>
      </w:r>
    </w:p>
    <w:p w14:paraId="53F9E900">
      <w:pPr>
        <w:snapToGrid w:val="0"/>
        <w:spacing w:before="120" w:beforeLines="50" w:after="50" w:line="440" w:lineRule="exact"/>
        <w:ind w:firstLine="420" w:firstLineChars="200"/>
        <w:rPr>
          <w:color w:val="auto"/>
          <w:szCs w:val="21"/>
        </w:rPr>
      </w:pPr>
      <w:r>
        <w:rPr>
          <w:color w:val="auto"/>
          <w:szCs w:val="21"/>
        </w:rPr>
        <w:t>我</w:t>
      </w:r>
      <w:r>
        <w:rPr>
          <w:i/>
          <w:iCs/>
          <w:color w:val="auto"/>
          <w:szCs w:val="21"/>
          <w:u w:val="single"/>
        </w:rPr>
        <w:t>（</w:t>
      </w:r>
      <w:r>
        <w:rPr>
          <w:rFonts w:hint="eastAsia"/>
          <w:i/>
          <w:iCs/>
          <w:color w:val="auto"/>
          <w:szCs w:val="21"/>
          <w:u w:val="single"/>
        </w:rPr>
        <w:t>法定代表人姓名</w:t>
      </w:r>
      <w:r>
        <w:rPr>
          <w:i/>
          <w:iCs/>
          <w:color w:val="auto"/>
          <w:szCs w:val="21"/>
          <w:u w:val="single"/>
        </w:rPr>
        <w:t>）</w:t>
      </w:r>
      <w:r>
        <w:rPr>
          <w:color w:val="auto"/>
          <w:szCs w:val="21"/>
        </w:rPr>
        <w:t>系</w:t>
      </w:r>
      <w:r>
        <w:rPr>
          <w:i/>
          <w:iCs/>
          <w:color w:val="auto"/>
          <w:szCs w:val="21"/>
          <w:u w:val="single"/>
        </w:rPr>
        <w:t>（供应商名称）</w:t>
      </w:r>
      <w:r>
        <w:rPr>
          <w:color w:val="auto"/>
          <w:szCs w:val="21"/>
        </w:rPr>
        <w:t xml:space="preserve">的法定代表人，现授权委托本单位在职职工 </w:t>
      </w:r>
      <w:r>
        <w:rPr>
          <w:color w:val="auto"/>
          <w:szCs w:val="21"/>
          <w:u w:val="single"/>
        </w:rPr>
        <w:t xml:space="preserve">        </w:t>
      </w:r>
      <w:r>
        <w:rPr>
          <w:color w:val="auto"/>
          <w:szCs w:val="21"/>
        </w:rPr>
        <w:t>（姓名）以我方的名义参加</w:t>
      </w:r>
      <w:r>
        <w:rPr>
          <w:color w:val="auto"/>
          <w:szCs w:val="21"/>
          <w:u w:val="single"/>
        </w:rPr>
        <w:t xml:space="preserve"> </w:t>
      </w:r>
      <w:r>
        <w:rPr>
          <w:rFonts w:hint="eastAsia"/>
          <w:i/>
          <w:iCs/>
          <w:color w:val="auto"/>
          <w:szCs w:val="21"/>
          <w:u w:val="single"/>
        </w:rPr>
        <w:t>（项目名称）</w:t>
      </w:r>
      <w:r>
        <w:rPr>
          <w:color w:val="auto"/>
          <w:szCs w:val="21"/>
          <w:u w:val="single"/>
        </w:rPr>
        <w:t xml:space="preserve"> </w:t>
      </w:r>
      <w:r>
        <w:rPr>
          <w:color w:val="auto"/>
          <w:szCs w:val="21"/>
        </w:rPr>
        <w:t>项目的投标活动，并代表我方全权办理针对上述项目的投标、开标、评审、签约等具体事务和签署相关文件。</w:t>
      </w:r>
    </w:p>
    <w:p w14:paraId="356C8F40">
      <w:pPr>
        <w:snapToGrid w:val="0"/>
        <w:spacing w:before="120" w:beforeLines="50" w:after="50" w:line="440" w:lineRule="exact"/>
        <w:rPr>
          <w:color w:val="auto"/>
          <w:szCs w:val="21"/>
        </w:rPr>
      </w:pPr>
      <w:r>
        <w:rPr>
          <w:color w:val="auto"/>
          <w:szCs w:val="21"/>
        </w:rPr>
        <w:t xml:space="preserve">    我方对被授权人的签名事项负全部责任。</w:t>
      </w:r>
    </w:p>
    <w:p w14:paraId="20C05375">
      <w:pPr>
        <w:snapToGrid w:val="0"/>
        <w:spacing w:before="120" w:beforeLines="50" w:after="50" w:line="440" w:lineRule="exact"/>
        <w:ind w:firstLine="480"/>
        <w:rPr>
          <w:color w:val="auto"/>
          <w:szCs w:val="21"/>
        </w:rPr>
      </w:pPr>
      <w:r>
        <w:rPr>
          <w:color w:val="auto"/>
          <w:szCs w:val="21"/>
        </w:rPr>
        <w:t>在撤销授权的书面通知以前，本授权书一直有效。被授权人在授权书有效期内签署的所有文件不因授权的撤销而失效。</w:t>
      </w:r>
    </w:p>
    <w:p w14:paraId="0D4E74BE">
      <w:pPr>
        <w:snapToGrid w:val="0"/>
        <w:spacing w:before="120" w:beforeLines="50" w:after="50" w:line="440" w:lineRule="exact"/>
        <w:ind w:firstLine="480"/>
        <w:rPr>
          <w:color w:val="auto"/>
          <w:szCs w:val="21"/>
        </w:rPr>
      </w:pPr>
      <w:r>
        <w:rPr>
          <w:color w:val="auto"/>
          <w:szCs w:val="21"/>
        </w:rPr>
        <w:t>被授权人无转委托权，特此委托。</w:t>
      </w:r>
    </w:p>
    <w:p w14:paraId="15E14A35">
      <w:pPr>
        <w:snapToGrid w:val="0"/>
        <w:spacing w:before="120" w:beforeLines="50" w:after="50" w:line="440" w:lineRule="exact"/>
        <w:rPr>
          <w:color w:val="auto"/>
          <w:szCs w:val="21"/>
          <w:u w:val="single"/>
        </w:rPr>
      </w:pPr>
      <w:r>
        <w:rPr>
          <w:color w:val="auto"/>
          <w:szCs w:val="21"/>
        </w:rPr>
        <w:t>被授权人签字或</w:t>
      </w:r>
      <w:r>
        <w:rPr>
          <w:rFonts w:hint="eastAsia"/>
          <w:color w:val="auto"/>
          <w:szCs w:val="21"/>
        </w:rPr>
        <w:t>签</w:t>
      </w:r>
      <w:r>
        <w:rPr>
          <w:color w:val="auto"/>
          <w:szCs w:val="21"/>
        </w:rPr>
        <w:t>章：</w:t>
      </w:r>
      <w:r>
        <w:rPr>
          <w:color w:val="auto"/>
          <w:szCs w:val="21"/>
          <w:u w:val="single"/>
        </w:rPr>
        <w:t xml:space="preserve">          </w:t>
      </w:r>
      <w:r>
        <w:rPr>
          <w:color w:val="auto"/>
          <w:szCs w:val="21"/>
        </w:rPr>
        <w:t xml:space="preserve">                     法定代表人签字或</w:t>
      </w:r>
      <w:r>
        <w:rPr>
          <w:rFonts w:hint="eastAsia"/>
          <w:color w:val="auto"/>
          <w:szCs w:val="21"/>
        </w:rPr>
        <w:t>签</w:t>
      </w:r>
      <w:r>
        <w:rPr>
          <w:color w:val="auto"/>
          <w:szCs w:val="21"/>
        </w:rPr>
        <w:t>章：</w:t>
      </w:r>
      <w:r>
        <w:rPr>
          <w:color w:val="auto"/>
          <w:szCs w:val="21"/>
          <w:u w:val="single"/>
        </w:rPr>
        <w:t xml:space="preserve">          </w:t>
      </w:r>
    </w:p>
    <w:p w14:paraId="7EE89B08">
      <w:pPr>
        <w:snapToGrid w:val="0"/>
        <w:spacing w:before="120" w:beforeLines="50" w:after="50" w:line="440" w:lineRule="exact"/>
        <w:rPr>
          <w:color w:val="auto"/>
          <w:szCs w:val="21"/>
        </w:rPr>
      </w:pPr>
      <w:r>
        <w:rPr>
          <w:color w:val="auto"/>
          <w:szCs w:val="21"/>
        </w:rPr>
        <w:t>职务：</w:t>
      </w:r>
      <w:r>
        <w:rPr>
          <w:color w:val="auto"/>
          <w:szCs w:val="21"/>
          <w:u w:val="single"/>
        </w:rPr>
        <w:t xml:space="preserve">           </w:t>
      </w:r>
      <w:r>
        <w:rPr>
          <w:color w:val="auto"/>
          <w:szCs w:val="21"/>
        </w:rPr>
        <w:t xml:space="preserve">                                                 职务：</w:t>
      </w:r>
      <w:r>
        <w:rPr>
          <w:color w:val="auto"/>
          <w:szCs w:val="21"/>
          <w:u w:val="single"/>
        </w:rPr>
        <w:t xml:space="preserve">           </w:t>
      </w:r>
    </w:p>
    <w:p w14:paraId="3C90828F">
      <w:pPr>
        <w:snapToGrid w:val="0"/>
        <w:spacing w:before="120" w:beforeLines="50" w:after="50" w:line="440" w:lineRule="exact"/>
        <w:rPr>
          <w:color w:val="auto"/>
          <w:szCs w:val="21"/>
          <w:u w:val="single"/>
        </w:rPr>
      </w:pPr>
      <w:bookmarkStart w:id="159" w:name="_Hlk138844890"/>
      <w:r>
        <w:rPr>
          <w:color w:val="auto"/>
          <w:szCs w:val="21"/>
        </w:rPr>
        <w:t>被授权人身份证号码：</w:t>
      </w:r>
      <w:r>
        <w:rPr>
          <w:color w:val="auto"/>
          <w:szCs w:val="21"/>
          <w:u w:val="single"/>
        </w:rPr>
        <w:t xml:space="preserve">                   </w:t>
      </w:r>
      <w:r>
        <w:rPr>
          <w:color w:val="auto"/>
          <w:szCs w:val="21"/>
        </w:rPr>
        <w:t xml:space="preserve">  </w:t>
      </w:r>
      <w:bookmarkEnd w:id="159"/>
      <w:r>
        <w:rPr>
          <w:color w:val="auto"/>
          <w:szCs w:val="21"/>
        </w:rPr>
        <w:t xml:space="preserve">          授权人身份证号码：</w:t>
      </w:r>
      <w:r>
        <w:rPr>
          <w:color w:val="auto"/>
          <w:szCs w:val="21"/>
          <w:u w:val="single"/>
        </w:rPr>
        <w:t xml:space="preserve">                 </w:t>
      </w:r>
    </w:p>
    <w:p w14:paraId="0EED7D25">
      <w:pPr>
        <w:snapToGrid w:val="0"/>
        <w:spacing w:before="120" w:beforeLines="50" w:after="50" w:line="440" w:lineRule="exact"/>
        <w:rPr>
          <w:color w:val="auto"/>
          <w:szCs w:val="21"/>
        </w:rPr>
      </w:pPr>
      <w:r>
        <w:rPr>
          <w:rFonts w:hint="eastAsia"/>
          <w:color w:val="auto"/>
          <w:szCs w:val="21"/>
        </w:rPr>
        <w:t>被授权人</w:t>
      </w:r>
      <w:bookmarkStart w:id="160" w:name="_Hlk132793041"/>
      <w:r>
        <w:rPr>
          <w:rFonts w:hint="eastAsia"/>
          <w:color w:val="auto"/>
          <w:szCs w:val="21"/>
        </w:rPr>
        <w:t>手机号码及邮箱：</w:t>
      </w:r>
      <w:bookmarkEnd w:id="160"/>
      <w:r>
        <w:rPr>
          <w:rFonts w:hint="eastAsia"/>
          <w:color w:val="auto"/>
          <w:szCs w:val="21"/>
          <w:u w:val="single"/>
        </w:rPr>
        <w:t xml:space="preserve"> </w:t>
      </w:r>
      <w:r>
        <w:rPr>
          <w:color w:val="auto"/>
          <w:szCs w:val="21"/>
          <w:u w:val="single"/>
        </w:rPr>
        <w:t xml:space="preserve">                       </w:t>
      </w:r>
      <w:r>
        <w:rPr>
          <w:rFonts w:hint="eastAsia"/>
          <w:color w:val="auto"/>
          <w:szCs w:val="21"/>
        </w:rPr>
        <w:t xml:space="preserve"> </w:t>
      </w:r>
      <w:r>
        <w:rPr>
          <w:color w:val="auto"/>
          <w:szCs w:val="21"/>
        </w:rPr>
        <w:t xml:space="preserve">                  </w:t>
      </w:r>
    </w:p>
    <w:p w14:paraId="47E6BC13">
      <w:pPr>
        <w:snapToGrid w:val="0"/>
        <w:spacing w:before="120" w:beforeLines="50" w:after="50" w:line="440" w:lineRule="exact"/>
        <w:rPr>
          <w:color w:val="auto"/>
          <w:szCs w:val="21"/>
        </w:rPr>
      </w:pPr>
      <w:r>
        <w:rPr>
          <w:color w:val="auto"/>
          <w:szCs w:val="21"/>
        </w:rPr>
        <w:t xml:space="preserve">                                  </w:t>
      </w:r>
    </w:p>
    <w:p w14:paraId="79C9F140">
      <w:pPr>
        <w:snapToGrid w:val="0"/>
        <w:spacing w:before="120" w:beforeLines="50" w:after="50" w:line="440" w:lineRule="exact"/>
        <w:ind w:firstLine="5250" w:firstLineChars="2500"/>
        <w:rPr>
          <w:color w:val="auto"/>
          <w:szCs w:val="21"/>
        </w:rPr>
      </w:pPr>
      <w:r>
        <w:rPr>
          <w:color w:val="auto"/>
          <w:szCs w:val="21"/>
        </w:rPr>
        <w:t>供应商</w:t>
      </w:r>
      <w:r>
        <w:rPr>
          <w:rFonts w:hint="eastAsia"/>
          <w:color w:val="auto"/>
          <w:szCs w:val="21"/>
        </w:rPr>
        <w:t>名称(电子签章</w:t>
      </w:r>
      <w:r>
        <w:rPr>
          <w:color w:val="auto"/>
          <w:szCs w:val="21"/>
        </w:rPr>
        <w:t>)：</w:t>
      </w:r>
      <w:r>
        <w:rPr>
          <w:color w:val="auto"/>
          <w:szCs w:val="21"/>
          <w:u w:val="single"/>
        </w:rPr>
        <w:t xml:space="preserve">                </w:t>
      </w:r>
    </w:p>
    <w:p w14:paraId="533927F9">
      <w:pPr>
        <w:snapToGrid w:val="0"/>
        <w:spacing w:before="120" w:beforeLines="50" w:after="50" w:line="440" w:lineRule="exact"/>
        <w:jc w:val="center"/>
        <w:rPr>
          <w:color w:val="auto"/>
          <w:szCs w:val="21"/>
        </w:rPr>
      </w:pPr>
      <w:r>
        <w:rPr>
          <w:color w:val="auto"/>
          <w:szCs w:val="21"/>
        </w:rPr>
        <w:t xml:space="preserve">                                        年    月    日</w:t>
      </w:r>
    </w:p>
    <w:p w14:paraId="52BF61E2">
      <w:pPr>
        <w:spacing w:line="360" w:lineRule="auto"/>
        <w:rPr>
          <w:color w:val="auto"/>
          <w:szCs w:val="21"/>
        </w:rPr>
      </w:pPr>
    </w:p>
    <w:p w14:paraId="131B008F">
      <w:pPr>
        <w:spacing w:line="360" w:lineRule="auto"/>
        <w:rPr>
          <w:color w:val="auto"/>
          <w:szCs w:val="21"/>
        </w:rPr>
      </w:pPr>
    </w:p>
    <w:p w14:paraId="0DF11F2E">
      <w:pPr>
        <w:spacing w:line="360" w:lineRule="auto"/>
        <w:rPr>
          <w:color w:val="auto"/>
          <w:szCs w:val="21"/>
        </w:rPr>
      </w:pPr>
      <w:r>
        <w:rPr>
          <w:color w:val="auto"/>
          <w:szCs w:val="21"/>
        </w:rPr>
        <w:t>附件：法定代表人身份证复印件及授权代表身份证复印件</w:t>
      </w:r>
    </w:p>
    <w:p w14:paraId="7645E825">
      <w:pPr>
        <w:jc w:val="center"/>
        <w:rPr>
          <w:bCs/>
          <w:color w:val="auto"/>
          <w:sz w:val="28"/>
          <w:szCs w:val="28"/>
        </w:rPr>
      </w:pPr>
      <w:r>
        <w:rPr>
          <w:bCs/>
          <w:color w:val="auto"/>
          <w:sz w:val="24"/>
        </w:rPr>
        <w:br w:type="page"/>
      </w:r>
      <w:r>
        <w:rPr>
          <w:color w:val="auto"/>
          <w:sz w:val="28"/>
          <w:szCs w:val="28"/>
        </w:rPr>
        <w:t>第一部分 商务文件</w:t>
      </w:r>
    </w:p>
    <w:p w14:paraId="72E7DBBC">
      <w:pPr>
        <w:jc w:val="center"/>
        <w:rPr>
          <w:bCs/>
          <w:color w:val="auto"/>
          <w:sz w:val="24"/>
        </w:rPr>
      </w:pPr>
      <w:r>
        <w:rPr>
          <w:color w:val="auto"/>
        </w:rPr>
        <w:t>（本商务文件供应商可自行编写，也可参照下述提纲编写）</w:t>
      </w:r>
    </w:p>
    <w:p w14:paraId="43E5A4B9">
      <w:pPr>
        <w:snapToGrid w:val="0"/>
        <w:spacing w:before="50" w:after="120" w:afterLines="50" w:line="440" w:lineRule="exact"/>
        <w:jc w:val="left"/>
        <w:rPr>
          <w:color w:val="auto"/>
          <w:szCs w:val="21"/>
        </w:rPr>
      </w:pPr>
    </w:p>
    <w:p w14:paraId="5BED168F">
      <w:pPr>
        <w:snapToGrid w:val="0"/>
        <w:spacing w:before="50" w:after="120" w:afterLines="50" w:line="440" w:lineRule="exact"/>
        <w:jc w:val="left"/>
        <w:rPr>
          <w:color w:val="auto"/>
          <w:szCs w:val="21"/>
        </w:rPr>
      </w:pPr>
      <w:r>
        <w:rPr>
          <w:rFonts w:hint="eastAsia"/>
          <w:color w:val="auto"/>
          <w:szCs w:val="21"/>
        </w:rPr>
        <w:t>1</w:t>
      </w:r>
      <w:r>
        <w:rPr>
          <w:color w:val="auto"/>
          <w:szCs w:val="21"/>
        </w:rPr>
        <w:t>．</w:t>
      </w:r>
      <w:r>
        <w:rPr>
          <w:rFonts w:hint="eastAsia"/>
          <w:color w:val="auto"/>
          <w:szCs w:val="21"/>
        </w:rPr>
        <w:t>对</w:t>
      </w:r>
      <w:r>
        <w:rPr>
          <w:color w:val="auto"/>
          <w:szCs w:val="21"/>
        </w:rPr>
        <w:t>本项目第</w:t>
      </w:r>
      <w:r>
        <w:rPr>
          <w:rFonts w:hint="eastAsia"/>
          <w:color w:val="auto"/>
          <w:szCs w:val="21"/>
        </w:rPr>
        <w:t>二</w:t>
      </w:r>
      <w:r>
        <w:rPr>
          <w:color w:val="auto"/>
          <w:szCs w:val="21"/>
        </w:rPr>
        <w:t>章</w:t>
      </w:r>
      <w:r>
        <w:rPr>
          <w:rFonts w:hint="eastAsia"/>
          <w:color w:val="auto"/>
          <w:szCs w:val="21"/>
        </w:rPr>
        <w:t>《采购需求》“</w:t>
      </w:r>
      <w:r>
        <w:rPr>
          <w:color w:val="auto"/>
          <w:szCs w:val="21"/>
        </w:rPr>
        <w:t>商务要求</w:t>
      </w:r>
      <w:r>
        <w:rPr>
          <w:rFonts w:hint="eastAsia"/>
          <w:color w:val="auto"/>
          <w:szCs w:val="21"/>
        </w:rPr>
        <w:t>”</w:t>
      </w:r>
      <w:r>
        <w:rPr>
          <w:color w:val="auto"/>
          <w:szCs w:val="21"/>
        </w:rPr>
        <w:t>的</w:t>
      </w:r>
      <w:r>
        <w:rPr>
          <w:rFonts w:hint="eastAsia"/>
          <w:color w:val="auto"/>
          <w:szCs w:val="21"/>
        </w:rPr>
        <w:t>响应表</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2110"/>
        <w:gridCol w:w="4085"/>
        <w:gridCol w:w="1887"/>
      </w:tblGrid>
      <w:tr w14:paraId="7EDC6B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14:paraId="3187657C">
            <w:pPr>
              <w:snapToGrid w:val="0"/>
              <w:spacing w:before="120" w:beforeLines="50"/>
              <w:jc w:val="center"/>
              <w:rPr>
                <w:color w:val="auto"/>
                <w:szCs w:val="21"/>
              </w:rPr>
            </w:pPr>
            <w:r>
              <w:rPr>
                <w:color w:val="auto"/>
                <w:szCs w:val="21"/>
              </w:rPr>
              <w:t>序号</w:t>
            </w:r>
          </w:p>
        </w:tc>
        <w:tc>
          <w:tcPr>
            <w:tcW w:w="2110" w:type="dxa"/>
            <w:tcBorders>
              <w:top w:val="single" w:color="auto" w:sz="4" w:space="0"/>
              <w:left w:val="single" w:color="auto" w:sz="4" w:space="0"/>
              <w:bottom w:val="single" w:color="auto" w:sz="4" w:space="0"/>
              <w:right w:val="single" w:color="auto" w:sz="4" w:space="0"/>
            </w:tcBorders>
            <w:vAlign w:val="center"/>
          </w:tcPr>
          <w:p w14:paraId="324D115A">
            <w:pPr>
              <w:snapToGrid w:val="0"/>
              <w:spacing w:before="120" w:beforeLines="50"/>
              <w:jc w:val="center"/>
              <w:rPr>
                <w:color w:val="auto"/>
                <w:szCs w:val="21"/>
              </w:rPr>
            </w:pPr>
            <w:r>
              <w:rPr>
                <w:color w:val="auto"/>
                <w:szCs w:val="21"/>
              </w:rPr>
              <w:t>招标文件的商务要求</w:t>
            </w:r>
          </w:p>
        </w:tc>
        <w:tc>
          <w:tcPr>
            <w:tcW w:w="4085" w:type="dxa"/>
            <w:tcBorders>
              <w:top w:val="single" w:color="auto" w:sz="4" w:space="0"/>
              <w:left w:val="single" w:color="auto" w:sz="4" w:space="0"/>
              <w:bottom w:val="single" w:color="auto" w:sz="4" w:space="0"/>
              <w:right w:val="single" w:color="auto" w:sz="4" w:space="0"/>
            </w:tcBorders>
            <w:vAlign w:val="center"/>
          </w:tcPr>
          <w:p w14:paraId="519F723A">
            <w:pPr>
              <w:snapToGrid w:val="0"/>
              <w:spacing w:before="120" w:beforeLines="50"/>
              <w:jc w:val="center"/>
              <w:rPr>
                <w:color w:val="auto"/>
                <w:szCs w:val="21"/>
              </w:rPr>
            </w:pPr>
            <w:r>
              <w:rPr>
                <w:color w:val="auto"/>
                <w:szCs w:val="21"/>
              </w:rPr>
              <w:t>投标文件响应内容</w:t>
            </w:r>
          </w:p>
        </w:tc>
        <w:tc>
          <w:tcPr>
            <w:tcW w:w="1887" w:type="dxa"/>
            <w:tcBorders>
              <w:top w:val="single" w:color="auto" w:sz="4" w:space="0"/>
              <w:left w:val="single" w:color="auto" w:sz="4" w:space="0"/>
              <w:bottom w:val="single" w:color="auto" w:sz="4" w:space="0"/>
              <w:right w:val="single" w:color="auto" w:sz="4" w:space="0"/>
            </w:tcBorders>
            <w:vAlign w:val="center"/>
          </w:tcPr>
          <w:p w14:paraId="6CEDEE50">
            <w:pPr>
              <w:snapToGrid w:val="0"/>
              <w:spacing w:before="120" w:beforeLines="50"/>
              <w:jc w:val="center"/>
              <w:rPr>
                <w:color w:val="auto"/>
                <w:szCs w:val="21"/>
              </w:rPr>
            </w:pPr>
            <w:r>
              <w:rPr>
                <w:color w:val="auto"/>
              </w:rPr>
              <w:t>偏离</w:t>
            </w:r>
            <w:r>
              <w:rPr>
                <w:color w:val="auto"/>
                <w:szCs w:val="21"/>
              </w:rPr>
              <w:t>说明</w:t>
            </w:r>
          </w:p>
        </w:tc>
      </w:tr>
      <w:tr w14:paraId="508634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691C7696">
            <w:pPr>
              <w:snapToGrid w:val="0"/>
              <w:spacing w:before="120" w:beforeLines="50"/>
              <w:jc w:val="center"/>
              <w:rPr>
                <w:color w:val="auto"/>
                <w:szCs w:val="21"/>
              </w:rPr>
            </w:pPr>
          </w:p>
        </w:tc>
        <w:tc>
          <w:tcPr>
            <w:tcW w:w="2110" w:type="dxa"/>
            <w:tcBorders>
              <w:top w:val="single" w:color="auto" w:sz="4" w:space="0"/>
              <w:left w:val="single" w:color="auto" w:sz="4" w:space="0"/>
              <w:bottom w:val="single" w:color="auto" w:sz="4" w:space="0"/>
              <w:right w:val="single" w:color="auto" w:sz="4" w:space="0"/>
            </w:tcBorders>
            <w:vAlign w:val="center"/>
          </w:tcPr>
          <w:p w14:paraId="03FE3A21">
            <w:pPr>
              <w:snapToGrid w:val="0"/>
              <w:spacing w:before="120" w:beforeLines="50"/>
              <w:jc w:val="center"/>
              <w:rPr>
                <w:color w:val="auto"/>
                <w:szCs w:val="21"/>
              </w:rPr>
            </w:pPr>
          </w:p>
        </w:tc>
        <w:tc>
          <w:tcPr>
            <w:tcW w:w="4085" w:type="dxa"/>
            <w:tcBorders>
              <w:top w:val="single" w:color="auto" w:sz="4" w:space="0"/>
              <w:left w:val="single" w:color="auto" w:sz="4" w:space="0"/>
              <w:bottom w:val="single" w:color="auto" w:sz="4" w:space="0"/>
              <w:right w:val="single" w:color="auto" w:sz="4" w:space="0"/>
            </w:tcBorders>
            <w:vAlign w:val="center"/>
          </w:tcPr>
          <w:p w14:paraId="4B08AB1A">
            <w:pPr>
              <w:snapToGrid w:val="0"/>
              <w:spacing w:before="120" w:beforeLines="50"/>
              <w:jc w:val="center"/>
              <w:rPr>
                <w:color w:val="auto"/>
                <w:szCs w:val="21"/>
              </w:rPr>
            </w:pPr>
          </w:p>
        </w:tc>
        <w:tc>
          <w:tcPr>
            <w:tcW w:w="1887" w:type="dxa"/>
            <w:tcBorders>
              <w:top w:val="single" w:color="auto" w:sz="4" w:space="0"/>
              <w:left w:val="single" w:color="auto" w:sz="4" w:space="0"/>
              <w:bottom w:val="single" w:color="auto" w:sz="4" w:space="0"/>
              <w:right w:val="single" w:color="auto" w:sz="4" w:space="0"/>
            </w:tcBorders>
            <w:vAlign w:val="center"/>
          </w:tcPr>
          <w:p w14:paraId="2698D73E">
            <w:pPr>
              <w:snapToGrid w:val="0"/>
              <w:spacing w:before="120" w:beforeLines="50"/>
              <w:jc w:val="center"/>
              <w:rPr>
                <w:color w:val="auto"/>
                <w:szCs w:val="21"/>
              </w:rPr>
            </w:pPr>
          </w:p>
        </w:tc>
      </w:tr>
      <w:tr w14:paraId="1BAD5E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47931778">
            <w:pPr>
              <w:snapToGrid w:val="0"/>
              <w:spacing w:before="120" w:beforeLines="50"/>
              <w:jc w:val="center"/>
              <w:rPr>
                <w:color w:val="auto"/>
                <w:szCs w:val="21"/>
              </w:rPr>
            </w:pPr>
          </w:p>
        </w:tc>
        <w:tc>
          <w:tcPr>
            <w:tcW w:w="2110" w:type="dxa"/>
            <w:tcBorders>
              <w:top w:val="single" w:color="auto" w:sz="4" w:space="0"/>
              <w:left w:val="single" w:color="auto" w:sz="4" w:space="0"/>
              <w:bottom w:val="single" w:color="auto" w:sz="4" w:space="0"/>
              <w:right w:val="single" w:color="auto" w:sz="4" w:space="0"/>
            </w:tcBorders>
            <w:vAlign w:val="center"/>
          </w:tcPr>
          <w:p w14:paraId="70F827F7">
            <w:pPr>
              <w:snapToGrid w:val="0"/>
              <w:spacing w:before="120" w:beforeLines="50"/>
              <w:jc w:val="center"/>
              <w:rPr>
                <w:color w:val="auto"/>
                <w:szCs w:val="21"/>
              </w:rPr>
            </w:pPr>
          </w:p>
        </w:tc>
        <w:tc>
          <w:tcPr>
            <w:tcW w:w="4085" w:type="dxa"/>
            <w:tcBorders>
              <w:top w:val="single" w:color="auto" w:sz="4" w:space="0"/>
              <w:left w:val="single" w:color="auto" w:sz="4" w:space="0"/>
              <w:bottom w:val="single" w:color="auto" w:sz="4" w:space="0"/>
              <w:right w:val="single" w:color="auto" w:sz="4" w:space="0"/>
            </w:tcBorders>
            <w:vAlign w:val="center"/>
          </w:tcPr>
          <w:p w14:paraId="7B22129B">
            <w:pPr>
              <w:snapToGrid w:val="0"/>
              <w:spacing w:before="120" w:beforeLines="50"/>
              <w:jc w:val="center"/>
              <w:rPr>
                <w:color w:val="auto"/>
                <w:szCs w:val="21"/>
              </w:rPr>
            </w:pPr>
          </w:p>
        </w:tc>
        <w:tc>
          <w:tcPr>
            <w:tcW w:w="1887" w:type="dxa"/>
            <w:tcBorders>
              <w:top w:val="single" w:color="auto" w:sz="4" w:space="0"/>
              <w:left w:val="single" w:color="auto" w:sz="4" w:space="0"/>
              <w:bottom w:val="single" w:color="auto" w:sz="4" w:space="0"/>
              <w:right w:val="single" w:color="auto" w:sz="4" w:space="0"/>
            </w:tcBorders>
            <w:vAlign w:val="center"/>
          </w:tcPr>
          <w:p w14:paraId="6530C974">
            <w:pPr>
              <w:snapToGrid w:val="0"/>
              <w:spacing w:before="120" w:beforeLines="50"/>
              <w:jc w:val="center"/>
              <w:rPr>
                <w:color w:val="auto"/>
                <w:szCs w:val="21"/>
              </w:rPr>
            </w:pPr>
          </w:p>
        </w:tc>
      </w:tr>
      <w:tr w14:paraId="2D0F76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651ABB62">
            <w:pPr>
              <w:snapToGrid w:val="0"/>
              <w:spacing w:before="120" w:beforeLines="50"/>
              <w:jc w:val="center"/>
              <w:rPr>
                <w:color w:val="auto"/>
                <w:szCs w:val="21"/>
              </w:rPr>
            </w:pPr>
          </w:p>
        </w:tc>
        <w:tc>
          <w:tcPr>
            <w:tcW w:w="2110" w:type="dxa"/>
            <w:tcBorders>
              <w:top w:val="single" w:color="auto" w:sz="4" w:space="0"/>
              <w:left w:val="single" w:color="auto" w:sz="4" w:space="0"/>
              <w:bottom w:val="single" w:color="auto" w:sz="4" w:space="0"/>
              <w:right w:val="single" w:color="auto" w:sz="4" w:space="0"/>
            </w:tcBorders>
            <w:vAlign w:val="center"/>
          </w:tcPr>
          <w:p w14:paraId="4D93816E">
            <w:pPr>
              <w:snapToGrid w:val="0"/>
              <w:spacing w:before="120" w:beforeLines="50"/>
              <w:jc w:val="center"/>
              <w:rPr>
                <w:color w:val="auto"/>
                <w:szCs w:val="21"/>
              </w:rPr>
            </w:pPr>
            <w:r>
              <w:rPr>
                <w:color w:val="auto"/>
                <w:szCs w:val="21"/>
              </w:rPr>
              <w:t>……</w:t>
            </w:r>
          </w:p>
        </w:tc>
        <w:tc>
          <w:tcPr>
            <w:tcW w:w="4085" w:type="dxa"/>
            <w:tcBorders>
              <w:top w:val="single" w:color="auto" w:sz="4" w:space="0"/>
              <w:left w:val="single" w:color="auto" w:sz="4" w:space="0"/>
              <w:bottom w:val="single" w:color="auto" w:sz="4" w:space="0"/>
              <w:right w:val="single" w:color="auto" w:sz="4" w:space="0"/>
            </w:tcBorders>
            <w:vAlign w:val="center"/>
          </w:tcPr>
          <w:p w14:paraId="2ED94934">
            <w:pPr>
              <w:snapToGrid w:val="0"/>
              <w:spacing w:before="120" w:beforeLines="50"/>
              <w:jc w:val="center"/>
              <w:rPr>
                <w:color w:val="auto"/>
                <w:szCs w:val="21"/>
              </w:rPr>
            </w:pPr>
          </w:p>
        </w:tc>
        <w:tc>
          <w:tcPr>
            <w:tcW w:w="1887" w:type="dxa"/>
            <w:tcBorders>
              <w:top w:val="single" w:color="auto" w:sz="4" w:space="0"/>
              <w:left w:val="single" w:color="auto" w:sz="4" w:space="0"/>
              <w:bottom w:val="single" w:color="auto" w:sz="4" w:space="0"/>
              <w:right w:val="single" w:color="auto" w:sz="4" w:space="0"/>
            </w:tcBorders>
            <w:vAlign w:val="center"/>
          </w:tcPr>
          <w:p w14:paraId="60DA2D79">
            <w:pPr>
              <w:snapToGrid w:val="0"/>
              <w:spacing w:before="120" w:beforeLines="50"/>
              <w:jc w:val="center"/>
              <w:rPr>
                <w:color w:val="auto"/>
                <w:szCs w:val="21"/>
              </w:rPr>
            </w:pPr>
          </w:p>
        </w:tc>
      </w:tr>
    </w:tbl>
    <w:p w14:paraId="45340E3B">
      <w:pPr>
        <w:pStyle w:val="26"/>
        <w:tabs>
          <w:tab w:val="left" w:pos="2127"/>
        </w:tabs>
        <w:spacing w:line="340" w:lineRule="exact"/>
        <w:ind w:firstLine="420" w:firstLineChars="200"/>
        <w:jc w:val="left"/>
        <w:rPr>
          <w:rFonts w:ascii="Times New Roman" w:hAnsi="Times New Roman" w:cs="Times New Roman"/>
          <w:color w:val="auto"/>
        </w:rPr>
      </w:pPr>
      <w:bookmarkStart w:id="161" w:name="_Hlk48144603"/>
      <w:bookmarkStart w:id="162" w:name="_Hlk88990584"/>
      <w:r>
        <w:rPr>
          <w:rFonts w:ascii="Times New Roman" w:hAnsi="Times New Roman" w:cs="Times New Roman"/>
          <w:color w:val="auto"/>
        </w:rPr>
        <w:t>注：</w:t>
      </w:r>
      <w:bookmarkStart w:id="163" w:name="_Hlk19049081"/>
      <w:r>
        <w:rPr>
          <w:rFonts w:ascii="Times New Roman" w:hAnsi="Times New Roman" w:cs="Times New Roman"/>
          <w:color w:val="auto"/>
        </w:rPr>
        <w:t>（1）本表应对招标文件</w:t>
      </w:r>
      <w:r>
        <w:rPr>
          <w:color w:val="auto"/>
        </w:rPr>
        <w:t>第</w:t>
      </w:r>
      <w:r>
        <w:rPr>
          <w:rFonts w:hint="eastAsia"/>
          <w:color w:val="auto"/>
        </w:rPr>
        <w:t>二</w:t>
      </w:r>
      <w:r>
        <w:rPr>
          <w:color w:val="auto"/>
        </w:rPr>
        <w:t>章</w:t>
      </w:r>
      <w:r>
        <w:rPr>
          <w:rFonts w:hint="eastAsia"/>
          <w:color w:val="auto"/>
        </w:rPr>
        <w:t>《采购需求》</w:t>
      </w:r>
      <w:r>
        <w:rPr>
          <w:rFonts w:ascii="Times New Roman" w:hAnsi="Times New Roman" w:cs="Times New Roman"/>
          <w:color w:val="auto"/>
        </w:rPr>
        <w:t>中所列商务要求进行响应，并根据响应情况在“偏离说明”栏填写正偏离或负偏离及原因，完全符合的填写</w:t>
      </w:r>
      <w:r>
        <w:rPr>
          <w:rFonts w:hint="eastAsia" w:ascii="Times New Roman" w:hAnsi="Times New Roman" w:cs="Times New Roman"/>
          <w:color w:val="auto"/>
        </w:rPr>
        <w:t>“</w:t>
      </w:r>
      <w:r>
        <w:rPr>
          <w:rFonts w:ascii="Times New Roman" w:hAnsi="Times New Roman" w:cs="Times New Roman"/>
          <w:color w:val="auto"/>
        </w:rPr>
        <w:t>无偏离</w:t>
      </w:r>
      <w:r>
        <w:rPr>
          <w:rFonts w:hint="eastAsia" w:ascii="Times New Roman" w:hAnsi="Times New Roman" w:cs="Times New Roman"/>
          <w:color w:val="auto"/>
        </w:rPr>
        <w:t>”</w:t>
      </w:r>
      <w:r>
        <w:rPr>
          <w:rFonts w:ascii="Times New Roman" w:hAnsi="Times New Roman" w:cs="Times New Roman"/>
          <w:color w:val="auto"/>
        </w:rPr>
        <w:t>。</w:t>
      </w:r>
    </w:p>
    <w:p w14:paraId="7912CE63">
      <w:pPr>
        <w:pStyle w:val="26"/>
        <w:tabs>
          <w:tab w:val="left" w:pos="2127"/>
        </w:tabs>
        <w:spacing w:line="340" w:lineRule="exact"/>
        <w:ind w:firstLine="420" w:firstLineChars="200"/>
        <w:jc w:val="left"/>
        <w:rPr>
          <w:rFonts w:ascii="Times New Roman" w:hAnsi="Times New Roman" w:cs="Times New Roman"/>
          <w:color w:val="auto"/>
        </w:rPr>
      </w:pPr>
      <w:r>
        <w:rPr>
          <w:rFonts w:hint="eastAsia" w:ascii="Times New Roman" w:hAnsi="Times New Roman" w:cs="Times New Roman"/>
          <w:color w:val="auto"/>
        </w:rPr>
        <w:t>（2）</w:t>
      </w:r>
      <w:r>
        <w:rPr>
          <w:color w:val="auto"/>
        </w:rPr>
        <w:t>第</w:t>
      </w:r>
      <w:r>
        <w:rPr>
          <w:rFonts w:hint="eastAsia"/>
          <w:color w:val="auto"/>
        </w:rPr>
        <w:t>二</w:t>
      </w:r>
      <w:r>
        <w:rPr>
          <w:color w:val="auto"/>
        </w:rPr>
        <w:t>章</w:t>
      </w:r>
      <w:r>
        <w:rPr>
          <w:rFonts w:hint="eastAsia"/>
          <w:color w:val="auto"/>
        </w:rPr>
        <w:t>《采购需求》</w:t>
      </w:r>
      <w:r>
        <w:rPr>
          <w:rFonts w:hint="eastAsia" w:ascii="Times New Roman" w:hAnsi="Times New Roman" w:cs="Times New Roman"/>
          <w:color w:val="auto"/>
        </w:rPr>
        <w:t>中的总体要求无需响应。</w:t>
      </w:r>
    </w:p>
    <w:p w14:paraId="6184ADD0">
      <w:pPr>
        <w:ind w:firstLine="420" w:firstLineChars="200"/>
        <w:rPr>
          <w:color w:val="auto"/>
        </w:rPr>
      </w:pPr>
      <w:r>
        <w:rPr>
          <w:rFonts w:hint="eastAsia"/>
          <w:color w:val="auto"/>
        </w:rPr>
        <w:t>（</w:t>
      </w:r>
      <w:r>
        <w:rPr>
          <w:color w:val="auto"/>
        </w:rPr>
        <w:t>3</w:t>
      </w:r>
      <w:r>
        <w:rPr>
          <w:rFonts w:hint="eastAsia"/>
          <w:color w:val="auto"/>
        </w:rPr>
        <w:t>）偏离认定说明详见评审方法及标准。</w:t>
      </w:r>
    </w:p>
    <w:bookmarkEnd w:id="163"/>
    <w:p w14:paraId="3A0CFC86">
      <w:pPr>
        <w:pStyle w:val="26"/>
        <w:tabs>
          <w:tab w:val="left" w:pos="2127"/>
        </w:tabs>
        <w:spacing w:line="340" w:lineRule="exact"/>
        <w:ind w:firstLine="420" w:firstLineChars="200"/>
        <w:jc w:val="left"/>
        <w:rPr>
          <w:rFonts w:ascii="Times New Roman" w:hAnsi="Times New Roman" w:cs="Times New Roman"/>
          <w:color w:val="auto"/>
        </w:rPr>
      </w:pPr>
      <w:r>
        <w:rPr>
          <w:rFonts w:ascii="Times New Roman" w:hAnsi="Times New Roman" w:cs="Times New Roman"/>
          <w:color w:val="auto"/>
        </w:rPr>
        <w:t>（4）本表可扩展。</w:t>
      </w:r>
    </w:p>
    <w:bookmarkEnd w:id="161"/>
    <w:p w14:paraId="1F40731A">
      <w:pPr>
        <w:snapToGrid w:val="0"/>
        <w:spacing w:before="50" w:after="120" w:afterLines="50" w:line="440" w:lineRule="exact"/>
        <w:jc w:val="left"/>
        <w:rPr>
          <w:color w:val="auto"/>
          <w:spacing w:val="20"/>
          <w:szCs w:val="21"/>
          <w:u w:val="single"/>
        </w:rPr>
      </w:pPr>
      <w:r>
        <w:rPr>
          <w:color w:val="auto"/>
          <w:szCs w:val="21"/>
        </w:rPr>
        <w:t>供应商</w:t>
      </w:r>
      <w:r>
        <w:rPr>
          <w:rFonts w:hint="eastAsia"/>
          <w:color w:val="auto"/>
          <w:szCs w:val="21"/>
        </w:rPr>
        <w:t>名称(电子签章</w:t>
      </w:r>
      <w:r>
        <w:rPr>
          <w:color w:val="auto"/>
          <w:szCs w:val="21"/>
        </w:rPr>
        <w:t>)</w:t>
      </w:r>
      <w:r>
        <w:rPr>
          <w:color w:val="auto"/>
          <w:spacing w:val="20"/>
          <w:szCs w:val="21"/>
        </w:rPr>
        <w:t>：</w:t>
      </w:r>
      <w:r>
        <w:rPr>
          <w:color w:val="auto"/>
          <w:spacing w:val="20"/>
          <w:szCs w:val="21"/>
          <w:u w:val="single"/>
        </w:rPr>
        <w:t xml:space="preserve">            </w:t>
      </w:r>
      <w:r>
        <w:rPr>
          <w:color w:val="auto"/>
          <w:spacing w:val="20"/>
          <w:szCs w:val="21"/>
        </w:rPr>
        <w:t xml:space="preserve">             日  期：</w:t>
      </w:r>
      <w:r>
        <w:rPr>
          <w:color w:val="auto"/>
          <w:spacing w:val="20"/>
          <w:szCs w:val="21"/>
          <w:u w:val="single"/>
        </w:rPr>
        <w:t xml:space="preserve">        </w:t>
      </w:r>
    </w:p>
    <w:bookmarkEnd w:id="162"/>
    <w:p w14:paraId="068C7ECC">
      <w:pPr>
        <w:snapToGrid w:val="0"/>
        <w:spacing w:before="50" w:after="120" w:afterLines="50" w:line="440" w:lineRule="exact"/>
        <w:jc w:val="left"/>
        <w:rPr>
          <w:strike/>
          <w:color w:val="auto"/>
          <w:szCs w:val="21"/>
        </w:rPr>
      </w:pPr>
    </w:p>
    <w:p w14:paraId="56E8FD1F">
      <w:pPr>
        <w:snapToGrid w:val="0"/>
        <w:spacing w:before="50" w:after="120" w:afterLines="50" w:line="440" w:lineRule="exact"/>
        <w:jc w:val="left"/>
        <w:rPr>
          <w:strike/>
          <w:color w:val="auto"/>
          <w:szCs w:val="21"/>
        </w:rPr>
      </w:pPr>
      <w:r>
        <w:rPr>
          <w:color w:val="auto"/>
          <w:szCs w:val="21"/>
        </w:rPr>
        <w:t>2．售后服务机构概况</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30"/>
        <w:gridCol w:w="1422"/>
        <w:gridCol w:w="191"/>
        <w:gridCol w:w="1440"/>
        <w:gridCol w:w="889"/>
        <w:gridCol w:w="1436"/>
      </w:tblGrid>
      <w:tr w14:paraId="31E12E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30" w:type="dxa"/>
            <w:tcBorders>
              <w:top w:val="single" w:color="auto" w:sz="4" w:space="0"/>
              <w:left w:val="single" w:color="auto" w:sz="4" w:space="0"/>
              <w:bottom w:val="single" w:color="auto" w:sz="4" w:space="0"/>
              <w:right w:val="single" w:color="auto" w:sz="4" w:space="0"/>
            </w:tcBorders>
          </w:tcPr>
          <w:p w14:paraId="43438420">
            <w:pPr>
              <w:snapToGrid w:val="0"/>
              <w:spacing w:before="50" w:after="120" w:afterLines="50" w:line="400" w:lineRule="exact"/>
              <w:jc w:val="left"/>
              <w:rPr>
                <w:color w:val="auto"/>
                <w:szCs w:val="21"/>
              </w:rPr>
            </w:pPr>
            <w:r>
              <w:rPr>
                <w:color w:val="auto"/>
                <w:szCs w:val="21"/>
              </w:rPr>
              <w:t>售后服务机构名称</w:t>
            </w:r>
          </w:p>
        </w:tc>
        <w:tc>
          <w:tcPr>
            <w:tcW w:w="5378" w:type="dxa"/>
            <w:gridSpan w:val="5"/>
            <w:tcBorders>
              <w:top w:val="single" w:color="auto" w:sz="4" w:space="0"/>
              <w:left w:val="single" w:color="auto" w:sz="4" w:space="0"/>
              <w:bottom w:val="single" w:color="auto" w:sz="4" w:space="0"/>
              <w:right w:val="single" w:color="auto" w:sz="4" w:space="0"/>
            </w:tcBorders>
          </w:tcPr>
          <w:p w14:paraId="10308EC1">
            <w:pPr>
              <w:snapToGrid w:val="0"/>
              <w:spacing w:before="50" w:after="120" w:afterLines="50" w:line="400" w:lineRule="exact"/>
              <w:jc w:val="left"/>
              <w:rPr>
                <w:color w:val="auto"/>
                <w:szCs w:val="21"/>
              </w:rPr>
            </w:pPr>
          </w:p>
        </w:tc>
      </w:tr>
      <w:tr w14:paraId="44482C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tcPr>
          <w:p w14:paraId="26BDBFF2">
            <w:pPr>
              <w:snapToGrid w:val="0"/>
              <w:spacing w:before="50" w:after="120" w:afterLines="50" w:line="400" w:lineRule="exact"/>
              <w:jc w:val="left"/>
              <w:rPr>
                <w:color w:val="auto"/>
                <w:szCs w:val="21"/>
              </w:rPr>
            </w:pPr>
            <w:r>
              <w:rPr>
                <w:color w:val="auto"/>
                <w:szCs w:val="21"/>
              </w:rPr>
              <w:t>地址</w:t>
            </w:r>
          </w:p>
        </w:tc>
        <w:tc>
          <w:tcPr>
            <w:tcW w:w="5378" w:type="dxa"/>
            <w:gridSpan w:val="5"/>
            <w:tcBorders>
              <w:top w:val="single" w:color="auto" w:sz="4" w:space="0"/>
              <w:left w:val="single" w:color="auto" w:sz="4" w:space="0"/>
              <w:bottom w:val="single" w:color="auto" w:sz="4" w:space="0"/>
              <w:right w:val="single" w:color="auto" w:sz="4" w:space="0"/>
            </w:tcBorders>
          </w:tcPr>
          <w:p w14:paraId="587965ED">
            <w:pPr>
              <w:snapToGrid w:val="0"/>
              <w:spacing w:before="50" w:after="120" w:afterLines="50" w:line="400" w:lineRule="exact"/>
              <w:jc w:val="left"/>
              <w:rPr>
                <w:color w:val="auto"/>
                <w:szCs w:val="21"/>
              </w:rPr>
            </w:pPr>
          </w:p>
        </w:tc>
      </w:tr>
      <w:tr w14:paraId="198DB3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tcPr>
          <w:p w14:paraId="1FD00C8E">
            <w:pPr>
              <w:snapToGrid w:val="0"/>
              <w:spacing w:before="50" w:after="120" w:afterLines="50" w:line="400" w:lineRule="exact"/>
              <w:jc w:val="left"/>
              <w:rPr>
                <w:color w:val="auto"/>
                <w:szCs w:val="21"/>
              </w:rPr>
            </w:pPr>
            <w:r>
              <w:rPr>
                <w:color w:val="auto"/>
                <w:szCs w:val="21"/>
              </w:rPr>
              <w:t>注册资本金</w:t>
            </w:r>
          </w:p>
        </w:tc>
        <w:tc>
          <w:tcPr>
            <w:tcW w:w="1422" w:type="dxa"/>
            <w:tcBorders>
              <w:top w:val="single" w:color="auto" w:sz="4" w:space="0"/>
              <w:left w:val="single" w:color="auto" w:sz="4" w:space="0"/>
              <w:bottom w:val="single" w:color="auto" w:sz="4" w:space="0"/>
              <w:right w:val="single" w:color="auto" w:sz="4" w:space="0"/>
            </w:tcBorders>
          </w:tcPr>
          <w:p w14:paraId="0B7E5EC8">
            <w:pPr>
              <w:snapToGrid w:val="0"/>
              <w:spacing w:before="50" w:after="120" w:afterLines="50" w:line="400" w:lineRule="exact"/>
              <w:jc w:val="left"/>
              <w:rPr>
                <w:color w:val="auto"/>
                <w:szCs w:val="21"/>
              </w:rPr>
            </w:pPr>
          </w:p>
        </w:tc>
        <w:tc>
          <w:tcPr>
            <w:tcW w:w="2520" w:type="dxa"/>
            <w:gridSpan w:val="3"/>
            <w:tcBorders>
              <w:top w:val="single" w:color="auto" w:sz="4" w:space="0"/>
              <w:left w:val="single" w:color="auto" w:sz="4" w:space="0"/>
              <w:bottom w:val="single" w:color="auto" w:sz="4" w:space="0"/>
              <w:right w:val="single" w:color="auto" w:sz="4" w:space="0"/>
            </w:tcBorders>
          </w:tcPr>
          <w:p w14:paraId="0A06E52B">
            <w:pPr>
              <w:snapToGrid w:val="0"/>
              <w:spacing w:before="50" w:after="120" w:afterLines="50" w:line="400" w:lineRule="exact"/>
              <w:jc w:val="left"/>
              <w:rPr>
                <w:color w:val="auto"/>
                <w:szCs w:val="21"/>
              </w:rPr>
            </w:pPr>
            <w:r>
              <w:rPr>
                <w:color w:val="auto"/>
                <w:szCs w:val="21"/>
              </w:rPr>
              <w:t>其中：供应商出资比例</w:t>
            </w:r>
          </w:p>
        </w:tc>
        <w:tc>
          <w:tcPr>
            <w:tcW w:w="1436" w:type="dxa"/>
            <w:tcBorders>
              <w:top w:val="single" w:color="auto" w:sz="4" w:space="0"/>
              <w:left w:val="single" w:color="auto" w:sz="4" w:space="0"/>
              <w:bottom w:val="single" w:color="auto" w:sz="4" w:space="0"/>
              <w:right w:val="single" w:color="auto" w:sz="4" w:space="0"/>
            </w:tcBorders>
          </w:tcPr>
          <w:p w14:paraId="4592532D">
            <w:pPr>
              <w:snapToGrid w:val="0"/>
              <w:spacing w:before="50" w:after="120" w:afterLines="50" w:line="400" w:lineRule="exact"/>
              <w:jc w:val="left"/>
              <w:rPr>
                <w:color w:val="auto"/>
                <w:szCs w:val="21"/>
              </w:rPr>
            </w:pPr>
          </w:p>
        </w:tc>
      </w:tr>
      <w:tr w14:paraId="322BE4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tcPr>
          <w:p w14:paraId="6C3779C4">
            <w:pPr>
              <w:snapToGrid w:val="0"/>
              <w:spacing w:before="50" w:after="120" w:afterLines="50" w:line="400" w:lineRule="exact"/>
              <w:jc w:val="left"/>
              <w:rPr>
                <w:color w:val="auto"/>
                <w:szCs w:val="21"/>
              </w:rPr>
            </w:pPr>
            <w:r>
              <w:rPr>
                <w:color w:val="auto"/>
                <w:szCs w:val="21"/>
              </w:rPr>
              <w:t>员工总人数</w:t>
            </w:r>
          </w:p>
        </w:tc>
        <w:tc>
          <w:tcPr>
            <w:tcW w:w="1422" w:type="dxa"/>
            <w:tcBorders>
              <w:top w:val="single" w:color="auto" w:sz="4" w:space="0"/>
              <w:left w:val="single" w:color="auto" w:sz="4" w:space="0"/>
              <w:bottom w:val="single" w:color="auto" w:sz="4" w:space="0"/>
              <w:right w:val="single" w:color="auto" w:sz="4" w:space="0"/>
            </w:tcBorders>
          </w:tcPr>
          <w:p w14:paraId="27473A2F">
            <w:pPr>
              <w:snapToGrid w:val="0"/>
              <w:spacing w:before="50" w:after="120" w:afterLines="50" w:line="400" w:lineRule="exact"/>
              <w:jc w:val="left"/>
              <w:rPr>
                <w:color w:val="auto"/>
                <w:szCs w:val="21"/>
              </w:rPr>
            </w:pPr>
          </w:p>
        </w:tc>
        <w:tc>
          <w:tcPr>
            <w:tcW w:w="2520" w:type="dxa"/>
            <w:gridSpan w:val="3"/>
            <w:tcBorders>
              <w:top w:val="single" w:color="auto" w:sz="4" w:space="0"/>
              <w:left w:val="single" w:color="auto" w:sz="4" w:space="0"/>
              <w:bottom w:val="single" w:color="auto" w:sz="4" w:space="0"/>
              <w:right w:val="single" w:color="auto" w:sz="4" w:space="0"/>
            </w:tcBorders>
          </w:tcPr>
          <w:p w14:paraId="728FD8CA">
            <w:pPr>
              <w:snapToGrid w:val="0"/>
              <w:spacing w:before="50" w:after="120" w:afterLines="50" w:line="400" w:lineRule="exact"/>
              <w:ind w:left="60"/>
              <w:jc w:val="left"/>
              <w:rPr>
                <w:color w:val="auto"/>
                <w:szCs w:val="21"/>
              </w:rPr>
            </w:pPr>
            <w:r>
              <w:rPr>
                <w:color w:val="auto"/>
                <w:szCs w:val="21"/>
              </w:rPr>
              <w:t>其中：技术人员数</w:t>
            </w:r>
          </w:p>
        </w:tc>
        <w:tc>
          <w:tcPr>
            <w:tcW w:w="1436" w:type="dxa"/>
            <w:tcBorders>
              <w:top w:val="single" w:color="auto" w:sz="4" w:space="0"/>
              <w:left w:val="single" w:color="auto" w:sz="4" w:space="0"/>
              <w:bottom w:val="single" w:color="auto" w:sz="4" w:space="0"/>
              <w:right w:val="single" w:color="auto" w:sz="4" w:space="0"/>
            </w:tcBorders>
          </w:tcPr>
          <w:p w14:paraId="137CB4AC">
            <w:pPr>
              <w:snapToGrid w:val="0"/>
              <w:spacing w:before="50" w:after="120" w:afterLines="50" w:line="400" w:lineRule="exact"/>
              <w:jc w:val="left"/>
              <w:rPr>
                <w:color w:val="auto"/>
                <w:szCs w:val="21"/>
              </w:rPr>
            </w:pPr>
          </w:p>
        </w:tc>
      </w:tr>
      <w:tr w14:paraId="326E53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tcPr>
          <w:p w14:paraId="58EBECA8">
            <w:pPr>
              <w:snapToGrid w:val="0"/>
              <w:spacing w:before="50" w:after="120" w:afterLines="50" w:line="400" w:lineRule="exact"/>
              <w:jc w:val="left"/>
              <w:rPr>
                <w:color w:val="auto"/>
                <w:szCs w:val="21"/>
              </w:rPr>
            </w:pPr>
            <w:r>
              <w:rPr>
                <w:color w:val="auto"/>
                <w:szCs w:val="21"/>
              </w:rPr>
              <w:t>经营期限</w:t>
            </w:r>
          </w:p>
        </w:tc>
        <w:tc>
          <w:tcPr>
            <w:tcW w:w="5378" w:type="dxa"/>
            <w:gridSpan w:val="5"/>
            <w:tcBorders>
              <w:top w:val="single" w:color="auto" w:sz="4" w:space="0"/>
              <w:left w:val="single" w:color="auto" w:sz="4" w:space="0"/>
              <w:bottom w:val="single" w:color="auto" w:sz="4" w:space="0"/>
              <w:right w:val="single" w:color="auto" w:sz="4" w:space="0"/>
            </w:tcBorders>
          </w:tcPr>
          <w:p w14:paraId="6DE2D766">
            <w:pPr>
              <w:snapToGrid w:val="0"/>
              <w:spacing w:before="50" w:after="120" w:afterLines="50" w:line="400" w:lineRule="exact"/>
              <w:jc w:val="left"/>
              <w:rPr>
                <w:color w:val="auto"/>
                <w:szCs w:val="21"/>
              </w:rPr>
            </w:pPr>
          </w:p>
        </w:tc>
      </w:tr>
      <w:tr w14:paraId="5E63A2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tcPr>
          <w:p w14:paraId="4D7C8701">
            <w:pPr>
              <w:snapToGrid w:val="0"/>
              <w:spacing w:before="50" w:after="120" w:afterLines="50" w:line="400" w:lineRule="exact"/>
              <w:jc w:val="left"/>
              <w:rPr>
                <w:color w:val="auto"/>
                <w:szCs w:val="21"/>
              </w:rPr>
            </w:pPr>
            <w:r>
              <w:rPr>
                <w:color w:val="auto"/>
                <w:szCs w:val="21"/>
              </w:rPr>
              <w:t>售后服务协议</w:t>
            </w:r>
          </w:p>
        </w:tc>
        <w:tc>
          <w:tcPr>
            <w:tcW w:w="5378" w:type="dxa"/>
            <w:gridSpan w:val="5"/>
            <w:tcBorders>
              <w:top w:val="single" w:color="auto" w:sz="4" w:space="0"/>
              <w:left w:val="single" w:color="auto" w:sz="4" w:space="0"/>
              <w:bottom w:val="single" w:color="auto" w:sz="4" w:space="0"/>
              <w:right w:val="single" w:color="auto" w:sz="4" w:space="0"/>
            </w:tcBorders>
          </w:tcPr>
          <w:p w14:paraId="3D541984">
            <w:pPr>
              <w:snapToGrid w:val="0"/>
              <w:spacing w:before="50" w:after="120" w:afterLines="50" w:line="400" w:lineRule="exact"/>
              <w:jc w:val="left"/>
              <w:rPr>
                <w:color w:val="auto"/>
                <w:szCs w:val="21"/>
              </w:rPr>
            </w:pPr>
          </w:p>
        </w:tc>
      </w:tr>
      <w:tr w14:paraId="54F40F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tcPr>
          <w:p w14:paraId="2F6BBDD2">
            <w:pPr>
              <w:snapToGrid w:val="0"/>
              <w:spacing w:before="50" w:after="120" w:afterLines="50" w:line="400" w:lineRule="exact"/>
              <w:jc w:val="left"/>
              <w:rPr>
                <w:color w:val="auto"/>
                <w:szCs w:val="21"/>
              </w:rPr>
            </w:pPr>
            <w:r>
              <w:rPr>
                <w:color w:val="auto"/>
                <w:szCs w:val="21"/>
              </w:rPr>
              <w:t>售后服务内容</w:t>
            </w:r>
          </w:p>
        </w:tc>
        <w:tc>
          <w:tcPr>
            <w:tcW w:w="5378" w:type="dxa"/>
            <w:gridSpan w:val="5"/>
            <w:tcBorders>
              <w:top w:val="single" w:color="auto" w:sz="4" w:space="0"/>
              <w:left w:val="single" w:color="auto" w:sz="4" w:space="0"/>
              <w:bottom w:val="single" w:color="auto" w:sz="4" w:space="0"/>
              <w:right w:val="single" w:color="auto" w:sz="4" w:space="0"/>
            </w:tcBorders>
          </w:tcPr>
          <w:p w14:paraId="535DEA58">
            <w:pPr>
              <w:snapToGrid w:val="0"/>
              <w:spacing w:before="50" w:after="120" w:afterLines="50" w:line="400" w:lineRule="exact"/>
              <w:jc w:val="left"/>
              <w:rPr>
                <w:color w:val="auto"/>
                <w:szCs w:val="21"/>
              </w:rPr>
            </w:pPr>
          </w:p>
        </w:tc>
      </w:tr>
      <w:tr w14:paraId="3E083B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tcPr>
          <w:p w14:paraId="32086F47">
            <w:pPr>
              <w:snapToGrid w:val="0"/>
              <w:spacing w:before="50" w:after="120" w:afterLines="50" w:line="400" w:lineRule="exact"/>
              <w:jc w:val="left"/>
              <w:rPr>
                <w:color w:val="auto"/>
                <w:szCs w:val="21"/>
              </w:rPr>
            </w:pPr>
            <w:r>
              <w:rPr>
                <w:color w:val="auto"/>
                <w:szCs w:val="21"/>
              </w:rPr>
              <w:t>业务咨询电话</w:t>
            </w:r>
          </w:p>
        </w:tc>
        <w:tc>
          <w:tcPr>
            <w:tcW w:w="1613" w:type="dxa"/>
            <w:gridSpan w:val="2"/>
            <w:tcBorders>
              <w:top w:val="single" w:color="auto" w:sz="4" w:space="0"/>
              <w:left w:val="single" w:color="auto" w:sz="4" w:space="0"/>
              <w:bottom w:val="single" w:color="auto" w:sz="4" w:space="0"/>
              <w:right w:val="single" w:color="auto" w:sz="2" w:space="0"/>
            </w:tcBorders>
          </w:tcPr>
          <w:p w14:paraId="08A1BDD4">
            <w:pPr>
              <w:snapToGrid w:val="0"/>
              <w:spacing w:before="50" w:after="120" w:afterLines="50" w:line="400" w:lineRule="exact"/>
              <w:jc w:val="left"/>
              <w:rPr>
                <w:color w:val="auto"/>
                <w:szCs w:val="21"/>
              </w:rPr>
            </w:pPr>
          </w:p>
        </w:tc>
        <w:tc>
          <w:tcPr>
            <w:tcW w:w="1440" w:type="dxa"/>
            <w:tcBorders>
              <w:top w:val="single" w:color="auto" w:sz="4" w:space="0"/>
              <w:left w:val="single" w:color="auto" w:sz="2" w:space="0"/>
              <w:bottom w:val="single" w:color="auto" w:sz="4" w:space="0"/>
              <w:right w:val="single" w:color="auto" w:sz="2" w:space="0"/>
            </w:tcBorders>
          </w:tcPr>
          <w:p w14:paraId="3FFC28FC">
            <w:pPr>
              <w:snapToGrid w:val="0"/>
              <w:spacing w:before="50" w:after="120" w:afterLines="50" w:line="400" w:lineRule="exact"/>
              <w:ind w:firstLine="210" w:firstLineChars="100"/>
              <w:jc w:val="left"/>
              <w:rPr>
                <w:color w:val="auto"/>
                <w:szCs w:val="21"/>
              </w:rPr>
            </w:pPr>
            <w:r>
              <w:rPr>
                <w:color w:val="auto"/>
                <w:szCs w:val="21"/>
              </w:rPr>
              <w:t>传 真</w:t>
            </w:r>
          </w:p>
        </w:tc>
        <w:tc>
          <w:tcPr>
            <w:tcW w:w="2325" w:type="dxa"/>
            <w:gridSpan w:val="2"/>
            <w:tcBorders>
              <w:top w:val="single" w:color="auto" w:sz="4" w:space="0"/>
              <w:left w:val="single" w:color="auto" w:sz="2" w:space="0"/>
              <w:bottom w:val="single" w:color="auto" w:sz="4" w:space="0"/>
              <w:right w:val="single" w:color="auto" w:sz="2" w:space="0"/>
            </w:tcBorders>
          </w:tcPr>
          <w:p w14:paraId="47BD2383">
            <w:pPr>
              <w:snapToGrid w:val="0"/>
              <w:spacing w:before="50" w:after="120" w:afterLines="50" w:line="400" w:lineRule="exact"/>
              <w:jc w:val="left"/>
              <w:rPr>
                <w:color w:val="auto"/>
                <w:szCs w:val="21"/>
              </w:rPr>
            </w:pPr>
          </w:p>
        </w:tc>
      </w:tr>
      <w:tr w14:paraId="27145B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tcPr>
          <w:p w14:paraId="5CEDA756">
            <w:pPr>
              <w:snapToGrid w:val="0"/>
              <w:spacing w:before="50" w:after="120" w:afterLines="50" w:line="400" w:lineRule="exact"/>
              <w:jc w:val="left"/>
              <w:rPr>
                <w:color w:val="auto"/>
                <w:szCs w:val="21"/>
              </w:rPr>
            </w:pPr>
            <w:r>
              <w:rPr>
                <w:color w:val="auto"/>
                <w:szCs w:val="21"/>
              </w:rPr>
              <w:t>负责人</w:t>
            </w:r>
          </w:p>
        </w:tc>
        <w:tc>
          <w:tcPr>
            <w:tcW w:w="1613" w:type="dxa"/>
            <w:gridSpan w:val="2"/>
            <w:tcBorders>
              <w:top w:val="single" w:color="auto" w:sz="4" w:space="0"/>
              <w:left w:val="single" w:color="auto" w:sz="4" w:space="0"/>
              <w:bottom w:val="single" w:color="auto" w:sz="4" w:space="0"/>
              <w:right w:val="single" w:color="auto" w:sz="2" w:space="0"/>
            </w:tcBorders>
          </w:tcPr>
          <w:p w14:paraId="24397977">
            <w:pPr>
              <w:snapToGrid w:val="0"/>
              <w:spacing w:before="50" w:after="120" w:afterLines="50" w:line="400" w:lineRule="exact"/>
              <w:jc w:val="left"/>
              <w:rPr>
                <w:color w:val="auto"/>
                <w:szCs w:val="21"/>
              </w:rPr>
            </w:pPr>
          </w:p>
        </w:tc>
        <w:tc>
          <w:tcPr>
            <w:tcW w:w="1440" w:type="dxa"/>
            <w:tcBorders>
              <w:top w:val="single" w:color="auto" w:sz="4" w:space="0"/>
              <w:left w:val="single" w:color="auto" w:sz="2" w:space="0"/>
              <w:bottom w:val="single" w:color="auto" w:sz="4" w:space="0"/>
              <w:right w:val="single" w:color="auto" w:sz="2" w:space="0"/>
            </w:tcBorders>
          </w:tcPr>
          <w:p w14:paraId="4BF5A14C">
            <w:pPr>
              <w:snapToGrid w:val="0"/>
              <w:spacing w:before="50" w:after="120" w:afterLines="50" w:line="400" w:lineRule="exact"/>
              <w:jc w:val="left"/>
              <w:rPr>
                <w:color w:val="auto"/>
                <w:szCs w:val="21"/>
              </w:rPr>
            </w:pPr>
            <w:r>
              <w:rPr>
                <w:color w:val="auto"/>
                <w:szCs w:val="21"/>
              </w:rPr>
              <w:t>联系电话</w:t>
            </w:r>
          </w:p>
        </w:tc>
        <w:tc>
          <w:tcPr>
            <w:tcW w:w="2325" w:type="dxa"/>
            <w:gridSpan w:val="2"/>
            <w:tcBorders>
              <w:top w:val="single" w:color="auto" w:sz="4" w:space="0"/>
              <w:left w:val="single" w:color="auto" w:sz="2" w:space="0"/>
              <w:bottom w:val="single" w:color="auto" w:sz="4" w:space="0"/>
              <w:right w:val="single" w:color="auto" w:sz="4" w:space="0"/>
            </w:tcBorders>
          </w:tcPr>
          <w:p w14:paraId="2939BCFF">
            <w:pPr>
              <w:snapToGrid w:val="0"/>
              <w:spacing w:before="50" w:after="120" w:afterLines="50" w:line="400" w:lineRule="exact"/>
              <w:jc w:val="left"/>
              <w:rPr>
                <w:color w:val="auto"/>
                <w:szCs w:val="21"/>
              </w:rPr>
            </w:pPr>
          </w:p>
        </w:tc>
      </w:tr>
    </w:tbl>
    <w:p w14:paraId="52F5E873">
      <w:pPr>
        <w:pStyle w:val="19"/>
        <w:snapToGrid w:val="0"/>
        <w:rPr>
          <w:color w:val="auto"/>
          <w:sz w:val="22"/>
          <w:szCs w:val="20"/>
        </w:rPr>
      </w:pPr>
    </w:p>
    <w:p w14:paraId="3EE35EBE">
      <w:pPr>
        <w:pStyle w:val="19"/>
        <w:snapToGrid w:val="0"/>
        <w:rPr>
          <w:color w:val="auto"/>
          <w:sz w:val="21"/>
          <w:szCs w:val="21"/>
        </w:rPr>
      </w:pPr>
      <w:r>
        <w:rPr>
          <w:color w:val="auto"/>
          <w:sz w:val="22"/>
          <w:szCs w:val="20"/>
        </w:rPr>
        <w:t>供应商</w:t>
      </w:r>
      <w:r>
        <w:rPr>
          <w:rFonts w:hint="eastAsia"/>
          <w:color w:val="auto"/>
          <w:sz w:val="22"/>
          <w:szCs w:val="20"/>
        </w:rPr>
        <w:t>名称(电子签章</w:t>
      </w:r>
      <w:r>
        <w:rPr>
          <w:color w:val="auto"/>
          <w:sz w:val="22"/>
          <w:szCs w:val="20"/>
        </w:rPr>
        <w:t>)</w:t>
      </w:r>
      <w:r>
        <w:rPr>
          <w:color w:val="auto"/>
          <w:sz w:val="20"/>
          <w:szCs w:val="20"/>
        </w:rPr>
        <w:t>：</w:t>
      </w:r>
      <w:r>
        <w:rPr>
          <w:color w:val="auto"/>
          <w:sz w:val="20"/>
          <w:szCs w:val="20"/>
          <w:u w:val="single"/>
        </w:rPr>
        <w:t xml:space="preserve">               </w:t>
      </w:r>
      <w:r>
        <w:rPr>
          <w:color w:val="auto"/>
          <w:sz w:val="21"/>
          <w:szCs w:val="21"/>
        </w:rPr>
        <w:t xml:space="preserve">                　 年    月　 日</w:t>
      </w:r>
    </w:p>
    <w:p w14:paraId="33B66622">
      <w:pPr>
        <w:pStyle w:val="15"/>
        <w:snapToGrid w:val="0"/>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注：（1）应提供供应商或其分支机构或其售后服务机构的营业执照复印件；</w:t>
      </w:r>
    </w:p>
    <w:p w14:paraId="7778E849">
      <w:pPr>
        <w:pStyle w:val="15"/>
        <w:snapToGrid w:val="0"/>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（2）供应商授权本地服务机构的，须提供授权书或服务协议复印件。</w:t>
      </w:r>
    </w:p>
    <w:p w14:paraId="747432BA">
      <w:pPr>
        <w:pStyle w:val="15"/>
        <w:snapToGrid w:val="0"/>
        <w:rPr>
          <w:rFonts w:ascii="Times New Roman" w:hAnsi="Times New Roman" w:eastAsia="宋体" w:cs="Times New Roman"/>
          <w:color w:val="auto"/>
          <w:sz w:val="21"/>
          <w:szCs w:val="21"/>
        </w:rPr>
      </w:pPr>
    </w:p>
    <w:p w14:paraId="28CAED4D">
      <w:pPr>
        <w:snapToGrid w:val="0"/>
        <w:spacing w:before="50" w:after="120" w:afterLines="50" w:line="440" w:lineRule="exact"/>
        <w:jc w:val="left"/>
        <w:rPr>
          <w:color w:val="auto"/>
          <w:szCs w:val="21"/>
        </w:rPr>
      </w:pPr>
    </w:p>
    <w:p w14:paraId="0BFE73D3">
      <w:pPr>
        <w:snapToGrid w:val="0"/>
        <w:spacing w:before="50" w:after="120" w:afterLines="50" w:line="440" w:lineRule="exact"/>
        <w:jc w:val="left"/>
        <w:rPr>
          <w:color w:val="auto"/>
          <w:szCs w:val="21"/>
        </w:rPr>
      </w:pPr>
      <w:r>
        <w:rPr>
          <w:color w:val="auto"/>
          <w:szCs w:val="21"/>
        </w:rPr>
        <w:t>3．售后服务方案（如有</w:t>
      </w:r>
      <w:r>
        <w:rPr>
          <w:rFonts w:hint="eastAsia"/>
          <w:color w:val="auto"/>
          <w:szCs w:val="21"/>
        </w:rPr>
        <w:t>，</w:t>
      </w:r>
      <w:r>
        <w:rPr>
          <w:color w:val="auto"/>
          <w:szCs w:val="21"/>
        </w:rPr>
        <w:t>供应商自行编写）</w:t>
      </w:r>
    </w:p>
    <w:p w14:paraId="3BAE18C1">
      <w:pPr>
        <w:snapToGrid w:val="0"/>
        <w:spacing w:before="50" w:after="120" w:afterLines="50" w:line="440" w:lineRule="exact"/>
        <w:jc w:val="left"/>
        <w:rPr>
          <w:color w:val="auto"/>
          <w:szCs w:val="21"/>
        </w:rPr>
      </w:pPr>
    </w:p>
    <w:p w14:paraId="20F8794F">
      <w:pPr>
        <w:snapToGrid w:val="0"/>
        <w:spacing w:before="50" w:after="120" w:afterLines="50" w:line="440" w:lineRule="exact"/>
        <w:jc w:val="left"/>
        <w:rPr>
          <w:color w:val="auto"/>
          <w:szCs w:val="21"/>
        </w:rPr>
      </w:pPr>
      <w:r>
        <w:rPr>
          <w:rFonts w:hint="eastAsia"/>
          <w:color w:val="auto"/>
          <w:szCs w:val="21"/>
        </w:rPr>
        <w:t>4</w:t>
      </w:r>
      <w:r>
        <w:rPr>
          <w:color w:val="auto"/>
          <w:szCs w:val="21"/>
        </w:rPr>
        <w:t>.</w:t>
      </w:r>
      <w:r>
        <w:rPr>
          <w:rFonts w:hint="eastAsia"/>
          <w:color w:val="auto"/>
        </w:rPr>
        <w:t xml:space="preserve"> </w:t>
      </w:r>
      <w:r>
        <w:rPr>
          <w:rFonts w:hint="eastAsia"/>
          <w:color w:val="auto"/>
          <w:szCs w:val="21"/>
        </w:rPr>
        <w:t>培训方案</w:t>
      </w:r>
      <w:r>
        <w:rPr>
          <w:color w:val="auto"/>
          <w:szCs w:val="21"/>
        </w:rPr>
        <w:t>（如有</w:t>
      </w:r>
      <w:r>
        <w:rPr>
          <w:rFonts w:hint="eastAsia"/>
          <w:color w:val="auto"/>
          <w:szCs w:val="21"/>
        </w:rPr>
        <w:t>，</w:t>
      </w:r>
      <w:r>
        <w:rPr>
          <w:color w:val="auto"/>
          <w:szCs w:val="21"/>
        </w:rPr>
        <w:t>供应商自行编写）</w:t>
      </w:r>
    </w:p>
    <w:p w14:paraId="77529354">
      <w:pPr>
        <w:snapToGrid w:val="0"/>
        <w:spacing w:before="50" w:after="120" w:afterLines="50" w:line="440" w:lineRule="exact"/>
        <w:jc w:val="left"/>
        <w:rPr>
          <w:color w:val="auto"/>
          <w:szCs w:val="21"/>
        </w:rPr>
      </w:pPr>
    </w:p>
    <w:p w14:paraId="35EAF03B">
      <w:pPr>
        <w:snapToGrid w:val="0"/>
        <w:spacing w:before="50" w:after="120" w:afterLines="50" w:line="440" w:lineRule="exact"/>
        <w:jc w:val="left"/>
        <w:rPr>
          <w:color w:val="auto"/>
          <w:spacing w:val="20"/>
          <w:szCs w:val="21"/>
          <w:u w:val="single"/>
        </w:rPr>
      </w:pPr>
    </w:p>
    <w:p w14:paraId="0A2DA23C">
      <w:pPr>
        <w:snapToGrid w:val="0"/>
        <w:spacing w:before="50" w:after="120" w:afterLines="50" w:line="440" w:lineRule="exact"/>
        <w:jc w:val="left"/>
        <w:rPr>
          <w:color w:val="auto"/>
          <w:spacing w:val="20"/>
          <w:szCs w:val="21"/>
          <w:u w:val="single"/>
        </w:rPr>
        <w:sectPr>
          <w:headerReference r:id="rId13" w:type="first"/>
          <w:headerReference r:id="rId12" w:type="default"/>
          <w:pgSz w:w="11906" w:h="16838"/>
          <w:pgMar w:top="1418" w:right="1133" w:bottom="1246" w:left="1418" w:header="851" w:footer="992" w:gutter="0"/>
          <w:cols w:space="720" w:num="1"/>
          <w:docGrid w:linePitch="312" w:charSpace="0"/>
        </w:sectPr>
      </w:pPr>
    </w:p>
    <w:p w14:paraId="036F05E6">
      <w:pPr>
        <w:snapToGrid w:val="0"/>
        <w:spacing w:before="50" w:after="120" w:afterLines="50"/>
        <w:jc w:val="left"/>
        <w:rPr>
          <w:b/>
          <w:color w:val="auto"/>
          <w:szCs w:val="21"/>
        </w:rPr>
      </w:pPr>
      <w:r>
        <w:rPr>
          <w:rFonts w:hint="eastAsia"/>
          <w:color w:val="auto"/>
          <w:szCs w:val="21"/>
        </w:rPr>
        <w:t>5</w:t>
      </w:r>
      <w:r>
        <w:rPr>
          <w:color w:val="auto"/>
          <w:szCs w:val="21"/>
        </w:rPr>
        <w:t>．近年供应商类似成功案例的业绩证明</w:t>
      </w:r>
      <w:r>
        <w:rPr>
          <w:rFonts w:hint="eastAsia"/>
          <w:color w:val="auto"/>
          <w:szCs w:val="21"/>
        </w:rPr>
        <w:t>。</w:t>
      </w:r>
    </w:p>
    <w:p w14:paraId="5541F596">
      <w:pPr>
        <w:snapToGrid w:val="0"/>
        <w:spacing w:before="50" w:after="120" w:afterLines="50"/>
        <w:jc w:val="center"/>
        <w:rPr>
          <w:color w:val="auto"/>
          <w:szCs w:val="21"/>
        </w:rPr>
      </w:pPr>
      <w:r>
        <w:rPr>
          <w:b/>
          <w:color w:val="auto"/>
          <w:szCs w:val="21"/>
        </w:rPr>
        <w:t>类似成功案例业绩一览表</w:t>
      </w:r>
    </w:p>
    <w:tbl>
      <w:tblPr>
        <w:tblStyle w:val="51"/>
        <w:tblW w:w="1337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35"/>
        <w:gridCol w:w="2943"/>
        <w:gridCol w:w="4123"/>
        <w:gridCol w:w="958"/>
        <w:gridCol w:w="958"/>
        <w:gridCol w:w="1278"/>
        <w:gridCol w:w="2480"/>
      </w:tblGrid>
      <w:tr w14:paraId="531987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63" w:hRule="atLeast"/>
        </w:trPr>
        <w:tc>
          <w:tcPr>
            <w:tcW w:w="635" w:type="dxa"/>
            <w:tcBorders>
              <w:top w:val="single" w:color="auto" w:sz="4" w:space="0"/>
              <w:left w:val="single" w:color="auto" w:sz="4" w:space="0"/>
              <w:right w:val="single" w:color="auto" w:sz="4" w:space="0"/>
            </w:tcBorders>
          </w:tcPr>
          <w:p w14:paraId="5E775BB3">
            <w:pPr>
              <w:snapToGrid w:val="0"/>
              <w:spacing w:line="240" w:lineRule="exact"/>
              <w:jc w:val="center"/>
              <w:rPr>
                <w:color w:val="auto"/>
                <w:szCs w:val="21"/>
              </w:rPr>
            </w:pPr>
          </w:p>
          <w:p w14:paraId="2405C48F">
            <w:pPr>
              <w:snapToGrid w:val="0"/>
              <w:spacing w:line="240" w:lineRule="exact"/>
              <w:jc w:val="center"/>
              <w:rPr>
                <w:color w:val="auto"/>
                <w:szCs w:val="21"/>
              </w:rPr>
            </w:pPr>
          </w:p>
          <w:p w14:paraId="0C527652">
            <w:pPr>
              <w:snapToGrid w:val="0"/>
              <w:spacing w:line="240" w:lineRule="exact"/>
              <w:jc w:val="center"/>
              <w:rPr>
                <w:color w:val="auto"/>
                <w:szCs w:val="21"/>
              </w:rPr>
            </w:pPr>
            <w:r>
              <w:rPr>
                <w:rFonts w:hint="eastAsia"/>
                <w:color w:val="auto"/>
                <w:szCs w:val="21"/>
              </w:rPr>
              <w:t>序号</w:t>
            </w:r>
          </w:p>
        </w:tc>
        <w:tc>
          <w:tcPr>
            <w:tcW w:w="2943" w:type="dxa"/>
            <w:tcBorders>
              <w:top w:val="single" w:color="auto" w:sz="4" w:space="0"/>
              <w:left w:val="single" w:color="auto" w:sz="4" w:space="0"/>
              <w:bottom w:val="single" w:color="auto" w:sz="4" w:space="0"/>
              <w:right w:val="single" w:color="auto" w:sz="4" w:space="0"/>
            </w:tcBorders>
            <w:vAlign w:val="center"/>
          </w:tcPr>
          <w:p w14:paraId="5291EF7F">
            <w:pPr>
              <w:snapToGrid w:val="0"/>
              <w:spacing w:line="240" w:lineRule="exact"/>
              <w:jc w:val="center"/>
              <w:rPr>
                <w:color w:val="auto"/>
                <w:szCs w:val="21"/>
              </w:rPr>
            </w:pPr>
            <w:r>
              <w:rPr>
                <w:color w:val="auto"/>
                <w:szCs w:val="21"/>
              </w:rPr>
              <w:t>采购单位名称</w:t>
            </w:r>
          </w:p>
        </w:tc>
        <w:tc>
          <w:tcPr>
            <w:tcW w:w="4123" w:type="dxa"/>
            <w:tcBorders>
              <w:top w:val="single" w:color="auto" w:sz="4" w:space="0"/>
              <w:left w:val="single" w:color="auto" w:sz="4" w:space="0"/>
              <w:bottom w:val="single" w:color="auto" w:sz="4" w:space="0"/>
              <w:right w:val="single" w:color="auto" w:sz="4" w:space="0"/>
            </w:tcBorders>
            <w:vAlign w:val="center"/>
          </w:tcPr>
          <w:p w14:paraId="439DAE75">
            <w:pPr>
              <w:snapToGrid w:val="0"/>
              <w:spacing w:line="240" w:lineRule="exact"/>
              <w:jc w:val="center"/>
              <w:rPr>
                <w:color w:val="auto"/>
                <w:szCs w:val="21"/>
              </w:rPr>
            </w:pPr>
            <w:r>
              <w:rPr>
                <w:color w:val="auto"/>
                <w:szCs w:val="21"/>
              </w:rPr>
              <w:t>产品或项目名称</w:t>
            </w:r>
          </w:p>
        </w:tc>
        <w:tc>
          <w:tcPr>
            <w:tcW w:w="958" w:type="dxa"/>
            <w:tcBorders>
              <w:top w:val="single" w:color="auto" w:sz="4" w:space="0"/>
              <w:left w:val="single" w:color="auto" w:sz="4" w:space="0"/>
              <w:bottom w:val="single" w:color="auto" w:sz="4" w:space="0"/>
              <w:right w:val="single" w:color="auto" w:sz="4" w:space="0"/>
            </w:tcBorders>
            <w:vAlign w:val="center"/>
          </w:tcPr>
          <w:p w14:paraId="133A97BF">
            <w:pPr>
              <w:snapToGrid w:val="0"/>
              <w:spacing w:line="240" w:lineRule="exact"/>
              <w:jc w:val="center"/>
              <w:rPr>
                <w:color w:val="auto"/>
                <w:szCs w:val="21"/>
              </w:rPr>
            </w:pPr>
            <w:r>
              <w:rPr>
                <w:color w:val="auto"/>
                <w:szCs w:val="21"/>
              </w:rPr>
              <w:t>采购</w:t>
            </w:r>
          </w:p>
          <w:p w14:paraId="49DC3AAD">
            <w:pPr>
              <w:snapToGrid w:val="0"/>
              <w:spacing w:line="240" w:lineRule="exact"/>
              <w:jc w:val="center"/>
              <w:rPr>
                <w:color w:val="auto"/>
                <w:szCs w:val="21"/>
              </w:rPr>
            </w:pPr>
            <w:r>
              <w:rPr>
                <w:color w:val="auto"/>
                <w:szCs w:val="21"/>
              </w:rPr>
              <w:t>数量</w:t>
            </w:r>
          </w:p>
        </w:tc>
        <w:tc>
          <w:tcPr>
            <w:tcW w:w="958" w:type="dxa"/>
            <w:tcBorders>
              <w:top w:val="single" w:color="auto" w:sz="4" w:space="0"/>
              <w:left w:val="single" w:color="auto" w:sz="4" w:space="0"/>
              <w:bottom w:val="single" w:color="auto" w:sz="4" w:space="0"/>
              <w:right w:val="single" w:color="auto" w:sz="4" w:space="0"/>
            </w:tcBorders>
            <w:vAlign w:val="center"/>
          </w:tcPr>
          <w:p w14:paraId="20C3D2D8">
            <w:pPr>
              <w:snapToGrid w:val="0"/>
              <w:spacing w:line="240" w:lineRule="exact"/>
              <w:jc w:val="center"/>
              <w:rPr>
                <w:color w:val="auto"/>
                <w:szCs w:val="21"/>
              </w:rPr>
            </w:pPr>
            <w:r>
              <w:rPr>
                <w:color w:val="auto"/>
                <w:szCs w:val="21"/>
              </w:rPr>
              <w:t>单价</w:t>
            </w:r>
            <w:r>
              <w:rPr>
                <w:rFonts w:hint="eastAsia"/>
                <w:color w:val="auto"/>
                <w:szCs w:val="21"/>
              </w:rPr>
              <w:t>（元）</w:t>
            </w:r>
          </w:p>
        </w:tc>
        <w:tc>
          <w:tcPr>
            <w:tcW w:w="1278" w:type="dxa"/>
            <w:tcBorders>
              <w:top w:val="single" w:color="auto" w:sz="4" w:space="0"/>
              <w:left w:val="single" w:color="auto" w:sz="4" w:space="0"/>
              <w:bottom w:val="single" w:color="auto" w:sz="4" w:space="0"/>
              <w:right w:val="single" w:color="auto" w:sz="4" w:space="0"/>
            </w:tcBorders>
            <w:vAlign w:val="center"/>
          </w:tcPr>
          <w:p w14:paraId="137C73B3">
            <w:pPr>
              <w:snapToGrid w:val="0"/>
              <w:spacing w:line="240" w:lineRule="exact"/>
              <w:jc w:val="center"/>
              <w:rPr>
                <w:color w:val="auto"/>
                <w:szCs w:val="21"/>
              </w:rPr>
            </w:pPr>
            <w:r>
              <w:rPr>
                <w:color w:val="auto"/>
                <w:szCs w:val="21"/>
              </w:rPr>
              <w:t>合同总价</w:t>
            </w:r>
            <w:r>
              <w:rPr>
                <w:rFonts w:hint="eastAsia"/>
                <w:color w:val="auto"/>
                <w:szCs w:val="21"/>
              </w:rPr>
              <w:t>（元）</w:t>
            </w:r>
          </w:p>
        </w:tc>
        <w:tc>
          <w:tcPr>
            <w:tcW w:w="2480" w:type="dxa"/>
            <w:tcBorders>
              <w:top w:val="single" w:color="auto" w:sz="4" w:space="0"/>
              <w:left w:val="single" w:color="auto" w:sz="4" w:space="0"/>
              <w:right w:val="single" w:color="auto" w:sz="4" w:space="0"/>
            </w:tcBorders>
            <w:vAlign w:val="center"/>
          </w:tcPr>
          <w:p w14:paraId="286F5B97">
            <w:pPr>
              <w:jc w:val="center"/>
              <w:rPr>
                <w:color w:val="auto"/>
                <w:szCs w:val="21"/>
              </w:rPr>
            </w:pPr>
            <w:r>
              <w:rPr>
                <w:color w:val="auto"/>
                <w:szCs w:val="21"/>
              </w:rPr>
              <w:t>采购单位联系人及联系电话</w:t>
            </w:r>
          </w:p>
        </w:tc>
      </w:tr>
      <w:tr w14:paraId="0CD1D0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635" w:type="dxa"/>
            <w:tcBorders>
              <w:top w:val="single" w:color="auto" w:sz="4" w:space="0"/>
              <w:left w:val="single" w:color="auto" w:sz="4" w:space="0"/>
              <w:bottom w:val="single" w:color="auto" w:sz="4" w:space="0"/>
              <w:right w:val="single" w:color="auto" w:sz="4" w:space="0"/>
            </w:tcBorders>
          </w:tcPr>
          <w:p w14:paraId="1565679B">
            <w:pPr>
              <w:snapToGrid w:val="0"/>
              <w:spacing w:line="240" w:lineRule="exact"/>
              <w:jc w:val="left"/>
              <w:rPr>
                <w:color w:val="auto"/>
                <w:szCs w:val="21"/>
              </w:rPr>
            </w:pPr>
          </w:p>
        </w:tc>
        <w:tc>
          <w:tcPr>
            <w:tcW w:w="2943" w:type="dxa"/>
            <w:tcBorders>
              <w:top w:val="single" w:color="auto" w:sz="4" w:space="0"/>
              <w:left w:val="single" w:color="auto" w:sz="4" w:space="0"/>
              <w:bottom w:val="single" w:color="auto" w:sz="4" w:space="0"/>
              <w:right w:val="single" w:color="auto" w:sz="4" w:space="0"/>
            </w:tcBorders>
          </w:tcPr>
          <w:p w14:paraId="6E446D3D">
            <w:pPr>
              <w:snapToGrid w:val="0"/>
              <w:spacing w:line="240" w:lineRule="exact"/>
              <w:jc w:val="left"/>
              <w:rPr>
                <w:color w:val="auto"/>
                <w:szCs w:val="21"/>
              </w:rPr>
            </w:pPr>
          </w:p>
        </w:tc>
        <w:tc>
          <w:tcPr>
            <w:tcW w:w="4123" w:type="dxa"/>
            <w:tcBorders>
              <w:top w:val="single" w:color="auto" w:sz="4" w:space="0"/>
              <w:left w:val="single" w:color="auto" w:sz="4" w:space="0"/>
              <w:bottom w:val="single" w:color="auto" w:sz="4" w:space="0"/>
              <w:right w:val="single" w:color="auto" w:sz="4" w:space="0"/>
            </w:tcBorders>
          </w:tcPr>
          <w:p w14:paraId="521FA562">
            <w:pPr>
              <w:snapToGrid w:val="0"/>
              <w:spacing w:line="240" w:lineRule="exact"/>
              <w:jc w:val="left"/>
              <w:rPr>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231893EB">
            <w:pPr>
              <w:snapToGrid w:val="0"/>
              <w:spacing w:line="240" w:lineRule="exact"/>
              <w:jc w:val="left"/>
              <w:rPr>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00EF66C2">
            <w:pPr>
              <w:snapToGrid w:val="0"/>
              <w:spacing w:line="240" w:lineRule="exact"/>
              <w:jc w:val="left"/>
              <w:rPr>
                <w:color w:val="auto"/>
                <w:szCs w:val="21"/>
              </w:rPr>
            </w:pPr>
          </w:p>
        </w:tc>
        <w:tc>
          <w:tcPr>
            <w:tcW w:w="1278" w:type="dxa"/>
            <w:tcBorders>
              <w:top w:val="single" w:color="auto" w:sz="4" w:space="0"/>
              <w:left w:val="single" w:color="auto" w:sz="4" w:space="0"/>
              <w:bottom w:val="single" w:color="auto" w:sz="4" w:space="0"/>
              <w:right w:val="single" w:color="auto" w:sz="4" w:space="0"/>
            </w:tcBorders>
          </w:tcPr>
          <w:p w14:paraId="7B45BF6B">
            <w:pPr>
              <w:snapToGrid w:val="0"/>
              <w:spacing w:line="240" w:lineRule="exact"/>
              <w:jc w:val="left"/>
              <w:rPr>
                <w:color w:val="auto"/>
                <w:szCs w:val="21"/>
              </w:rPr>
            </w:pPr>
          </w:p>
        </w:tc>
        <w:tc>
          <w:tcPr>
            <w:tcW w:w="2480" w:type="dxa"/>
            <w:tcBorders>
              <w:top w:val="single" w:color="auto" w:sz="4" w:space="0"/>
              <w:left w:val="single" w:color="auto" w:sz="4" w:space="0"/>
              <w:bottom w:val="single" w:color="auto" w:sz="4" w:space="0"/>
              <w:right w:val="single" w:color="auto" w:sz="4" w:space="0"/>
            </w:tcBorders>
          </w:tcPr>
          <w:p w14:paraId="3DCD6CC0">
            <w:pPr>
              <w:snapToGrid w:val="0"/>
              <w:spacing w:line="240" w:lineRule="exact"/>
              <w:jc w:val="left"/>
              <w:rPr>
                <w:color w:val="auto"/>
                <w:szCs w:val="21"/>
              </w:rPr>
            </w:pPr>
          </w:p>
        </w:tc>
      </w:tr>
      <w:tr w14:paraId="39867D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635" w:type="dxa"/>
            <w:tcBorders>
              <w:top w:val="single" w:color="auto" w:sz="4" w:space="0"/>
              <w:left w:val="single" w:color="auto" w:sz="4" w:space="0"/>
              <w:bottom w:val="single" w:color="auto" w:sz="4" w:space="0"/>
              <w:right w:val="single" w:color="auto" w:sz="4" w:space="0"/>
            </w:tcBorders>
          </w:tcPr>
          <w:p w14:paraId="6849D3E4">
            <w:pPr>
              <w:snapToGrid w:val="0"/>
              <w:spacing w:before="50" w:after="120" w:afterLines="50" w:line="400" w:lineRule="exact"/>
              <w:jc w:val="left"/>
              <w:rPr>
                <w:color w:val="auto"/>
                <w:szCs w:val="21"/>
              </w:rPr>
            </w:pPr>
          </w:p>
        </w:tc>
        <w:tc>
          <w:tcPr>
            <w:tcW w:w="2943" w:type="dxa"/>
            <w:tcBorders>
              <w:top w:val="single" w:color="auto" w:sz="4" w:space="0"/>
              <w:left w:val="single" w:color="auto" w:sz="4" w:space="0"/>
              <w:bottom w:val="single" w:color="auto" w:sz="4" w:space="0"/>
              <w:right w:val="single" w:color="auto" w:sz="4" w:space="0"/>
            </w:tcBorders>
          </w:tcPr>
          <w:p w14:paraId="7352B4F5">
            <w:pPr>
              <w:snapToGrid w:val="0"/>
              <w:spacing w:before="50" w:after="120" w:afterLines="50" w:line="400" w:lineRule="exact"/>
              <w:jc w:val="left"/>
              <w:rPr>
                <w:color w:val="auto"/>
                <w:szCs w:val="21"/>
              </w:rPr>
            </w:pPr>
          </w:p>
        </w:tc>
        <w:tc>
          <w:tcPr>
            <w:tcW w:w="4123" w:type="dxa"/>
            <w:tcBorders>
              <w:top w:val="single" w:color="auto" w:sz="4" w:space="0"/>
              <w:left w:val="single" w:color="auto" w:sz="4" w:space="0"/>
              <w:bottom w:val="single" w:color="auto" w:sz="4" w:space="0"/>
              <w:right w:val="single" w:color="auto" w:sz="4" w:space="0"/>
            </w:tcBorders>
          </w:tcPr>
          <w:p w14:paraId="46F500C2">
            <w:pPr>
              <w:snapToGrid w:val="0"/>
              <w:spacing w:before="50" w:after="120" w:afterLines="50" w:line="400" w:lineRule="exact"/>
              <w:jc w:val="left"/>
              <w:rPr>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402ADFBA">
            <w:pPr>
              <w:snapToGrid w:val="0"/>
              <w:spacing w:before="50" w:after="120" w:afterLines="50" w:line="400" w:lineRule="exact"/>
              <w:jc w:val="left"/>
              <w:rPr>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47D5C6D3">
            <w:pPr>
              <w:snapToGrid w:val="0"/>
              <w:spacing w:before="50" w:after="120" w:afterLines="50" w:line="400" w:lineRule="exact"/>
              <w:jc w:val="left"/>
              <w:rPr>
                <w:color w:val="auto"/>
                <w:szCs w:val="21"/>
              </w:rPr>
            </w:pPr>
          </w:p>
        </w:tc>
        <w:tc>
          <w:tcPr>
            <w:tcW w:w="1278" w:type="dxa"/>
            <w:tcBorders>
              <w:top w:val="single" w:color="auto" w:sz="4" w:space="0"/>
              <w:left w:val="single" w:color="auto" w:sz="4" w:space="0"/>
              <w:bottom w:val="single" w:color="auto" w:sz="4" w:space="0"/>
              <w:right w:val="single" w:color="auto" w:sz="4" w:space="0"/>
            </w:tcBorders>
          </w:tcPr>
          <w:p w14:paraId="6F3967D6">
            <w:pPr>
              <w:snapToGrid w:val="0"/>
              <w:spacing w:before="50" w:after="120" w:afterLines="50" w:line="400" w:lineRule="exact"/>
              <w:jc w:val="left"/>
              <w:rPr>
                <w:color w:val="auto"/>
                <w:szCs w:val="21"/>
              </w:rPr>
            </w:pPr>
          </w:p>
        </w:tc>
        <w:tc>
          <w:tcPr>
            <w:tcW w:w="2480" w:type="dxa"/>
            <w:tcBorders>
              <w:top w:val="single" w:color="auto" w:sz="4" w:space="0"/>
              <w:left w:val="single" w:color="auto" w:sz="4" w:space="0"/>
              <w:bottom w:val="single" w:color="auto" w:sz="4" w:space="0"/>
              <w:right w:val="single" w:color="auto" w:sz="4" w:space="0"/>
            </w:tcBorders>
          </w:tcPr>
          <w:p w14:paraId="08517F1F">
            <w:pPr>
              <w:snapToGrid w:val="0"/>
              <w:spacing w:before="50" w:after="120" w:afterLines="50" w:line="400" w:lineRule="exact"/>
              <w:jc w:val="left"/>
              <w:rPr>
                <w:color w:val="auto"/>
                <w:szCs w:val="21"/>
              </w:rPr>
            </w:pPr>
          </w:p>
        </w:tc>
      </w:tr>
      <w:tr w14:paraId="5C90DD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635" w:type="dxa"/>
            <w:tcBorders>
              <w:top w:val="single" w:color="auto" w:sz="4" w:space="0"/>
              <w:left w:val="single" w:color="auto" w:sz="4" w:space="0"/>
              <w:bottom w:val="single" w:color="auto" w:sz="4" w:space="0"/>
              <w:right w:val="single" w:color="auto" w:sz="4" w:space="0"/>
            </w:tcBorders>
          </w:tcPr>
          <w:p w14:paraId="77964FB5">
            <w:pPr>
              <w:snapToGrid w:val="0"/>
              <w:spacing w:before="50" w:after="120" w:afterLines="50" w:line="400" w:lineRule="exact"/>
              <w:jc w:val="left"/>
              <w:rPr>
                <w:color w:val="auto"/>
                <w:szCs w:val="21"/>
              </w:rPr>
            </w:pPr>
          </w:p>
        </w:tc>
        <w:tc>
          <w:tcPr>
            <w:tcW w:w="2943" w:type="dxa"/>
            <w:tcBorders>
              <w:top w:val="single" w:color="auto" w:sz="4" w:space="0"/>
              <w:left w:val="single" w:color="auto" w:sz="4" w:space="0"/>
              <w:bottom w:val="single" w:color="auto" w:sz="4" w:space="0"/>
              <w:right w:val="single" w:color="auto" w:sz="4" w:space="0"/>
            </w:tcBorders>
          </w:tcPr>
          <w:p w14:paraId="5C7CD235">
            <w:pPr>
              <w:snapToGrid w:val="0"/>
              <w:spacing w:before="50" w:after="120" w:afterLines="50" w:line="400" w:lineRule="exact"/>
              <w:jc w:val="left"/>
              <w:rPr>
                <w:color w:val="auto"/>
                <w:szCs w:val="21"/>
              </w:rPr>
            </w:pPr>
          </w:p>
        </w:tc>
        <w:tc>
          <w:tcPr>
            <w:tcW w:w="4123" w:type="dxa"/>
            <w:tcBorders>
              <w:top w:val="single" w:color="auto" w:sz="4" w:space="0"/>
              <w:left w:val="single" w:color="auto" w:sz="4" w:space="0"/>
              <w:bottom w:val="single" w:color="auto" w:sz="4" w:space="0"/>
              <w:right w:val="single" w:color="auto" w:sz="4" w:space="0"/>
            </w:tcBorders>
          </w:tcPr>
          <w:p w14:paraId="3B99140B">
            <w:pPr>
              <w:snapToGrid w:val="0"/>
              <w:spacing w:before="50" w:after="120" w:afterLines="50" w:line="400" w:lineRule="exact"/>
              <w:jc w:val="left"/>
              <w:rPr>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7AA2CD33">
            <w:pPr>
              <w:snapToGrid w:val="0"/>
              <w:spacing w:before="50" w:after="120" w:afterLines="50" w:line="400" w:lineRule="exact"/>
              <w:jc w:val="left"/>
              <w:rPr>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52A70A3F">
            <w:pPr>
              <w:snapToGrid w:val="0"/>
              <w:spacing w:before="50" w:after="120" w:afterLines="50" w:line="400" w:lineRule="exact"/>
              <w:jc w:val="left"/>
              <w:rPr>
                <w:color w:val="auto"/>
                <w:szCs w:val="21"/>
              </w:rPr>
            </w:pPr>
          </w:p>
        </w:tc>
        <w:tc>
          <w:tcPr>
            <w:tcW w:w="1278" w:type="dxa"/>
            <w:tcBorders>
              <w:top w:val="single" w:color="auto" w:sz="4" w:space="0"/>
              <w:left w:val="single" w:color="auto" w:sz="4" w:space="0"/>
              <w:bottom w:val="single" w:color="auto" w:sz="4" w:space="0"/>
              <w:right w:val="single" w:color="auto" w:sz="4" w:space="0"/>
            </w:tcBorders>
          </w:tcPr>
          <w:p w14:paraId="6D41024D">
            <w:pPr>
              <w:snapToGrid w:val="0"/>
              <w:spacing w:before="50" w:after="120" w:afterLines="50" w:line="400" w:lineRule="exact"/>
              <w:jc w:val="left"/>
              <w:rPr>
                <w:color w:val="auto"/>
                <w:szCs w:val="21"/>
              </w:rPr>
            </w:pPr>
          </w:p>
        </w:tc>
        <w:tc>
          <w:tcPr>
            <w:tcW w:w="2480" w:type="dxa"/>
            <w:tcBorders>
              <w:top w:val="single" w:color="auto" w:sz="4" w:space="0"/>
              <w:left w:val="single" w:color="auto" w:sz="4" w:space="0"/>
              <w:bottom w:val="single" w:color="auto" w:sz="4" w:space="0"/>
              <w:right w:val="single" w:color="auto" w:sz="4" w:space="0"/>
            </w:tcBorders>
          </w:tcPr>
          <w:p w14:paraId="720247FE">
            <w:pPr>
              <w:snapToGrid w:val="0"/>
              <w:spacing w:before="50" w:after="120" w:afterLines="50" w:line="400" w:lineRule="exact"/>
              <w:jc w:val="left"/>
              <w:rPr>
                <w:color w:val="auto"/>
                <w:szCs w:val="21"/>
              </w:rPr>
            </w:pPr>
          </w:p>
        </w:tc>
      </w:tr>
      <w:tr w14:paraId="66F68B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635" w:type="dxa"/>
            <w:tcBorders>
              <w:top w:val="single" w:color="auto" w:sz="4" w:space="0"/>
              <w:left w:val="single" w:color="auto" w:sz="4" w:space="0"/>
              <w:bottom w:val="single" w:color="auto" w:sz="4" w:space="0"/>
              <w:right w:val="single" w:color="auto" w:sz="4" w:space="0"/>
            </w:tcBorders>
          </w:tcPr>
          <w:p w14:paraId="3C912572">
            <w:pPr>
              <w:snapToGrid w:val="0"/>
              <w:spacing w:before="50" w:after="120" w:afterLines="50" w:line="400" w:lineRule="exact"/>
              <w:jc w:val="left"/>
              <w:rPr>
                <w:color w:val="auto"/>
                <w:szCs w:val="21"/>
              </w:rPr>
            </w:pPr>
          </w:p>
        </w:tc>
        <w:tc>
          <w:tcPr>
            <w:tcW w:w="2943" w:type="dxa"/>
            <w:tcBorders>
              <w:top w:val="single" w:color="auto" w:sz="4" w:space="0"/>
              <w:left w:val="single" w:color="auto" w:sz="4" w:space="0"/>
              <w:bottom w:val="single" w:color="auto" w:sz="4" w:space="0"/>
              <w:right w:val="single" w:color="auto" w:sz="4" w:space="0"/>
            </w:tcBorders>
          </w:tcPr>
          <w:p w14:paraId="27566679">
            <w:pPr>
              <w:snapToGrid w:val="0"/>
              <w:spacing w:before="50" w:after="120" w:afterLines="50" w:line="400" w:lineRule="exact"/>
              <w:jc w:val="left"/>
              <w:rPr>
                <w:color w:val="auto"/>
                <w:szCs w:val="21"/>
              </w:rPr>
            </w:pPr>
          </w:p>
        </w:tc>
        <w:tc>
          <w:tcPr>
            <w:tcW w:w="4123" w:type="dxa"/>
            <w:tcBorders>
              <w:top w:val="single" w:color="auto" w:sz="4" w:space="0"/>
              <w:left w:val="single" w:color="auto" w:sz="4" w:space="0"/>
              <w:bottom w:val="single" w:color="auto" w:sz="4" w:space="0"/>
              <w:right w:val="single" w:color="auto" w:sz="4" w:space="0"/>
            </w:tcBorders>
          </w:tcPr>
          <w:p w14:paraId="38A6048D">
            <w:pPr>
              <w:snapToGrid w:val="0"/>
              <w:spacing w:before="50" w:after="120" w:afterLines="50" w:line="400" w:lineRule="exact"/>
              <w:jc w:val="left"/>
              <w:rPr>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540971D5">
            <w:pPr>
              <w:snapToGrid w:val="0"/>
              <w:spacing w:before="50" w:after="120" w:afterLines="50" w:line="400" w:lineRule="exact"/>
              <w:jc w:val="left"/>
              <w:rPr>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0960E5B4">
            <w:pPr>
              <w:snapToGrid w:val="0"/>
              <w:spacing w:before="50" w:after="120" w:afterLines="50" w:line="400" w:lineRule="exact"/>
              <w:jc w:val="left"/>
              <w:rPr>
                <w:color w:val="auto"/>
                <w:szCs w:val="21"/>
              </w:rPr>
            </w:pPr>
          </w:p>
        </w:tc>
        <w:tc>
          <w:tcPr>
            <w:tcW w:w="1278" w:type="dxa"/>
            <w:tcBorders>
              <w:top w:val="single" w:color="auto" w:sz="4" w:space="0"/>
              <w:left w:val="single" w:color="auto" w:sz="4" w:space="0"/>
              <w:bottom w:val="single" w:color="auto" w:sz="4" w:space="0"/>
              <w:right w:val="single" w:color="auto" w:sz="4" w:space="0"/>
            </w:tcBorders>
          </w:tcPr>
          <w:p w14:paraId="6558DE64">
            <w:pPr>
              <w:snapToGrid w:val="0"/>
              <w:spacing w:before="50" w:after="120" w:afterLines="50" w:line="400" w:lineRule="exact"/>
              <w:jc w:val="left"/>
              <w:rPr>
                <w:color w:val="auto"/>
                <w:szCs w:val="21"/>
              </w:rPr>
            </w:pPr>
          </w:p>
        </w:tc>
        <w:tc>
          <w:tcPr>
            <w:tcW w:w="2480" w:type="dxa"/>
            <w:tcBorders>
              <w:top w:val="single" w:color="auto" w:sz="4" w:space="0"/>
              <w:left w:val="single" w:color="auto" w:sz="4" w:space="0"/>
              <w:bottom w:val="single" w:color="auto" w:sz="4" w:space="0"/>
              <w:right w:val="single" w:color="auto" w:sz="4" w:space="0"/>
            </w:tcBorders>
          </w:tcPr>
          <w:p w14:paraId="1D587E6B">
            <w:pPr>
              <w:snapToGrid w:val="0"/>
              <w:spacing w:before="50" w:after="120" w:afterLines="50" w:line="400" w:lineRule="exact"/>
              <w:jc w:val="left"/>
              <w:rPr>
                <w:color w:val="auto"/>
                <w:szCs w:val="21"/>
              </w:rPr>
            </w:pPr>
          </w:p>
        </w:tc>
      </w:tr>
      <w:tr w14:paraId="48E773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635" w:type="dxa"/>
            <w:tcBorders>
              <w:top w:val="single" w:color="auto" w:sz="4" w:space="0"/>
              <w:left w:val="single" w:color="auto" w:sz="4" w:space="0"/>
              <w:bottom w:val="single" w:color="auto" w:sz="4" w:space="0"/>
              <w:right w:val="single" w:color="auto" w:sz="4" w:space="0"/>
            </w:tcBorders>
          </w:tcPr>
          <w:p w14:paraId="1B4F325C">
            <w:pPr>
              <w:snapToGrid w:val="0"/>
              <w:spacing w:before="50" w:after="120" w:afterLines="50" w:line="400" w:lineRule="exact"/>
              <w:jc w:val="left"/>
              <w:rPr>
                <w:color w:val="auto"/>
                <w:szCs w:val="21"/>
              </w:rPr>
            </w:pPr>
          </w:p>
        </w:tc>
        <w:tc>
          <w:tcPr>
            <w:tcW w:w="2943" w:type="dxa"/>
            <w:tcBorders>
              <w:top w:val="single" w:color="auto" w:sz="4" w:space="0"/>
              <w:left w:val="single" w:color="auto" w:sz="4" w:space="0"/>
              <w:bottom w:val="single" w:color="auto" w:sz="4" w:space="0"/>
              <w:right w:val="single" w:color="auto" w:sz="4" w:space="0"/>
            </w:tcBorders>
          </w:tcPr>
          <w:p w14:paraId="484BA686">
            <w:pPr>
              <w:snapToGrid w:val="0"/>
              <w:spacing w:before="50" w:after="120" w:afterLines="50" w:line="400" w:lineRule="exact"/>
              <w:jc w:val="left"/>
              <w:rPr>
                <w:color w:val="auto"/>
                <w:szCs w:val="21"/>
              </w:rPr>
            </w:pPr>
          </w:p>
        </w:tc>
        <w:tc>
          <w:tcPr>
            <w:tcW w:w="4123" w:type="dxa"/>
            <w:tcBorders>
              <w:top w:val="single" w:color="auto" w:sz="4" w:space="0"/>
              <w:left w:val="single" w:color="auto" w:sz="4" w:space="0"/>
              <w:bottom w:val="single" w:color="auto" w:sz="4" w:space="0"/>
              <w:right w:val="single" w:color="auto" w:sz="4" w:space="0"/>
            </w:tcBorders>
          </w:tcPr>
          <w:p w14:paraId="194037E0">
            <w:pPr>
              <w:snapToGrid w:val="0"/>
              <w:spacing w:before="50" w:after="120" w:afterLines="50" w:line="400" w:lineRule="exact"/>
              <w:jc w:val="left"/>
              <w:rPr>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4FAC5401">
            <w:pPr>
              <w:snapToGrid w:val="0"/>
              <w:spacing w:before="50" w:after="120" w:afterLines="50" w:line="400" w:lineRule="exact"/>
              <w:jc w:val="left"/>
              <w:rPr>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211F9D15">
            <w:pPr>
              <w:snapToGrid w:val="0"/>
              <w:spacing w:before="50" w:after="120" w:afterLines="50" w:line="400" w:lineRule="exact"/>
              <w:jc w:val="left"/>
              <w:rPr>
                <w:color w:val="auto"/>
                <w:szCs w:val="21"/>
              </w:rPr>
            </w:pPr>
          </w:p>
        </w:tc>
        <w:tc>
          <w:tcPr>
            <w:tcW w:w="1278" w:type="dxa"/>
            <w:tcBorders>
              <w:top w:val="single" w:color="auto" w:sz="4" w:space="0"/>
              <w:left w:val="single" w:color="auto" w:sz="4" w:space="0"/>
              <w:bottom w:val="single" w:color="auto" w:sz="4" w:space="0"/>
              <w:right w:val="single" w:color="auto" w:sz="4" w:space="0"/>
            </w:tcBorders>
          </w:tcPr>
          <w:p w14:paraId="54D9E5A0">
            <w:pPr>
              <w:snapToGrid w:val="0"/>
              <w:spacing w:before="50" w:after="120" w:afterLines="50" w:line="400" w:lineRule="exact"/>
              <w:jc w:val="left"/>
              <w:rPr>
                <w:color w:val="auto"/>
                <w:szCs w:val="21"/>
              </w:rPr>
            </w:pPr>
          </w:p>
        </w:tc>
        <w:tc>
          <w:tcPr>
            <w:tcW w:w="2480" w:type="dxa"/>
            <w:tcBorders>
              <w:top w:val="single" w:color="auto" w:sz="4" w:space="0"/>
              <w:left w:val="single" w:color="auto" w:sz="4" w:space="0"/>
              <w:bottom w:val="single" w:color="auto" w:sz="4" w:space="0"/>
              <w:right w:val="single" w:color="auto" w:sz="4" w:space="0"/>
            </w:tcBorders>
          </w:tcPr>
          <w:p w14:paraId="464B1167">
            <w:pPr>
              <w:snapToGrid w:val="0"/>
              <w:spacing w:before="50" w:after="120" w:afterLines="50" w:line="400" w:lineRule="exact"/>
              <w:jc w:val="left"/>
              <w:rPr>
                <w:color w:val="auto"/>
                <w:szCs w:val="21"/>
              </w:rPr>
            </w:pPr>
          </w:p>
        </w:tc>
      </w:tr>
    </w:tbl>
    <w:p w14:paraId="725777A8">
      <w:pPr>
        <w:pStyle w:val="15"/>
        <w:snapToGrid w:val="0"/>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注：</w:t>
      </w:r>
    </w:p>
    <w:p w14:paraId="20964E16">
      <w:pPr>
        <w:pStyle w:val="15"/>
        <w:snapToGrid w:val="0"/>
        <w:rPr>
          <w:rFonts w:ascii="Times New Roman" w:hAnsi="Times New Roman" w:eastAsia="宋体" w:cs="Times New Roman"/>
          <w:color w:val="auto"/>
          <w:sz w:val="21"/>
          <w:szCs w:val="21"/>
        </w:rPr>
      </w:pPr>
      <w:r>
        <w:rPr>
          <w:rFonts w:ascii="Times New Roman" w:hAnsi="Times New Roman" w:eastAsia="宋体" w:cs="Times New Roman"/>
          <w:color w:val="auto"/>
          <w:szCs w:val="21"/>
        </w:rPr>
        <w:t>（1）</w:t>
      </w:r>
      <w:r>
        <w:rPr>
          <w:rFonts w:ascii="Times New Roman" w:hAnsi="Times New Roman" w:eastAsia="宋体" w:cs="Times New Roman"/>
          <w:color w:val="auto"/>
          <w:sz w:val="21"/>
          <w:szCs w:val="21"/>
        </w:rPr>
        <w:t>未附</w:t>
      </w:r>
      <w:r>
        <w:rPr>
          <w:rFonts w:hint="eastAsia" w:ascii="Times New Roman" w:hAnsi="Times New Roman" w:eastAsia="宋体" w:cs="Times New Roman"/>
          <w:color w:val="auto"/>
          <w:sz w:val="21"/>
          <w:szCs w:val="21"/>
        </w:rPr>
        <w:t>证明材料</w:t>
      </w:r>
      <w:r>
        <w:rPr>
          <w:rFonts w:ascii="Times New Roman" w:hAnsi="Times New Roman" w:eastAsia="宋体" w:cs="Times New Roman"/>
          <w:color w:val="auto"/>
          <w:sz w:val="21"/>
          <w:szCs w:val="21"/>
        </w:rPr>
        <w:t>的业绩无效</w:t>
      </w:r>
      <w:r>
        <w:rPr>
          <w:rFonts w:hint="eastAsia" w:ascii="Times New Roman" w:hAnsi="Times New Roman" w:eastAsia="宋体" w:cs="Times New Roman"/>
          <w:color w:val="auto"/>
          <w:sz w:val="21"/>
          <w:szCs w:val="21"/>
        </w:rPr>
        <w:t>，证明材料</w:t>
      </w:r>
      <w:r>
        <w:rPr>
          <w:rFonts w:ascii="Times New Roman" w:hAnsi="Times New Roman" w:eastAsia="宋体" w:cs="Times New Roman"/>
          <w:color w:val="auto"/>
          <w:sz w:val="21"/>
          <w:szCs w:val="21"/>
        </w:rPr>
        <w:t>见第四章《评审方法及标准》规定</w:t>
      </w:r>
    </w:p>
    <w:p w14:paraId="413E64C1">
      <w:pPr>
        <w:pStyle w:val="15"/>
        <w:snapToGrid w:val="0"/>
        <w:rPr>
          <w:rFonts w:ascii="Times New Roman" w:hAnsi="Times New Roman" w:eastAsia="宋体" w:cs="Times New Roman"/>
          <w:color w:val="auto"/>
          <w:sz w:val="21"/>
          <w:szCs w:val="21"/>
        </w:rPr>
      </w:pPr>
      <w:r>
        <w:rPr>
          <w:rFonts w:ascii="Times New Roman" w:hAnsi="Times New Roman" w:eastAsia="宋体" w:cs="Times New Roman"/>
          <w:color w:val="auto"/>
          <w:szCs w:val="21"/>
        </w:rPr>
        <w:t>（</w:t>
      </w:r>
      <w:r>
        <w:rPr>
          <w:rFonts w:hint="eastAsia" w:ascii="Times New Roman" w:hAnsi="Times New Roman" w:eastAsia="宋体" w:cs="Times New Roman"/>
          <w:color w:val="auto"/>
          <w:szCs w:val="21"/>
        </w:rPr>
        <w:t>2</w:t>
      </w:r>
      <w:r>
        <w:rPr>
          <w:rFonts w:ascii="Times New Roman" w:hAnsi="Times New Roman" w:eastAsia="宋体" w:cs="Times New Roman"/>
          <w:color w:val="auto"/>
          <w:szCs w:val="21"/>
        </w:rPr>
        <w:t>）</w:t>
      </w:r>
      <w:r>
        <w:rPr>
          <w:rFonts w:ascii="Times New Roman" w:hAnsi="Times New Roman" w:eastAsia="宋体" w:cs="Times New Roman"/>
          <w:color w:val="auto"/>
          <w:sz w:val="21"/>
          <w:szCs w:val="21"/>
        </w:rPr>
        <w:t>类似项目的定义见第四章《评审方法及标准》规定。</w:t>
      </w:r>
    </w:p>
    <w:p w14:paraId="11AC13E3">
      <w:pPr>
        <w:rPr>
          <w:color w:val="auto"/>
        </w:rPr>
      </w:pPr>
      <w:r>
        <w:rPr>
          <w:color w:val="auto"/>
          <w:szCs w:val="21"/>
        </w:rPr>
        <w:t>（</w:t>
      </w:r>
      <w:r>
        <w:rPr>
          <w:rFonts w:hint="eastAsia"/>
          <w:color w:val="auto"/>
          <w:szCs w:val="21"/>
        </w:rPr>
        <w:t>3</w:t>
      </w:r>
      <w:r>
        <w:rPr>
          <w:color w:val="auto"/>
          <w:szCs w:val="21"/>
        </w:rPr>
        <w:t>）</w:t>
      </w:r>
      <w:bookmarkStart w:id="164" w:name="_Hlk19049505"/>
      <w:r>
        <w:rPr>
          <w:color w:val="auto"/>
        </w:rPr>
        <w:t>本表可拓展。</w:t>
      </w:r>
      <w:bookmarkEnd w:id="164"/>
    </w:p>
    <w:p w14:paraId="1183A1CB">
      <w:pPr>
        <w:snapToGrid w:val="0"/>
        <w:spacing w:before="50"/>
        <w:jc w:val="left"/>
        <w:rPr>
          <w:color w:val="auto"/>
          <w:szCs w:val="21"/>
        </w:rPr>
      </w:pPr>
    </w:p>
    <w:p w14:paraId="01E29050">
      <w:pPr>
        <w:snapToGrid w:val="0"/>
        <w:spacing w:before="50"/>
        <w:jc w:val="left"/>
        <w:rPr>
          <w:color w:val="auto"/>
          <w:szCs w:val="21"/>
        </w:rPr>
      </w:pPr>
      <w:bookmarkStart w:id="165" w:name="_Hlk88990617"/>
      <w:r>
        <w:rPr>
          <w:color w:val="auto"/>
          <w:szCs w:val="21"/>
        </w:rPr>
        <w:t>供应商</w:t>
      </w:r>
      <w:r>
        <w:rPr>
          <w:rFonts w:hint="eastAsia"/>
          <w:color w:val="auto"/>
          <w:szCs w:val="21"/>
        </w:rPr>
        <w:t>名称(电子签章</w:t>
      </w:r>
      <w:r>
        <w:rPr>
          <w:color w:val="auto"/>
          <w:szCs w:val="21"/>
        </w:rPr>
        <w:t>)：</w:t>
      </w:r>
      <w:bookmarkEnd w:id="165"/>
      <w:r>
        <w:rPr>
          <w:color w:val="auto"/>
          <w:szCs w:val="21"/>
          <w:u w:val="single"/>
        </w:rPr>
        <w:t xml:space="preserve">                 </w:t>
      </w:r>
      <w:r>
        <w:rPr>
          <w:color w:val="auto"/>
          <w:szCs w:val="21"/>
        </w:rPr>
        <w:t xml:space="preserve">                                           年    月   日</w:t>
      </w:r>
    </w:p>
    <w:p w14:paraId="6BC6FCF0">
      <w:pPr>
        <w:snapToGrid w:val="0"/>
        <w:spacing w:before="50"/>
        <w:jc w:val="left"/>
        <w:rPr>
          <w:color w:val="auto"/>
          <w:szCs w:val="21"/>
        </w:rPr>
      </w:pPr>
    </w:p>
    <w:p w14:paraId="5D6A6630">
      <w:pPr>
        <w:snapToGrid w:val="0"/>
        <w:spacing w:before="50"/>
        <w:jc w:val="left"/>
        <w:rPr>
          <w:color w:val="auto"/>
          <w:szCs w:val="21"/>
        </w:rPr>
        <w:sectPr>
          <w:pgSz w:w="16838" w:h="11906" w:orient="landscape"/>
          <w:pgMar w:top="1418" w:right="1418" w:bottom="1133" w:left="1246" w:header="851" w:footer="992" w:gutter="0"/>
          <w:cols w:space="720" w:num="1"/>
          <w:docGrid w:linePitch="312" w:charSpace="0"/>
        </w:sectPr>
      </w:pPr>
    </w:p>
    <w:p w14:paraId="4C3C178D">
      <w:pPr>
        <w:snapToGrid w:val="0"/>
        <w:spacing w:before="50" w:after="120" w:afterLines="50"/>
        <w:jc w:val="left"/>
        <w:rPr>
          <w:color w:val="auto"/>
          <w:szCs w:val="21"/>
        </w:rPr>
      </w:pPr>
      <w:r>
        <w:rPr>
          <w:color w:val="auto"/>
          <w:szCs w:val="21"/>
        </w:rPr>
        <w:t>6．</w:t>
      </w:r>
      <w:r>
        <w:rPr>
          <w:rFonts w:hint="eastAsia"/>
          <w:color w:val="auto"/>
          <w:szCs w:val="21"/>
        </w:rPr>
        <w:t>提供投标产品由中共中央网络安全和信息化委员会办公室网站最新发布的《网络关键设备和网络安全专用产品安全认证和安全检测结果》截图证明材料或提供有效期内的《计算机信息系统安全专用产品销售许可证》（采购标的包含时提供）</w:t>
      </w:r>
    </w:p>
    <w:p w14:paraId="38605CBB">
      <w:pPr>
        <w:widowControl/>
        <w:jc w:val="left"/>
        <w:rPr>
          <w:color w:val="auto"/>
          <w:szCs w:val="21"/>
        </w:rPr>
      </w:pPr>
    </w:p>
    <w:p w14:paraId="63D249F9">
      <w:pPr>
        <w:widowControl/>
        <w:jc w:val="left"/>
        <w:rPr>
          <w:color w:val="auto"/>
          <w:szCs w:val="21"/>
        </w:rPr>
      </w:pPr>
    </w:p>
    <w:p w14:paraId="156CBFB5">
      <w:pPr>
        <w:widowControl/>
        <w:jc w:val="left"/>
        <w:rPr>
          <w:color w:val="auto"/>
          <w:szCs w:val="21"/>
        </w:rPr>
      </w:pPr>
      <w:r>
        <w:rPr>
          <w:color w:val="auto"/>
          <w:szCs w:val="21"/>
        </w:rPr>
        <w:t>7．符合政府采购政策加分条件证明材料。</w:t>
      </w:r>
    </w:p>
    <w:p w14:paraId="08034BF6">
      <w:pPr>
        <w:snapToGrid w:val="0"/>
        <w:spacing w:before="50" w:after="120" w:afterLines="50"/>
        <w:jc w:val="left"/>
        <w:rPr>
          <w:color w:val="auto"/>
          <w:szCs w:val="21"/>
        </w:rPr>
      </w:pPr>
      <w:r>
        <w:rPr>
          <w:color w:val="auto"/>
          <w:szCs w:val="21"/>
        </w:rPr>
        <w:t>7</w:t>
      </w:r>
      <w:r>
        <w:rPr>
          <w:rFonts w:hint="eastAsia"/>
          <w:color w:val="auto"/>
          <w:szCs w:val="21"/>
        </w:rPr>
        <w:t>.1列入节能产品政府采购品目清单及环境标志产品政府采购品目清单的货物清单。</w:t>
      </w:r>
      <w:r>
        <w:rPr>
          <w:rFonts w:hint="eastAsia"/>
          <w:b/>
          <w:color w:val="auto"/>
          <w:szCs w:val="21"/>
        </w:rPr>
        <w:t>（如有，须提供）</w:t>
      </w:r>
    </w:p>
    <w:p w14:paraId="0185E19B">
      <w:pPr>
        <w:snapToGrid w:val="0"/>
        <w:spacing w:before="50" w:after="120" w:afterLines="50"/>
        <w:jc w:val="left"/>
        <w:rPr>
          <w:color w:val="auto"/>
          <w:szCs w:val="21"/>
        </w:rPr>
      </w:pPr>
      <w:r>
        <w:rPr>
          <w:rFonts w:hint="eastAsia"/>
          <w:color w:val="auto"/>
          <w:szCs w:val="21"/>
        </w:rPr>
        <w:t>投标产品中如有列入节能产品政府采购品目清单及环境标志产品政府采购品目清单的货物，应按下表提供清单。</w:t>
      </w:r>
    </w:p>
    <w:p w14:paraId="082CA47E">
      <w:pPr>
        <w:spacing w:line="360" w:lineRule="auto"/>
        <w:jc w:val="center"/>
        <w:rPr>
          <w:color w:val="auto"/>
          <w:szCs w:val="21"/>
        </w:rPr>
      </w:pPr>
      <w:r>
        <w:rPr>
          <w:rFonts w:hint="eastAsia"/>
          <w:b/>
          <w:color w:val="auto"/>
          <w:szCs w:val="21"/>
        </w:rPr>
        <w:t>节能产品及环境标志产品清单</w:t>
      </w:r>
    </w:p>
    <w:tbl>
      <w:tblPr>
        <w:tblStyle w:val="51"/>
        <w:tblW w:w="9328"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67"/>
        <w:gridCol w:w="1134"/>
        <w:gridCol w:w="897"/>
        <w:gridCol w:w="1088"/>
        <w:gridCol w:w="1409"/>
        <w:gridCol w:w="1851"/>
        <w:gridCol w:w="1412"/>
        <w:gridCol w:w="770"/>
      </w:tblGrid>
      <w:tr w14:paraId="31E7F63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767" w:type="dxa"/>
            <w:tcBorders>
              <w:top w:val="single" w:color="auto" w:sz="12" w:space="0"/>
              <w:left w:val="single" w:color="auto" w:sz="12" w:space="0"/>
              <w:bottom w:val="single" w:color="auto" w:sz="8" w:space="0"/>
              <w:right w:val="single" w:color="auto" w:sz="8" w:space="0"/>
            </w:tcBorders>
            <w:tcMar>
              <w:top w:w="0" w:type="dxa"/>
              <w:left w:w="57" w:type="dxa"/>
              <w:bottom w:w="0" w:type="dxa"/>
              <w:right w:w="57" w:type="dxa"/>
            </w:tcMar>
            <w:vAlign w:val="center"/>
          </w:tcPr>
          <w:p w14:paraId="33AF3D8F">
            <w:pPr>
              <w:widowControl/>
              <w:spacing w:before="100" w:beforeAutospacing="1" w:after="100" w:afterAutospacing="1" w:line="376" w:lineRule="atLeast"/>
              <w:jc w:val="center"/>
              <w:rPr>
                <w:color w:val="auto"/>
                <w:kern w:val="0"/>
                <w:szCs w:val="21"/>
              </w:rPr>
            </w:pPr>
            <w:r>
              <w:rPr>
                <w:color w:val="auto"/>
                <w:kern w:val="0"/>
                <w:szCs w:val="21"/>
              </w:rPr>
              <w:t>序号</w:t>
            </w:r>
          </w:p>
        </w:tc>
        <w:tc>
          <w:tcPr>
            <w:tcW w:w="1134" w:type="dxa"/>
            <w:tcBorders>
              <w:top w:val="single" w:color="auto" w:sz="12" w:space="0"/>
              <w:left w:val="nil"/>
              <w:bottom w:val="single" w:color="auto" w:sz="8" w:space="0"/>
              <w:right w:val="single" w:color="auto" w:sz="4" w:space="0"/>
            </w:tcBorders>
            <w:tcMar>
              <w:top w:w="0" w:type="dxa"/>
              <w:left w:w="57" w:type="dxa"/>
              <w:bottom w:w="0" w:type="dxa"/>
              <w:right w:w="57" w:type="dxa"/>
            </w:tcMar>
            <w:vAlign w:val="center"/>
          </w:tcPr>
          <w:p w14:paraId="64D95660">
            <w:pPr>
              <w:widowControl/>
              <w:spacing w:before="100" w:beforeAutospacing="1" w:after="100" w:afterAutospacing="1" w:line="376" w:lineRule="atLeast"/>
              <w:jc w:val="center"/>
              <w:rPr>
                <w:color w:val="auto"/>
                <w:kern w:val="0"/>
                <w:szCs w:val="21"/>
              </w:rPr>
            </w:pPr>
            <w:r>
              <w:rPr>
                <w:rFonts w:hint="eastAsia"/>
                <w:color w:val="auto"/>
                <w:kern w:val="0"/>
                <w:szCs w:val="21"/>
              </w:rPr>
              <w:t>类别</w:t>
            </w:r>
          </w:p>
        </w:tc>
        <w:tc>
          <w:tcPr>
            <w:tcW w:w="897" w:type="dxa"/>
            <w:tcBorders>
              <w:top w:val="single" w:color="auto" w:sz="12" w:space="0"/>
              <w:left w:val="single" w:color="auto" w:sz="4" w:space="0"/>
              <w:bottom w:val="single" w:color="auto" w:sz="8" w:space="0"/>
              <w:right w:val="single" w:color="auto" w:sz="8" w:space="0"/>
            </w:tcBorders>
            <w:vAlign w:val="center"/>
          </w:tcPr>
          <w:p w14:paraId="00D384A5">
            <w:pPr>
              <w:widowControl/>
              <w:spacing w:before="100" w:beforeAutospacing="1" w:after="100" w:afterAutospacing="1" w:line="376" w:lineRule="atLeast"/>
              <w:jc w:val="center"/>
              <w:rPr>
                <w:color w:val="auto"/>
                <w:kern w:val="0"/>
                <w:szCs w:val="21"/>
              </w:rPr>
            </w:pPr>
            <w:r>
              <w:rPr>
                <w:rFonts w:hint="eastAsia"/>
                <w:color w:val="auto"/>
                <w:kern w:val="0"/>
                <w:szCs w:val="21"/>
              </w:rPr>
              <w:t>品目</w:t>
            </w:r>
          </w:p>
        </w:tc>
        <w:tc>
          <w:tcPr>
            <w:tcW w:w="1088" w:type="dxa"/>
            <w:tcBorders>
              <w:top w:val="single" w:color="auto" w:sz="12" w:space="0"/>
              <w:left w:val="nil"/>
              <w:bottom w:val="single" w:color="auto" w:sz="8" w:space="0"/>
              <w:right w:val="single" w:color="auto" w:sz="4" w:space="0"/>
            </w:tcBorders>
            <w:tcMar>
              <w:top w:w="0" w:type="dxa"/>
              <w:left w:w="57" w:type="dxa"/>
              <w:bottom w:w="0" w:type="dxa"/>
              <w:right w:w="57" w:type="dxa"/>
            </w:tcMar>
            <w:vAlign w:val="center"/>
          </w:tcPr>
          <w:p w14:paraId="4D946EFB">
            <w:pPr>
              <w:widowControl/>
              <w:spacing w:before="100" w:beforeAutospacing="1" w:after="100" w:afterAutospacing="1" w:line="376" w:lineRule="atLeast"/>
              <w:jc w:val="center"/>
              <w:rPr>
                <w:color w:val="auto"/>
                <w:kern w:val="0"/>
                <w:szCs w:val="21"/>
              </w:rPr>
            </w:pPr>
            <w:r>
              <w:rPr>
                <w:rFonts w:hint="eastAsia"/>
                <w:color w:val="auto"/>
                <w:kern w:val="0"/>
                <w:szCs w:val="21"/>
              </w:rPr>
              <w:t>品牌</w:t>
            </w:r>
          </w:p>
        </w:tc>
        <w:tc>
          <w:tcPr>
            <w:tcW w:w="1409" w:type="dxa"/>
            <w:tcBorders>
              <w:top w:val="single" w:color="auto" w:sz="12" w:space="0"/>
              <w:left w:val="single" w:color="auto" w:sz="4" w:space="0"/>
              <w:bottom w:val="single" w:color="auto" w:sz="8" w:space="0"/>
              <w:right w:val="single" w:color="auto" w:sz="8" w:space="0"/>
            </w:tcBorders>
            <w:vAlign w:val="center"/>
          </w:tcPr>
          <w:p w14:paraId="52726023">
            <w:pPr>
              <w:widowControl/>
              <w:spacing w:before="100" w:beforeAutospacing="1" w:after="100" w:afterAutospacing="1" w:line="376" w:lineRule="atLeast"/>
              <w:jc w:val="center"/>
              <w:rPr>
                <w:color w:val="auto"/>
                <w:kern w:val="0"/>
                <w:szCs w:val="21"/>
              </w:rPr>
            </w:pPr>
            <w:r>
              <w:rPr>
                <w:color w:val="auto"/>
                <w:kern w:val="0"/>
                <w:szCs w:val="21"/>
              </w:rPr>
              <w:t>规格型号</w:t>
            </w:r>
          </w:p>
        </w:tc>
        <w:tc>
          <w:tcPr>
            <w:tcW w:w="1851" w:type="dxa"/>
            <w:tcBorders>
              <w:top w:val="single" w:color="auto" w:sz="12" w:space="0"/>
              <w:left w:val="nil"/>
              <w:bottom w:val="single" w:color="auto" w:sz="8" w:space="0"/>
              <w:right w:val="single" w:color="auto" w:sz="8" w:space="0"/>
            </w:tcBorders>
            <w:tcMar>
              <w:top w:w="0" w:type="dxa"/>
              <w:left w:w="57" w:type="dxa"/>
              <w:bottom w:w="0" w:type="dxa"/>
              <w:right w:w="57" w:type="dxa"/>
            </w:tcMar>
            <w:vAlign w:val="center"/>
          </w:tcPr>
          <w:p w14:paraId="08DEF290">
            <w:pPr>
              <w:widowControl/>
              <w:spacing w:before="100" w:beforeAutospacing="1" w:after="100" w:afterAutospacing="1" w:line="376" w:lineRule="atLeast"/>
              <w:jc w:val="center"/>
              <w:rPr>
                <w:color w:val="auto"/>
                <w:kern w:val="0"/>
                <w:szCs w:val="21"/>
              </w:rPr>
            </w:pPr>
            <w:r>
              <w:rPr>
                <w:rFonts w:ascii="Helvetica" w:hAnsi="Helvetica" w:cs="Helvetica"/>
                <w:color w:val="auto"/>
                <w:szCs w:val="21"/>
                <w:shd w:val="clear" w:color="auto" w:fill="FFFFFF"/>
              </w:rPr>
              <w:t>生产者（制造商）</w:t>
            </w:r>
          </w:p>
        </w:tc>
        <w:tc>
          <w:tcPr>
            <w:tcW w:w="1412" w:type="dxa"/>
            <w:tcBorders>
              <w:top w:val="single" w:color="auto" w:sz="12" w:space="0"/>
              <w:left w:val="nil"/>
              <w:bottom w:val="single" w:color="auto" w:sz="8" w:space="0"/>
              <w:right w:val="single" w:color="auto" w:sz="8" w:space="0"/>
            </w:tcBorders>
            <w:tcMar>
              <w:top w:w="0" w:type="dxa"/>
              <w:left w:w="57" w:type="dxa"/>
              <w:bottom w:w="0" w:type="dxa"/>
              <w:right w:w="57" w:type="dxa"/>
            </w:tcMar>
            <w:vAlign w:val="center"/>
          </w:tcPr>
          <w:p w14:paraId="6C0C3B9A">
            <w:pPr>
              <w:widowControl/>
              <w:spacing w:before="100" w:beforeAutospacing="1" w:after="100" w:afterAutospacing="1" w:line="376" w:lineRule="atLeast"/>
              <w:jc w:val="center"/>
              <w:rPr>
                <w:color w:val="auto"/>
                <w:kern w:val="0"/>
                <w:szCs w:val="21"/>
              </w:rPr>
            </w:pPr>
            <w:r>
              <w:rPr>
                <w:rFonts w:hint="eastAsia"/>
                <w:color w:val="auto"/>
                <w:kern w:val="0"/>
                <w:szCs w:val="21"/>
              </w:rPr>
              <w:t>证书编号及证书到期日期</w:t>
            </w:r>
          </w:p>
        </w:tc>
        <w:tc>
          <w:tcPr>
            <w:tcW w:w="770" w:type="dxa"/>
            <w:tcBorders>
              <w:top w:val="single" w:color="auto" w:sz="12" w:space="0"/>
              <w:left w:val="nil"/>
              <w:bottom w:val="single" w:color="auto" w:sz="8" w:space="0"/>
              <w:right w:val="single" w:color="auto" w:sz="12" w:space="0"/>
            </w:tcBorders>
            <w:tcMar>
              <w:top w:w="0" w:type="dxa"/>
              <w:left w:w="57" w:type="dxa"/>
              <w:bottom w:w="0" w:type="dxa"/>
              <w:right w:w="57" w:type="dxa"/>
            </w:tcMar>
            <w:vAlign w:val="center"/>
          </w:tcPr>
          <w:p w14:paraId="2C57731D">
            <w:pPr>
              <w:widowControl/>
              <w:spacing w:before="100" w:beforeAutospacing="1" w:after="100" w:afterAutospacing="1" w:line="376" w:lineRule="atLeast"/>
              <w:jc w:val="center"/>
              <w:rPr>
                <w:color w:val="auto"/>
                <w:kern w:val="0"/>
                <w:szCs w:val="21"/>
              </w:rPr>
            </w:pPr>
            <w:r>
              <w:rPr>
                <w:color w:val="auto"/>
                <w:kern w:val="0"/>
                <w:szCs w:val="21"/>
              </w:rPr>
              <w:t>备注</w:t>
            </w:r>
          </w:p>
        </w:tc>
      </w:tr>
      <w:tr w14:paraId="05848C9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3" w:hRule="atLeast"/>
          <w:jc w:val="center"/>
        </w:trPr>
        <w:tc>
          <w:tcPr>
            <w:tcW w:w="767"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14:paraId="2ADDEEFB">
            <w:pPr>
              <w:widowControl/>
              <w:spacing w:before="100" w:beforeAutospacing="1" w:after="100" w:afterAutospacing="1" w:line="376" w:lineRule="atLeast"/>
              <w:jc w:val="center"/>
              <w:rPr>
                <w:color w:val="auto"/>
                <w:kern w:val="0"/>
                <w:szCs w:val="21"/>
              </w:rPr>
            </w:pPr>
            <w:r>
              <w:rPr>
                <w:color w:val="auto"/>
                <w:kern w:val="0"/>
                <w:szCs w:val="21"/>
              </w:rPr>
              <w:t>1</w:t>
            </w:r>
          </w:p>
        </w:tc>
        <w:tc>
          <w:tcPr>
            <w:tcW w:w="1134" w:type="dxa"/>
            <w:tcBorders>
              <w:top w:val="nil"/>
              <w:left w:val="nil"/>
              <w:bottom w:val="single" w:color="auto" w:sz="8" w:space="0"/>
              <w:right w:val="single" w:color="auto" w:sz="4" w:space="0"/>
            </w:tcBorders>
            <w:tcMar>
              <w:top w:w="0" w:type="dxa"/>
              <w:left w:w="57" w:type="dxa"/>
              <w:bottom w:w="0" w:type="dxa"/>
              <w:right w:w="57" w:type="dxa"/>
            </w:tcMar>
            <w:vAlign w:val="center"/>
          </w:tcPr>
          <w:p w14:paraId="1F25D9D8">
            <w:pPr>
              <w:widowControl/>
              <w:spacing w:before="100" w:beforeAutospacing="1" w:after="100" w:afterAutospacing="1" w:line="376" w:lineRule="atLeast"/>
              <w:jc w:val="center"/>
              <w:rPr>
                <w:color w:val="auto"/>
                <w:kern w:val="0"/>
                <w:szCs w:val="21"/>
              </w:rPr>
            </w:pPr>
          </w:p>
        </w:tc>
        <w:tc>
          <w:tcPr>
            <w:tcW w:w="897" w:type="dxa"/>
            <w:tcBorders>
              <w:top w:val="nil"/>
              <w:left w:val="single" w:color="auto" w:sz="4" w:space="0"/>
              <w:bottom w:val="single" w:color="auto" w:sz="8" w:space="0"/>
              <w:right w:val="single" w:color="auto" w:sz="8" w:space="0"/>
            </w:tcBorders>
            <w:vAlign w:val="center"/>
          </w:tcPr>
          <w:p w14:paraId="0A22F1F6">
            <w:pPr>
              <w:widowControl/>
              <w:spacing w:before="100" w:beforeAutospacing="1" w:after="100" w:afterAutospacing="1" w:line="376" w:lineRule="atLeast"/>
              <w:jc w:val="center"/>
              <w:rPr>
                <w:color w:val="auto"/>
                <w:kern w:val="0"/>
                <w:szCs w:val="21"/>
              </w:rPr>
            </w:pPr>
          </w:p>
        </w:tc>
        <w:tc>
          <w:tcPr>
            <w:tcW w:w="1088" w:type="dxa"/>
            <w:tcBorders>
              <w:top w:val="nil"/>
              <w:left w:val="nil"/>
              <w:bottom w:val="single" w:color="auto" w:sz="8" w:space="0"/>
              <w:right w:val="single" w:color="auto" w:sz="4" w:space="0"/>
            </w:tcBorders>
            <w:tcMar>
              <w:top w:w="0" w:type="dxa"/>
              <w:left w:w="57" w:type="dxa"/>
              <w:bottom w:w="0" w:type="dxa"/>
              <w:right w:w="57" w:type="dxa"/>
            </w:tcMar>
            <w:vAlign w:val="center"/>
          </w:tcPr>
          <w:p w14:paraId="79A93092">
            <w:pPr>
              <w:widowControl/>
              <w:spacing w:before="100" w:beforeAutospacing="1" w:after="100" w:afterAutospacing="1" w:line="376" w:lineRule="atLeast"/>
              <w:jc w:val="center"/>
              <w:rPr>
                <w:color w:val="auto"/>
                <w:kern w:val="0"/>
                <w:szCs w:val="21"/>
              </w:rPr>
            </w:pPr>
          </w:p>
        </w:tc>
        <w:tc>
          <w:tcPr>
            <w:tcW w:w="1409" w:type="dxa"/>
            <w:tcBorders>
              <w:top w:val="nil"/>
              <w:left w:val="single" w:color="auto" w:sz="4" w:space="0"/>
              <w:bottom w:val="single" w:color="auto" w:sz="8" w:space="0"/>
              <w:right w:val="single" w:color="auto" w:sz="8" w:space="0"/>
            </w:tcBorders>
            <w:vAlign w:val="center"/>
          </w:tcPr>
          <w:p w14:paraId="6AB958CF">
            <w:pPr>
              <w:widowControl/>
              <w:spacing w:before="100" w:beforeAutospacing="1" w:after="100" w:afterAutospacing="1" w:line="376" w:lineRule="atLeast"/>
              <w:jc w:val="center"/>
              <w:rPr>
                <w:color w:val="auto"/>
                <w:kern w:val="0"/>
                <w:szCs w:val="21"/>
              </w:rPr>
            </w:pPr>
          </w:p>
        </w:tc>
        <w:tc>
          <w:tcPr>
            <w:tcW w:w="1851" w:type="dxa"/>
            <w:tcBorders>
              <w:top w:val="nil"/>
              <w:left w:val="nil"/>
              <w:bottom w:val="single" w:color="auto" w:sz="8" w:space="0"/>
              <w:right w:val="single" w:color="auto" w:sz="8" w:space="0"/>
            </w:tcBorders>
            <w:tcMar>
              <w:top w:w="0" w:type="dxa"/>
              <w:left w:w="57" w:type="dxa"/>
              <w:bottom w:w="0" w:type="dxa"/>
              <w:right w:w="57" w:type="dxa"/>
            </w:tcMar>
            <w:vAlign w:val="center"/>
          </w:tcPr>
          <w:p w14:paraId="6390DC22">
            <w:pPr>
              <w:widowControl/>
              <w:spacing w:before="100" w:beforeAutospacing="1" w:after="100" w:afterAutospacing="1" w:line="376" w:lineRule="atLeast"/>
              <w:jc w:val="center"/>
              <w:rPr>
                <w:color w:val="auto"/>
                <w:kern w:val="0"/>
                <w:szCs w:val="21"/>
              </w:rPr>
            </w:pPr>
          </w:p>
        </w:tc>
        <w:tc>
          <w:tcPr>
            <w:tcW w:w="1412" w:type="dxa"/>
            <w:tcBorders>
              <w:top w:val="nil"/>
              <w:left w:val="nil"/>
              <w:bottom w:val="single" w:color="auto" w:sz="8" w:space="0"/>
              <w:right w:val="single" w:color="auto" w:sz="8" w:space="0"/>
            </w:tcBorders>
            <w:tcMar>
              <w:top w:w="0" w:type="dxa"/>
              <w:left w:w="57" w:type="dxa"/>
              <w:bottom w:w="0" w:type="dxa"/>
              <w:right w:w="57" w:type="dxa"/>
            </w:tcMar>
            <w:vAlign w:val="center"/>
          </w:tcPr>
          <w:p w14:paraId="4759E383">
            <w:pPr>
              <w:widowControl/>
              <w:spacing w:before="100" w:beforeAutospacing="1" w:after="100" w:afterAutospacing="1" w:line="376" w:lineRule="atLeast"/>
              <w:jc w:val="center"/>
              <w:rPr>
                <w:color w:val="auto"/>
                <w:kern w:val="0"/>
                <w:szCs w:val="21"/>
              </w:rPr>
            </w:pPr>
          </w:p>
        </w:tc>
        <w:tc>
          <w:tcPr>
            <w:tcW w:w="770" w:type="dxa"/>
            <w:tcBorders>
              <w:top w:val="nil"/>
              <w:left w:val="nil"/>
              <w:bottom w:val="single" w:color="auto" w:sz="8" w:space="0"/>
              <w:right w:val="single" w:color="auto" w:sz="12" w:space="0"/>
            </w:tcBorders>
            <w:tcMar>
              <w:top w:w="0" w:type="dxa"/>
              <w:left w:w="57" w:type="dxa"/>
              <w:bottom w:w="0" w:type="dxa"/>
              <w:right w:w="57" w:type="dxa"/>
            </w:tcMar>
            <w:vAlign w:val="center"/>
          </w:tcPr>
          <w:p w14:paraId="5E79E64A">
            <w:pPr>
              <w:widowControl/>
              <w:spacing w:before="100" w:beforeAutospacing="1" w:after="100" w:afterAutospacing="1" w:line="376" w:lineRule="atLeast"/>
              <w:jc w:val="center"/>
              <w:rPr>
                <w:color w:val="auto"/>
                <w:kern w:val="0"/>
                <w:szCs w:val="21"/>
              </w:rPr>
            </w:pPr>
          </w:p>
        </w:tc>
      </w:tr>
      <w:tr w14:paraId="2297D0F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1" w:hRule="atLeast"/>
          <w:jc w:val="center"/>
        </w:trPr>
        <w:tc>
          <w:tcPr>
            <w:tcW w:w="767"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14:paraId="491218F4">
            <w:pPr>
              <w:widowControl/>
              <w:spacing w:before="100" w:beforeAutospacing="1" w:after="100" w:afterAutospacing="1" w:line="376" w:lineRule="atLeast"/>
              <w:jc w:val="center"/>
              <w:rPr>
                <w:color w:val="auto"/>
                <w:kern w:val="0"/>
                <w:szCs w:val="21"/>
              </w:rPr>
            </w:pPr>
            <w:r>
              <w:rPr>
                <w:color w:val="auto"/>
                <w:kern w:val="0"/>
                <w:szCs w:val="21"/>
              </w:rPr>
              <w:t>2</w:t>
            </w:r>
          </w:p>
        </w:tc>
        <w:tc>
          <w:tcPr>
            <w:tcW w:w="1134" w:type="dxa"/>
            <w:tcBorders>
              <w:top w:val="nil"/>
              <w:left w:val="nil"/>
              <w:bottom w:val="single" w:color="auto" w:sz="8" w:space="0"/>
              <w:right w:val="single" w:color="auto" w:sz="4" w:space="0"/>
            </w:tcBorders>
            <w:tcMar>
              <w:top w:w="0" w:type="dxa"/>
              <w:left w:w="57" w:type="dxa"/>
              <w:bottom w:w="0" w:type="dxa"/>
              <w:right w:w="57" w:type="dxa"/>
            </w:tcMar>
            <w:vAlign w:val="center"/>
          </w:tcPr>
          <w:p w14:paraId="565426E6">
            <w:pPr>
              <w:widowControl/>
              <w:spacing w:before="100" w:beforeAutospacing="1" w:after="100" w:afterAutospacing="1" w:line="376" w:lineRule="atLeast"/>
              <w:jc w:val="center"/>
              <w:rPr>
                <w:color w:val="auto"/>
                <w:kern w:val="0"/>
                <w:szCs w:val="21"/>
              </w:rPr>
            </w:pPr>
          </w:p>
        </w:tc>
        <w:tc>
          <w:tcPr>
            <w:tcW w:w="897" w:type="dxa"/>
            <w:tcBorders>
              <w:top w:val="nil"/>
              <w:left w:val="single" w:color="auto" w:sz="4" w:space="0"/>
              <w:bottom w:val="single" w:color="auto" w:sz="8" w:space="0"/>
              <w:right w:val="single" w:color="auto" w:sz="8" w:space="0"/>
            </w:tcBorders>
            <w:vAlign w:val="center"/>
          </w:tcPr>
          <w:p w14:paraId="756532B9">
            <w:pPr>
              <w:widowControl/>
              <w:spacing w:before="100" w:beforeAutospacing="1" w:after="100" w:afterAutospacing="1" w:line="376" w:lineRule="atLeast"/>
              <w:jc w:val="center"/>
              <w:rPr>
                <w:color w:val="auto"/>
                <w:kern w:val="0"/>
                <w:szCs w:val="21"/>
              </w:rPr>
            </w:pPr>
          </w:p>
        </w:tc>
        <w:tc>
          <w:tcPr>
            <w:tcW w:w="1088" w:type="dxa"/>
            <w:tcBorders>
              <w:top w:val="nil"/>
              <w:left w:val="nil"/>
              <w:bottom w:val="single" w:color="auto" w:sz="8" w:space="0"/>
              <w:right w:val="single" w:color="auto" w:sz="4" w:space="0"/>
            </w:tcBorders>
            <w:tcMar>
              <w:top w:w="0" w:type="dxa"/>
              <w:left w:w="57" w:type="dxa"/>
              <w:bottom w:w="0" w:type="dxa"/>
              <w:right w:w="57" w:type="dxa"/>
            </w:tcMar>
            <w:vAlign w:val="center"/>
          </w:tcPr>
          <w:p w14:paraId="4657D5FF">
            <w:pPr>
              <w:widowControl/>
              <w:spacing w:before="100" w:beforeAutospacing="1" w:after="100" w:afterAutospacing="1" w:line="376" w:lineRule="atLeast"/>
              <w:jc w:val="center"/>
              <w:rPr>
                <w:color w:val="auto"/>
                <w:kern w:val="0"/>
                <w:szCs w:val="21"/>
              </w:rPr>
            </w:pPr>
          </w:p>
        </w:tc>
        <w:tc>
          <w:tcPr>
            <w:tcW w:w="1409" w:type="dxa"/>
            <w:tcBorders>
              <w:top w:val="nil"/>
              <w:left w:val="single" w:color="auto" w:sz="4" w:space="0"/>
              <w:bottom w:val="single" w:color="auto" w:sz="8" w:space="0"/>
              <w:right w:val="single" w:color="auto" w:sz="8" w:space="0"/>
            </w:tcBorders>
            <w:vAlign w:val="center"/>
          </w:tcPr>
          <w:p w14:paraId="32B97BF8">
            <w:pPr>
              <w:widowControl/>
              <w:spacing w:before="100" w:beforeAutospacing="1" w:after="100" w:afterAutospacing="1" w:line="376" w:lineRule="atLeast"/>
              <w:jc w:val="center"/>
              <w:rPr>
                <w:color w:val="auto"/>
                <w:kern w:val="0"/>
                <w:szCs w:val="21"/>
              </w:rPr>
            </w:pPr>
          </w:p>
        </w:tc>
        <w:tc>
          <w:tcPr>
            <w:tcW w:w="1851" w:type="dxa"/>
            <w:tcBorders>
              <w:top w:val="nil"/>
              <w:left w:val="nil"/>
              <w:bottom w:val="single" w:color="auto" w:sz="8" w:space="0"/>
              <w:right w:val="single" w:color="auto" w:sz="8" w:space="0"/>
            </w:tcBorders>
            <w:tcMar>
              <w:top w:w="0" w:type="dxa"/>
              <w:left w:w="57" w:type="dxa"/>
              <w:bottom w:w="0" w:type="dxa"/>
              <w:right w:w="57" w:type="dxa"/>
            </w:tcMar>
            <w:vAlign w:val="center"/>
          </w:tcPr>
          <w:p w14:paraId="10D594E4">
            <w:pPr>
              <w:widowControl/>
              <w:spacing w:before="100" w:beforeAutospacing="1" w:after="100" w:afterAutospacing="1" w:line="376" w:lineRule="atLeast"/>
              <w:jc w:val="center"/>
              <w:rPr>
                <w:color w:val="auto"/>
                <w:kern w:val="0"/>
                <w:szCs w:val="21"/>
              </w:rPr>
            </w:pPr>
          </w:p>
        </w:tc>
        <w:tc>
          <w:tcPr>
            <w:tcW w:w="1412" w:type="dxa"/>
            <w:tcBorders>
              <w:top w:val="nil"/>
              <w:left w:val="nil"/>
              <w:bottom w:val="single" w:color="auto" w:sz="8" w:space="0"/>
              <w:right w:val="single" w:color="auto" w:sz="8" w:space="0"/>
            </w:tcBorders>
            <w:tcMar>
              <w:top w:w="0" w:type="dxa"/>
              <w:left w:w="57" w:type="dxa"/>
              <w:bottom w:w="0" w:type="dxa"/>
              <w:right w:w="57" w:type="dxa"/>
            </w:tcMar>
            <w:vAlign w:val="center"/>
          </w:tcPr>
          <w:p w14:paraId="6CBDA05A">
            <w:pPr>
              <w:widowControl/>
              <w:spacing w:before="100" w:beforeAutospacing="1" w:after="100" w:afterAutospacing="1" w:line="376" w:lineRule="atLeast"/>
              <w:jc w:val="center"/>
              <w:rPr>
                <w:color w:val="auto"/>
                <w:kern w:val="0"/>
                <w:szCs w:val="21"/>
              </w:rPr>
            </w:pPr>
          </w:p>
        </w:tc>
        <w:tc>
          <w:tcPr>
            <w:tcW w:w="770" w:type="dxa"/>
            <w:tcBorders>
              <w:top w:val="nil"/>
              <w:left w:val="nil"/>
              <w:bottom w:val="single" w:color="auto" w:sz="8" w:space="0"/>
              <w:right w:val="single" w:color="auto" w:sz="12" w:space="0"/>
            </w:tcBorders>
            <w:tcMar>
              <w:top w:w="0" w:type="dxa"/>
              <w:left w:w="57" w:type="dxa"/>
              <w:bottom w:w="0" w:type="dxa"/>
              <w:right w:w="57" w:type="dxa"/>
            </w:tcMar>
            <w:vAlign w:val="center"/>
          </w:tcPr>
          <w:p w14:paraId="41BD9F5F">
            <w:pPr>
              <w:widowControl/>
              <w:spacing w:before="100" w:beforeAutospacing="1" w:after="100" w:afterAutospacing="1" w:line="376" w:lineRule="atLeast"/>
              <w:jc w:val="center"/>
              <w:rPr>
                <w:color w:val="auto"/>
                <w:kern w:val="0"/>
                <w:szCs w:val="21"/>
              </w:rPr>
            </w:pPr>
          </w:p>
        </w:tc>
      </w:tr>
      <w:tr w14:paraId="6F85705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767"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14:paraId="353831DA">
            <w:pPr>
              <w:widowControl/>
              <w:spacing w:before="100" w:beforeAutospacing="1" w:after="100" w:afterAutospacing="1" w:line="376" w:lineRule="atLeast"/>
              <w:jc w:val="center"/>
              <w:rPr>
                <w:color w:val="auto"/>
                <w:kern w:val="0"/>
                <w:szCs w:val="21"/>
              </w:rPr>
            </w:pPr>
            <w:r>
              <w:rPr>
                <w:color w:val="auto"/>
                <w:kern w:val="0"/>
                <w:szCs w:val="21"/>
              </w:rPr>
              <w:t>……</w:t>
            </w:r>
          </w:p>
        </w:tc>
        <w:tc>
          <w:tcPr>
            <w:tcW w:w="1134" w:type="dxa"/>
            <w:tcBorders>
              <w:top w:val="nil"/>
              <w:left w:val="nil"/>
              <w:bottom w:val="single" w:color="auto" w:sz="8" w:space="0"/>
              <w:right w:val="single" w:color="auto" w:sz="4" w:space="0"/>
            </w:tcBorders>
            <w:tcMar>
              <w:top w:w="0" w:type="dxa"/>
              <w:left w:w="57" w:type="dxa"/>
              <w:bottom w:w="0" w:type="dxa"/>
              <w:right w:w="57" w:type="dxa"/>
            </w:tcMar>
            <w:vAlign w:val="center"/>
          </w:tcPr>
          <w:p w14:paraId="47DD52C9">
            <w:pPr>
              <w:widowControl/>
              <w:spacing w:before="100" w:beforeAutospacing="1" w:after="100" w:afterAutospacing="1" w:line="376" w:lineRule="atLeast"/>
              <w:jc w:val="center"/>
              <w:rPr>
                <w:color w:val="auto"/>
                <w:kern w:val="0"/>
                <w:szCs w:val="21"/>
              </w:rPr>
            </w:pPr>
          </w:p>
        </w:tc>
        <w:tc>
          <w:tcPr>
            <w:tcW w:w="897" w:type="dxa"/>
            <w:tcBorders>
              <w:top w:val="nil"/>
              <w:left w:val="single" w:color="auto" w:sz="4" w:space="0"/>
              <w:bottom w:val="single" w:color="auto" w:sz="8" w:space="0"/>
              <w:right w:val="single" w:color="auto" w:sz="8" w:space="0"/>
            </w:tcBorders>
            <w:vAlign w:val="center"/>
          </w:tcPr>
          <w:p w14:paraId="10BDB3A7">
            <w:pPr>
              <w:widowControl/>
              <w:spacing w:before="100" w:beforeAutospacing="1" w:after="100" w:afterAutospacing="1" w:line="376" w:lineRule="atLeast"/>
              <w:jc w:val="center"/>
              <w:rPr>
                <w:color w:val="auto"/>
                <w:kern w:val="0"/>
                <w:szCs w:val="21"/>
              </w:rPr>
            </w:pPr>
          </w:p>
        </w:tc>
        <w:tc>
          <w:tcPr>
            <w:tcW w:w="1088" w:type="dxa"/>
            <w:tcBorders>
              <w:top w:val="nil"/>
              <w:left w:val="nil"/>
              <w:bottom w:val="single" w:color="auto" w:sz="8" w:space="0"/>
              <w:right w:val="single" w:color="auto" w:sz="4" w:space="0"/>
            </w:tcBorders>
            <w:tcMar>
              <w:top w:w="0" w:type="dxa"/>
              <w:left w:w="57" w:type="dxa"/>
              <w:bottom w:w="0" w:type="dxa"/>
              <w:right w:w="57" w:type="dxa"/>
            </w:tcMar>
            <w:vAlign w:val="center"/>
          </w:tcPr>
          <w:p w14:paraId="58A1BDD8">
            <w:pPr>
              <w:widowControl/>
              <w:spacing w:before="100" w:beforeAutospacing="1" w:after="100" w:afterAutospacing="1" w:line="376" w:lineRule="atLeast"/>
              <w:jc w:val="center"/>
              <w:rPr>
                <w:color w:val="auto"/>
                <w:kern w:val="0"/>
                <w:szCs w:val="21"/>
              </w:rPr>
            </w:pPr>
          </w:p>
        </w:tc>
        <w:tc>
          <w:tcPr>
            <w:tcW w:w="1409" w:type="dxa"/>
            <w:tcBorders>
              <w:top w:val="nil"/>
              <w:left w:val="single" w:color="auto" w:sz="4" w:space="0"/>
              <w:bottom w:val="single" w:color="auto" w:sz="8" w:space="0"/>
              <w:right w:val="single" w:color="auto" w:sz="8" w:space="0"/>
            </w:tcBorders>
            <w:vAlign w:val="center"/>
          </w:tcPr>
          <w:p w14:paraId="4FFCFFCE">
            <w:pPr>
              <w:widowControl/>
              <w:spacing w:before="100" w:beforeAutospacing="1" w:after="100" w:afterAutospacing="1" w:line="376" w:lineRule="atLeast"/>
              <w:jc w:val="center"/>
              <w:rPr>
                <w:color w:val="auto"/>
                <w:kern w:val="0"/>
                <w:szCs w:val="21"/>
              </w:rPr>
            </w:pPr>
          </w:p>
        </w:tc>
        <w:tc>
          <w:tcPr>
            <w:tcW w:w="1851" w:type="dxa"/>
            <w:tcBorders>
              <w:top w:val="nil"/>
              <w:left w:val="nil"/>
              <w:bottom w:val="single" w:color="auto" w:sz="8" w:space="0"/>
              <w:right w:val="single" w:color="auto" w:sz="8" w:space="0"/>
            </w:tcBorders>
            <w:tcMar>
              <w:top w:w="0" w:type="dxa"/>
              <w:left w:w="57" w:type="dxa"/>
              <w:bottom w:w="0" w:type="dxa"/>
              <w:right w:w="57" w:type="dxa"/>
            </w:tcMar>
            <w:vAlign w:val="center"/>
          </w:tcPr>
          <w:p w14:paraId="37EE50BC">
            <w:pPr>
              <w:widowControl/>
              <w:spacing w:before="100" w:beforeAutospacing="1" w:after="100" w:afterAutospacing="1" w:line="376" w:lineRule="atLeast"/>
              <w:jc w:val="center"/>
              <w:rPr>
                <w:color w:val="auto"/>
                <w:kern w:val="0"/>
                <w:szCs w:val="21"/>
              </w:rPr>
            </w:pPr>
          </w:p>
        </w:tc>
        <w:tc>
          <w:tcPr>
            <w:tcW w:w="1412" w:type="dxa"/>
            <w:tcBorders>
              <w:top w:val="nil"/>
              <w:left w:val="nil"/>
              <w:bottom w:val="single" w:color="auto" w:sz="8" w:space="0"/>
              <w:right w:val="single" w:color="auto" w:sz="8" w:space="0"/>
            </w:tcBorders>
            <w:tcMar>
              <w:top w:w="0" w:type="dxa"/>
              <w:left w:w="57" w:type="dxa"/>
              <w:bottom w:w="0" w:type="dxa"/>
              <w:right w:w="57" w:type="dxa"/>
            </w:tcMar>
            <w:vAlign w:val="center"/>
          </w:tcPr>
          <w:p w14:paraId="4C9C2067">
            <w:pPr>
              <w:widowControl/>
              <w:spacing w:before="100" w:beforeAutospacing="1" w:after="100" w:afterAutospacing="1" w:line="376" w:lineRule="atLeast"/>
              <w:jc w:val="center"/>
              <w:rPr>
                <w:color w:val="auto"/>
                <w:kern w:val="0"/>
                <w:szCs w:val="21"/>
              </w:rPr>
            </w:pPr>
          </w:p>
        </w:tc>
        <w:tc>
          <w:tcPr>
            <w:tcW w:w="770" w:type="dxa"/>
            <w:tcBorders>
              <w:top w:val="nil"/>
              <w:left w:val="nil"/>
              <w:bottom w:val="single" w:color="auto" w:sz="8" w:space="0"/>
              <w:right w:val="single" w:color="auto" w:sz="12" w:space="0"/>
            </w:tcBorders>
            <w:tcMar>
              <w:top w:w="0" w:type="dxa"/>
              <w:left w:w="57" w:type="dxa"/>
              <w:bottom w:w="0" w:type="dxa"/>
              <w:right w:w="57" w:type="dxa"/>
            </w:tcMar>
            <w:vAlign w:val="center"/>
          </w:tcPr>
          <w:p w14:paraId="1C93DCAC">
            <w:pPr>
              <w:widowControl/>
              <w:spacing w:before="100" w:beforeAutospacing="1" w:after="100" w:afterAutospacing="1" w:line="376" w:lineRule="atLeast"/>
              <w:jc w:val="center"/>
              <w:rPr>
                <w:color w:val="auto"/>
                <w:kern w:val="0"/>
                <w:szCs w:val="21"/>
              </w:rPr>
            </w:pPr>
          </w:p>
        </w:tc>
      </w:tr>
    </w:tbl>
    <w:p w14:paraId="6D34EE0F">
      <w:pPr>
        <w:snapToGrid w:val="0"/>
        <w:spacing w:before="50" w:after="120" w:afterLines="50"/>
        <w:jc w:val="left"/>
        <w:rPr>
          <w:color w:val="auto"/>
          <w:szCs w:val="21"/>
        </w:rPr>
      </w:pPr>
      <w:r>
        <w:rPr>
          <w:rFonts w:hint="eastAsia"/>
          <w:color w:val="auto"/>
          <w:szCs w:val="21"/>
        </w:rPr>
        <w:t>注：类别填写节能或环境标志，品目填写编号及产品名称如A</w:t>
      </w:r>
      <w:r>
        <w:rPr>
          <w:color w:val="auto"/>
          <w:szCs w:val="21"/>
        </w:rPr>
        <w:t>02010104</w:t>
      </w:r>
      <w:r>
        <w:rPr>
          <w:rFonts w:hint="eastAsia"/>
          <w:color w:val="auto"/>
          <w:szCs w:val="21"/>
        </w:rPr>
        <w:t>台式计算机。</w:t>
      </w:r>
    </w:p>
    <w:p w14:paraId="229DB7E7">
      <w:pPr>
        <w:snapToGrid w:val="0"/>
        <w:spacing w:before="50" w:after="120" w:afterLines="50"/>
        <w:jc w:val="left"/>
        <w:rPr>
          <w:color w:val="auto"/>
          <w:szCs w:val="21"/>
        </w:rPr>
      </w:pPr>
    </w:p>
    <w:p w14:paraId="17A4D58A">
      <w:pPr>
        <w:snapToGrid w:val="0"/>
        <w:spacing w:before="50" w:after="120" w:afterLines="50"/>
        <w:jc w:val="left"/>
        <w:rPr>
          <w:color w:val="auto"/>
          <w:szCs w:val="21"/>
        </w:rPr>
      </w:pPr>
      <w:bookmarkStart w:id="166" w:name="_Hlk19050322"/>
    </w:p>
    <w:p w14:paraId="29A0C096">
      <w:pPr>
        <w:snapToGrid w:val="0"/>
        <w:spacing w:before="50" w:after="120" w:afterLines="50"/>
        <w:jc w:val="left"/>
        <w:rPr>
          <w:color w:val="auto"/>
          <w:szCs w:val="21"/>
        </w:rPr>
      </w:pPr>
      <w:r>
        <w:rPr>
          <w:color w:val="auto"/>
          <w:szCs w:val="21"/>
        </w:rPr>
        <w:t>8．供应商认为需提供的其他材料（根据招标文件编写）</w:t>
      </w:r>
    </w:p>
    <w:p w14:paraId="17090FD7">
      <w:pPr>
        <w:widowControl/>
        <w:jc w:val="left"/>
        <w:rPr>
          <w:color w:val="auto"/>
          <w:szCs w:val="21"/>
        </w:rPr>
      </w:pPr>
      <w:r>
        <w:rPr>
          <w:color w:val="auto"/>
          <w:szCs w:val="21"/>
        </w:rPr>
        <w:br w:type="page"/>
      </w:r>
    </w:p>
    <w:p w14:paraId="51B15A4F">
      <w:pPr>
        <w:snapToGrid w:val="0"/>
        <w:spacing w:before="50" w:after="120" w:afterLines="50"/>
        <w:jc w:val="left"/>
        <w:rPr>
          <w:color w:val="auto"/>
          <w:szCs w:val="21"/>
        </w:rPr>
      </w:pPr>
      <w:bookmarkStart w:id="167" w:name="_Hlk93046716"/>
      <w:r>
        <w:rPr>
          <w:rFonts w:hint="eastAsia"/>
          <w:color w:val="auto"/>
          <w:szCs w:val="21"/>
        </w:rPr>
        <w:t>9</w:t>
      </w:r>
      <w:r>
        <w:rPr>
          <w:color w:val="auto"/>
          <w:szCs w:val="21"/>
        </w:rPr>
        <w:t>.</w:t>
      </w:r>
      <w:r>
        <w:rPr>
          <w:rFonts w:hint="eastAsia"/>
          <w:color w:val="auto"/>
        </w:rPr>
        <w:t xml:space="preserve"> </w:t>
      </w:r>
      <w:r>
        <w:rPr>
          <w:rFonts w:hint="eastAsia"/>
          <w:color w:val="auto"/>
          <w:szCs w:val="21"/>
        </w:rPr>
        <w:t>无串标行为承诺函</w:t>
      </w:r>
    </w:p>
    <w:p w14:paraId="1BE2732D">
      <w:pPr>
        <w:snapToGrid w:val="0"/>
        <w:spacing w:before="50" w:after="120" w:afterLines="50"/>
        <w:jc w:val="center"/>
        <w:rPr>
          <w:color w:val="auto"/>
          <w:szCs w:val="21"/>
        </w:rPr>
      </w:pPr>
    </w:p>
    <w:p w14:paraId="59693D18">
      <w:pPr>
        <w:snapToGrid w:val="0"/>
        <w:spacing w:before="50" w:after="120" w:afterLines="50"/>
        <w:jc w:val="center"/>
        <w:rPr>
          <w:color w:val="auto"/>
          <w:szCs w:val="21"/>
        </w:rPr>
      </w:pPr>
      <w:r>
        <w:rPr>
          <w:rFonts w:hint="eastAsia"/>
          <w:color w:val="auto"/>
          <w:szCs w:val="21"/>
        </w:rPr>
        <w:t>投标人参加本项目无围标串标行为的承诺函</w:t>
      </w:r>
    </w:p>
    <w:p w14:paraId="3559A0F4">
      <w:pPr>
        <w:snapToGrid w:val="0"/>
        <w:spacing w:before="50" w:after="120" w:afterLines="50"/>
        <w:jc w:val="left"/>
        <w:rPr>
          <w:color w:val="auto"/>
          <w:szCs w:val="21"/>
        </w:rPr>
      </w:pPr>
    </w:p>
    <w:p w14:paraId="4A80854F">
      <w:pPr>
        <w:snapToGrid w:val="0"/>
        <w:spacing w:before="50" w:after="120" w:afterLines="50"/>
        <w:jc w:val="left"/>
        <w:rPr>
          <w:color w:val="auto"/>
          <w:szCs w:val="21"/>
        </w:rPr>
      </w:pPr>
      <w:r>
        <w:rPr>
          <w:rFonts w:hint="eastAsia"/>
          <w:color w:val="auto"/>
          <w:szCs w:val="21"/>
        </w:rPr>
        <w:t>一、我方承诺无下列相互串通投标的情形：</w:t>
      </w:r>
    </w:p>
    <w:p w14:paraId="3F870B47">
      <w:pPr>
        <w:snapToGrid w:val="0"/>
        <w:spacing w:before="50" w:after="120" w:afterLines="50"/>
        <w:jc w:val="left"/>
        <w:rPr>
          <w:color w:val="auto"/>
          <w:szCs w:val="21"/>
        </w:rPr>
      </w:pPr>
      <w:r>
        <w:rPr>
          <w:rFonts w:hint="eastAsia"/>
          <w:color w:val="auto"/>
          <w:szCs w:val="21"/>
        </w:rPr>
        <w:t>1.不同投标人的投标文件由同一单位或者个人编制；或者不同投标人报名的IP地址一致的；</w:t>
      </w:r>
    </w:p>
    <w:p w14:paraId="3AC88BFE">
      <w:pPr>
        <w:snapToGrid w:val="0"/>
        <w:spacing w:before="50" w:after="120" w:afterLines="50"/>
        <w:jc w:val="left"/>
        <w:rPr>
          <w:color w:val="auto"/>
          <w:szCs w:val="21"/>
        </w:rPr>
      </w:pPr>
      <w:r>
        <w:rPr>
          <w:rFonts w:hint="eastAsia"/>
          <w:color w:val="auto"/>
          <w:szCs w:val="21"/>
        </w:rPr>
        <w:t>2.不同投标人委托同一单位或者个人办理投标事宜；</w:t>
      </w:r>
    </w:p>
    <w:p w14:paraId="3AAF6A03">
      <w:pPr>
        <w:snapToGrid w:val="0"/>
        <w:spacing w:before="50" w:after="120" w:afterLines="50"/>
        <w:jc w:val="left"/>
        <w:rPr>
          <w:color w:val="auto"/>
          <w:szCs w:val="21"/>
        </w:rPr>
      </w:pPr>
      <w:r>
        <w:rPr>
          <w:rFonts w:hint="eastAsia"/>
          <w:color w:val="auto"/>
          <w:szCs w:val="21"/>
        </w:rPr>
        <w:t>3.不同的投标人的投标文件载明的项目管理员为同一个人；</w:t>
      </w:r>
    </w:p>
    <w:p w14:paraId="7682CDA7">
      <w:pPr>
        <w:snapToGrid w:val="0"/>
        <w:spacing w:before="50" w:after="120" w:afterLines="50"/>
        <w:jc w:val="left"/>
        <w:rPr>
          <w:color w:val="auto"/>
          <w:szCs w:val="21"/>
        </w:rPr>
      </w:pPr>
      <w:r>
        <w:rPr>
          <w:rFonts w:hint="eastAsia"/>
          <w:color w:val="auto"/>
          <w:szCs w:val="21"/>
        </w:rPr>
        <w:t>4.不同投标人的投标文件异常一致或者投标报价呈规律性差异；</w:t>
      </w:r>
    </w:p>
    <w:p w14:paraId="13187456">
      <w:pPr>
        <w:snapToGrid w:val="0"/>
        <w:spacing w:before="50" w:after="120" w:afterLines="50"/>
        <w:jc w:val="left"/>
        <w:rPr>
          <w:color w:val="auto"/>
          <w:szCs w:val="21"/>
        </w:rPr>
      </w:pPr>
      <w:r>
        <w:rPr>
          <w:rFonts w:hint="eastAsia"/>
          <w:color w:val="auto"/>
          <w:szCs w:val="21"/>
        </w:rPr>
        <w:t>5.不同投标人的投标文件相互混装；</w:t>
      </w:r>
    </w:p>
    <w:p w14:paraId="2C33B3AD">
      <w:pPr>
        <w:snapToGrid w:val="0"/>
        <w:spacing w:before="50" w:after="120" w:afterLines="50"/>
        <w:jc w:val="left"/>
        <w:rPr>
          <w:color w:val="auto"/>
          <w:szCs w:val="21"/>
        </w:rPr>
      </w:pPr>
      <w:r>
        <w:rPr>
          <w:rFonts w:hint="eastAsia"/>
          <w:color w:val="auto"/>
          <w:szCs w:val="21"/>
        </w:rPr>
        <w:t>6.不同投标人的投标保证金从同一单位或者个人账户转出。</w:t>
      </w:r>
    </w:p>
    <w:p w14:paraId="5680C2AC">
      <w:pPr>
        <w:snapToGrid w:val="0"/>
        <w:spacing w:before="50" w:after="120" w:afterLines="50"/>
        <w:jc w:val="left"/>
        <w:rPr>
          <w:color w:val="auto"/>
          <w:szCs w:val="21"/>
        </w:rPr>
      </w:pPr>
      <w:r>
        <w:rPr>
          <w:rFonts w:hint="eastAsia"/>
          <w:color w:val="auto"/>
          <w:szCs w:val="21"/>
        </w:rPr>
        <w:t>二、我方承诺无下列恶意串通的情形：</w:t>
      </w:r>
    </w:p>
    <w:p w14:paraId="24B91D9F">
      <w:pPr>
        <w:snapToGrid w:val="0"/>
        <w:spacing w:before="50" w:after="120" w:afterLines="50"/>
        <w:jc w:val="left"/>
        <w:rPr>
          <w:color w:val="auto"/>
          <w:szCs w:val="21"/>
        </w:rPr>
      </w:pPr>
      <w:r>
        <w:rPr>
          <w:rFonts w:hint="eastAsia"/>
          <w:color w:val="auto"/>
          <w:szCs w:val="21"/>
        </w:rPr>
        <w:t>1.投标人直接或者间接从采购人或者采购代理机构处获得其他投标人的相关信息并修改其投标文件或者投标文件；</w:t>
      </w:r>
    </w:p>
    <w:p w14:paraId="6CB22E22">
      <w:pPr>
        <w:snapToGrid w:val="0"/>
        <w:spacing w:before="50" w:after="120" w:afterLines="50"/>
        <w:jc w:val="left"/>
        <w:rPr>
          <w:color w:val="auto"/>
          <w:szCs w:val="21"/>
        </w:rPr>
      </w:pPr>
      <w:r>
        <w:rPr>
          <w:rFonts w:hint="eastAsia"/>
          <w:color w:val="auto"/>
          <w:szCs w:val="21"/>
        </w:rPr>
        <w:t>2.投标人按照采购人或者采购代理机构的授意撤换、修改投标文件或者投标文件；</w:t>
      </w:r>
    </w:p>
    <w:p w14:paraId="0AA0B23C">
      <w:pPr>
        <w:snapToGrid w:val="0"/>
        <w:spacing w:before="50" w:after="120" w:afterLines="50"/>
        <w:jc w:val="left"/>
        <w:rPr>
          <w:color w:val="auto"/>
          <w:szCs w:val="21"/>
        </w:rPr>
      </w:pPr>
      <w:r>
        <w:rPr>
          <w:rFonts w:hint="eastAsia"/>
          <w:color w:val="auto"/>
          <w:szCs w:val="21"/>
        </w:rPr>
        <w:t>3.投标人之间协商报价、技术方案等投标文件或者投标文件的实质性内容；</w:t>
      </w:r>
    </w:p>
    <w:p w14:paraId="51E26038">
      <w:pPr>
        <w:snapToGrid w:val="0"/>
        <w:spacing w:before="50" w:after="120" w:afterLines="50"/>
        <w:jc w:val="left"/>
        <w:rPr>
          <w:color w:val="auto"/>
          <w:szCs w:val="21"/>
        </w:rPr>
      </w:pPr>
      <w:r>
        <w:rPr>
          <w:rFonts w:hint="eastAsia"/>
          <w:color w:val="auto"/>
          <w:szCs w:val="21"/>
        </w:rPr>
        <w:t>4.属于同一集团、协会、商会等组织成员的投标人按照该组织要求协同参加政府采购活动；</w:t>
      </w:r>
    </w:p>
    <w:p w14:paraId="74921590">
      <w:pPr>
        <w:snapToGrid w:val="0"/>
        <w:spacing w:before="50" w:after="120" w:afterLines="50"/>
        <w:jc w:val="left"/>
        <w:rPr>
          <w:color w:val="auto"/>
          <w:szCs w:val="21"/>
        </w:rPr>
      </w:pPr>
      <w:r>
        <w:rPr>
          <w:rFonts w:hint="eastAsia"/>
          <w:color w:val="auto"/>
          <w:szCs w:val="21"/>
        </w:rPr>
        <w:t>5.投标人之间事先约定一致抬高或者压低投标报价，或者在招标项目中事先约定轮流以高价位或者低价位中标，或者事先约定由某一特定投标人中标，然后再参加投标；</w:t>
      </w:r>
    </w:p>
    <w:p w14:paraId="2352319F">
      <w:pPr>
        <w:snapToGrid w:val="0"/>
        <w:spacing w:before="50" w:after="120" w:afterLines="50"/>
        <w:jc w:val="left"/>
        <w:rPr>
          <w:color w:val="auto"/>
          <w:szCs w:val="21"/>
        </w:rPr>
      </w:pPr>
      <w:r>
        <w:rPr>
          <w:rFonts w:hint="eastAsia"/>
          <w:color w:val="auto"/>
          <w:szCs w:val="21"/>
        </w:rPr>
        <w:t>6.投标人之间商定部分投标人放弃参加政府采购活动或者放弃中标；</w:t>
      </w:r>
    </w:p>
    <w:p w14:paraId="2346616D">
      <w:pPr>
        <w:snapToGrid w:val="0"/>
        <w:spacing w:before="50" w:after="120" w:afterLines="50"/>
        <w:jc w:val="left"/>
        <w:rPr>
          <w:color w:val="auto"/>
          <w:szCs w:val="21"/>
        </w:rPr>
      </w:pPr>
      <w:r>
        <w:rPr>
          <w:rFonts w:hint="eastAsia"/>
          <w:color w:val="auto"/>
          <w:szCs w:val="21"/>
        </w:rPr>
        <w:t>7.投标人与采购人或者采购代理机构之间、投标人相互之间，为谋求特定投标人中标或者排斥其他投标人的其他串通行为。</w:t>
      </w:r>
    </w:p>
    <w:p w14:paraId="5E146312">
      <w:pPr>
        <w:snapToGrid w:val="0"/>
        <w:spacing w:before="50" w:after="120" w:afterLines="50"/>
        <w:jc w:val="left"/>
        <w:rPr>
          <w:color w:val="auto"/>
          <w:szCs w:val="21"/>
        </w:rPr>
      </w:pPr>
      <w:r>
        <w:rPr>
          <w:rFonts w:hint="eastAsia"/>
          <w:color w:val="auto"/>
          <w:szCs w:val="21"/>
        </w:rPr>
        <w:t>以上情形一经核查属实，我方愿意承担一切后果，并不再寻求任何旨在减轻或者免除法律责任的辩解。</w:t>
      </w:r>
    </w:p>
    <w:p w14:paraId="4F298686">
      <w:pPr>
        <w:snapToGrid w:val="0"/>
        <w:spacing w:before="50" w:after="120" w:afterLines="50"/>
        <w:jc w:val="center"/>
        <w:rPr>
          <w:color w:val="auto"/>
          <w:szCs w:val="21"/>
        </w:rPr>
      </w:pPr>
      <w:r>
        <w:rPr>
          <w:rFonts w:hint="eastAsia"/>
          <w:color w:val="auto"/>
          <w:szCs w:val="21"/>
        </w:rPr>
        <w:t xml:space="preserve"> </w:t>
      </w:r>
      <w:r>
        <w:rPr>
          <w:color w:val="auto"/>
          <w:szCs w:val="21"/>
        </w:rPr>
        <w:t xml:space="preserve"> </w:t>
      </w:r>
    </w:p>
    <w:p w14:paraId="071AAC7B">
      <w:pPr>
        <w:snapToGrid w:val="0"/>
        <w:spacing w:before="50" w:after="120" w:afterLines="50"/>
        <w:jc w:val="center"/>
        <w:rPr>
          <w:color w:val="auto"/>
          <w:szCs w:val="21"/>
        </w:rPr>
      </w:pPr>
    </w:p>
    <w:p w14:paraId="2557B072">
      <w:pPr>
        <w:snapToGrid w:val="0"/>
        <w:spacing w:before="50" w:after="120" w:afterLines="50"/>
        <w:jc w:val="center"/>
        <w:rPr>
          <w:color w:val="auto"/>
          <w:szCs w:val="21"/>
        </w:rPr>
      </w:pPr>
    </w:p>
    <w:p w14:paraId="3018BD03">
      <w:pPr>
        <w:snapToGrid w:val="0"/>
        <w:spacing w:before="50" w:after="120" w:afterLines="50"/>
        <w:jc w:val="center"/>
        <w:rPr>
          <w:color w:val="auto"/>
          <w:szCs w:val="21"/>
        </w:rPr>
      </w:pPr>
      <w:r>
        <w:rPr>
          <w:color w:val="auto"/>
          <w:szCs w:val="21"/>
        </w:rPr>
        <w:t>供应商</w:t>
      </w:r>
      <w:r>
        <w:rPr>
          <w:rFonts w:hint="eastAsia"/>
          <w:color w:val="auto"/>
          <w:szCs w:val="21"/>
        </w:rPr>
        <w:t>名称(电子签章</w:t>
      </w:r>
      <w:r>
        <w:rPr>
          <w:color w:val="auto"/>
          <w:szCs w:val="21"/>
        </w:rPr>
        <w:t>)</w:t>
      </w:r>
      <w:r>
        <w:rPr>
          <w:rFonts w:hint="eastAsia"/>
          <w:color w:val="auto"/>
          <w:szCs w:val="21"/>
        </w:rPr>
        <w:t>：</w:t>
      </w:r>
    </w:p>
    <w:p w14:paraId="4017ED63">
      <w:pPr>
        <w:snapToGrid w:val="0"/>
        <w:spacing w:before="50" w:after="120" w:afterLines="50"/>
        <w:jc w:val="center"/>
        <w:rPr>
          <w:color w:val="auto"/>
          <w:szCs w:val="21"/>
        </w:rPr>
      </w:pPr>
      <w:r>
        <w:rPr>
          <w:rFonts w:hint="eastAsia"/>
          <w:color w:val="auto"/>
          <w:szCs w:val="21"/>
        </w:rPr>
        <w:t>日期：  年  月   日</w:t>
      </w:r>
    </w:p>
    <w:bookmarkEnd w:id="166"/>
    <w:p w14:paraId="70FACBE0">
      <w:pPr>
        <w:snapToGrid w:val="0"/>
        <w:spacing w:before="50" w:after="120" w:afterLines="50"/>
        <w:jc w:val="left"/>
        <w:rPr>
          <w:color w:val="auto"/>
          <w:szCs w:val="21"/>
        </w:rPr>
      </w:pPr>
      <w:r>
        <w:rPr>
          <w:color w:val="auto"/>
          <w:szCs w:val="21"/>
        </w:rPr>
        <w:br w:type="page"/>
      </w:r>
      <w:bookmarkEnd w:id="167"/>
      <w:r>
        <w:rPr>
          <w:color w:val="auto"/>
          <w:szCs w:val="21"/>
        </w:rPr>
        <w:t>10.代理服务费承诺书</w:t>
      </w:r>
    </w:p>
    <w:p w14:paraId="606C3334">
      <w:pPr>
        <w:spacing w:line="360" w:lineRule="exact"/>
        <w:rPr>
          <w:color w:val="auto"/>
          <w:szCs w:val="21"/>
        </w:rPr>
      </w:pPr>
      <w:r>
        <w:rPr>
          <w:color w:val="auto"/>
          <w:szCs w:val="21"/>
        </w:rPr>
        <w:t>致：广西机电设备招标有限公司</w:t>
      </w:r>
    </w:p>
    <w:p w14:paraId="31F54236">
      <w:pPr>
        <w:spacing w:line="360" w:lineRule="exact"/>
        <w:ind w:firstLine="420" w:firstLineChars="200"/>
        <w:rPr>
          <w:color w:val="auto"/>
          <w:szCs w:val="21"/>
        </w:rPr>
      </w:pPr>
      <w:r>
        <w:rPr>
          <w:color w:val="auto"/>
          <w:szCs w:val="21"/>
        </w:rPr>
        <w:t>我单位参加了贵方组织的招标项目编号为</w:t>
      </w:r>
      <w:r>
        <w:rPr>
          <w:b/>
          <w:color w:val="auto"/>
          <w:szCs w:val="21"/>
        </w:rPr>
        <w:t>（</w:t>
      </w:r>
      <w:r>
        <w:rPr>
          <w:color w:val="auto"/>
          <w:szCs w:val="21"/>
          <w:u w:val="single"/>
        </w:rPr>
        <w:t xml:space="preserve">                    )</w:t>
      </w:r>
      <w:r>
        <w:rPr>
          <w:color w:val="auto"/>
          <w:szCs w:val="21"/>
        </w:rPr>
        <w:t>的投标，并递交了投标保证金</w:t>
      </w:r>
      <w:bookmarkStart w:id="168" w:name="_Hlk19050352"/>
      <w:r>
        <w:rPr>
          <w:color w:val="auto"/>
          <w:szCs w:val="21"/>
        </w:rPr>
        <w:t>（</w:t>
      </w:r>
      <w:r>
        <w:rPr>
          <w:color w:val="auto"/>
          <w:kern w:val="0"/>
          <w:szCs w:val="21"/>
        </w:rPr>
        <w:t>¥</w:t>
      </w:r>
      <w:r>
        <w:rPr>
          <w:color w:val="auto"/>
          <w:szCs w:val="21"/>
          <w:u w:val="single"/>
        </w:rPr>
        <w:t xml:space="preserve">       </w:t>
      </w:r>
      <w:r>
        <w:rPr>
          <w:color w:val="auto"/>
          <w:szCs w:val="21"/>
        </w:rPr>
        <w:t>）</w:t>
      </w:r>
      <w:bookmarkEnd w:id="168"/>
      <w:r>
        <w:rPr>
          <w:color w:val="auto"/>
          <w:szCs w:val="21"/>
        </w:rPr>
        <w:t>，在此我方说明如下：</w:t>
      </w:r>
    </w:p>
    <w:p w14:paraId="28F9CFCF">
      <w:pPr>
        <w:spacing w:line="360" w:lineRule="exact"/>
        <w:ind w:firstLine="420" w:firstLineChars="200"/>
        <w:rPr>
          <w:color w:val="auto"/>
          <w:szCs w:val="21"/>
        </w:rPr>
      </w:pPr>
      <w:bookmarkStart w:id="169" w:name="_Hlk19050395"/>
      <w:r>
        <w:rPr>
          <w:color w:val="auto"/>
          <w:szCs w:val="21"/>
        </w:rPr>
        <w:t>1．我方承诺，若我单位中标，保证在领取中标通知书之前，按本项目招标文件的规定标准向贵单位支付代理服务费。如我单位未按规定缴纳代理服务费，贵方可</w:t>
      </w:r>
      <w:r>
        <w:rPr>
          <w:rFonts w:hint="eastAsia"/>
          <w:color w:val="auto"/>
          <w:szCs w:val="21"/>
        </w:rPr>
        <w:t>不退还</w:t>
      </w:r>
      <w:r>
        <w:rPr>
          <w:color w:val="auto"/>
          <w:szCs w:val="21"/>
        </w:rPr>
        <w:t>我单位提交的投标保证金</w:t>
      </w:r>
      <w:r>
        <w:rPr>
          <w:rFonts w:hint="eastAsia"/>
          <w:color w:val="auto"/>
          <w:szCs w:val="21"/>
        </w:rPr>
        <w:t>，并从中</w:t>
      </w:r>
      <w:r>
        <w:rPr>
          <w:color w:val="auto"/>
          <w:szCs w:val="21"/>
        </w:rPr>
        <w:t>扣除</w:t>
      </w:r>
      <w:r>
        <w:rPr>
          <w:rFonts w:hint="eastAsia"/>
          <w:color w:val="auto"/>
          <w:szCs w:val="21"/>
        </w:rPr>
        <w:t>代理服务费</w:t>
      </w:r>
      <w:r>
        <w:rPr>
          <w:color w:val="auto"/>
          <w:szCs w:val="21"/>
        </w:rPr>
        <w:t>，余款按下列账户退回。</w:t>
      </w:r>
    </w:p>
    <w:bookmarkEnd w:id="169"/>
    <w:p w14:paraId="12A608E6">
      <w:pPr>
        <w:spacing w:line="360" w:lineRule="exact"/>
        <w:ind w:firstLine="420" w:firstLineChars="200"/>
        <w:rPr>
          <w:color w:val="auto"/>
          <w:szCs w:val="21"/>
        </w:rPr>
      </w:pPr>
      <w:bookmarkStart w:id="170" w:name="_Hlk19050518"/>
      <w:r>
        <w:rPr>
          <w:color w:val="auto"/>
          <w:szCs w:val="21"/>
        </w:rPr>
        <w:t>我公司选择第</w:t>
      </w:r>
      <w:r>
        <w:rPr>
          <w:color w:val="auto"/>
          <w:szCs w:val="21"/>
          <w:u w:val="single"/>
        </w:rPr>
        <w:t xml:space="preserve">     </w:t>
      </w:r>
      <w:r>
        <w:rPr>
          <w:color w:val="auto"/>
          <w:szCs w:val="21"/>
        </w:rPr>
        <w:t>种方式缴纳代理服务费。</w:t>
      </w:r>
    </w:p>
    <w:p w14:paraId="06B02B16">
      <w:pPr>
        <w:spacing w:line="360" w:lineRule="exact"/>
        <w:ind w:firstLine="420" w:firstLineChars="200"/>
        <w:rPr>
          <w:color w:val="auto"/>
          <w:szCs w:val="21"/>
        </w:rPr>
      </w:pPr>
      <w:r>
        <w:rPr>
          <w:color w:val="auto"/>
          <w:szCs w:val="21"/>
        </w:rPr>
        <w:t>第一种方式：一次性足额缴纳代理服务费。</w:t>
      </w:r>
    </w:p>
    <w:p w14:paraId="2F71A211">
      <w:pPr>
        <w:spacing w:line="360" w:lineRule="exact"/>
        <w:ind w:firstLine="420" w:firstLineChars="200"/>
        <w:rPr>
          <w:color w:val="auto"/>
          <w:szCs w:val="21"/>
        </w:rPr>
      </w:pPr>
      <w:r>
        <w:rPr>
          <w:color w:val="auto"/>
          <w:szCs w:val="21"/>
        </w:rPr>
        <w:t>第二种方式：从投标保证金中抵扣代理服务费，不足部分补交。</w:t>
      </w:r>
    </w:p>
    <w:bookmarkEnd w:id="170"/>
    <w:p w14:paraId="35632D0F">
      <w:pPr>
        <w:spacing w:line="360" w:lineRule="exact"/>
        <w:ind w:firstLine="420" w:firstLineChars="200"/>
        <w:rPr>
          <w:color w:val="auto"/>
          <w:szCs w:val="21"/>
        </w:rPr>
      </w:pPr>
      <w:r>
        <w:rPr>
          <w:color w:val="auto"/>
          <w:szCs w:val="21"/>
        </w:rPr>
        <w:t>2．如我单位投标保证金无法原路返回，请按下表账户信息无息退还。</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3"/>
        <w:gridCol w:w="5431"/>
      </w:tblGrid>
      <w:tr w14:paraId="1C015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38C46BD8">
            <w:pPr>
              <w:spacing w:line="360" w:lineRule="exact"/>
              <w:jc w:val="center"/>
              <w:rPr>
                <w:color w:val="auto"/>
                <w:szCs w:val="21"/>
              </w:rPr>
            </w:pPr>
            <w:r>
              <w:rPr>
                <w:color w:val="auto"/>
                <w:szCs w:val="21"/>
              </w:rPr>
              <w:t>收款户名</w:t>
            </w:r>
          </w:p>
        </w:tc>
        <w:tc>
          <w:tcPr>
            <w:tcW w:w="5431" w:type="dxa"/>
            <w:vAlign w:val="center"/>
          </w:tcPr>
          <w:p w14:paraId="626A1DAD">
            <w:pPr>
              <w:spacing w:line="360" w:lineRule="exact"/>
              <w:jc w:val="center"/>
              <w:rPr>
                <w:color w:val="auto"/>
                <w:szCs w:val="21"/>
              </w:rPr>
            </w:pPr>
          </w:p>
        </w:tc>
      </w:tr>
      <w:tr w14:paraId="5519A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7AA8559B">
            <w:pPr>
              <w:spacing w:line="360" w:lineRule="exact"/>
              <w:jc w:val="center"/>
              <w:rPr>
                <w:color w:val="auto"/>
                <w:szCs w:val="21"/>
              </w:rPr>
            </w:pPr>
            <w:r>
              <w:rPr>
                <w:color w:val="auto"/>
                <w:szCs w:val="21"/>
              </w:rPr>
              <w:t>账    号</w:t>
            </w:r>
          </w:p>
        </w:tc>
        <w:tc>
          <w:tcPr>
            <w:tcW w:w="5431" w:type="dxa"/>
            <w:vAlign w:val="center"/>
          </w:tcPr>
          <w:p w14:paraId="26E90961">
            <w:pPr>
              <w:spacing w:line="360" w:lineRule="exact"/>
              <w:jc w:val="center"/>
              <w:rPr>
                <w:color w:val="auto"/>
                <w:szCs w:val="21"/>
              </w:rPr>
            </w:pPr>
          </w:p>
        </w:tc>
      </w:tr>
      <w:tr w14:paraId="67D63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535AA40F">
            <w:pPr>
              <w:spacing w:line="360" w:lineRule="exact"/>
              <w:jc w:val="center"/>
              <w:rPr>
                <w:color w:val="auto"/>
                <w:szCs w:val="21"/>
              </w:rPr>
            </w:pPr>
            <w:r>
              <w:rPr>
                <w:color w:val="auto"/>
                <w:szCs w:val="21"/>
              </w:rPr>
              <w:t>开户银行</w:t>
            </w:r>
          </w:p>
        </w:tc>
        <w:tc>
          <w:tcPr>
            <w:tcW w:w="5431" w:type="dxa"/>
            <w:vAlign w:val="center"/>
          </w:tcPr>
          <w:p w14:paraId="5754B5FB">
            <w:pPr>
              <w:spacing w:line="360" w:lineRule="exact"/>
              <w:jc w:val="center"/>
              <w:rPr>
                <w:color w:val="auto"/>
                <w:szCs w:val="21"/>
              </w:rPr>
            </w:pPr>
          </w:p>
        </w:tc>
      </w:tr>
      <w:tr w14:paraId="3D502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1F5E394B">
            <w:pPr>
              <w:spacing w:line="360" w:lineRule="exact"/>
              <w:jc w:val="center"/>
              <w:rPr>
                <w:color w:val="auto"/>
                <w:szCs w:val="21"/>
              </w:rPr>
            </w:pPr>
            <w:r>
              <w:rPr>
                <w:color w:val="auto"/>
                <w:szCs w:val="21"/>
              </w:rPr>
              <w:t>银行行号</w:t>
            </w:r>
          </w:p>
        </w:tc>
        <w:tc>
          <w:tcPr>
            <w:tcW w:w="5431" w:type="dxa"/>
            <w:vAlign w:val="center"/>
          </w:tcPr>
          <w:p w14:paraId="7CC8C590">
            <w:pPr>
              <w:spacing w:line="360" w:lineRule="exact"/>
              <w:jc w:val="center"/>
              <w:rPr>
                <w:color w:val="auto"/>
                <w:szCs w:val="21"/>
              </w:rPr>
            </w:pPr>
          </w:p>
        </w:tc>
      </w:tr>
    </w:tbl>
    <w:p w14:paraId="46A50BBC">
      <w:pPr>
        <w:spacing w:line="360" w:lineRule="exact"/>
        <w:ind w:firstLine="420" w:firstLineChars="200"/>
        <w:rPr>
          <w:color w:val="auto"/>
          <w:szCs w:val="21"/>
        </w:rPr>
      </w:pPr>
      <w:r>
        <w:rPr>
          <w:color w:val="auto"/>
          <w:szCs w:val="21"/>
        </w:rPr>
        <w:t>3．如果我单位未遵守有关招标文件关于投标保证金的规定，贵方可以没收我单位投标保证金。</w:t>
      </w:r>
    </w:p>
    <w:p w14:paraId="44C00643">
      <w:pPr>
        <w:spacing w:line="360" w:lineRule="exact"/>
        <w:ind w:firstLine="420" w:firstLineChars="200"/>
        <w:rPr>
          <w:color w:val="auto"/>
          <w:szCs w:val="21"/>
        </w:rPr>
      </w:pPr>
      <w:r>
        <w:rPr>
          <w:color w:val="auto"/>
          <w:szCs w:val="21"/>
        </w:rPr>
        <w:t>4. 我单位选择第</w:t>
      </w:r>
      <w:r>
        <w:rPr>
          <w:color w:val="auto"/>
          <w:szCs w:val="21"/>
          <w:u w:val="single"/>
        </w:rPr>
        <w:t xml:space="preserve">     </w:t>
      </w:r>
      <w:r>
        <w:rPr>
          <w:color w:val="auto"/>
          <w:szCs w:val="21"/>
        </w:rPr>
        <w:t>种方式作为代理服务费开票类型：</w:t>
      </w:r>
    </w:p>
    <w:p w14:paraId="15BCFF73">
      <w:pPr>
        <w:spacing w:line="360" w:lineRule="exact"/>
        <w:ind w:firstLine="420" w:firstLineChars="200"/>
        <w:rPr>
          <w:color w:val="auto"/>
          <w:szCs w:val="21"/>
        </w:rPr>
      </w:pPr>
      <w:r>
        <w:rPr>
          <w:color w:val="auto"/>
          <w:szCs w:val="21"/>
        </w:rPr>
        <w:t>第一种方式：开具收据。</w:t>
      </w:r>
    </w:p>
    <w:p w14:paraId="0EA0A0B8">
      <w:pPr>
        <w:spacing w:line="360" w:lineRule="exact"/>
        <w:ind w:firstLine="420" w:firstLineChars="200"/>
        <w:rPr>
          <w:color w:val="auto"/>
          <w:szCs w:val="21"/>
        </w:rPr>
      </w:pPr>
      <w:r>
        <w:rPr>
          <w:color w:val="auto"/>
          <w:szCs w:val="21"/>
        </w:rPr>
        <w:t>第二种方式：开具增值税普通发票。开票信息如下：1.公司名称</w:t>
      </w:r>
      <w:r>
        <w:rPr>
          <w:color w:val="auto"/>
          <w:szCs w:val="21"/>
          <w:u w:val="single"/>
        </w:rPr>
        <w:t xml:space="preserve">                      </w:t>
      </w:r>
      <w:r>
        <w:rPr>
          <w:color w:val="auto"/>
          <w:szCs w:val="21"/>
        </w:rPr>
        <w:t>；2.纳税人识别号</w:t>
      </w:r>
      <w:r>
        <w:rPr>
          <w:color w:val="auto"/>
          <w:szCs w:val="21"/>
          <w:u w:val="single"/>
        </w:rPr>
        <w:t xml:space="preserve">                     </w:t>
      </w:r>
      <w:r>
        <w:rPr>
          <w:color w:val="auto"/>
          <w:szCs w:val="21"/>
        </w:rPr>
        <w:t>；</w:t>
      </w:r>
    </w:p>
    <w:p w14:paraId="43426053">
      <w:pPr>
        <w:spacing w:line="360" w:lineRule="exact"/>
        <w:ind w:firstLine="420" w:firstLineChars="200"/>
        <w:rPr>
          <w:color w:val="auto"/>
          <w:szCs w:val="21"/>
        </w:rPr>
      </w:pPr>
      <w:r>
        <w:rPr>
          <w:color w:val="auto"/>
          <w:szCs w:val="21"/>
        </w:rPr>
        <w:t>第三种方式：开具增值税专用发票，开票信息如下：1.公司名称</w:t>
      </w:r>
      <w:r>
        <w:rPr>
          <w:color w:val="auto"/>
          <w:szCs w:val="21"/>
          <w:u w:val="single"/>
        </w:rPr>
        <w:t xml:space="preserve">                      </w:t>
      </w:r>
      <w:r>
        <w:rPr>
          <w:color w:val="auto"/>
          <w:szCs w:val="21"/>
        </w:rPr>
        <w:t>；2.纳税人识别号</w:t>
      </w:r>
      <w:r>
        <w:rPr>
          <w:color w:val="auto"/>
          <w:szCs w:val="21"/>
          <w:u w:val="single"/>
        </w:rPr>
        <w:t xml:space="preserve">                     </w:t>
      </w:r>
      <w:r>
        <w:rPr>
          <w:color w:val="auto"/>
          <w:szCs w:val="21"/>
        </w:rPr>
        <w:t>；3.税局登记地址</w:t>
      </w:r>
      <w:r>
        <w:rPr>
          <w:color w:val="auto"/>
          <w:szCs w:val="21"/>
          <w:u w:val="single"/>
        </w:rPr>
        <w:t xml:space="preserve">                     </w:t>
      </w:r>
      <w:r>
        <w:rPr>
          <w:color w:val="auto"/>
          <w:szCs w:val="21"/>
        </w:rPr>
        <w:t>；4.税局登记电话</w:t>
      </w:r>
      <w:r>
        <w:rPr>
          <w:color w:val="auto"/>
          <w:szCs w:val="21"/>
          <w:u w:val="single"/>
        </w:rPr>
        <w:t xml:space="preserve">             </w:t>
      </w:r>
      <w:r>
        <w:rPr>
          <w:color w:val="auto"/>
          <w:szCs w:val="21"/>
        </w:rPr>
        <w:t>；5.开户银行</w:t>
      </w:r>
      <w:r>
        <w:rPr>
          <w:color w:val="auto"/>
          <w:szCs w:val="21"/>
          <w:u w:val="single"/>
        </w:rPr>
        <w:t xml:space="preserve">                 </w:t>
      </w:r>
      <w:r>
        <w:rPr>
          <w:color w:val="auto"/>
          <w:szCs w:val="21"/>
        </w:rPr>
        <w:t>；6.银行账户</w:t>
      </w:r>
      <w:r>
        <w:rPr>
          <w:color w:val="auto"/>
          <w:szCs w:val="21"/>
          <w:u w:val="single"/>
        </w:rPr>
        <w:t xml:space="preserve">                         </w:t>
      </w:r>
      <w:r>
        <w:rPr>
          <w:color w:val="auto"/>
          <w:szCs w:val="21"/>
        </w:rPr>
        <w:t>。</w:t>
      </w:r>
    </w:p>
    <w:p w14:paraId="647633CE">
      <w:pPr>
        <w:spacing w:before="120" w:beforeLines="50" w:line="360" w:lineRule="auto"/>
        <w:jc w:val="left"/>
        <w:rPr>
          <w:color w:val="auto"/>
          <w:szCs w:val="21"/>
        </w:rPr>
      </w:pPr>
    </w:p>
    <w:p w14:paraId="25AE5601">
      <w:pPr>
        <w:spacing w:before="120" w:beforeLines="50" w:line="360" w:lineRule="auto"/>
        <w:jc w:val="left"/>
        <w:rPr>
          <w:color w:val="auto"/>
          <w:szCs w:val="21"/>
          <w:u w:val="single"/>
        </w:rPr>
      </w:pPr>
      <w:r>
        <w:rPr>
          <w:color w:val="auto"/>
          <w:szCs w:val="21"/>
        </w:rPr>
        <w:t>供应商</w:t>
      </w:r>
      <w:r>
        <w:rPr>
          <w:rFonts w:hint="eastAsia"/>
          <w:color w:val="auto"/>
          <w:szCs w:val="21"/>
        </w:rPr>
        <w:t>名称(电子签章</w:t>
      </w:r>
      <w:r>
        <w:rPr>
          <w:color w:val="auto"/>
          <w:szCs w:val="21"/>
        </w:rPr>
        <w:t>)：</w:t>
      </w:r>
      <w:r>
        <w:rPr>
          <w:color w:val="auto"/>
          <w:szCs w:val="21"/>
          <w:u w:val="single"/>
        </w:rPr>
        <w:t xml:space="preserve">                              </w:t>
      </w:r>
    </w:p>
    <w:p w14:paraId="2C263AFB">
      <w:pPr>
        <w:spacing w:before="120" w:beforeLines="50" w:line="360" w:lineRule="auto"/>
        <w:jc w:val="left"/>
        <w:rPr>
          <w:color w:val="auto"/>
          <w:szCs w:val="21"/>
        </w:rPr>
      </w:pPr>
      <w:r>
        <w:rPr>
          <w:color w:val="auto"/>
          <w:szCs w:val="21"/>
        </w:rPr>
        <w:t>供应商地址：</w:t>
      </w:r>
      <w:r>
        <w:rPr>
          <w:color w:val="auto"/>
          <w:szCs w:val="21"/>
          <w:u w:val="single"/>
        </w:rPr>
        <w:t xml:space="preserve">                                     </w:t>
      </w:r>
    </w:p>
    <w:p w14:paraId="51B1881F">
      <w:pPr>
        <w:wordWrap w:val="0"/>
        <w:spacing w:before="120" w:beforeLines="50" w:line="360" w:lineRule="auto"/>
        <w:jc w:val="right"/>
        <w:rPr>
          <w:color w:val="auto"/>
          <w:szCs w:val="21"/>
        </w:rPr>
      </w:pPr>
      <w:r>
        <w:rPr>
          <w:color w:val="auto"/>
          <w:szCs w:val="21"/>
        </w:rPr>
        <w:t>日期：</w:t>
      </w:r>
      <w:r>
        <w:rPr>
          <w:color w:val="auto"/>
          <w:szCs w:val="21"/>
          <w:u w:val="single"/>
        </w:rPr>
        <w:t xml:space="preserve">      </w:t>
      </w:r>
      <w:r>
        <w:rPr>
          <w:color w:val="auto"/>
          <w:szCs w:val="21"/>
        </w:rPr>
        <w:t>年</w:t>
      </w:r>
      <w:r>
        <w:rPr>
          <w:color w:val="auto"/>
          <w:szCs w:val="21"/>
          <w:u w:val="single"/>
        </w:rPr>
        <w:t xml:space="preserve">    </w:t>
      </w:r>
      <w:r>
        <w:rPr>
          <w:color w:val="auto"/>
          <w:szCs w:val="21"/>
        </w:rPr>
        <w:t>月</w:t>
      </w:r>
      <w:r>
        <w:rPr>
          <w:color w:val="auto"/>
          <w:szCs w:val="21"/>
          <w:u w:val="single"/>
        </w:rPr>
        <w:t xml:space="preserve">    </w:t>
      </w:r>
      <w:r>
        <w:rPr>
          <w:color w:val="auto"/>
          <w:szCs w:val="21"/>
        </w:rPr>
        <w:t>日</w:t>
      </w:r>
    </w:p>
    <w:p w14:paraId="22BFFE68">
      <w:pPr>
        <w:spacing w:before="120" w:beforeLines="50" w:line="360" w:lineRule="auto"/>
        <w:jc w:val="left"/>
        <w:rPr>
          <w:color w:val="auto"/>
          <w:szCs w:val="21"/>
        </w:rPr>
      </w:pPr>
      <w:r>
        <w:rPr>
          <w:color w:val="auto"/>
          <w:szCs w:val="21"/>
        </w:rPr>
        <w:t>说明：</w:t>
      </w:r>
    </w:p>
    <w:p w14:paraId="3A8F99E6">
      <w:pPr>
        <w:spacing w:line="340" w:lineRule="exact"/>
        <w:ind w:firstLine="420" w:firstLineChars="200"/>
        <w:rPr>
          <w:color w:val="auto"/>
          <w:szCs w:val="21"/>
        </w:rPr>
      </w:pPr>
      <w:r>
        <w:rPr>
          <w:color w:val="auto"/>
          <w:szCs w:val="21"/>
        </w:rPr>
        <w:t>（1）为保障资金安全，上述账户不能为私人账户。</w:t>
      </w:r>
    </w:p>
    <w:p w14:paraId="320FD649">
      <w:pPr>
        <w:spacing w:line="340" w:lineRule="exact"/>
        <w:ind w:firstLine="420" w:firstLineChars="200"/>
        <w:rPr>
          <w:color w:val="auto"/>
          <w:szCs w:val="21"/>
        </w:rPr>
      </w:pPr>
      <w:r>
        <w:rPr>
          <w:color w:val="auto"/>
          <w:szCs w:val="21"/>
        </w:rPr>
        <w:t>（2）如因未按要求缴纳投标保证金，导致投标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249C7E2C">
      <w:pPr>
        <w:jc w:val="center"/>
        <w:rPr>
          <w:color w:val="auto"/>
        </w:rPr>
      </w:pPr>
      <w:r>
        <w:rPr>
          <w:color w:val="auto"/>
        </w:rPr>
        <w:t>（3）如供应商未及时收到退回款项，请与广西机电设备招标有限公司财务部联系。广西机电设备招标有限公司财务部联系方式：联系人：吴茜；电话：0771-2821398；传真：0771-2843545。</w:t>
      </w:r>
    </w:p>
    <w:p w14:paraId="22A114AF">
      <w:pPr>
        <w:snapToGrid w:val="0"/>
        <w:spacing w:before="50" w:after="120" w:afterLines="50"/>
        <w:jc w:val="left"/>
        <w:rPr>
          <w:b/>
          <w:bCs/>
          <w:color w:val="auto"/>
          <w:szCs w:val="21"/>
        </w:rPr>
      </w:pPr>
      <w:r>
        <w:rPr>
          <w:color w:val="auto"/>
        </w:rPr>
        <w:br w:type="page"/>
      </w:r>
    </w:p>
    <w:p w14:paraId="18A347FB">
      <w:pPr>
        <w:jc w:val="center"/>
        <w:rPr>
          <w:color w:val="auto"/>
          <w:sz w:val="28"/>
          <w:szCs w:val="28"/>
        </w:rPr>
      </w:pPr>
      <w:r>
        <w:rPr>
          <w:color w:val="auto"/>
          <w:sz w:val="28"/>
          <w:szCs w:val="28"/>
        </w:rPr>
        <w:t>第二部分 技术文件</w:t>
      </w:r>
    </w:p>
    <w:p w14:paraId="4B0D29D2">
      <w:pPr>
        <w:jc w:val="center"/>
        <w:rPr>
          <w:color w:val="auto"/>
        </w:rPr>
      </w:pPr>
      <w:r>
        <w:rPr>
          <w:color w:val="auto"/>
        </w:rPr>
        <w:t>（本</w:t>
      </w:r>
      <w:r>
        <w:rPr>
          <w:rFonts w:hint="eastAsia"/>
          <w:color w:val="auto"/>
        </w:rPr>
        <w:t>技术</w:t>
      </w:r>
      <w:r>
        <w:rPr>
          <w:color w:val="auto"/>
        </w:rPr>
        <w:t>文件供应商可自行编写，也可参照下述提纲编写）</w:t>
      </w:r>
    </w:p>
    <w:p w14:paraId="530A3B9F">
      <w:pPr>
        <w:snapToGrid w:val="0"/>
        <w:spacing w:before="50" w:after="120" w:afterLines="50"/>
        <w:jc w:val="left"/>
        <w:rPr>
          <w:color w:val="auto"/>
          <w:szCs w:val="21"/>
        </w:rPr>
      </w:pPr>
    </w:p>
    <w:p w14:paraId="4A9E36E6">
      <w:pPr>
        <w:rPr>
          <w:color w:val="auto"/>
          <w:szCs w:val="21"/>
        </w:rPr>
      </w:pPr>
      <w:r>
        <w:rPr>
          <w:rFonts w:hint="eastAsia"/>
          <w:color w:val="auto"/>
          <w:szCs w:val="21"/>
        </w:rPr>
        <w:t>1</w:t>
      </w:r>
      <w:r>
        <w:rPr>
          <w:color w:val="auto"/>
          <w:szCs w:val="21"/>
        </w:rPr>
        <w:t>．</w:t>
      </w:r>
      <w:r>
        <w:rPr>
          <w:rFonts w:hint="eastAsia"/>
          <w:color w:val="auto"/>
          <w:szCs w:val="21"/>
        </w:rPr>
        <w:t>对</w:t>
      </w:r>
      <w:r>
        <w:rPr>
          <w:color w:val="auto"/>
          <w:szCs w:val="21"/>
        </w:rPr>
        <w:t>本项目第</w:t>
      </w:r>
      <w:r>
        <w:rPr>
          <w:rFonts w:hint="eastAsia"/>
          <w:color w:val="auto"/>
          <w:szCs w:val="21"/>
        </w:rPr>
        <w:t>二</w:t>
      </w:r>
      <w:r>
        <w:rPr>
          <w:color w:val="auto"/>
          <w:szCs w:val="21"/>
        </w:rPr>
        <w:t>章</w:t>
      </w:r>
      <w:r>
        <w:rPr>
          <w:rFonts w:hint="eastAsia"/>
          <w:color w:val="auto"/>
          <w:szCs w:val="21"/>
        </w:rPr>
        <w:t>《采购需求》技术</w:t>
      </w:r>
      <w:r>
        <w:rPr>
          <w:color w:val="auto"/>
          <w:szCs w:val="21"/>
        </w:rPr>
        <w:t>要求的</w:t>
      </w:r>
      <w:r>
        <w:rPr>
          <w:rFonts w:hint="eastAsia"/>
          <w:color w:val="auto"/>
          <w:szCs w:val="21"/>
        </w:rPr>
        <w:t>响应表</w:t>
      </w:r>
    </w:p>
    <w:p w14:paraId="32AD043A">
      <w:pPr>
        <w:rPr>
          <w:color w:val="auto"/>
          <w:szCs w:val="21"/>
        </w:rPr>
      </w:pPr>
    </w:p>
    <w:p w14:paraId="3287E369">
      <w:pPr>
        <w:ind w:firstLine="420" w:firstLineChars="200"/>
        <w:rPr>
          <w:color w:val="auto"/>
          <w:szCs w:val="21"/>
        </w:rPr>
      </w:pP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4285C4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14:paraId="222C11C8">
            <w:pPr>
              <w:snapToGrid w:val="0"/>
              <w:spacing w:before="120" w:beforeLines="50"/>
              <w:jc w:val="center"/>
              <w:rPr>
                <w:color w:val="auto"/>
                <w:szCs w:val="21"/>
              </w:rPr>
            </w:pPr>
            <w:r>
              <w:rPr>
                <w:color w:val="auto"/>
                <w:szCs w:val="21"/>
              </w:rPr>
              <w:t>序号</w:t>
            </w:r>
          </w:p>
        </w:tc>
        <w:tc>
          <w:tcPr>
            <w:tcW w:w="3595" w:type="dxa"/>
            <w:tcBorders>
              <w:top w:val="single" w:color="auto" w:sz="4" w:space="0"/>
              <w:left w:val="single" w:color="auto" w:sz="4" w:space="0"/>
              <w:bottom w:val="single" w:color="auto" w:sz="4" w:space="0"/>
              <w:right w:val="single" w:color="auto" w:sz="4" w:space="0"/>
            </w:tcBorders>
            <w:vAlign w:val="center"/>
          </w:tcPr>
          <w:p w14:paraId="0FB2E8F2">
            <w:pPr>
              <w:snapToGrid w:val="0"/>
              <w:spacing w:before="120" w:beforeLines="50"/>
              <w:jc w:val="center"/>
              <w:rPr>
                <w:color w:val="auto"/>
                <w:szCs w:val="21"/>
              </w:rPr>
            </w:pPr>
            <w:r>
              <w:rPr>
                <w:color w:val="auto"/>
                <w:szCs w:val="21"/>
              </w:rPr>
              <w:t>招标文件要求</w:t>
            </w:r>
          </w:p>
          <w:p w14:paraId="5D9F43BC">
            <w:pPr>
              <w:snapToGrid w:val="0"/>
              <w:spacing w:before="120" w:beforeLines="50"/>
              <w:jc w:val="center"/>
              <w:rPr>
                <w:color w:val="auto"/>
                <w:szCs w:val="21"/>
              </w:rPr>
            </w:pPr>
            <w:r>
              <w:rPr>
                <w:color w:val="auto"/>
                <w:szCs w:val="21"/>
              </w:rPr>
              <w:t>（注明章节及条款号）</w:t>
            </w:r>
          </w:p>
        </w:tc>
        <w:tc>
          <w:tcPr>
            <w:tcW w:w="3405" w:type="dxa"/>
            <w:tcBorders>
              <w:top w:val="single" w:color="auto" w:sz="4" w:space="0"/>
              <w:left w:val="single" w:color="auto" w:sz="4" w:space="0"/>
              <w:bottom w:val="single" w:color="auto" w:sz="4" w:space="0"/>
              <w:right w:val="single" w:color="auto" w:sz="4" w:space="0"/>
            </w:tcBorders>
            <w:vAlign w:val="center"/>
          </w:tcPr>
          <w:p w14:paraId="41F66980">
            <w:pPr>
              <w:snapToGrid w:val="0"/>
              <w:spacing w:before="120" w:beforeLines="50"/>
              <w:jc w:val="center"/>
              <w:rPr>
                <w:color w:val="auto"/>
                <w:szCs w:val="21"/>
              </w:rPr>
            </w:pPr>
            <w:r>
              <w:rPr>
                <w:color w:val="auto"/>
                <w:szCs w:val="21"/>
              </w:rPr>
              <w:t>投标文件响应内容</w:t>
            </w:r>
          </w:p>
        </w:tc>
        <w:tc>
          <w:tcPr>
            <w:tcW w:w="1082" w:type="dxa"/>
            <w:tcBorders>
              <w:top w:val="single" w:color="auto" w:sz="4" w:space="0"/>
              <w:left w:val="single" w:color="auto" w:sz="4" w:space="0"/>
              <w:bottom w:val="single" w:color="auto" w:sz="4" w:space="0"/>
              <w:right w:val="single" w:color="auto" w:sz="4" w:space="0"/>
            </w:tcBorders>
            <w:vAlign w:val="center"/>
          </w:tcPr>
          <w:p w14:paraId="253A240D">
            <w:pPr>
              <w:snapToGrid w:val="0"/>
              <w:spacing w:before="120" w:beforeLines="50"/>
              <w:jc w:val="center"/>
              <w:rPr>
                <w:color w:val="auto"/>
                <w:szCs w:val="21"/>
              </w:rPr>
            </w:pPr>
            <w:r>
              <w:rPr>
                <w:color w:val="auto"/>
              </w:rPr>
              <w:t>偏离</w:t>
            </w:r>
            <w:r>
              <w:rPr>
                <w:color w:val="auto"/>
                <w:szCs w:val="21"/>
              </w:rPr>
              <w:t>说明</w:t>
            </w:r>
          </w:p>
        </w:tc>
      </w:tr>
      <w:tr w14:paraId="577E12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20C916BE">
            <w:pPr>
              <w:snapToGrid w:val="0"/>
              <w:spacing w:before="120" w:beforeLines="50"/>
              <w:jc w:val="center"/>
              <w:rPr>
                <w:color w:val="auto"/>
                <w:szCs w:val="21"/>
              </w:rPr>
            </w:pPr>
          </w:p>
        </w:tc>
        <w:tc>
          <w:tcPr>
            <w:tcW w:w="3595" w:type="dxa"/>
            <w:tcBorders>
              <w:top w:val="single" w:color="auto" w:sz="4" w:space="0"/>
              <w:left w:val="single" w:color="auto" w:sz="4" w:space="0"/>
              <w:bottom w:val="single" w:color="auto" w:sz="4" w:space="0"/>
              <w:right w:val="single" w:color="auto" w:sz="4" w:space="0"/>
            </w:tcBorders>
            <w:vAlign w:val="center"/>
          </w:tcPr>
          <w:p w14:paraId="5D7A3D28">
            <w:pPr>
              <w:snapToGrid w:val="0"/>
              <w:spacing w:before="120" w:beforeLines="50"/>
              <w:jc w:val="center"/>
              <w:rPr>
                <w:color w:val="auto"/>
                <w:szCs w:val="21"/>
              </w:rPr>
            </w:pPr>
          </w:p>
        </w:tc>
        <w:tc>
          <w:tcPr>
            <w:tcW w:w="3405" w:type="dxa"/>
            <w:tcBorders>
              <w:top w:val="single" w:color="auto" w:sz="4" w:space="0"/>
              <w:left w:val="single" w:color="auto" w:sz="4" w:space="0"/>
              <w:bottom w:val="single" w:color="auto" w:sz="4" w:space="0"/>
              <w:right w:val="single" w:color="auto" w:sz="4" w:space="0"/>
            </w:tcBorders>
            <w:vAlign w:val="center"/>
          </w:tcPr>
          <w:p w14:paraId="358901F8">
            <w:pPr>
              <w:snapToGrid w:val="0"/>
              <w:spacing w:before="120" w:beforeLines="50"/>
              <w:jc w:val="center"/>
              <w:rPr>
                <w:color w:val="auto"/>
                <w:szCs w:val="21"/>
              </w:rPr>
            </w:pPr>
          </w:p>
        </w:tc>
        <w:tc>
          <w:tcPr>
            <w:tcW w:w="1082" w:type="dxa"/>
            <w:tcBorders>
              <w:top w:val="single" w:color="auto" w:sz="4" w:space="0"/>
              <w:left w:val="single" w:color="auto" w:sz="4" w:space="0"/>
              <w:bottom w:val="single" w:color="auto" w:sz="4" w:space="0"/>
              <w:right w:val="single" w:color="auto" w:sz="4" w:space="0"/>
            </w:tcBorders>
            <w:vAlign w:val="center"/>
          </w:tcPr>
          <w:p w14:paraId="641D6A26">
            <w:pPr>
              <w:snapToGrid w:val="0"/>
              <w:spacing w:before="120" w:beforeLines="50"/>
              <w:jc w:val="center"/>
              <w:rPr>
                <w:color w:val="auto"/>
                <w:szCs w:val="21"/>
              </w:rPr>
            </w:pPr>
          </w:p>
        </w:tc>
      </w:tr>
      <w:tr w14:paraId="449CC2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1A9BFC15">
            <w:pPr>
              <w:snapToGrid w:val="0"/>
              <w:spacing w:before="120" w:beforeLines="50"/>
              <w:jc w:val="center"/>
              <w:rPr>
                <w:color w:val="auto"/>
                <w:szCs w:val="21"/>
              </w:rPr>
            </w:pPr>
          </w:p>
        </w:tc>
        <w:tc>
          <w:tcPr>
            <w:tcW w:w="3595" w:type="dxa"/>
            <w:tcBorders>
              <w:top w:val="single" w:color="auto" w:sz="4" w:space="0"/>
              <w:left w:val="single" w:color="auto" w:sz="4" w:space="0"/>
              <w:bottom w:val="single" w:color="auto" w:sz="4" w:space="0"/>
              <w:right w:val="single" w:color="auto" w:sz="4" w:space="0"/>
            </w:tcBorders>
            <w:vAlign w:val="center"/>
          </w:tcPr>
          <w:p w14:paraId="6D226135">
            <w:pPr>
              <w:snapToGrid w:val="0"/>
              <w:spacing w:before="120" w:beforeLines="50"/>
              <w:jc w:val="center"/>
              <w:rPr>
                <w:color w:val="auto"/>
                <w:szCs w:val="21"/>
              </w:rPr>
            </w:pPr>
          </w:p>
        </w:tc>
        <w:tc>
          <w:tcPr>
            <w:tcW w:w="3405" w:type="dxa"/>
            <w:tcBorders>
              <w:top w:val="single" w:color="auto" w:sz="4" w:space="0"/>
              <w:left w:val="single" w:color="auto" w:sz="4" w:space="0"/>
              <w:bottom w:val="single" w:color="auto" w:sz="4" w:space="0"/>
              <w:right w:val="single" w:color="auto" w:sz="4" w:space="0"/>
            </w:tcBorders>
            <w:vAlign w:val="center"/>
          </w:tcPr>
          <w:p w14:paraId="5AF81534">
            <w:pPr>
              <w:snapToGrid w:val="0"/>
              <w:spacing w:before="120" w:beforeLines="50"/>
              <w:jc w:val="center"/>
              <w:rPr>
                <w:color w:val="auto"/>
                <w:szCs w:val="21"/>
              </w:rPr>
            </w:pPr>
          </w:p>
        </w:tc>
        <w:tc>
          <w:tcPr>
            <w:tcW w:w="1082" w:type="dxa"/>
            <w:tcBorders>
              <w:top w:val="single" w:color="auto" w:sz="4" w:space="0"/>
              <w:left w:val="single" w:color="auto" w:sz="4" w:space="0"/>
              <w:bottom w:val="single" w:color="auto" w:sz="4" w:space="0"/>
              <w:right w:val="single" w:color="auto" w:sz="4" w:space="0"/>
            </w:tcBorders>
            <w:vAlign w:val="center"/>
          </w:tcPr>
          <w:p w14:paraId="7A525BE8">
            <w:pPr>
              <w:snapToGrid w:val="0"/>
              <w:spacing w:before="120" w:beforeLines="50"/>
              <w:jc w:val="center"/>
              <w:rPr>
                <w:color w:val="auto"/>
                <w:szCs w:val="21"/>
              </w:rPr>
            </w:pPr>
          </w:p>
        </w:tc>
      </w:tr>
      <w:tr w14:paraId="11EAA3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4CD7CB7C">
            <w:pPr>
              <w:snapToGrid w:val="0"/>
              <w:spacing w:before="120" w:beforeLines="50"/>
              <w:jc w:val="center"/>
              <w:rPr>
                <w:color w:val="auto"/>
                <w:szCs w:val="21"/>
              </w:rPr>
            </w:pPr>
          </w:p>
        </w:tc>
        <w:tc>
          <w:tcPr>
            <w:tcW w:w="3595" w:type="dxa"/>
            <w:tcBorders>
              <w:top w:val="single" w:color="auto" w:sz="4" w:space="0"/>
              <w:left w:val="single" w:color="auto" w:sz="4" w:space="0"/>
              <w:bottom w:val="single" w:color="auto" w:sz="4" w:space="0"/>
              <w:right w:val="single" w:color="auto" w:sz="4" w:space="0"/>
            </w:tcBorders>
            <w:vAlign w:val="center"/>
          </w:tcPr>
          <w:p w14:paraId="0DA62C04">
            <w:pPr>
              <w:snapToGrid w:val="0"/>
              <w:spacing w:before="120" w:beforeLines="50"/>
              <w:jc w:val="center"/>
              <w:rPr>
                <w:color w:val="auto"/>
                <w:szCs w:val="21"/>
              </w:rPr>
            </w:pPr>
          </w:p>
        </w:tc>
        <w:tc>
          <w:tcPr>
            <w:tcW w:w="3405" w:type="dxa"/>
            <w:tcBorders>
              <w:top w:val="single" w:color="auto" w:sz="4" w:space="0"/>
              <w:left w:val="single" w:color="auto" w:sz="4" w:space="0"/>
              <w:bottom w:val="single" w:color="auto" w:sz="4" w:space="0"/>
              <w:right w:val="single" w:color="auto" w:sz="4" w:space="0"/>
            </w:tcBorders>
            <w:vAlign w:val="center"/>
          </w:tcPr>
          <w:p w14:paraId="3AF3525F">
            <w:pPr>
              <w:snapToGrid w:val="0"/>
              <w:spacing w:before="120" w:beforeLines="50"/>
              <w:jc w:val="center"/>
              <w:rPr>
                <w:color w:val="auto"/>
                <w:szCs w:val="21"/>
              </w:rPr>
            </w:pPr>
          </w:p>
        </w:tc>
        <w:tc>
          <w:tcPr>
            <w:tcW w:w="1082" w:type="dxa"/>
            <w:tcBorders>
              <w:top w:val="single" w:color="auto" w:sz="4" w:space="0"/>
              <w:left w:val="single" w:color="auto" w:sz="4" w:space="0"/>
              <w:bottom w:val="single" w:color="auto" w:sz="4" w:space="0"/>
              <w:right w:val="single" w:color="auto" w:sz="4" w:space="0"/>
            </w:tcBorders>
            <w:vAlign w:val="center"/>
          </w:tcPr>
          <w:p w14:paraId="23ABD3D7">
            <w:pPr>
              <w:snapToGrid w:val="0"/>
              <w:spacing w:before="120" w:beforeLines="50"/>
              <w:jc w:val="center"/>
              <w:rPr>
                <w:color w:val="auto"/>
                <w:szCs w:val="21"/>
              </w:rPr>
            </w:pPr>
          </w:p>
        </w:tc>
      </w:tr>
      <w:tr w14:paraId="386421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71A111CB">
            <w:pPr>
              <w:snapToGrid w:val="0"/>
              <w:spacing w:before="120" w:beforeLines="50"/>
              <w:jc w:val="center"/>
              <w:rPr>
                <w:color w:val="auto"/>
                <w:szCs w:val="21"/>
              </w:rPr>
            </w:pPr>
            <w:r>
              <w:rPr>
                <w:color w:val="auto"/>
                <w:szCs w:val="21"/>
              </w:rPr>
              <w:t>……</w:t>
            </w:r>
          </w:p>
        </w:tc>
        <w:tc>
          <w:tcPr>
            <w:tcW w:w="3595" w:type="dxa"/>
            <w:tcBorders>
              <w:top w:val="single" w:color="auto" w:sz="4" w:space="0"/>
              <w:left w:val="single" w:color="auto" w:sz="4" w:space="0"/>
              <w:bottom w:val="single" w:color="auto" w:sz="4" w:space="0"/>
              <w:right w:val="single" w:color="auto" w:sz="4" w:space="0"/>
            </w:tcBorders>
            <w:vAlign w:val="center"/>
          </w:tcPr>
          <w:p w14:paraId="4B349B7F">
            <w:pPr>
              <w:snapToGrid w:val="0"/>
              <w:spacing w:before="120" w:beforeLines="50"/>
              <w:jc w:val="center"/>
              <w:rPr>
                <w:color w:val="auto"/>
                <w:szCs w:val="21"/>
              </w:rPr>
            </w:pPr>
            <w:r>
              <w:rPr>
                <w:color w:val="auto"/>
                <w:szCs w:val="21"/>
              </w:rPr>
              <w:t>……</w:t>
            </w:r>
          </w:p>
        </w:tc>
        <w:tc>
          <w:tcPr>
            <w:tcW w:w="3405" w:type="dxa"/>
            <w:tcBorders>
              <w:top w:val="single" w:color="auto" w:sz="4" w:space="0"/>
              <w:left w:val="single" w:color="auto" w:sz="4" w:space="0"/>
              <w:bottom w:val="single" w:color="auto" w:sz="4" w:space="0"/>
              <w:right w:val="single" w:color="auto" w:sz="4" w:space="0"/>
            </w:tcBorders>
            <w:vAlign w:val="center"/>
          </w:tcPr>
          <w:p w14:paraId="3C3E2FA1">
            <w:pPr>
              <w:snapToGrid w:val="0"/>
              <w:spacing w:before="120" w:beforeLines="50"/>
              <w:jc w:val="center"/>
              <w:rPr>
                <w:color w:val="auto"/>
                <w:szCs w:val="21"/>
              </w:rPr>
            </w:pPr>
            <w:r>
              <w:rPr>
                <w:color w:val="auto"/>
                <w:szCs w:val="21"/>
              </w:rPr>
              <w:t>……</w:t>
            </w:r>
          </w:p>
        </w:tc>
        <w:tc>
          <w:tcPr>
            <w:tcW w:w="1082" w:type="dxa"/>
            <w:tcBorders>
              <w:top w:val="single" w:color="auto" w:sz="4" w:space="0"/>
              <w:left w:val="single" w:color="auto" w:sz="4" w:space="0"/>
              <w:bottom w:val="single" w:color="auto" w:sz="4" w:space="0"/>
              <w:right w:val="single" w:color="auto" w:sz="4" w:space="0"/>
            </w:tcBorders>
            <w:vAlign w:val="center"/>
          </w:tcPr>
          <w:p w14:paraId="38B5FAD2">
            <w:pPr>
              <w:snapToGrid w:val="0"/>
              <w:spacing w:before="120" w:beforeLines="50"/>
              <w:jc w:val="center"/>
              <w:rPr>
                <w:color w:val="auto"/>
                <w:szCs w:val="21"/>
              </w:rPr>
            </w:pPr>
            <w:r>
              <w:rPr>
                <w:color w:val="auto"/>
                <w:szCs w:val="21"/>
              </w:rPr>
              <w:t>……</w:t>
            </w:r>
          </w:p>
        </w:tc>
      </w:tr>
    </w:tbl>
    <w:p w14:paraId="7457DCD5">
      <w:pPr>
        <w:rPr>
          <w:color w:val="auto"/>
          <w:szCs w:val="21"/>
        </w:rPr>
      </w:pPr>
    </w:p>
    <w:p w14:paraId="69BFBC28">
      <w:pPr>
        <w:pStyle w:val="26"/>
        <w:tabs>
          <w:tab w:val="left" w:pos="2127"/>
        </w:tabs>
        <w:spacing w:line="340" w:lineRule="exact"/>
        <w:ind w:firstLine="420" w:firstLineChars="200"/>
        <w:jc w:val="left"/>
        <w:rPr>
          <w:rFonts w:ascii="Times New Roman" w:hAnsi="Times New Roman" w:cs="Times New Roman"/>
          <w:color w:val="auto"/>
        </w:rPr>
      </w:pPr>
      <w:bookmarkStart w:id="171" w:name="_Hlk88990482"/>
      <w:r>
        <w:rPr>
          <w:color w:val="auto"/>
        </w:rPr>
        <w:t>注：（1）</w:t>
      </w:r>
      <w:r>
        <w:rPr>
          <w:rFonts w:ascii="Times New Roman" w:hAnsi="Times New Roman" w:cs="Times New Roman"/>
          <w:color w:val="auto"/>
        </w:rPr>
        <w:t>本表应对招标文件</w:t>
      </w:r>
      <w:r>
        <w:rPr>
          <w:color w:val="auto"/>
        </w:rPr>
        <w:t>第</w:t>
      </w:r>
      <w:r>
        <w:rPr>
          <w:rFonts w:hint="eastAsia"/>
          <w:color w:val="auto"/>
        </w:rPr>
        <w:t>二</w:t>
      </w:r>
      <w:r>
        <w:rPr>
          <w:color w:val="auto"/>
        </w:rPr>
        <w:t>章</w:t>
      </w:r>
      <w:r>
        <w:rPr>
          <w:rFonts w:hint="eastAsia"/>
          <w:color w:val="auto"/>
        </w:rPr>
        <w:t>《采购需求》</w:t>
      </w:r>
      <w:r>
        <w:rPr>
          <w:rFonts w:ascii="Times New Roman" w:hAnsi="Times New Roman" w:cs="Times New Roman"/>
          <w:color w:val="auto"/>
        </w:rPr>
        <w:t>中所列</w:t>
      </w:r>
      <w:r>
        <w:rPr>
          <w:rFonts w:hint="eastAsia" w:ascii="Times New Roman" w:hAnsi="Times New Roman" w:cs="Times New Roman"/>
          <w:color w:val="auto"/>
        </w:rPr>
        <w:t>技术</w:t>
      </w:r>
      <w:r>
        <w:rPr>
          <w:rFonts w:ascii="Times New Roman" w:hAnsi="Times New Roman" w:cs="Times New Roman"/>
          <w:color w:val="auto"/>
        </w:rPr>
        <w:t>要求进行响应，并根据响应情况在“偏离说明”栏填写正偏离或负偏离及原因，完全符合的填写</w:t>
      </w:r>
      <w:r>
        <w:rPr>
          <w:rFonts w:hint="eastAsia" w:ascii="Times New Roman" w:hAnsi="Times New Roman" w:cs="Times New Roman"/>
          <w:color w:val="auto"/>
        </w:rPr>
        <w:t>“</w:t>
      </w:r>
      <w:r>
        <w:rPr>
          <w:rFonts w:ascii="Times New Roman" w:hAnsi="Times New Roman" w:cs="Times New Roman"/>
          <w:color w:val="auto"/>
        </w:rPr>
        <w:t>无偏离</w:t>
      </w:r>
      <w:r>
        <w:rPr>
          <w:rFonts w:hint="eastAsia" w:ascii="Times New Roman" w:hAnsi="Times New Roman" w:cs="Times New Roman"/>
          <w:color w:val="auto"/>
        </w:rPr>
        <w:t>”</w:t>
      </w:r>
      <w:r>
        <w:rPr>
          <w:rFonts w:ascii="Times New Roman" w:hAnsi="Times New Roman" w:cs="Times New Roman"/>
          <w:color w:val="auto"/>
        </w:rPr>
        <w:t>。</w:t>
      </w:r>
    </w:p>
    <w:p w14:paraId="7BA23035">
      <w:pPr>
        <w:rPr>
          <w:color w:val="auto"/>
        </w:rPr>
      </w:pPr>
      <w:r>
        <w:rPr>
          <w:rFonts w:hint="eastAsia"/>
          <w:color w:val="auto"/>
        </w:rPr>
        <w:t>（2）</w:t>
      </w:r>
      <w:r>
        <w:rPr>
          <w:color w:val="auto"/>
        </w:rPr>
        <w:t>第</w:t>
      </w:r>
      <w:r>
        <w:rPr>
          <w:rFonts w:hint="eastAsia"/>
          <w:color w:val="auto"/>
        </w:rPr>
        <w:t>二</w:t>
      </w:r>
      <w:r>
        <w:rPr>
          <w:color w:val="auto"/>
        </w:rPr>
        <w:t>章</w:t>
      </w:r>
      <w:r>
        <w:rPr>
          <w:rFonts w:hint="eastAsia"/>
          <w:color w:val="auto"/>
        </w:rPr>
        <w:t>《采购需求》中的总体要求无需响应。</w:t>
      </w:r>
    </w:p>
    <w:p w14:paraId="18204DC1">
      <w:pPr>
        <w:rPr>
          <w:color w:val="auto"/>
        </w:rPr>
      </w:pPr>
      <w:r>
        <w:rPr>
          <w:rFonts w:hint="eastAsia"/>
          <w:color w:val="auto"/>
        </w:rPr>
        <w:t>（</w:t>
      </w:r>
      <w:r>
        <w:rPr>
          <w:color w:val="auto"/>
        </w:rPr>
        <w:t>3</w:t>
      </w:r>
      <w:r>
        <w:rPr>
          <w:rFonts w:hint="eastAsia"/>
          <w:color w:val="auto"/>
        </w:rPr>
        <w:t>）偏离认定说明详见评审方法及标准。</w:t>
      </w:r>
    </w:p>
    <w:p w14:paraId="2A539931">
      <w:pPr>
        <w:rPr>
          <w:color w:val="auto"/>
        </w:rPr>
      </w:pPr>
      <w:r>
        <w:rPr>
          <w:color w:val="auto"/>
        </w:rPr>
        <w:t>（4）本表可扩展。</w:t>
      </w:r>
    </w:p>
    <w:bookmarkEnd w:id="171"/>
    <w:p w14:paraId="6428A97E">
      <w:pPr>
        <w:rPr>
          <w:color w:val="auto"/>
          <w:szCs w:val="21"/>
        </w:rPr>
      </w:pPr>
    </w:p>
    <w:p w14:paraId="06FB2590">
      <w:pPr>
        <w:rPr>
          <w:color w:val="auto"/>
          <w:spacing w:val="20"/>
          <w:szCs w:val="21"/>
          <w:u w:val="single"/>
        </w:rPr>
      </w:pPr>
      <w:bookmarkStart w:id="172" w:name="_Hlk88990507"/>
    </w:p>
    <w:p w14:paraId="6BDCB02B">
      <w:pPr>
        <w:rPr>
          <w:color w:val="auto"/>
          <w:szCs w:val="21"/>
        </w:rPr>
      </w:pPr>
      <w:r>
        <w:rPr>
          <w:color w:val="auto"/>
          <w:szCs w:val="21"/>
        </w:rPr>
        <w:t>供应商</w:t>
      </w:r>
      <w:r>
        <w:rPr>
          <w:rFonts w:hint="eastAsia"/>
          <w:color w:val="auto"/>
          <w:szCs w:val="21"/>
        </w:rPr>
        <w:t>名称(电子签章</w:t>
      </w:r>
      <w:r>
        <w:rPr>
          <w:color w:val="auto"/>
          <w:szCs w:val="21"/>
        </w:rPr>
        <w:t>)</w:t>
      </w:r>
      <w:bookmarkEnd w:id="172"/>
      <w:r>
        <w:rPr>
          <w:color w:val="auto"/>
          <w:spacing w:val="20"/>
          <w:szCs w:val="21"/>
        </w:rPr>
        <w:t>：</w:t>
      </w:r>
      <w:r>
        <w:rPr>
          <w:color w:val="auto"/>
          <w:spacing w:val="20"/>
          <w:szCs w:val="21"/>
          <w:u w:val="single"/>
        </w:rPr>
        <w:t xml:space="preserve">            </w:t>
      </w:r>
      <w:r>
        <w:rPr>
          <w:color w:val="auto"/>
          <w:spacing w:val="20"/>
          <w:szCs w:val="21"/>
        </w:rPr>
        <w:t xml:space="preserve">              日 期：</w:t>
      </w:r>
      <w:r>
        <w:rPr>
          <w:color w:val="auto"/>
          <w:spacing w:val="20"/>
          <w:szCs w:val="21"/>
          <w:u w:val="single"/>
        </w:rPr>
        <w:t xml:space="preserve">            </w:t>
      </w:r>
    </w:p>
    <w:p w14:paraId="0C5F5DEE">
      <w:pPr>
        <w:rPr>
          <w:color w:val="auto"/>
          <w:szCs w:val="21"/>
        </w:rPr>
      </w:pPr>
    </w:p>
    <w:p w14:paraId="41A33420">
      <w:pPr>
        <w:snapToGrid w:val="0"/>
        <w:spacing w:before="50" w:after="120" w:afterLines="50"/>
        <w:jc w:val="left"/>
        <w:rPr>
          <w:color w:val="auto"/>
          <w:szCs w:val="21"/>
        </w:rPr>
      </w:pPr>
      <w:r>
        <w:rPr>
          <w:color w:val="auto"/>
          <w:szCs w:val="21"/>
        </w:rPr>
        <w:t>2．</w:t>
      </w:r>
      <w:r>
        <w:rPr>
          <w:rFonts w:hint="eastAsia"/>
          <w:color w:val="auto"/>
          <w:szCs w:val="21"/>
        </w:rPr>
        <w:t>货物或产品</w:t>
      </w:r>
      <w:r>
        <w:rPr>
          <w:color w:val="auto"/>
          <w:szCs w:val="21"/>
        </w:rPr>
        <w:t>配置清单格式：</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4"/>
        <w:gridCol w:w="1681"/>
        <w:gridCol w:w="1174"/>
        <w:gridCol w:w="1163"/>
        <w:gridCol w:w="1596"/>
        <w:gridCol w:w="1695"/>
        <w:gridCol w:w="1080"/>
      </w:tblGrid>
      <w:tr w14:paraId="11536B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2D138019">
            <w:pPr>
              <w:snapToGrid w:val="0"/>
              <w:spacing w:before="50" w:after="50" w:line="440" w:lineRule="exact"/>
              <w:jc w:val="center"/>
              <w:rPr>
                <w:color w:val="auto"/>
                <w:szCs w:val="21"/>
              </w:rPr>
            </w:pPr>
            <w:r>
              <w:rPr>
                <w:color w:val="auto"/>
                <w:szCs w:val="21"/>
              </w:rPr>
              <w:t>序号</w:t>
            </w:r>
          </w:p>
        </w:tc>
        <w:tc>
          <w:tcPr>
            <w:tcW w:w="1681" w:type="dxa"/>
            <w:tcBorders>
              <w:top w:val="single" w:color="auto" w:sz="4" w:space="0"/>
              <w:left w:val="single" w:color="auto" w:sz="4" w:space="0"/>
              <w:bottom w:val="single" w:color="auto" w:sz="4" w:space="0"/>
              <w:right w:val="single" w:color="auto" w:sz="4" w:space="0"/>
            </w:tcBorders>
            <w:vAlign w:val="center"/>
          </w:tcPr>
          <w:p w14:paraId="60261C11">
            <w:pPr>
              <w:snapToGrid w:val="0"/>
              <w:spacing w:before="50" w:after="50" w:line="440" w:lineRule="exact"/>
              <w:jc w:val="center"/>
              <w:rPr>
                <w:color w:val="auto"/>
                <w:szCs w:val="21"/>
              </w:rPr>
            </w:pPr>
            <w:r>
              <w:rPr>
                <w:rFonts w:hint="eastAsia"/>
                <w:color w:val="auto"/>
                <w:szCs w:val="21"/>
              </w:rPr>
              <w:t>货物或产品</w:t>
            </w:r>
          </w:p>
          <w:p w14:paraId="310FA1FA">
            <w:pPr>
              <w:snapToGrid w:val="0"/>
              <w:spacing w:before="50" w:after="50" w:line="440" w:lineRule="exact"/>
              <w:jc w:val="center"/>
              <w:rPr>
                <w:color w:val="auto"/>
                <w:szCs w:val="21"/>
              </w:rPr>
            </w:pPr>
            <w:r>
              <w:rPr>
                <w:color w:val="auto"/>
                <w:szCs w:val="21"/>
              </w:rPr>
              <w:t>名称</w:t>
            </w:r>
          </w:p>
        </w:tc>
        <w:tc>
          <w:tcPr>
            <w:tcW w:w="1174" w:type="dxa"/>
            <w:tcBorders>
              <w:top w:val="single" w:color="auto" w:sz="4" w:space="0"/>
              <w:left w:val="single" w:color="auto" w:sz="4" w:space="0"/>
              <w:bottom w:val="single" w:color="auto" w:sz="4" w:space="0"/>
              <w:right w:val="single" w:color="auto" w:sz="4" w:space="0"/>
            </w:tcBorders>
            <w:vAlign w:val="center"/>
          </w:tcPr>
          <w:p w14:paraId="3FC5B994">
            <w:pPr>
              <w:snapToGrid w:val="0"/>
              <w:spacing w:before="50" w:after="50" w:line="440" w:lineRule="exact"/>
              <w:jc w:val="center"/>
              <w:rPr>
                <w:color w:val="auto"/>
                <w:szCs w:val="21"/>
              </w:rPr>
            </w:pPr>
            <w:r>
              <w:rPr>
                <w:color w:val="auto"/>
                <w:szCs w:val="21"/>
              </w:rPr>
              <w:t>品牌或制造商</w:t>
            </w:r>
          </w:p>
        </w:tc>
        <w:tc>
          <w:tcPr>
            <w:tcW w:w="1163" w:type="dxa"/>
            <w:tcBorders>
              <w:top w:val="single" w:color="auto" w:sz="4" w:space="0"/>
              <w:left w:val="single" w:color="auto" w:sz="4" w:space="0"/>
              <w:bottom w:val="single" w:color="auto" w:sz="4" w:space="0"/>
              <w:right w:val="single" w:color="auto" w:sz="4" w:space="0"/>
            </w:tcBorders>
            <w:vAlign w:val="center"/>
          </w:tcPr>
          <w:p w14:paraId="1F6D40BA">
            <w:pPr>
              <w:snapToGrid w:val="0"/>
              <w:spacing w:before="50" w:after="50" w:line="440" w:lineRule="exact"/>
              <w:jc w:val="center"/>
              <w:rPr>
                <w:color w:val="auto"/>
                <w:szCs w:val="21"/>
              </w:rPr>
            </w:pPr>
            <w:r>
              <w:rPr>
                <w:color w:val="auto"/>
                <w:szCs w:val="21"/>
              </w:rPr>
              <w:t>规格型号</w:t>
            </w:r>
          </w:p>
        </w:tc>
        <w:tc>
          <w:tcPr>
            <w:tcW w:w="1596" w:type="dxa"/>
            <w:tcBorders>
              <w:top w:val="single" w:color="auto" w:sz="4" w:space="0"/>
              <w:left w:val="single" w:color="auto" w:sz="4" w:space="0"/>
              <w:bottom w:val="single" w:color="auto" w:sz="4" w:space="0"/>
              <w:right w:val="single" w:color="auto" w:sz="4" w:space="0"/>
            </w:tcBorders>
            <w:vAlign w:val="center"/>
          </w:tcPr>
          <w:p w14:paraId="3D58F0DE">
            <w:pPr>
              <w:snapToGrid w:val="0"/>
              <w:spacing w:before="50" w:after="50" w:line="440" w:lineRule="exact"/>
              <w:jc w:val="center"/>
              <w:rPr>
                <w:color w:val="auto"/>
                <w:szCs w:val="21"/>
              </w:rPr>
            </w:pPr>
            <w:r>
              <w:rPr>
                <w:color w:val="auto"/>
                <w:szCs w:val="21"/>
              </w:rPr>
              <w:t>单位及数量</w:t>
            </w:r>
          </w:p>
        </w:tc>
        <w:tc>
          <w:tcPr>
            <w:tcW w:w="1695" w:type="dxa"/>
            <w:tcBorders>
              <w:top w:val="single" w:color="auto" w:sz="4" w:space="0"/>
              <w:left w:val="single" w:color="auto" w:sz="4" w:space="0"/>
              <w:bottom w:val="single" w:color="auto" w:sz="4" w:space="0"/>
              <w:right w:val="single" w:color="auto" w:sz="4" w:space="0"/>
            </w:tcBorders>
            <w:vAlign w:val="center"/>
          </w:tcPr>
          <w:p w14:paraId="181D5190">
            <w:pPr>
              <w:snapToGrid w:val="0"/>
              <w:spacing w:before="50" w:after="50" w:line="440" w:lineRule="exact"/>
              <w:jc w:val="center"/>
              <w:rPr>
                <w:color w:val="auto"/>
                <w:szCs w:val="21"/>
              </w:rPr>
            </w:pPr>
            <w:r>
              <w:rPr>
                <w:color w:val="auto"/>
                <w:szCs w:val="21"/>
              </w:rPr>
              <w:t>性能及指标</w:t>
            </w:r>
          </w:p>
        </w:tc>
        <w:tc>
          <w:tcPr>
            <w:tcW w:w="1080" w:type="dxa"/>
            <w:tcBorders>
              <w:top w:val="single" w:color="auto" w:sz="4" w:space="0"/>
              <w:left w:val="single" w:color="auto" w:sz="4" w:space="0"/>
              <w:bottom w:val="single" w:color="auto" w:sz="4" w:space="0"/>
              <w:right w:val="single" w:color="auto" w:sz="4" w:space="0"/>
            </w:tcBorders>
            <w:vAlign w:val="center"/>
          </w:tcPr>
          <w:p w14:paraId="37CEBDC8">
            <w:pPr>
              <w:snapToGrid w:val="0"/>
              <w:spacing w:before="50" w:after="50" w:line="440" w:lineRule="exact"/>
              <w:jc w:val="center"/>
              <w:rPr>
                <w:color w:val="auto"/>
                <w:szCs w:val="21"/>
              </w:rPr>
            </w:pPr>
            <w:r>
              <w:rPr>
                <w:color w:val="auto"/>
                <w:szCs w:val="21"/>
              </w:rPr>
              <w:t>产地</w:t>
            </w:r>
          </w:p>
        </w:tc>
      </w:tr>
      <w:tr w14:paraId="31C80F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4851445B">
            <w:pPr>
              <w:snapToGrid w:val="0"/>
              <w:spacing w:before="50" w:after="50" w:line="440" w:lineRule="exact"/>
              <w:jc w:val="center"/>
              <w:rPr>
                <w:color w:val="auto"/>
                <w:szCs w:val="21"/>
              </w:rPr>
            </w:pPr>
          </w:p>
        </w:tc>
        <w:tc>
          <w:tcPr>
            <w:tcW w:w="1681" w:type="dxa"/>
            <w:tcBorders>
              <w:top w:val="single" w:color="auto" w:sz="4" w:space="0"/>
              <w:left w:val="single" w:color="auto" w:sz="4" w:space="0"/>
              <w:bottom w:val="single" w:color="auto" w:sz="4" w:space="0"/>
              <w:right w:val="single" w:color="auto" w:sz="4" w:space="0"/>
            </w:tcBorders>
            <w:vAlign w:val="center"/>
          </w:tcPr>
          <w:p w14:paraId="70B82BE0">
            <w:pPr>
              <w:snapToGrid w:val="0"/>
              <w:spacing w:before="50" w:after="50" w:line="440" w:lineRule="exact"/>
              <w:rPr>
                <w:color w:val="auto"/>
                <w:szCs w:val="21"/>
              </w:rPr>
            </w:pPr>
          </w:p>
        </w:tc>
        <w:tc>
          <w:tcPr>
            <w:tcW w:w="1174" w:type="dxa"/>
            <w:tcBorders>
              <w:top w:val="single" w:color="auto" w:sz="4" w:space="0"/>
              <w:left w:val="single" w:color="auto" w:sz="4" w:space="0"/>
              <w:bottom w:val="single" w:color="auto" w:sz="4" w:space="0"/>
              <w:right w:val="single" w:color="auto" w:sz="4" w:space="0"/>
            </w:tcBorders>
            <w:vAlign w:val="center"/>
          </w:tcPr>
          <w:p w14:paraId="647821E4">
            <w:pPr>
              <w:snapToGrid w:val="0"/>
              <w:spacing w:before="50" w:after="50" w:line="440" w:lineRule="exact"/>
              <w:jc w:val="center"/>
              <w:rPr>
                <w:color w:val="auto"/>
                <w:szCs w:val="21"/>
              </w:rPr>
            </w:pPr>
          </w:p>
        </w:tc>
        <w:tc>
          <w:tcPr>
            <w:tcW w:w="1163" w:type="dxa"/>
            <w:tcBorders>
              <w:top w:val="single" w:color="auto" w:sz="4" w:space="0"/>
              <w:left w:val="single" w:color="auto" w:sz="4" w:space="0"/>
              <w:bottom w:val="single" w:color="auto" w:sz="4" w:space="0"/>
              <w:right w:val="single" w:color="auto" w:sz="4" w:space="0"/>
            </w:tcBorders>
            <w:vAlign w:val="center"/>
          </w:tcPr>
          <w:p w14:paraId="6FB908DC">
            <w:pPr>
              <w:snapToGrid w:val="0"/>
              <w:spacing w:before="50" w:after="50" w:line="440" w:lineRule="exact"/>
              <w:jc w:val="center"/>
              <w:rPr>
                <w:color w:val="auto"/>
                <w:szCs w:val="21"/>
              </w:rPr>
            </w:pPr>
          </w:p>
        </w:tc>
        <w:tc>
          <w:tcPr>
            <w:tcW w:w="1596" w:type="dxa"/>
            <w:tcBorders>
              <w:top w:val="single" w:color="auto" w:sz="4" w:space="0"/>
              <w:left w:val="single" w:color="auto" w:sz="4" w:space="0"/>
              <w:bottom w:val="single" w:color="auto" w:sz="4" w:space="0"/>
              <w:right w:val="single" w:color="auto" w:sz="4" w:space="0"/>
            </w:tcBorders>
            <w:vAlign w:val="center"/>
          </w:tcPr>
          <w:p w14:paraId="2895C261">
            <w:pPr>
              <w:snapToGrid w:val="0"/>
              <w:spacing w:before="50" w:after="50" w:line="440" w:lineRule="exact"/>
              <w:jc w:val="center"/>
              <w:rPr>
                <w:color w:val="auto"/>
                <w:szCs w:val="21"/>
              </w:rPr>
            </w:pPr>
          </w:p>
        </w:tc>
        <w:tc>
          <w:tcPr>
            <w:tcW w:w="1695" w:type="dxa"/>
            <w:tcBorders>
              <w:top w:val="single" w:color="auto" w:sz="4" w:space="0"/>
              <w:left w:val="single" w:color="auto" w:sz="4" w:space="0"/>
              <w:bottom w:val="single" w:color="auto" w:sz="4" w:space="0"/>
              <w:right w:val="single" w:color="auto" w:sz="4" w:space="0"/>
            </w:tcBorders>
            <w:vAlign w:val="center"/>
          </w:tcPr>
          <w:p w14:paraId="144ED0CB">
            <w:pPr>
              <w:snapToGrid w:val="0"/>
              <w:spacing w:before="50" w:after="50" w:line="440" w:lineRule="exact"/>
              <w:jc w:val="center"/>
              <w:rPr>
                <w:color w:val="auto"/>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2EACAF26">
            <w:pPr>
              <w:snapToGrid w:val="0"/>
              <w:spacing w:before="50" w:after="50" w:line="440" w:lineRule="exact"/>
              <w:jc w:val="center"/>
              <w:rPr>
                <w:color w:val="auto"/>
                <w:szCs w:val="21"/>
              </w:rPr>
            </w:pPr>
          </w:p>
        </w:tc>
      </w:tr>
      <w:tr w14:paraId="7FD106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6307CBBC">
            <w:pPr>
              <w:snapToGrid w:val="0"/>
              <w:spacing w:before="50" w:after="50" w:line="440" w:lineRule="exact"/>
              <w:jc w:val="center"/>
              <w:rPr>
                <w:color w:val="auto"/>
                <w:szCs w:val="21"/>
              </w:rPr>
            </w:pPr>
          </w:p>
        </w:tc>
        <w:tc>
          <w:tcPr>
            <w:tcW w:w="1681" w:type="dxa"/>
            <w:tcBorders>
              <w:top w:val="single" w:color="auto" w:sz="4" w:space="0"/>
              <w:left w:val="single" w:color="auto" w:sz="4" w:space="0"/>
              <w:bottom w:val="single" w:color="auto" w:sz="4" w:space="0"/>
              <w:right w:val="single" w:color="auto" w:sz="4" w:space="0"/>
            </w:tcBorders>
            <w:vAlign w:val="center"/>
          </w:tcPr>
          <w:p w14:paraId="3D1FDF83">
            <w:pPr>
              <w:snapToGrid w:val="0"/>
              <w:spacing w:before="50" w:after="50" w:line="440" w:lineRule="exact"/>
              <w:jc w:val="center"/>
              <w:rPr>
                <w:color w:val="auto"/>
                <w:szCs w:val="21"/>
              </w:rPr>
            </w:pPr>
          </w:p>
        </w:tc>
        <w:tc>
          <w:tcPr>
            <w:tcW w:w="1174" w:type="dxa"/>
            <w:tcBorders>
              <w:top w:val="single" w:color="auto" w:sz="4" w:space="0"/>
              <w:left w:val="single" w:color="auto" w:sz="4" w:space="0"/>
              <w:bottom w:val="single" w:color="auto" w:sz="4" w:space="0"/>
              <w:right w:val="single" w:color="auto" w:sz="4" w:space="0"/>
            </w:tcBorders>
            <w:vAlign w:val="center"/>
          </w:tcPr>
          <w:p w14:paraId="0ACE73DE">
            <w:pPr>
              <w:snapToGrid w:val="0"/>
              <w:spacing w:before="50" w:after="50" w:line="440" w:lineRule="exact"/>
              <w:jc w:val="center"/>
              <w:rPr>
                <w:color w:val="auto"/>
                <w:szCs w:val="21"/>
              </w:rPr>
            </w:pPr>
          </w:p>
        </w:tc>
        <w:tc>
          <w:tcPr>
            <w:tcW w:w="1163" w:type="dxa"/>
            <w:tcBorders>
              <w:top w:val="single" w:color="auto" w:sz="4" w:space="0"/>
              <w:left w:val="single" w:color="auto" w:sz="4" w:space="0"/>
              <w:bottom w:val="single" w:color="auto" w:sz="4" w:space="0"/>
              <w:right w:val="single" w:color="auto" w:sz="4" w:space="0"/>
            </w:tcBorders>
            <w:vAlign w:val="center"/>
          </w:tcPr>
          <w:p w14:paraId="2D3FC5DF">
            <w:pPr>
              <w:snapToGrid w:val="0"/>
              <w:spacing w:before="50" w:after="50" w:line="440" w:lineRule="exact"/>
              <w:jc w:val="center"/>
              <w:rPr>
                <w:color w:val="auto"/>
                <w:szCs w:val="21"/>
              </w:rPr>
            </w:pPr>
          </w:p>
        </w:tc>
        <w:tc>
          <w:tcPr>
            <w:tcW w:w="1596" w:type="dxa"/>
            <w:tcBorders>
              <w:top w:val="single" w:color="auto" w:sz="4" w:space="0"/>
              <w:left w:val="single" w:color="auto" w:sz="4" w:space="0"/>
              <w:bottom w:val="single" w:color="auto" w:sz="4" w:space="0"/>
              <w:right w:val="single" w:color="auto" w:sz="4" w:space="0"/>
            </w:tcBorders>
            <w:vAlign w:val="center"/>
          </w:tcPr>
          <w:p w14:paraId="0296B4A9">
            <w:pPr>
              <w:snapToGrid w:val="0"/>
              <w:spacing w:before="50" w:after="50" w:line="440" w:lineRule="exact"/>
              <w:jc w:val="center"/>
              <w:rPr>
                <w:color w:val="auto"/>
                <w:szCs w:val="21"/>
              </w:rPr>
            </w:pPr>
          </w:p>
        </w:tc>
        <w:tc>
          <w:tcPr>
            <w:tcW w:w="1695" w:type="dxa"/>
            <w:tcBorders>
              <w:top w:val="single" w:color="auto" w:sz="4" w:space="0"/>
              <w:left w:val="single" w:color="auto" w:sz="4" w:space="0"/>
              <w:bottom w:val="single" w:color="auto" w:sz="4" w:space="0"/>
              <w:right w:val="single" w:color="auto" w:sz="4" w:space="0"/>
            </w:tcBorders>
            <w:vAlign w:val="center"/>
          </w:tcPr>
          <w:p w14:paraId="6A9D7728">
            <w:pPr>
              <w:snapToGrid w:val="0"/>
              <w:spacing w:before="50" w:after="50" w:line="440" w:lineRule="exact"/>
              <w:jc w:val="center"/>
              <w:rPr>
                <w:color w:val="auto"/>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35F1297A">
            <w:pPr>
              <w:snapToGrid w:val="0"/>
              <w:spacing w:before="50" w:after="50" w:line="440" w:lineRule="exact"/>
              <w:jc w:val="center"/>
              <w:rPr>
                <w:color w:val="auto"/>
                <w:szCs w:val="21"/>
              </w:rPr>
            </w:pPr>
          </w:p>
        </w:tc>
      </w:tr>
      <w:tr w14:paraId="306F26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10E16382">
            <w:pPr>
              <w:snapToGrid w:val="0"/>
              <w:spacing w:before="50" w:after="50" w:line="440" w:lineRule="exact"/>
              <w:jc w:val="center"/>
              <w:rPr>
                <w:color w:val="auto"/>
                <w:szCs w:val="21"/>
              </w:rPr>
            </w:pPr>
          </w:p>
        </w:tc>
        <w:tc>
          <w:tcPr>
            <w:tcW w:w="1681" w:type="dxa"/>
            <w:tcBorders>
              <w:top w:val="single" w:color="auto" w:sz="4" w:space="0"/>
              <w:left w:val="single" w:color="auto" w:sz="4" w:space="0"/>
              <w:bottom w:val="single" w:color="auto" w:sz="4" w:space="0"/>
              <w:right w:val="single" w:color="auto" w:sz="4" w:space="0"/>
            </w:tcBorders>
            <w:vAlign w:val="center"/>
          </w:tcPr>
          <w:p w14:paraId="31B33CC8">
            <w:pPr>
              <w:snapToGrid w:val="0"/>
              <w:spacing w:before="50" w:after="50" w:line="440" w:lineRule="exact"/>
              <w:jc w:val="center"/>
              <w:rPr>
                <w:color w:val="auto"/>
                <w:szCs w:val="21"/>
              </w:rPr>
            </w:pPr>
          </w:p>
        </w:tc>
        <w:tc>
          <w:tcPr>
            <w:tcW w:w="1174" w:type="dxa"/>
            <w:tcBorders>
              <w:top w:val="single" w:color="auto" w:sz="4" w:space="0"/>
              <w:left w:val="single" w:color="auto" w:sz="4" w:space="0"/>
              <w:bottom w:val="single" w:color="auto" w:sz="4" w:space="0"/>
              <w:right w:val="single" w:color="auto" w:sz="4" w:space="0"/>
            </w:tcBorders>
            <w:vAlign w:val="center"/>
          </w:tcPr>
          <w:p w14:paraId="442F943B">
            <w:pPr>
              <w:snapToGrid w:val="0"/>
              <w:spacing w:before="50" w:after="50" w:line="440" w:lineRule="exact"/>
              <w:jc w:val="center"/>
              <w:rPr>
                <w:color w:val="auto"/>
                <w:szCs w:val="21"/>
              </w:rPr>
            </w:pPr>
          </w:p>
        </w:tc>
        <w:tc>
          <w:tcPr>
            <w:tcW w:w="1163" w:type="dxa"/>
            <w:tcBorders>
              <w:top w:val="single" w:color="auto" w:sz="4" w:space="0"/>
              <w:left w:val="single" w:color="auto" w:sz="4" w:space="0"/>
              <w:bottom w:val="single" w:color="auto" w:sz="4" w:space="0"/>
              <w:right w:val="single" w:color="auto" w:sz="4" w:space="0"/>
            </w:tcBorders>
            <w:vAlign w:val="center"/>
          </w:tcPr>
          <w:p w14:paraId="70567186">
            <w:pPr>
              <w:snapToGrid w:val="0"/>
              <w:spacing w:before="50" w:after="50" w:line="440" w:lineRule="exact"/>
              <w:jc w:val="center"/>
              <w:rPr>
                <w:color w:val="auto"/>
                <w:szCs w:val="21"/>
              </w:rPr>
            </w:pPr>
          </w:p>
        </w:tc>
        <w:tc>
          <w:tcPr>
            <w:tcW w:w="1596" w:type="dxa"/>
            <w:tcBorders>
              <w:top w:val="single" w:color="auto" w:sz="4" w:space="0"/>
              <w:left w:val="single" w:color="auto" w:sz="4" w:space="0"/>
              <w:bottom w:val="single" w:color="auto" w:sz="4" w:space="0"/>
              <w:right w:val="single" w:color="auto" w:sz="4" w:space="0"/>
            </w:tcBorders>
            <w:vAlign w:val="center"/>
          </w:tcPr>
          <w:p w14:paraId="3F4E1691">
            <w:pPr>
              <w:snapToGrid w:val="0"/>
              <w:spacing w:before="50" w:after="50" w:line="440" w:lineRule="exact"/>
              <w:jc w:val="center"/>
              <w:rPr>
                <w:color w:val="auto"/>
                <w:szCs w:val="21"/>
              </w:rPr>
            </w:pPr>
          </w:p>
        </w:tc>
        <w:tc>
          <w:tcPr>
            <w:tcW w:w="1695" w:type="dxa"/>
            <w:tcBorders>
              <w:top w:val="single" w:color="auto" w:sz="4" w:space="0"/>
              <w:left w:val="single" w:color="auto" w:sz="4" w:space="0"/>
              <w:bottom w:val="single" w:color="auto" w:sz="4" w:space="0"/>
              <w:right w:val="single" w:color="auto" w:sz="4" w:space="0"/>
            </w:tcBorders>
            <w:vAlign w:val="center"/>
          </w:tcPr>
          <w:p w14:paraId="31C4A04E">
            <w:pPr>
              <w:snapToGrid w:val="0"/>
              <w:spacing w:before="50" w:after="50" w:line="440" w:lineRule="exact"/>
              <w:jc w:val="center"/>
              <w:rPr>
                <w:color w:val="auto"/>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5F468BD4">
            <w:pPr>
              <w:snapToGrid w:val="0"/>
              <w:spacing w:before="50" w:after="50" w:line="440" w:lineRule="exact"/>
              <w:jc w:val="center"/>
              <w:rPr>
                <w:color w:val="auto"/>
                <w:szCs w:val="21"/>
              </w:rPr>
            </w:pPr>
          </w:p>
        </w:tc>
      </w:tr>
    </w:tbl>
    <w:p w14:paraId="3320DD7D">
      <w:pPr>
        <w:snapToGrid w:val="0"/>
        <w:spacing w:before="50" w:after="50" w:line="440" w:lineRule="exact"/>
        <w:rPr>
          <w:color w:val="auto"/>
          <w:szCs w:val="21"/>
        </w:rPr>
      </w:pPr>
      <w:r>
        <w:rPr>
          <w:color w:val="auto"/>
          <w:szCs w:val="21"/>
        </w:rPr>
        <w:t>供应商</w:t>
      </w:r>
      <w:r>
        <w:rPr>
          <w:rFonts w:hint="eastAsia"/>
          <w:color w:val="auto"/>
          <w:szCs w:val="21"/>
        </w:rPr>
        <w:t>名称(电子签章</w:t>
      </w:r>
      <w:r>
        <w:rPr>
          <w:color w:val="auto"/>
          <w:szCs w:val="21"/>
        </w:rPr>
        <w:t>)</w:t>
      </w:r>
      <w:r>
        <w:rPr>
          <w:color w:val="auto"/>
          <w:spacing w:val="20"/>
          <w:szCs w:val="21"/>
        </w:rPr>
        <w:t>：</w:t>
      </w:r>
      <w:r>
        <w:rPr>
          <w:color w:val="auto"/>
          <w:spacing w:val="20"/>
          <w:szCs w:val="21"/>
          <w:u w:val="single"/>
        </w:rPr>
        <w:t xml:space="preserve">            </w:t>
      </w:r>
      <w:r>
        <w:rPr>
          <w:color w:val="auto"/>
          <w:spacing w:val="20"/>
          <w:szCs w:val="21"/>
        </w:rPr>
        <w:t xml:space="preserve">              日  期：</w:t>
      </w:r>
      <w:r>
        <w:rPr>
          <w:color w:val="auto"/>
          <w:spacing w:val="20"/>
          <w:szCs w:val="21"/>
          <w:u w:val="single"/>
        </w:rPr>
        <w:t xml:space="preserve">          </w:t>
      </w:r>
    </w:p>
    <w:p w14:paraId="0EDDD45D">
      <w:pPr>
        <w:rPr>
          <w:color w:val="auto"/>
          <w:szCs w:val="21"/>
        </w:rPr>
      </w:pPr>
    </w:p>
    <w:p w14:paraId="6F289FFE">
      <w:pPr>
        <w:rPr>
          <w:color w:val="auto"/>
          <w:szCs w:val="21"/>
        </w:rPr>
      </w:pPr>
      <w:bookmarkStart w:id="173" w:name="_Hlk19115689"/>
      <w:r>
        <w:rPr>
          <w:color w:val="auto"/>
          <w:szCs w:val="21"/>
        </w:rPr>
        <w:t>3．</w:t>
      </w:r>
      <w:r>
        <w:rPr>
          <w:rFonts w:hint="eastAsia"/>
          <w:color w:val="auto"/>
          <w:szCs w:val="21"/>
        </w:rPr>
        <w:t>投标货物或产品的质量保证说明</w:t>
      </w:r>
    </w:p>
    <w:p w14:paraId="048EB38F">
      <w:pPr>
        <w:rPr>
          <w:color w:val="auto"/>
          <w:szCs w:val="21"/>
        </w:rPr>
      </w:pPr>
    </w:p>
    <w:p w14:paraId="718B3828">
      <w:pPr>
        <w:rPr>
          <w:color w:val="auto"/>
          <w:szCs w:val="21"/>
        </w:rPr>
      </w:pPr>
    </w:p>
    <w:p w14:paraId="04F6541D">
      <w:pPr>
        <w:jc w:val="left"/>
        <w:rPr>
          <w:color w:val="auto"/>
          <w:szCs w:val="21"/>
        </w:rPr>
      </w:pPr>
      <w:r>
        <w:rPr>
          <w:rFonts w:hint="eastAsia"/>
          <w:color w:val="auto"/>
          <w:szCs w:val="21"/>
        </w:rPr>
        <w:t>4</w:t>
      </w:r>
      <w:r>
        <w:rPr>
          <w:color w:val="auto"/>
          <w:szCs w:val="21"/>
        </w:rPr>
        <w:t>．质量保证期过后的优惠条件</w:t>
      </w:r>
      <w:r>
        <w:rPr>
          <w:rFonts w:hint="eastAsia"/>
          <w:color w:val="auto"/>
          <w:szCs w:val="21"/>
        </w:rPr>
        <w:t>（如有）</w:t>
      </w:r>
      <w:r>
        <w:rPr>
          <w:color w:val="auto"/>
          <w:szCs w:val="21"/>
        </w:rPr>
        <w:t>：供应商承诺给予采购人的各种优惠条件，包括</w:t>
      </w:r>
      <w:r>
        <w:rPr>
          <w:rFonts w:hint="eastAsia"/>
          <w:color w:val="auto"/>
          <w:szCs w:val="21"/>
        </w:rPr>
        <w:t>货物或产品的</w:t>
      </w:r>
      <w:r>
        <w:rPr>
          <w:color w:val="auto"/>
          <w:szCs w:val="21"/>
        </w:rPr>
        <w:t>售后服务、备品备件、专用耗材等方面的优惠条件。</w:t>
      </w:r>
    </w:p>
    <w:p w14:paraId="7905A07E">
      <w:pPr>
        <w:jc w:val="center"/>
        <w:rPr>
          <w:color w:val="auto"/>
          <w:szCs w:val="21"/>
        </w:rPr>
      </w:pPr>
      <w:r>
        <w:rPr>
          <w:color w:val="auto"/>
          <w:szCs w:val="21"/>
        </w:rPr>
        <w:t>常用的、容易损坏的备品备件及易损件的优惠价格清单</w:t>
      </w:r>
    </w:p>
    <w:tbl>
      <w:tblPr>
        <w:tblStyle w:val="51"/>
        <w:tblW w:w="897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850"/>
        <w:gridCol w:w="3124"/>
        <w:gridCol w:w="2276"/>
        <w:gridCol w:w="1639"/>
        <w:gridCol w:w="1083"/>
      </w:tblGrid>
      <w:tr w14:paraId="0B0659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12" w:hRule="atLeast"/>
        </w:trPr>
        <w:tc>
          <w:tcPr>
            <w:tcW w:w="8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7EAF84F">
            <w:pPr>
              <w:rPr>
                <w:color w:val="auto"/>
                <w:szCs w:val="21"/>
              </w:rPr>
            </w:pPr>
            <w:r>
              <w:rPr>
                <w:color w:val="auto"/>
                <w:szCs w:val="21"/>
              </w:rPr>
              <w:t>序号</w:t>
            </w:r>
          </w:p>
        </w:tc>
        <w:tc>
          <w:tcPr>
            <w:tcW w:w="3124" w:type="dxa"/>
            <w:tcBorders>
              <w:top w:val="single" w:color="auto" w:sz="4" w:space="0"/>
              <w:left w:val="single" w:color="auto" w:sz="4" w:space="0"/>
              <w:bottom w:val="single" w:color="auto" w:sz="2" w:space="0"/>
              <w:right w:val="single" w:color="auto" w:sz="4" w:space="0"/>
            </w:tcBorders>
            <w:vAlign w:val="center"/>
          </w:tcPr>
          <w:p w14:paraId="3C44D653">
            <w:pPr>
              <w:snapToGrid w:val="0"/>
              <w:spacing w:before="50" w:after="50" w:line="440" w:lineRule="exact"/>
              <w:jc w:val="center"/>
              <w:rPr>
                <w:color w:val="auto"/>
                <w:szCs w:val="21"/>
              </w:rPr>
            </w:pPr>
            <w:r>
              <w:rPr>
                <w:color w:val="auto"/>
                <w:szCs w:val="21"/>
              </w:rPr>
              <w:t>备品备件、专用耗材名称</w:t>
            </w:r>
          </w:p>
        </w:tc>
        <w:tc>
          <w:tcPr>
            <w:tcW w:w="2276" w:type="dxa"/>
            <w:tcBorders>
              <w:top w:val="single" w:color="auto" w:sz="4" w:space="0"/>
              <w:left w:val="single" w:color="auto" w:sz="4" w:space="0"/>
              <w:bottom w:val="single" w:color="auto" w:sz="2" w:space="0"/>
              <w:right w:val="single" w:color="auto" w:sz="4" w:space="0"/>
            </w:tcBorders>
            <w:vAlign w:val="center"/>
          </w:tcPr>
          <w:p w14:paraId="37DF1002">
            <w:pPr>
              <w:jc w:val="center"/>
              <w:rPr>
                <w:color w:val="auto"/>
                <w:szCs w:val="21"/>
              </w:rPr>
            </w:pPr>
            <w:r>
              <w:rPr>
                <w:color w:val="auto"/>
                <w:szCs w:val="21"/>
              </w:rPr>
              <w:t>适用于</w:t>
            </w:r>
            <w:r>
              <w:rPr>
                <w:rFonts w:hint="eastAsia"/>
                <w:color w:val="auto"/>
                <w:szCs w:val="21"/>
              </w:rPr>
              <w:t>何种投标货物（产品）名称及规格型号</w:t>
            </w:r>
          </w:p>
        </w:tc>
        <w:tc>
          <w:tcPr>
            <w:tcW w:w="1639" w:type="dxa"/>
            <w:tcBorders>
              <w:top w:val="single" w:color="auto" w:sz="4" w:space="0"/>
              <w:left w:val="single" w:color="auto" w:sz="4" w:space="0"/>
              <w:bottom w:val="single" w:color="auto" w:sz="2" w:space="0"/>
              <w:right w:val="single" w:color="auto" w:sz="4" w:space="0"/>
            </w:tcBorders>
            <w:vAlign w:val="center"/>
          </w:tcPr>
          <w:p w14:paraId="0375FF1D">
            <w:pPr>
              <w:jc w:val="center"/>
              <w:rPr>
                <w:color w:val="auto"/>
                <w:szCs w:val="21"/>
              </w:rPr>
            </w:pPr>
            <w:r>
              <w:rPr>
                <w:color w:val="auto"/>
                <w:szCs w:val="21"/>
              </w:rPr>
              <w:t>优惠内容</w:t>
            </w:r>
          </w:p>
        </w:tc>
        <w:tc>
          <w:tcPr>
            <w:tcW w:w="1083" w:type="dxa"/>
            <w:tcBorders>
              <w:top w:val="single" w:color="auto" w:sz="4" w:space="0"/>
              <w:left w:val="single" w:color="auto" w:sz="4" w:space="0"/>
              <w:bottom w:val="single" w:color="auto" w:sz="2" w:space="0"/>
              <w:right w:val="single" w:color="auto" w:sz="4" w:space="0"/>
            </w:tcBorders>
            <w:tcMar>
              <w:top w:w="15" w:type="dxa"/>
              <w:left w:w="15" w:type="dxa"/>
              <w:bottom w:w="0" w:type="dxa"/>
              <w:right w:w="15" w:type="dxa"/>
            </w:tcMar>
            <w:vAlign w:val="center"/>
          </w:tcPr>
          <w:p w14:paraId="60C89B9A">
            <w:pPr>
              <w:jc w:val="center"/>
              <w:rPr>
                <w:color w:val="auto"/>
                <w:szCs w:val="21"/>
              </w:rPr>
            </w:pPr>
            <w:r>
              <w:rPr>
                <w:color w:val="auto"/>
                <w:szCs w:val="21"/>
              </w:rPr>
              <w:t>优惠单价</w:t>
            </w:r>
          </w:p>
        </w:tc>
      </w:tr>
      <w:tr w14:paraId="440C82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0D9B0B8D">
            <w:pPr>
              <w:jc w:val="center"/>
              <w:rPr>
                <w:color w:val="auto"/>
                <w:szCs w:val="21"/>
              </w:rPr>
            </w:pPr>
            <w:r>
              <w:rPr>
                <w:color w:val="auto"/>
                <w:szCs w:val="21"/>
              </w:rPr>
              <w:t>1</w:t>
            </w:r>
          </w:p>
        </w:tc>
        <w:tc>
          <w:tcPr>
            <w:tcW w:w="3124" w:type="dxa"/>
            <w:tcBorders>
              <w:top w:val="single" w:color="auto" w:sz="2" w:space="0"/>
              <w:left w:val="single" w:color="auto" w:sz="2" w:space="0"/>
              <w:bottom w:val="single" w:color="auto" w:sz="6" w:space="0"/>
              <w:right w:val="single" w:color="auto" w:sz="4" w:space="0"/>
            </w:tcBorders>
            <w:vAlign w:val="center"/>
          </w:tcPr>
          <w:p w14:paraId="1016DA25">
            <w:pPr>
              <w:rPr>
                <w:color w:val="auto"/>
                <w:szCs w:val="21"/>
              </w:rPr>
            </w:pPr>
          </w:p>
        </w:tc>
        <w:tc>
          <w:tcPr>
            <w:tcW w:w="2276" w:type="dxa"/>
            <w:tcBorders>
              <w:top w:val="single" w:color="auto" w:sz="2" w:space="0"/>
              <w:left w:val="single" w:color="auto" w:sz="4" w:space="0"/>
              <w:bottom w:val="single" w:color="auto" w:sz="6" w:space="0"/>
              <w:right w:val="single" w:color="auto" w:sz="6" w:space="0"/>
            </w:tcBorders>
            <w:vAlign w:val="center"/>
          </w:tcPr>
          <w:p w14:paraId="57BB8093">
            <w:pPr>
              <w:rPr>
                <w:color w:val="auto"/>
                <w:szCs w:val="21"/>
              </w:rPr>
            </w:pPr>
          </w:p>
        </w:tc>
        <w:tc>
          <w:tcPr>
            <w:tcW w:w="1639" w:type="dxa"/>
            <w:tcBorders>
              <w:top w:val="single" w:color="auto" w:sz="2" w:space="0"/>
              <w:left w:val="single" w:color="auto" w:sz="6" w:space="0"/>
              <w:bottom w:val="single" w:color="auto" w:sz="6" w:space="0"/>
              <w:right w:val="single" w:color="auto" w:sz="6" w:space="0"/>
            </w:tcBorders>
          </w:tcPr>
          <w:p w14:paraId="4F407E03">
            <w:pPr>
              <w:rPr>
                <w:color w:val="auto"/>
                <w:szCs w:val="21"/>
              </w:rPr>
            </w:pPr>
          </w:p>
        </w:tc>
        <w:tc>
          <w:tcPr>
            <w:tcW w:w="1083" w:type="dxa"/>
            <w:tcBorders>
              <w:top w:val="single" w:color="auto" w:sz="2" w:space="0"/>
              <w:left w:val="single" w:color="auto" w:sz="6" w:space="0"/>
              <w:bottom w:val="single" w:color="auto" w:sz="6" w:space="0"/>
              <w:right w:val="single" w:color="auto" w:sz="6" w:space="0"/>
            </w:tcBorders>
            <w:tcMar>
              <w:top w:w="15" w:type="dxa"/>
              <w:left w:w="15" w:type="dxa"/>
              <w:bottom w:w="0" w:type="dxa"/>
              <w:right w:w="15" w:type="dxa"/>
            </w:tcMar>
            <w:vAlign w:val="center"/>
          </w:tcPr>
          <w:p w14:paraId="782F2788">
            <w:pPr>
              <w:rPr>
                <w:color w:val="auto"/>
                <w:szCs w:val="21"/>
              </w:rPr>
            </w:pPr>
          </w:p>
        </w:tc>
      </w:tr>
      <w:tr w14:paraId="3BE131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2EF9DFC0">
            <w:pPr>
              <w:jc w:val="center"/>
              <w:rPr>
                <w:color w:val="auto"/>
                <w:szCs w:val="21"/>
              </w:rPr>
            </w:pPr>
            <w:r>
              <w:rPr>
                <w:color w:val="auto"/>
                <w:szCs w:val="21"/>
              </w:rPr>
              <w:t>2</w:t>
            </w:r>
          </w:p>
        </w:tc>
        <w:tc>
          <w:tcPr>
            <w:tcW w:w="3124" w:type="dxa"/>
            <w:tcBorders>
              <w:top w:val="single" w:color="auto" w:sz="6" w:space="0"/>
              <w:left w:val="single" w:color="auto" w:sz="2" w:space="0"/>
              <w:bottom w:val="single" w:color="auto" w:sz="6" w:space="0"/>
              <w:right w:val="single" w:color="auto" w:sz="4" w:space="0"/>
            </w:tcBorders>
            <w:vAlign w:val="center"/>
          </w:tcPr>
          <w:p w14:paraId="430991E1">
            <w:pPr>
              <w:rPr>
                <w:color w:val="auto"/>
                <w:szCs w:val="21"/>
              </w:rPr>
            </w:pPr>
          </w:p>
        </w:tc>
        <w:tc>
          <w:tcPr>
            <w:tcW w:w="2276" w:type="dxa"/>
            <w:tcBorders>
              <w:top w:val="single" w:color="auto" w:sz="6" w:space="0"/>
              <w:left w:val="single" w:color="auto" w:sz="4" w:space="0"/>
              <w:bottom w:val="single" w:color="auto" w:sz="6" w:space="0"/>
              <w:right w:val="single" w:color="auto" w:sz="6" w:space="0"/>
            </w:tcBorders>
            <w:vAlign w:val="center"/>
          </w:tcPr>
          <w:p w14:paraId="612E495E">
            <w:pPr>
              <w:rPr>
                <w:color w:val="auto"/>
                <w:szCs w:val="21"/>
              </w:rPr>
            </w:pPr>
          </w:p>
        </w:tc>
        <w:tc>
          <w:tcPr>
            <w:tcW w:w="1639" w:type="dxa"/>
            <w:tcBorders>
              <w:top w:val="single" w:color="auto" w:sz="6" w:space="0"/>
              <w:left w:val="single" w:color="auto" w:sz="6" w:space="0"/>
              <w:bottom w:val="single" w:color="auto" w:sz="6" w:space="0"/>
              <w:right w:val="single" w:color="auto" w:sz="6" w:space="0"/>
            </w:tcBorders>
          </w:tcPr>
          <w:p w14:paraId="47C172D0">
            <w:pPr>
              <w:rPr>
                <w:color w:val="auto"/>
                <w:szCs w:val="21"/>
              </w:rPr>
            </w:pPr>
          </w:p>
        </w:tc>
        <w:tc>
          <w:tcPr>
            <w:tcW w:w="1083"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635E8355">
            <w:pPr>
              <w:rPr>
                <w:color w:val="auto"/>
                <w:szCs w:val="21"/>
              </w:rPr>
            </w:pPr>
          </w:p>
        </w:tc>
      </w:tr>
      <w:tr w14:paraId="55D9C7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493C16A9">
            <w:pPr>
              <w:jc w:val="center"/>
              <w:rPr>
                <w:color w:val="auto"/>
                <w:szCs w:val="21"/>
              </w:rPr>
            </w:pPr>
            <w:r>
              <w:rPr>
                <w:color w:val="auto"/>
                <w:szCs w:val="21"/>
              </w:rPr>
              <w:t>3</w:t>
            </w:r>
          </w:p>
        </w:tc>
        <w:tc>
          <w:tcPr>
            <w:tcW w:w="3124" w:type="dxa"/>
            <w:tcBorders>
              <w:top w:val="single" w:color="auto" w:sz="6" w:space="0"/>
              <w:left w:val="single" w:color="auto" w:sz="2" w:space="0"/>
              <w:bottom w:val="single" w:color="auto" w:sz="6" w:space="0"/>
              <w:right w:val="single" w:color="auto" w:sz="4" w:space="0"/>
            </w:tcBorders>
            <w:vAlign w:val="center"/>
          </w:tcPr>
          <w:p w14:paraId="213E368D">
            <w:pPr>
              <w:rPr>
                <w:color w:val="auto"/>
                <w:szCs w:val="21"/>
              </w:rPr>
            </w:pPr>
          </w:p>
        </w:tc>
        <w:tc>
          <w:tcPr>
            <w:tcW w:w="2276" w:type="dxa"/>
            <w:tcBorders>
              <w:top w:val="single" w:color="auto" w:sz="6" w:space="0"/>
              <w:left w:val="single" w:color="auto" w:sz="4" w:space="0"/>
              <w:bottom w:val="single" w:color="auto" w:sz="6" w:space="0"/>
              <w:right w:val="single" w:color="auto" w:sz="6" w:space="0"/>
            </w:tcBorders>
            <w:vAlign w:val="center"/>
          </w:tcPr>
          <w:p w14:paraId="6ABF7AF0">
            <w:pPr>
              <w:rPr>
                <w:color w:val="auto"/>
                <w:szCs w:val="21"/>
              </w:rPr>
            </w:pPr>
          </w:p>
        </w:tc>
        <w:tc>
          <w:tcPr>
            <w:tcW w:w="1639" w:type="dxa"/>
            <w:tcBorders>
              <w:top w:val="single" w:color="auto" w:sz="6" w:space="0"/>
              <w:left w:val="single" w:color="auto" w:sz="6" w:space="0"/>
              <w:bottom w:val="single" w:color="auto" w:sz="6" w:space="0"/>
              <w:right w:val="single" w:color="auto" w:sz="6" w:space="0"/>
            </w:tcBorders>
          </w:tcPr>
          <w:p w14:paraId="4EDC4079">
            <w:pPr>
              <w:rPr>
                <w:color w:val="auto"/>
                <w:szCs w:val="21"/>
              </w:rPr>
            </w:pPr>
          </w:p>
        </w:tc>
        <w:tc>
          <w:tcPr>
            <w:tcW w:w="1083"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72A24263">
            <w:pPr>
              <w:rPr>
                <w:color w:val="auto"/>
                <w:szCs w:val="21"/>
              </w:rPr>
            </w:pPr>
          </w:p>
        </w:tc>
      </w:tr>
    </w:tbl>
    <w:p w14:paraId="1EC38294">
      <w:pPr>
        <w:rPr>
          <w:color w:val="auto"/>
          <w:szCs w:val="21"/>
        </w:rPr>
      </w:pPr>
    </w:p>
    <w:p w14:paraId="4D75182B">
      <w:pPr>
        <w:rPr>
          <w:color w:val="auto"/>
          <w:szCs w:val="21"/>
        </w:rPr>
      </w:pPr>
      <w:r>
        <w:rPr>
          <w:color w:val="auto"/>
          <w:szCs w:val="21"/>
        </w:rPr>
        <w:t>供应商</w:t>
      </w:r>
      <w:r>
        <w:rPr>
          <w:rFonts w:hint="eastAsia"/>
          <w:color w:val="auto"/>
          <w:szCs w:val="21"/>
        </w:rPr>
        <w:t>名称(电子签章</w:t>
      </w:r>
      <w:r>
        <w:rPr>
          <w:color w:val="auto"/>
          <w:szCs w:val="21"/>
        </w:rPr>
        <w:t>)</w:t>
      </w:r>
      <w:r>
        <w:rPr>
          <w:color w:val="auto"/>
          <w:spacing w:val="20"/>
          <w:szCs w:val="21"/>
        </w:rPr>
        <w:t>：</w:t>
      </w:r>
      <w:r>
        <w:rPr>
          <w:color w:val="auto"/>
          <w:spacing w:val="20"/>
          <w:szCs w:val="21"/>
          <w:u w:val="single"/>
        </w:rPr>
        <w:t xml:space="preserve">            </w:t>
      </w:r>
      <w:r>
        <w:rPr>
          <w:color w:val="auto"/>
          <w:spacing w:val="20"/>
          <w:szCs w:val="21"/>
        </w:rPr>
        <w:t xml:space="preserve">            日 期：</w:t>
      </w:r>
      <w:r>
        <w:rPr>
          <w:color w:val="auto"/>
          <w:spacing w:val="20"/>
          <w:szCs w:val="21"/>
          <w:u w:val="single"/>
        </w:rPr>
        <w:t xml:space="preserve">            </w:t>
      </w:r>
    </w:p>
    <w:bookmarkEnd w:id="173"/>
    <w:p w14:paraId="202D1080">
      <w:pPr>
        <w:rPr>
          <w:color w:val="auto"/>
          <w:szCs w:val="21"/>
        </w:rPr>
      </w:pPr>
    </w:p>
    <w:p w14:paraId="7BDEC108">
      <w:pPr>
        <w:rPr>
          <w:color w:val="auto"/>
          <w:szCs w:val="21"/>
        </w:rPr>
      </w:pPr>
    </w:p>
    <w:p w14:paraId="2BA05B80">
      <w:pPr>
        <w:rPr>
          <w:color w:val="auto"/>
          <w:szCs w:val="21"/>
        </w:rPr>
      </w:pPr>
    </w:p>
    <w:p w14:paraId="41E30043">
      <w:pPr>
        <w:snapToGrid w:val="0"/>
        <w:spacing w:before="50" w:after="120" w:afterLines="50"/>
        <w:jc w:val="left"/>
        <w:rPr>
          <w:color w:val="auto"/>
          <w:szCs w:val="21"/>
        </w:rPr>
      </w:pPr>
      <w:r>
        <w:rPr>
          <w:rFonts w:hint="eastAsia"/>
          <w:color w:val="auto"/>
          <w:szCs w:val="21"/>
        </w:rPr>
        <w:t>5</w:t>
      </w:r>
      <w:r>
        <w:rPr>
          <w:color w:val="auto"/>
          <w:szCs w:val="21"/>
        </w:rPr>
        <w:t>．项目实施人员一览表。</w:t>
      </w:r>
    </w:p>
    <w:p w14:paraId="3C8DDE1C">
      <w:pPr>
        <w:rPr>
          <w:color w:val="auto"/>
          <w:szCs w:val="21"/>
        </w:rPr>
      </w:pPr>
    </w:p>
    <w:p w14:paraId="298EB4DC">
      <w:pPr>
        <w:snapToGrid w:val="0"/>
        <w:spacing w:before="120" w:beforeLines="50" w:after="50" w:line="400" w:lineRule="exact"/>
        <w:jc w:val="center"/>
        <w:rPr>
          <w:b/>
          <w:color w:val="auto"/>
          <w:szCs w:val="21"/>
        </w:rPr>
      </w:pPr>
      <w:r>
        <w:rPr>
          <w:b/>
          <w:color w:val="auto"/>
          <w:szCs w:val="21"/>
        </w:rPr>
        <w:t>项目实施人员（主要从业人员及其技术资格）一览表</w:t>
      </w:r>
    </w:p>
    <w:p w14:paraId="62BD29D8">
      <w:pPr>
        <w:snapToGrid w:val="0"/>
        <w:spacing w:before="120" w:beforeLines="50" w:after="50" w:line="400" w:lineRule="exact"/>
        <w:rPr>
          <w:color w:val="auto"/>
          <w:szCs w:val="21"/>
        </w:rPr>
      </w:pP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1"/>
        <w:gridCol w:w="1260"/>
        <w:gridCol w:w="1440"/>
        <w:gridCol w:w="1516"/>
        <w:gridCol w:w="1620"/>
        <w:gridCol w:w="1980"/>
      </w:tblGrid>
      <w:tr w14:paraId="466316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vAlign w:val="center"/>
          </w:tcPr>
          <w:p w14:paraId="0DFB4014">
            <w:pPr>
              <w:snapToGrid w:val="0"/>
              <w:spacing w:before="120" w:beforeLines="50" w:after="50"/>
              <w:jc w:val="center"/>
              <w:rPr>
                <w:color w:val="auto"/>
                <w:szCs w:val="21"/>
              </w:rPr>
            </w:pPr>
            <w:r>
              <w:rPr>
                <w:color w:val="auto"/>
                <w:szCs w:val="21"/>
              </w:rPr>
              <w:t>姓名</w:t>
            </w:r>
          </w:p>
        </w:tc>
        <w:tc>
          <w:tcPr>
            <w:tcW w:w="1260" w:type="dxa"/>
            <w:tcBorders>
              <w:top w:val="single" w:color="auto" w:sz="4" w:space="0"/>
              <w:left w:val="single" w:color="auto" w:sz="4" w:space="0"/>
              <w:bottom w:val="single" w:color="auto" w:sz="4" w:space="0"/>
              <w:right w:val="single" w:color="auto" w:sz="4" w:space="0"/>
            </w:tcBorders>
            <w:vAlign w:val="center"/>
          </w:tcPr>
          <w:p w14:paraId="7AD5F55C">
            <w:pPr>
              <w:snapToGrid w:val="0"/>
              <w:spacing w:before="120" w:beforeLines="50" w:after="50"/>
              <w:jc w:val="center"/>
              <w:rPr>
                <w:color w:val="auto"/>
                <w:szCs w:val="21"/>
              </w:rPr>
            </w:pPr>
            <w:r>
              <w:rPr>
                <w:color w:val="auto"/>
                <w:szCs w:val="21"/>
              </w:rPr>
              <w:t>职务</w:t>
            </w:r>
          </w:p>
        </w:tc>
        <w:tc>
          <w:tcPr>
            <w:tcW w:w="1440" w:type="dxa"/>
            <w:tcBorders>
              <w:top w:val="single" w:color="auto" w:sz="4" w:space="0"/>
              <w:left w:val="single" w:color="auto" w:sz="4" w:space="0"/>
              <w:bottom w:val="single" w:color="auto" w:sz="4" w:space="0"/>
              <w:right w:val="single" w:color="auto" w:sz="4" w:space="0"/>
            </w:tcBorders>
            <w:vAlign w:val="center"/>
          </w:tcPr>
          <w:p w14:paraId="7D32D02A">
            <w:pPr>
              <w:snapToGrid w:val="0"/>
              <w:spacing w:before="120" w:beforeLines="50" w:after="50"/>
              <w:jc w:val="center"/>
              <w:rPr>
                <w:color w:val="auto"/>
                <w:szCs w:val="21"/>
              </w:rPr>
            </w:pPr>
            <w:r>
              <w:rPr>
                <w:color w:val="auto"/>
                <w:szCs w:val="21"/>
              </w:rPr>
              <w:t>专业技术资格</w:t>
            </w:r>
          </w:p>
        </w:tc>
        <w:tc>
          <w:tcPr>
            <w:tcW w:w="1516" w:type="dxa"/>
            <w:tcBorders>
              <w:top w:val="single" w:color="auto" w:sz="4" w:space="0"/>
              <w:left w:val="single" w:color="auto" w:sz="4" w:space="0"/>
              <w:bottom w:val="single" w:color="auto" w:sz="4" w:space="0"/>
              <w:right w:val="single" w:color="auto" w:sz="4" w:space="0"/>
            </w:tcBorders>
            <w:vAlign w:val="center"/>
          </w:tcPr>
          <w:p w14:paraId="2168E44E">
            <w:pPr>
              <w:snapToGrid w:val="0"/>
              <w:spacing w:before="120" w:beforeLines="50" w:after="50"/>
              <w:jc w:val="center"/>
              <w:rPr>
                <w:color w:val="auto"/>
                <w:szCs w:val="21"/>
              </w:rPr>
            </w:pPr>
            <w:r>
              <w:rPr>
                <w:color w:val="auto"/>
                <w:szCs w:val="21"/>
              </w:rPr>
              <w:t>证书编号</w:t>
            </w:r>
          </w:p>
        </w:tc>
        <w:tc>
          <w:tcPr>
            <w:tcW w:w="1620" w:type="dxa"/>
            <w:tcBorders>
              <w:top w:val="single" w:color="auto" w:sz="4" w:space="0"/>
              <w:left w:val="single" w:color="auto" w:sz="4" w:space="0"/>
              <w:bottom w:val="single" w:color="auto" w:sz="4" w:space="0"/>
              <w:right w:val="single" w:color="auto" w:sz="4" w:space="0"/>
            </w:tcBorders>
            <w:vAlign w:val="center"/>
          </w:tcPr>
          <w:p w14:paraId="500B405A">
            <w:pPr>
              <w:snapToGrid w:val="0"/>
              <w:spacing w:before="120" w:beforeLines="50" w:after="50"/>
              <w:jc w:val="center"/>
              <w:rPr>
                <w:bCs/>
                <w:color w:val="auto"/>
                <w:szCs w:val="21"/>
              </w:rPr>
            </w:pPr>
            <w:r>
              <w:rPr>
                <w:bCs/>
                <w:color w:val="auto"/>
                <w:szCs w:val="21"/>
              </w:rPr>
              <w:t>参加本单位工作时间</w:t>
            </w:r>
          </w:p>
        </w:tc>
        <w:tc>
          <w:tcPr>
            <w:tcW w:w="1980" w:type="dxa"/>
            <w:tcBorders>
              <w:top w:val="single" w:color="auto" w:sz="4" w:space="0"/>
              <w:left w:val="single" w:color="auto" w:sz="4" w:space="0"/>
              <w:bottom w:val="single" w:color="auto" w:sz="4" w:space="0"/>
              <w:right w:val="single" w:color="auto" w:sz="4" w:space="0"/>
            </w:tcBorders>
            <w:vAlign w:val="center"/>
          </w:tcPr>
          <w:p w14:paraId="5AB0A97D">
            <w:pPr>
              <w:snapToGrid w:val="0"/>
              <w:spacing w:before="120" w:beforeLines="50" w:after="50"/>
              <w:jc w:val="center"/>
              <w:rPr>
                <w:bCs/>
                <w:color w:val="auto"/>
                <w:szCs w:val="21"/>
              </w:rPr>
            </w:pPr>
            <w:r>
              <w:rPr>
                <w:bCs/>
                <w:color w:val="auto"/>
                <w:szCs w:val="21"/>
              </w:rPr>
              <w:t>劳动合同编号</w:t>
            </w:r>
          </w:p>
        </w:tc>
      </w:tr>
      <w:tr w14:paraId="768D23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14:paraId="626B89C7">
            <w:pPr>
              <w:snapToGrid w:val="0"/>
              <w:spacing w:before="120" w:beforeLines="50" w:after="50"/>
              <w:rPr>
                <w:color w:val="auto"/>
                <w:szCs w:val="21"/>
              </w:rPr>
            </w:pPr>
          </w:p>
        </w:tc>
        <w:tc>
          <w:tcPr>
            <w:tcW w:w="1260" w:type="dxa"/>
            <w:tcBorders>
              <w:top w:val="single" w:color="auto" w:sz="4" w:space="0"/>
              <w:left w:val="single" w:color="auto" w:sz="4" w:space="0"/>
              <w:bottom w:val="single" w:color="auto" w:sz="4" w:space="0"/>
              <w:right w:val="single" w:color="auto" w:sz="4" w:space="0"/>
            </w:tcBorders>
          </w:tcPr>
          <w:p w14:paraId="52917793">
            <w:pPr>
              <w:snapToGrid w:val="0"/>
              <w:spacing w:before="120" w:beforeLines="50" w:after="50"/>
              <w:rPr>
                <w:color w:val="auto"/>
                <w:szCs w:val="21"/>
              </w:rPr>
            </w:pPr>
          </w:p>
        </w:tc>
        <w:tc>
          <w:tcPr>
            <w:tcW w:w="1440" w:type="dxa"/>
            <w:tcBorders>
              <w:top w:val="single" w:color="auto" w:sz="4" w:space="0"/>
              <w:left w:val="single" w:color="auto" w:sz="4" w:space="0"/>
              <w:bottom w:val="single" w:color="auto" w:sz="4" w:space="0"/>
              <w:right w:val="single" w:color="auto" w:sz="4" w:space="0"/>
            </w:tcBorders>
          </w:tcPr>
          <w:p w14:paraId="31A52BE7">
            <w:pPr>
              <w:snapToGrid w:val="0"/>
              <w:spacing w:before="120" w:beforeLines="50" w:after="50"/>
              <w:rPr>
                <w:color w:val="auto"/>
                <w:szCs w:val="21"/>
              </w:rPr>
            </w:pPr>
          </w:p>
        </w:tc>
        <w:tc>
          <w:tcPr>
            <w:tcW w:w="1516" w:type="dxa"/>
            <w:tcBorders>
              <w:top w:val="single" w:color="auto" w:sz="4" w:space="0"/>
              <w:left w:val="single" w:color="auto" w:sz="4" w:space="0"/>
              <w:bottom w:val="single" w:color="auto" w:sz="4" w:space="0"/>
              <w:right w:val="single" w:color="auto" w:sz="4" w:space="0"/>
            </w:tcBorders>
          </w:tcPr>
          <w:p w14:paraId="28920D2B">
            <w:pPr>
              <w:snapToGrid w:val="0"/>
              <w:spacing w:before="120" w:beforeLines="50" w:after="50"/>
              <w:rPr>
                <w:color w:val="auto"/>
                <w:szCs w:val="21"/>
              </w:rPr>
            </w:pPr>
          </w:p>
        </w:tc>
        <w:tc>
          <w:tcPr>
            <w:tcW w:w="1620" w:type="dxa"/>
            <w:tcBorders>
              <w:top w:val="single" w:color="auto" w:sz="4" w:space="0"/>
              <w:left w:val="single" w:color="auto" w:sz="4" w:space="0"/>
              <w:bottom w:val="single" w:color="auto" w:sz="4" w:space="0"/>
              <w:right w:val="single" w:color="auto" w:sz="4" w:space="0"/>
            </w:tcBorders>
          </w:tcPr>
          <w:p w14:paraId="060FF2B5">
            <w:pPr>
              <w:snapToGrid w:val="0"/>
              <w:spacing w:before="120" w:beforeLines="50" w:after="50"/>
              <w:rPr>
                <w:color w:val="auto"/>
                <w:szCs w:val="21"/>
              </w:rPr>
            </w:pPr>
          </w:p>
        </w:tc>
        <w:tc>
          <w:tcPr>
            <w:tcW w:w="1980" w:type="dxa"/>
            <w:tcBorders>
              <w:top w:val="single" w:color="auto" w:sz="4" w:space="0"/>
              <w:left w:val="single" w:color="auto" w:sz="4" w:space="0"/>
              <w:bottom w:val="single" w:color="auto" w:sz="4" w:space="0"/>
              <w:right w:val="single" w:color="auto" w:sz="4" w:space="0"/>
            </w:tcBorders>
          </w:tcPr>
          <w:p w14:paraId="2CDEB331">
            <w:pPr>
              <w:snapToGrid w:val="0"/>
              <w:spacing w:before="120" w:beforeLines="50" w:after="50"/>
              <w:rPr>
                <w:color w:val="auto"/>
                <w:szCs w:val="21"/>
              </w:rPr>
            </w:pPr>
          </w:p>
        </w:tc>
      </w:tr>
      <w:tr w14:paraId="0C1288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14:paraId="1F9541DA">
            <w:pPr>
              <w:snapToGrid w:val="0"/>
              <w:spacing w:before="120" w:beforeLines="50" w:after="50"/>
              <w:rPr>
                <w:color w:val="auto"/>
                <w:szCs w:val="21"/>
              </w:rPr>
            </w:pPr>
          </w:p>
        </w:tc>
        <w:tc>
          <w:tcPr>
            <w:tcW w:w="1260" w:type="dxa"/>
            <w:tcBorders>
              <w:top w:val="single" w:color="auto" w:sz="4" w:space="0"/>
              <w:left w:val="single" w:color="auto" w:sz="4" w:space="0"/>
              <w:bottom w:val="single" w:color="auto" w:sz="4" w:space="0"/>
              <w:right w:val="single" w:color="auto" w:sz="4" w:space="0"/>
            </w:tcBorders>
          </w:tcPr>
          <w:p w14:paraId="3C0C0AA8">
            <w:pPr>
              <w:snapToGrid w:val="0"/>
              <w:spacing w:before="120" w:beforeLines="50" w:after="50"/>
              <w:rPr>
                <w:color w:val="auto"/>
                <w:szCs w:val="21"/>
              </w:rPr>
            </w:pPr>
          </w:p>
        </w:tc>
        <w:tc>
          <w:tcPr>
            <w:tcW w:w="1440" w:type="dxa"/>
            <w:tcBorders>
              <w:top w:val="single" w:color="auto" w:sz="4" w:space="0"/>
              <w:left w:val="single" w:color="auto" w:sz="4" w:space="0"/>
              <w:bottom w:val="single" w:color="auto" w:sz="4" w:space="0"/>
              <w:right w:val="single" w:color="auto" w:sz="4" w:space="0"/>
            </w:tcBorders>
          </w:tcPr>
          <w:p w14:paraId="3501AD4B">
            <w:pPr>
              <w:snapToGrid w:val="0"/>
              <w:spacing w:before="120" w:beforeLines="50" w:after="50"/>
              <w:rPr>
                <w:color w:val="auto"/>
                <w:szCs w:val="21"/>
              </w:rPr>
            </w:pPr>
          </w:p>
        </w:tc>
        <w:tc>
          <w:tcPr>
            <w:tcW w:w="1516" w:type="dxa"/>
            <w:tcBorders>
              <w:top w:val="single" w:color="auto" w:sz="4" w:space="0"/>
              <w:left w:val="single" w:color="auto" w:sz="4" w:space="0"/>
              <w:bottom w:val="single" w:color="auto" w:sz="4" w:space="0"/>
              <w:right w:val="single" w:color="auto" w:sz="4" w:space="0"/>
            </w:tcBorders>
          </w:tcPr>
          <w:p w14:paraId="1C61DD0E">
            <w:pPr>
              <w:snapToGrid w:val="0"/>
              <w:spacing w:before="120" w:beforeLines="50" w:after="50"/>
              <w:rPr>
                <w:color w:val="auto"/>
                <w:szCs w:val="21"/>
              </w:rPr>
            </w:pPr>
          </w:p>
        </w:tc>
        <w:tc>
          <w:tcPr>
            <w:tcW w:w="1620" w:type="dxa"/>
            <w:tcBorders>
              <w:top w:val="single" w:color="auto" w:sz="4" w:space="0"/>
              <w:left w:val="single" w:color="auto" w:sz="4" w:space="0"/>
              <w:bottom w:val="single" w:color="auto" w:sz="4" w:space="0"/>
              <w:right w:val="single" w:color="auto" w:sz="4" w:space="0"/>
            </w:tcBorders>
          </w:tcPr>
          <w:p w14:paraId="716A2E83">
            <w:pPr>
              <w:snapToGrid w:val="0"/>
              <w:spacing w:before="120" w:beforeLines="50" w:after="50"/>
              <w:rPr>
                <w:color w:val="auto"/>
                <w:szCs w:val="21"/>
              </w:rPr>
            </w:pPr>
          </w:p>
        </w:tc>
        <w:tc>
          <w:tcPr>
            <w:tcW w:w="1980" w:type="dxa"/>
            <w:tcBorders>
              <w:top w:val="single" w:color="auto" w:sz="4" w:space="0"/>
              <w:left w:val="single" w:color="auto" w:sz="4" w:space="0"/>
              <w:bottom w:val="single" w:color="auto" w:sz="4" w:space="0"/>
              <w:right w:val="single" w:color="auto" w:sz="4" w:space="0"/>
            </w:tcBorders>
          </w:tcPr>
          <w:p w14:paraId="11873BEC">
            <w:pPr>
              <w:snapToGrid w:val="0"/>
              <w:spacing w:before="120" w:beforeLines="50" w:after="50"/>
              <w:rPr>
                <w:color w:val="auto"/>
                <w:szCs w:val="21"/>
              </w:rPr>
            </w:pPr>
          </w:p>
        </w:tc>
      </w:tr>
      <w:tr w14:paraId="24E103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14:paraId="3E0F5ACE">
            <w:pPr>
              <w:snapToGrid w:val="0"/>
              <w:spacing w:before="120" w:beforeLines="50" w:after="50"/>
              <w:rPr>
                <w:color w:val="auto"/>
                <w:szCs w:val="21"/>
              </w:rPr>
            </w:pPr>
          </w:p>
        </w:tc>
        <w:tc>
          <w:tcPr>
            <w:tcW w:w="1260" w:type="dxa"/>
            <w:tcBorders>
              <w:top w:val="single" w:color="auto" w:sz="4" w:space="0"/>
              <w:left w:val="single" w:color="auto" w:sz="4" w:space="0"/>
              <w:bottom w:val="single" w:color="auto" w:sz="4" w:space="0"/>
              <w:right w:val="single" w:color="auto" w:sz="4" w:space="0"/>
            </w:tcBorders>
          </w:tcPr>
          <w:p w14:paraId="6E1B6906">
            <w:pPr>
              <w:snapToGrid w:val="0"/>
              <w:spacing w:before="120" w:beforeLines="50" w:after="50"/>
              <w:rPr>
                <w:color w:val="auto"/>
                <w:szCs w:val="21"/>
              </w:rPr>
            </w:pPr>
          </w:p>
        </w:tc>
        <w:tc>
          <w:tcPr>
            <w:tcW w:w="1440" w:type="dxa"/>
            <w:tcBorders>
              <w:top w:val="single" w:color="auto" w:sz="4" w:space="0"/>
              <w:left w:val="single" w:color="auto" w:sz="4" w:space="0"/>
              <w:bottom w:val="single" w:color="auto" w:sz="4" w:space="0"/>
              <w:right w:val="single" w:color="auto" w:sz="4" w:space="0"/>
            </w:tcBorders>
          </w:tcPr>
          <w:p w14:paraId="2C99035E">
            <w:pPr>
              <w:pStyle w:val="28"/>
              <w:snapToGrid w:val="0"/>
              <w:spacing w:before="120" w:beforeLines="50" w:after="50"/>
              <w:ind w:left="5670" w:hanging="420"/>
              <w:rPr>
                <w:rFonts w:ascii="Times New Roman" w:hAnsi="Times New Roman"/>
                <w:color w:val="auto"/>
              </w:rPr>
            </w:pPr>
          </w:p>
        </w:tc>
        <w:tc>
          <w:tcPr>
            <w:tcW w:w="1516" w:type="dxa"/>
            <w:tcBorders>
              <w:top w:val="single" w:color="auto" w:sz="4" w:space="0"/>
              <w:left w:val="single" w:color="auto" w:sz="4" w:space="0"/>
              <w:bottom w:val="single" w:color="auto" w:sz="4" w:space="0"/>
              <w:right w:val="single" w:color="auto" w:sz="4" w:space="0"/>
            </w:tcBorders>
          </w:tcPr>
          <w:p w14:paraId="0522EE1D">
            <w:pPr>
              <w:snapToGrid w:val="0"/>
              <w:spacing w:before="120" w:beforeLines="50" w:after="50"/>
              <w:rPr>
                <w:color w:val="auto"/>
                <w:szCs w:val="21"/>
              </w:rPr>
            </w:pPr>
          </w:p>
        </w:tc>
        <w:tc>
          <w:tcPr>
            <w:tcW w:w="1620" w:type="dxa"/>
            <w:tcBorders>
              <w:top w:val="single" w:color="auto" w:sz="4" w:space="0"/>
              <w:left w:val="single" w:color="auto" w:sz="4" w:space="0"/>
              <w:bottom w:val="single" w:color="auto" w:sz="4" w:space="0"/>
              <w:right w:val="single" w:color="auto" w:sz="4" w:space="0"/>
            </w:tcBorders>
          </w:tcPr>
          <w:p w14:paraId="28159485">
            <w:pPr>
              <w:snapToGrid w:val="0"/>
              <w:spacing w:before="120" w:beforeLines="50" w:after="50"/>
              <w:rPr>
                <w:color w:val="auto"/>
                <w:szCs w:val="21"/>
              </w:rPr>
            </w:pPr>
          </w:p>
        </w:tc>
        <w:tc>
          <w:tcPr>
            <w:tcW w:w="1980" w:type="dxa"/>
            <w:tcBorders>
              <w:top w:val="single" w:color="auto" w:sz="4" w:space="0"/>
              <w:left w:val="single" w:color="auto" w:sz="4" w:space="0"/>
              <w:bottom w:val="single" w:color="auto" w:sz="4" w:space="0"/>
              <w:right w:val="single" w:color="auto" w:sz="4" w:space="0"/>
            </w:tcBorders>
          </w:tcPr>
          <w:p w14:paraId="5EEF7ED1">
            <w:pPr>
              <w:snapToGrid w:val="0"/>
              <w:spacing w:before="120" w:beforeLines="50" w:after="50"/>
              <w:rPr>
                <w:color w:val="auto"/>
                <w:szCs w:val="21"/>
              </w:rPr>
            </w:pPr>
          </w:p>
        </w:tc>
      </w:tr>
    </w:tbl>
    <w:p w14:paraId="67457FBD">
      <w:pPr>
        <w:snapToGrid w:val="0"/>
        <w:spacing w:before="50" w:after="120" w:afterLines="50" w:line="440" w:lineRule="exact"/>
        <w:jc w:val="left"/>
        <w:rPr>
          <w:color w:val="auto"/>
          <w:szCs w:val="21"/>
        </w:rPr>
      </w:pPr>
      <w:r>
        <w:rPr>
          <w:color w:val="auto"/>
          <w:szCs w:val="21"/>
        </w:rPr>
        <w:t>注：在填写时，如本表格不适合投标单位的实际情况，可根据本表格式自行填写。</w:t>
      </w:r>
    </w:p>
    <w:p w14:paraId="70427449">
      <w:pPr>
        <w:rPr>
          <w:color w:val="auto"/>
          <w:spacing w:val="20"/>
          <w:szCs w:val="21"/>
          <w:u w:val="single"/>
        </w:rPr>
      </w:pPr>
      <w:r>
        <w:rPr>
          <w:color w:val="auto"/>
          <w:szCs w:val="21"/>
        </w:rPr>
        <w:t>供应商</w:t>
      </w:r>
      <w:r>
        <w:rPr>
          <w:rFonts w:hint="eastAsia"/>
          <w:color w:val="auto"/>
          <w:szCs w:val="21"/>
        </w:rPr>
        <w:t>名称(电子签章</w:t>
      </w:r>
      <w:r>
        <w:rPr>
          <w:color w:val="auto"/>
          <w:szCs w:val="21"/>
        </w:rPr>
        <w:t>)</w:t>
      </w:r>
      <w:r>
        <w:rPr>
          <w:color w:val="auto"/>
          <w:spacing w:val="20"/>
          <w:szCs w:val="21"/>
        </w:rPr>
        <w:t>：</w:t>
      </w:r>
      <w:r>
        <w:rPr>
          <w:color w:val="auto"/>
          <w:spacing w:val="20"/>
          <w:szCs w:val="21"/>
          <w:u w:val="single"/>
        </w:rPr>
        <w:t xml:space="preserve">            </w:t>
      </w:r>
      <w:r>
        <w:rPr>
          <w:color w:val="auto"/>
          <w:spacing w:val="20"/>
          <w:szCs w:val="21"/>
        </w:rPr>
        <w:t xml:space="preserve">             日  期：</w:t>
      </w:r>
      <w:r>
        <w:rPr>
          <w:color w:val="auto"/>
          <w:spacing w:val="20"/>
          <w:szCs w:val="21"/>
          <w:u w:val="single"/>
        </w:rPr>
        <w:t xml:space="preserve">        </w:t>
      </w:r>
    </w:p>
    <w:p w14:paraId="407413AC">
      <w:pPr>
        <w:rPr>
          <w:color w:val="auto"/>
          <w:szCs w:val="21"/>
        </w:rPr>
      </w:pPr>
    </w:p>
    <w:p w14:paraId="402390C4">
      <w:pPr>
        <w:rPr>
          <w:color w:val="auto"/>
          <w:szCs w:val="21"/>
        </w:rPr>
      </w:pPr>
    </w:p>
    <w:p w14:paraId="2F757C88">
      <w:pPr>
        <w:rPr>
          <w:color w:val="auto"/>
          <w:szCs w:val="21"/>
        </w:rPr>
      </w:pPr>
    </w:p>
    <w:p w14:paraId="49373244">
      <w:pPr>
        <w:rPr>
          <w:color w:val="auto"/>
          <w:szCs w:val="21"/>
        </w:rPr>
      </w:pPr>
      <w:r>
        <w:rPr>
          <w:color w:val="auto"/>
          <w:szCs w:val="21"/>
        </w:rPr>
        <w:t>6．供应商需要说明的其他文件和说明。</w:t>
      </w:r>
    </w:p>
    <w:p w14:paraId="659031C5">
      <w:pPr>
        <w:jc w:val="center"/>
        <w:rPr>
          <w:b/>
          <w:bCs/>
          <w:color w:val="auto"/>
          <w:szCs w:val="21"/>
        </w:rPr>
      </w:pPr>
      <w:r>
        <w:rPr>
          <w:b/>
          <w:color w:val="auto"/>
          <w:szCs w:val="21"/>
        </w:rPr>
        <w:br w:type="page"/>
      </w:r>
    </w:p>
    <w:p w14:paraId="67D22EF3">
      <w:pPr>
        <w:snapToGrid w:val="0"/>
        <w:spacing w:before="120" w:beforeLines="50" w:after="50" w:line="440" w:lineRule="exact"/>
        <w:jc w:val="left"/>
        <w:outlineLvl w:val="1"/>
        <w:rPr>
          <w:bCs/>
          <w:color w:val="auto"/>
          <w:sz w:val="24"/>
        </w:rPr>
      </w:pPr>
      <w:r>
        <w:rPr>
          <w:bCs/>
          <w:color w:val="auto"/>
          <w:sz w:val="24"/>
        </w:rPr>
        <w:t>3．投标文件封面参考格式</w:t>
      </w:r>
      <w:r>
        <w:rPr>
          <w:rFonts w:hint="eastAsia"/>
          <w:bCs/>
          <w:color w:val="auto"/>
          <w:sz w:val="24"/>
        </w:rPr>
        <w:t>（报价文件）</w:t>
      </w:r>
      <w:r>
        <w:rPr>
          <w:bCs/>
          <w:color w:val="auto"/>
          <w:sz w:val="24"/>
        </w:rPr>
        <w:t xml:space="preserve">： </w:t>
      </w:r>
    </w:p>
    <w:p w14:paraId="05601F0F">
      <w:pPr>
        <w:snapToGrid w:val="0"/>
        <w:spacing w:before="50" w:after="120" w:afterLines="50" w:line="400" w:lineRule="exact"/>
        <w:jc w:val="left"/>
        <w:rPr>
          <w:bCs/>
          <w:color w:val="auto"/>
          <w:sz w:val="24"/>
        </w:rPr>
      </w:pPr>
    </w:p>
    <w:p w14:paraId="539442D0">
      <w:pPr>
        <w:snapToGrid w:val="0"/>
        <w:spacing w:before="120" w:beforeLines="50" w:after="50" w:line="360" w:lineRule="exact"/>
        <w:rPr>
          <w:color w:val="auto"/>
          <w:sz w:val="24"/>
        </w:rPr>
      </w:pPr>
    </w:p>
    <w:p w14:paraId="79D40086">
      <w:pPr>
        <w:snapToGrid w:val="0"/>
        <w:spacing w:before="120" w:beforeLines="50" w:after="50" w:line="360" w:lineRule="exact"/>
        <w:jc w:val="center"/>
        <w:rPr>
          <w:bCs/>
          <w:color w:val="auto"/>
          <w:sz w:val="24"/>
        </w:rPr>
      </w:pPr>
    </w:p>
    <w:p w14:paraId="55250226">
      <w:pPr>
        <w:snapToGrid w:val="0"/>
        <w:spacing w:before="120" w:beforeLines="50" w:after="50" w:line="360" w:lineRule="exact"/>
        <w:jc w:val="center"/>
        <w:rPr>
          <w:b/>
          <w:bCs/>
          <w:color w:val="auto"/>
          <w:sz w:val="44"/>
          <w:szCs w:val="44"/>
        </w:rPr>
      </w:pPr>
      <w:r>
        <w:rPr>
          <w:rFonts w:hint="eastAsia"/>
          <w:b/>
          <w:bCs/>
          <w:color w:val="auto"/>
          <w:sz w:val="44"/>
          <w:szCs w:val="44"/>
        </w:rPr>
        <w:t>电子</w:t>
      </w:r>
      <w:r>
        <w:rPr>
          <w:b/>
          <w:bCs/>
          <w:color w:val="auto"/>
          <w:sz w:val="44"/>
          <w:szCs w:val="44"/>
        </w:rPr>
        <w:t>投标文件</w:t>
      </w:r>
    </w:p>
    <w:p w14:paraId="07D0542F">
      <w:pPr>
        <w:snapToGrid w:val="0"/>
        <w:spacing w:before="120" w:beforeLines="50" w:after="50" w:line="360" w:lineRule="exact"/>
        <w:jc w:val="center"/>
        <w:rPr>
          <w:b/>
          <w:bCs/>
          <w:color w:val="auto"/>
          <w:sz w:val="44"/>
          <w:szCs w:val="44"/>
        </w:rPr>
      </w:pPr>
    </w:p>
    <w:p w14:paraId="5E3A4386">
      <w:pPr>
        <w:snapToGrid w:val="0"/>
        <w:spacing w:before="120" w:beforeLines="50" w:after="50" w:line="360" w:lineRule="exact"/>
        <w:jc w:val="center"/>
        <w:rPr>
          <w:b/>
          <w:bCs/>
          <w:color w:val="auto"/>
          <w:sz w:val="44"/>
          <w:szCs w:val="44"/>
        </w:rPr>
      </w:pPr>
    </w:p>
    <w:p w14:paraId="7C3D4B36">
      <w:pPr>
        <w:snapToGrid w:val="0"/>
        <w:spacing w:before="120" w:beforeLines="50" w:after="50" w:line="360" w:lineRule="exact"/>
        <w:jc w:val="center"/>
        <w:rPr>
          <w:b/>
          <w:bCs/>
          <w:color w:val="auto"/>
          <w:sz w:val="44"/>
          <w:szCs w:val="44"/>
        </w:rPr>
      </w:pPr>
      <w:r>
        <w:rPr>
          <w:rFonts w:hint="eastAsia"/>
          <w:b/>
          <w:bCs/>
          <w:color w:val="auto"/>
          <w:sz w:val="44"/>
          <w:szCs w:val="44"/>
        </w:rPr>
        <w:t>报价</w:t>
      </w:r>
      <w:r>
        <w:rPr>
          <w:b/>
          <w:bCs/>
          <w:color w:val="auto"/>
          <w:sz w:val="44"/>
          <w:szCs w:val="44"/>
        </w:rPr>
        <w:t>文件</w:t>
      </w:r>
    </w:p>
    <w:p w14:paraId="567B4729">
      <w:pPr>
        <w:snapToGrid w:val="0"/>
        <w:spacing w:before="120" w:beforeLines="50" w:after="50" w:line="360" w:lineRule="exact"/>
        <w:rPr>
          <w:bCs/>
          <w:color w:val="auto"/>
          <w:sz w:val="24"/>
        </w:rPr>
      </w:pPr>
    </w:p>
    <w:p w14:paraId="5265C324">
      <w:pPr>
        <w:snapToGrid w:val="0"/>
        <w:spacing w:before="120" w:beforeLines="50" w:after="50" w:line="360" w:lineRule="exact"/>
        <w:rPr>
          <w:bCs/>
          <w:color w:val="auto"/>
          <w:sz w:val="24"/>
        </w:rPr>
      </w:pPr>
    </w:p>
    <w:p w14:paraId="24FC0E5A">
      <w:pPr>
        <w:snapToGrid w:val="0"/>
        <w:spacing w:before="120" w:beforeLines="50" w:after="50" w:line="360" w:lineRule="exact"/>
        <w:rPr>
          <w:bCs/>
          <w:color w:val="auto"/>
          <w:sz w:val="24"/>
        </w:rPr>
      </w:pPr>
    </w:p>
    <w:p w14:paraId="74BF571A">
      <w:pPr>
        <w:snapToGrid w:val="0"/>
        <w:spacing w:before="120" w:beforeLines="50" w:after="50" w:line="360" w:lineRule="exact"/>
        <w:ind w:firstLine="720" w:firstLineChars="300"/>
        <w:rPr>
          <w:bCs/>
          <w:color w:val="auto"/>
          <w:sz w:val="24"/>
        </w:rPr>
      </w:pPr>
      <w:r>
        <w:rPr>
          <w:bCs/>
          <w:color w:val="auto"/>
          <w:sz w:val="24"/>
        </w:rPr>
        <w:t xml:space="preserve">项目名称： </w:t>
      </w:r>
    </w:p>
    <w:p w14:paraId="6B7D7A6D">
      <w:pPr>
        <w:snapToGrid w:val="0"/>
        <w:spacing w:before="120" w:beforeLines="50" w:after="50" w:line="360" w:lineRule="exact"/>
        <w:ind w:firstLine="720" w:firstLineChars="300"/>
        <w:rPr>
          <w:bCs/>
          <w:color w:val="auto"/>
          <w:sz w:val="24"/>
        </w:rPr>
      </w:pPr>
      <w:r>
        <w:rPr>
          <w:bCs/>
          <w:color w:val="auto"/>
          <w:sz w:val="24"/>
        </w:rPr>
        <w:t>项目编号：</w:t>
      </w:r>
    </w:p>
    <w:p w14:paraId="47CE9CB6">
      <w:pPr>
        <w:snapToGrid w:val="0"/>
        <w:spacing w:before="120" w:beforeLines="50" w:after="50" w:line="360" w:lineRule="exact"/>
        <w:ind w:firstLine="720" w:firstLineChars="300"/>
        <w:rPr>
          <w:bCs/>
          <w:color w:val="auto"/>
          <w:sz w:val="24"/>
        </w:rPr>
      </w:pPr>
      <w:r>
        <w:rPr>
          <w:bCs/>
          <w:color w:val="auto"/>
          <w:sz w:val="24"/>
        </w:rPr>
        <w:t>分标号：（若无</w:t>
      </w:r>
      <w:r>
        <w:rPr>
          <w:rFonts w:hint="eastAsia"/>
          <w:bCs/>
          <w:color w:val="auto"/>
          <w:sz w:val="24"/>
        </w:rPr>
        <w:t>留空或写</w:t>
      </w:r>
      <w:r>
        <w:rPr>
          <w:bCs/>
          <w:color w:val="auto"/>
          <w:sz w:val="24"/>
        </w:rPr>
        <w:t>“/”）</w:t>
      </w:r>
    </w:p>
    <w:p w14:paraId="5C5EC85C">
      <w:pPr>
        <w:snapToGrid w:val="0"/>
        <w:spacing w:before="120" w:beforeLines="50" w:after="50" w:line="360" w:lineRule="exact"/>
        <w:ind w:firstLine="720" w:firstLineChars="300"/>
        <w:rPr>
          <w:bCs/>
          <w:color w:val="auto"/>
          <w:sz w:val="24"/>
        </w:rPr>
      </w:pPr>
      <w:r>
        <w:rPr>
          <w:bCs/>
          <w:color w:val="auto"/>
          <w:sz w:val="24"/>
        </w:rPr>
        <w:t>供应商名称：</w:t>
      </w:r>
    </w:p>
    <w:p w14:paraId="3B394DE2">
      <w:pPr>
        <w:snapToGrid w:val="0"/>
        <w:spacing w:before="120" w:beforeLines="50" w:after="50" w:line="360" w:lineRule="exact"/>
        <w:ind w:firstLine="720" w:firstLineChars="300"/>
        <w:rPr>
          <w:bCs/>
          <w:color w:val="auto"/>
          <w:sz w:val="24"/>
        </w:rPr>
      </w:pPr>
      <w:r>
        <w:rPr>
          <w:bCs/>
          <w:color w:val="auto"/>
          <w:sz w:val="24"/>
        </w:rPr>
        <w:t>供应商地址：</w:t>
      </w:r>
    </w:p>
    <w:p w14:paraId="206DB67D">
      <w:pPr>
        <w:snapToGrid w:val="0"/>
        <w:spacing w:before="120" w:beforeLines="50" w:after="50" w:line="360" w:lineRule="exact"/>
        <w:ind w:firstLine="720" w:firstLineChars="300"/>
        <w:rPr>
          <w:bCs/>
          <w:color w:val="auto"/>
          <w:sz w:val="24"/>
        </w:rPr>
      </w:pPr>
    </w:p>
    <w:p w14:paraId="2BFE95A7">
      <w:pPr>
        <w:pStyle w:val="7"/>
        <w:snapToGrid w:val="0"/>
        <w:spacing w:before="50" w:after="50" w:line="360" w:lineRule="exact"/>
        <w:ind w:firstLine="960" w:firstLineChars="400"/>
        <w:rPr>
          <w:bCs/>
          <w:color w:val="auto"/>
          <w:sz w:val="24"/>
          <w:szCs w:val="24"/>
        </w:rPr>
      </w:pPr>
    </w:p>
    <w:p w14:paraId="60C00301">
      <w:pPr>
        <w:snapToGrid w:val="0"/>
        <w:spacing w:before="120" w:beforeLines="50" w:after="50" w:line="360" w:lineRule="exact"/>
        <w:jc w:val="center"/>
        <w:rPr>
          <w:color w:val="auto"/>
          <w:sz w:val="24"/>
        </w:rPr>
      </w:pPr>
      <w:r>
        <w:rPr>
          <w:color w:val="auto"/>
          <w:sz w:val="24"/>
        </w:rPr>
        <w:t xml:space="preserve">                        年  月  日</w:t>
      </w:r>
    </w:p>
    <w:p w14:paraId="41402750">
      <w:pPr>
        <w:rPr>
          <w:color w:val="auto"/>
        </w:rPr>
      </w:pPr>
      <w:r>
        <w:rPr>
          <w:color w:val="auto"/>
        </w:rPr>
        <w:br w:type="page"/>
      </w:r>
    </w:p>
    <w:p w14:paraId="5530FBC2">
      <w:pPr>
        <w:widowControl/>
        <w:jc w:val="left"/>
        <w:rPr>
          <w:b/>
          <w:bCs/>
          <w:color w:val="auto"/>
          <w:szCs w:val="21"/>
        </w:rPr>
      </w:pPr>
    </w:p>
    <w:p w14:paraId="53371732">
      <w:pPr>
        <w:jc w:val="center"/>
        <w:rPr>
          <w:b/>
          <w:bCs/>
          <w:color w:val="auto"/>
          <w:szCs w:val="21"/>
        </w:rPr>
      </w:pPr>
    </w:p>
    <w:p w14:paraId="0381AB37">
      <w:pPr>
        <w:jc w:val="center"/>
        <w:rPr>
          <w:color w:val="auto"/>
          <w:sz w:val="28"/>
          <w:szCs w:val="28"/>
        </w:rPr>
      </w:pPr>
      <w:r>
        <w:rPr>
          <w:color w:val="auto"/>
          <w:sz w:val="28"/>
          <w:szCs w:val="28"/>
        </w:rPr>
        <w:t>第三部分 报价文件</w:t>
      </w:r>
    </w:p>
    <w:p w14:paraId="20920C7D">
      <w:pPr>
        <w:jc w:val="center"/>
        <w:rPr>
          <w:b/>
          <w:bCs/>
          <w:color w:val="auto"/>
          <w:szCs w:val="21"/>
        </w:rPr>
      </w:pPr>
    </w:p>
    <w:p w14:paraId="1DF5D108">
      <w:pPr>
        <w:rPr>
          <w:color w:val="auto"/>
        </w:rPr>
      </w:pPr>
      <w:bookmarkStart w:id="174" w:name="_Hlk19115777"/>
      <w:r>
        <w:rPr>
          <w:color w:val="auto"/>
        </w:rPr>
        <w:t>1．投标函格式：</w:t>
      </w:r>
    </w:p>
    <w:p w14:paraId="7A60ED87">
      <w:pPr>
        <w:jc w:val="center"/>
        <w:rPr>
          <w:b/>
          <w:color w:val="auto"/>
          <w:szCs w:val="21"/>
        </w:rPr>
      </w:pPr>
    </w:p>
    <w:p w14:paraId="73855B23">
      <w:pPr>
        <w:jc w:val="center"/>
        <w:rPr>
          <w:b/>
          <w:color w:val="auto"/>
          <w:szCs w:val="21"/>
        </w:rPr>
      </w:pPr>
      <w:r>
        <w:rPr>
          <w:b/>
          <w:color w:val="auto"/>
          <w:szCs w:val="21"/>
        </w:rPr>
        <w:t>投 标 函</w:t>
      </w:r>
    </w:p>
    <w:p w14:paraId="5E063ABC">
      <w:pPr>
        <w:rPr>
          <w:b/>
          <w:color w:val="auto"/>
          <w:szCs w:val="21"/>
        </w:rPr>
      </w:pPr>
    </w:p>
    <w:p w14:paraId="3008233A">
      <w:pPr>
        <w:spacing w:line="360" w:lineRule="auto"/>
        <w:rPr>
          <w:color w:val="auto"/>
          <w:szCs w:val="21"/>
        </w:rPr>
      </w:pPr>
      <w:r>
        <w:rPr>
          <w:color w:val="auto"/>
          <w:szCs w:val="21"/>
        </w:rPr>
        <w:t>致：</w:t>
      </w:r>
      <w:bookmarkStart w:id="175" w:name="_Hlk19051378"/>
      <w:r>
        <w:rPr>
          <w:color w:val="auto"/>
          <w:szCs w:val="21"/>
        </w:rPr>
        <w:t>_</w:t>
      </w:r>
      <w:r>
        <w:rPr>
          <w:i/>
          <w:iCs/>
          <w:color w:val="auto"/>
          <w:szCs w:val="21"/>
          <w:u w:val="single"/>
        </w:rPr>
        <w:t>（采购</w:t>
      </w:r>
      <w:r>
        <w:rPr>
          <w:rFonts w:hint="eastAsia"/>
          <w:i/>
          <w:iCs/>
          <w:color w:val="auto"/>
          <w:szCs w:val="21"/>
          <w:u w:val="single"/>
        </w:rPr>
        <w:t>人</w:t>
      </w:r>
      <w:r>
        <w:rPr>
          <w:i/>
          <w:iCs/>
          <w:color w:val="auto"/>
          <w:szCs w:val="21"/>
          <w:u w:val="single"/>
        </w:rPr>
        <w:t>名称）</w:t>
      </w:r>
      <w:r>
        <w:rPr>
          <w:i/>
          <w:iCs/>
          <w:color w:val="auto"/>
          <w:szCs w:val="21"/>
        </w:rPr>
        <w:t>_</w:t>
      </w:r>
      <w:bookmarkEnd w:id="175"/>
      <w:r>
        <w:rPr>
          <w:color w:val="auto"/>
          <w:szCs w:val="21"/>
        </w:rPr>
        <w:t>：</w:t>
      </w:r>
    </w:p>
    <w:p w14:paraId="433C353F">
      <w:pPr>
        <w:spacing w:line="360" w:lineRule="auto"/>
        <w:ind w:firstLine="420" w:firstLineChars="200"/>
        <w:rPr>
          <w:color w:val="auto"/>
          <w:szCs w:val="21"/>
        </w:rPr>
      </w:pPr>
      <w:r>
        <w:rPr>
          <w:color w:val="auto"/>
          <w:szCs w:val="21"/>
        </w:rPr>
        <w:t>我方已仔细研究了</w:t>
      </w:r>
      <w:bookmarkStart w:id="176" w:name="_Hlk19051388"/>
      <w:r>
        <w:rPr>
          <w:rFonts w:hint="eastAsia"/>
          <w:i/>
          <w:iCs/>
          <w:color w:val="auto"/>
          <w:szCs w:val="21"/>
          <w:u w:val="single"/>
        </w:rPr>
        <w:t>（项目名称）</w:t>
      </w:r>
      <w:bookmarkEnd w:id="176"/>
      <w:r>
        <w:rPr>
          <w:color w:val="auto"/>
          <w:szCs w:val="21"/>
        </w:rPr>
        <w:t>的招标文件的全部内容。签字代表</w:t>
      </w:r>
      <w:bookmarkStart w:id="177" w:name="_Hlk19051393"/>
      <w:r>
        <w:rPr>
          <w:rFonts w:hint="eastAsia"/>
          <w:i/>
          <w:iCs/>
          <w:color w:val="auto"/>
          <w:szCs w:val="21"/>
          <w:u w:val="single"/>
        </w:rPr>
        <w:t>（授权代表姓名）</w:t>
      </w:r>
      <w:bookmarkEnd w:id="177"/>
      <w:r>
        <w:rPr>
          <w:color w:val="auto"/>
          <w:szCs w:val="21"/>
        </w:rPr>
        <w:t>经正式授权并代表供应商_</w:t>
      </w:r>
      <w:bookmarkStart w:id="178" w:name="_Hlk19051402"/>
      <w:r>
        <w:rPr>
          <w:i/>
          <w:iCs/>
          <w:color w:val="auto"/>
          <w:szCs w:val="21"/>
          <w:u w:val="single"/>
        </w:rPr>
        <w:t>（供应商名称）</w:t>
      </w:r>
      <w:bookmarkEnd w:id="178"/>
      <w:r>
        <w:rPr>
          <w:color w:val="auto"/>
          <w:szCs w:val="21"/>
        </w:rPr>
        <w:t>提交投标文件</w:t>
      </w:r>
      <w:r>
        <w:rPr>
          <w:rFonts w:hint="eastAsia"/>
          <w:color w:val="auto"/>
          <w:szCs w:val="21"/>
        </w:rPr>
        <w:t>。</w:t>
      </w:r>
    </w:p>
    <w:p w14:paraId="77D38F2B">
      <w:pPr>
        <w:spacing w:line="360" w:lineRule="auto"/>
        <w:ind w:firstLine="420" w:firstLineChars="200"/>
        <w:rPr>
          <w:color w:val="auto"/>
          <w:szCs w:val="21"/>
        </w:rPr>
      </w:pPr>
      <w:r>
        <w:rPr>
          <w:color w:val="auto"/>
          <w:szCs w:val="21"/>
        </w:rPr>
        <w:t>据此函，签字代表宣布同意如下：</w:t>
      </w:r>
    </w:p>
    <w:p w14:paraId="0A286A4C">
      <w:pPr>
        <w:spacing w:line="360" w:lineRule="auto"/>
        <w:rPr>
          <w:color w:val="auto"/>
          <w:szCs w:val="21"/>
        </w:rPr>
      </w:pPr>
      <w:r>
        <w:rPr>
          <w:color w:val="auto"/>
          <w:szCs w:val="21"/>
        </w:rPr>
        <w:t>（1）</w:t>
      </w:r>
      <w:r>
        <w:rPr>
          <w:rFonts w:hint="eastAsia"/>
          <w:color w:val="auto"/>
          <w:szCs w:val="21"/>
        </w:rPr>
        <w:t>我方</w:t>
      </w:r>
      <w:r>
        <w:rPr>
          <w:color w:val="auto"/>
          <w:szCs w:val="21"/>
        </w:rPr>
        <w:t>已详细审查全部“招标文件”，包括修改文件（如有的话）以及全部参考资料和有关附件，已经了解我方对于招标文件、采购过程、采购结果有依法进行询问、质疑、投诉的权利及相关渠道和要求。</w:t>
      </w:r>
    </w:p>
    <w:p w14:paraId="4B829AE2">
      <w:pPr>
        <w:spacing w:line="360" w:lineRule="auto"/>
        <w:rPr>
          <w:color w:val="auto"/>
          <w:szCs w:val="21"/>
        </w:rPr>
      </w:pPr>
      <w:r>
        <w:rPr>
          <w:color w:val="auto"/>
          <w:szCs w:val="21"/>
        </w:rPr>
        <w:t>（2）</w:t>
      </w:r>
      <w:r>
        <w:rPr>
          <w:rFonts w:hint="eastAsia"/>
          <w:color w:val="auto"/>
          <w:szCs w:val="21"/>
        </w:rPr>
        <w:t>我方</w:t>
      </w:r>
      <w:r>
        <w:rPr>
          <w:color w:val="auto"/>
          <w:szCs w:val="21"/>
        </w:rPr>
        <w:t>在投标之前已经与贵方进行了充分的沟通，完全理解并接受招标文件的各项规定和要求，对招标文件的合理性、合法性不再有异议。</w:t>
      </w:r>
    </w:p>
    <w:p w14:paraId="6C7CAF8F">
      <w:pPr>
        <w:spacing w:line="360" w:lineRule="auto"/>
        <w:rPr>
          <w:color w:val="auto"/>
          <w:szCs w:val="21"/>
        </w:rPr>
      </w:pPr>
      <w:r>
        <w:rPr>
          <w:color w:val="auto"/>
          <w:szCs w:val="21"/>
        </w:rPr>
        <w:t>（3）本投标有效期自投标截止之日起</w:t>
      </w:r>
      <w:r>
        <w:rPr>
          <w:color w:val="auto"/>
          <w:szCs w:val="21"/>
          <w:u w:val="single"/>
        </w:rPr>
        <w:t xml:space="preserve">  </w:t>
      </w:r>
      <w:r>
        <w:rPr>
          <w:rFonts w:hint="eastAsia"/>
          <w:color w:val="auto"/>
          <w:szCs w:val="21"/>
          <w:u w:val="single"/>
        </w:rPr>
        <w:t xml:space="preserve">     </w:t>
      </w:r>
      <w:r>
        <w:rPr>
          <w:color w:val="auto"/>
          <w:szCs w:val="21"/>
          <w:u w:val="single"/>
        </w:rPr>
        <w:t xml:space="preserve">   </w:t>
      </w:r>
      <w:r>
        <w:rPr>
          <w:color w:val="auto"/>
          <w:szCs w:val="21"/>
        </w:rPr>
        <w:t>天。</w:t>
      </w:r>
    </w:p>
    <w:p w14:paraId="0667EA87">
      <w:pPr>
        <w:spacing w:line="360" w:lineRule="auto"/>
        <w:rPr>
          <w:color w:val="auto"/>
          <w:szCs w:val="21"/>
        </w:rPr>
      </w:pPr>
      <w:r>
        <w:rPr>
          <w:color w:val="auto"/>
          <w:szCs w:val="21"/>
        </w:rPr>
        <w:t>（4）如中标，本投标文件至本项目合同履行完毕止均保持有效，</w:t>
      </w:r>
      <w:r>
        <w:rPr>
          <w:rFonts w:hint="eastAsia"/>
          <w:color w:val="auto"/>
          <w:szCs w:val="21"/>
        </w:rPr>
        <w:t>我方</w:t>
      </w:r>
      <w:r>
        <w:rPr>
          <w:color w:val="auto"/>
          <w:szCs w:val="21"/>
        </w:rPr>
        <w:t>将按“招标文件”及政府采购法律、法规的规定履行合同责任和义务</w:t>
      </w:r>
      <w:r>
        <w:rPr>
          <w:rFonts w:hint="eastAsia"/>
          <w:color w:val="auto"/>
          <w:szCs w:val="21"/>
        </w:rPr>
        <w:t>，并承诺</w:t>
      </w:r>
      <w:r>
        <w:rPr>
          <w:color w:val="auto"/>
          <w:szCs w:val="21"/>
        </w:rPr>
        <w:t>不分包及转包他人。</w:t>
      </w:r>
    </w:p>
    <w:p w14:paraId="5B9CEDF8">
      <w:pPr>
        <w:spacing w:line="360" w:lineRule="auto"/>
        <w:rPr>
          <w:color w:val="auto"/>
          <w:szCs w:val="21"/>
        </w:rPr>
      </w:pPr>
      <w:r>
        <w:rPr>
          <w:color w:val="auto"/>
          <w:szCs w:val="21"/>
        </w:rPr>
        <w:t>（5）</w:t>
      </w:r>
      <w:r>
        <w:rPr>
          <w:rFonts w:hint="eastAsia"/>
          <w:color w:val="auto"/>
          <w:szCs w:val="21"/>
        </w:rPr>
        <w:t>我方</w:t>
      </w:r>
      <w:r>
        <w:rPr>
          <w:color w:val="auto"/>
          <w:szCs w:val="21"/>
        </w:rPr>
        <w:t>同意按照贵方要求提供与投标有关的一切数据或资料。</w:t>
      </w:r>
    </w:p>
    <w:p w14:paraId="2E623463">
      <w:pPr>
        <w:spacing w:line="360" w:lineRule="auto"/>
        <w:rPr>
          <w:color w:val="auto"/>
          <w:szCs w:val="21"/>
        </w:rPr>
      </w:pPr>
      <w:r>
        <w:rPr>
          <w:color w:val="auto"/>
          <w:szCs w:val="21"/>
        </w:rPr>
        <w:t>（6）与本项目有关的一切正式往来信函请寄：</w:t>
      </w:r>
    </w:p>
    <w:p w14:paraId="08808605">
      <w:pPr>
        <w:spacing w:line="360" w:lineRule="auto"/>
        <w:rPr>
          <w:color w:val="auto"/>
          <w:szCs w:val="21"/>
        </w:rPr>
      </w:pPr>
      <w:r>
        <w:rPr>
          <w:color w:val="auto"/>
          <w:szCs w:val="21"/>
        </w:rPr>
        <w:t>地址：</w:t>
      </w:r>
      <w:r>
        <w:rPr>
          <w:color w:val="auto"/>
          <w:szCs w:val="21"/>
          <w:u w:val="single"/>
        </w:rPr>
        <w:t xml:space="preserve">                      </w:t>
      </w:r>
      <w:r>
        <w:rPr>
          <w:color w:val="auto"/>
          <w:szCs w:val="21"/>
        </w:rPr>
        <w:t>邮编：</w:t>
      </w:r>
      <w:r>
        <w:rPr>
          <w:color w:val="auto"/>
          <w:szCs w:val="21"/>
          <w:u w:val="single"/>
        </w:rPr>
        <w:t xml:space="preserve">         </w:t>
      </w:r>
      <w:r>
        <w:rPr>
          <w:color w:val="auto"/>
          <w:szCs w:val="21"/>
        </w:rPr>
        <w:t xml:space="preserve">  电话：</w:t>
      </w:r>
      <w:r>
        <w:rPr>
          <w:color w:val="auto"/>
          <w:szCs w:val="21"/>
          <w:u w:val="single"/>
        </w:rPr>
        <w:t xml:space="preserve">            </w:t>
      </w:r>
    </w:p>
    <w:p w14:paraId="45A22F4E">
      <w:pPr>
        <w:spacing w:line="360" w:lineRule="auto"/>
        <w:rPr>
          <w:color w:val="auto"/>
          <w:szCs w:val="21"/>
        </w:rPr>
      </w:pPr>
      <w:r>
        <w:rPr>
          <w:color w:val="auto"/>
          <w:szCs w:val="21"/>
        </w:rPr>
        <w:t>传真：</w:t>
      </w:r>
      <w:r>
        <w:rPr>
          <w:color w:val="auto"/>
          <w:szCs w:val="21"/>
          <w:u w:val="single"/>
        </w:rPr>
        <w:t xml:space="preserve">           </w:t>
      </w:r>
      <w:r>
        <w:rPr>
          <w:color w:val="auto"/>
          <w:szCs w:val="21"/>
        </w:rPr>
        <w:t xml:space="preserve">  </w:t>
      </w:r>
    </w:p>
    <w:p w14:paraId="79FD93BB">
      <w:pPr>
        <w:spacing w:line="360" w:lineRule="auto"/>
        <w:rPr>
          <w:color w:val="auto"/>
          <w:szCs w:val="21"/>
        </w:rPr>
      </w:pPr>
      <w:r>
        <w:rPr>
          <w:color w:val="auto"/>
          <w:szCs w:val="21"/>
        </w:rPr>
        <w:t>供应商代表姓名</w:t>
      </w:r>
      <w:r>
        <w:rPr>
          <w:color w:val="auto"/>
          <w:szCs w:val="21"/>
          <w:u w:val="single"/>
        </w:rPr>
        <w:t xml:space="preserve">         </w:t>
      </w:r>
      <w:r>
        <w:rPr>
          <w:color w:val="auto"/>
          <w:szCs w:val="21"/>
        </w:rPr>
        <w:t xml:space="preserve">  职务：</w:t>
      </w:r>
      <w:r>
        <w:rPr>
          <w:color w:val="auto"/>
          <w:szCs w:val="21"/>
          <w:u w:val="single"/>
        </w:rPr>
        <w:t xml:space="preserve">         </w:t>
      </w:r>
      <w:r>
        <w:rPr>
          <w:color w:val="auto"/>
          <w:szCs w:val="21"/>
        </w:rPr>
        <w:t xml:space="preserve">    </w:t>
      </w:r>
      <w:r>
        <w:rPr>
          <w:rFonts w:hint="eastAsia"/>
          <w:color w:val="auto"/>
          <w:szCs w:val="21"/>
        </w:rPr>
        <w:t>邮箱：</w:t>
      </w:r>
      <w:r>
        <w:rPr>
          <w:rFonts w:hint="eastAsia"/>
          <w:color w:val="auto"/>
          <w:szCs w:val="21"/>
          <w:u w:val="single"/>
        </w:rPr>
        <w:t xml:space="preserve"> </w:t>
      </w:r>
      <w:r>
        <w:rPr>
          <w:color w:val="auto"/>
          <w:szCs w:val="21"/>
          <w:u w:val="single"/>
        </w:rPr>
        <w:t xml:space="preserve">             </w:t>
      </w:r>
      <w:r>
        <w:rPr>
          <w:color w:val="auto"/>
          <w:szCs w:val="21"/>
        </w:rPr>
        <w:t xml:space="preserve"> </w:t>
      </w:r>
    </w:p>
    <w:bookmarkEnd w:id="174"/>
    <w:p w14:paraId="10196951">
      <w:pPr>
        <w:spacing w:line="360" w:lineRule="auto"/>
        <w:rPr>
          <w:color w:val="auto"/>
          <w:szCs w:val="21"/>
        </w:rPr>
      </w:pPr>
    </w:p>
    <w:p w14:paraId="39EA0FFC">
      <w:pPr>
        <w:spacing w:line="360" w:lineRule="auto"/>
        <w:rPr>
          <w:color w:val="auto"/>
          <w:szCs w:val="21"/>
        </w:rPr>
      </w:pPr>
    </w:p>
    <w:p w14:paraId="6373FBEE">
      <w:pPr>
        <w:spacing w:line="360" w:lineRule="auto"/>
        <w:rPr>
          <w:color w:val="auto"/>
          <w:szCs w:val="21"/>
          <w:u w:val="single"/>
        </w:rPr>
      </w:pPr>
      <w:r>
        <w:rPr>
          <w:color w:val="auto"/>
          <w:szCs w:val="21"/>
        </w:rPr>
        <w:t>供应商</w:t>
      </w:r>
      <w:r>
        <w:rPr>
          <w:rFonts w:hint="eastAsia"/>
          <w:color w:val="auto"/>
          <w:szCs w:val="21"/>
        </w:rPr>
        <w:t>名称(电子签章</w:t>
      </w:r>
      <w:r>
        <w:rPr>
          <w:color w:val="auto"/>
          <w:szCs w:val="21"/>
        </w:rPr>
        <w:t>)：</w:t>
      </w:r>
      <w:r>
        <w:rPr>
          <w:color w:val="auto"/>
          <w:szCs w:val="21"/>
          <w:u w:val="single"/>
        </w:rPr>
        <w:t xml:space="preserve">                  </w:t>
      </w:r>
      <w:r>
        <w:rPr>
          <w:color w:val="auto"/>
          <w:szCs w:val="21"/>
        </w:rPr>
        <w:t xml:space="preserve">        </w:t>
      </w:r>
    </w:p>
    <w:p w14:paraId="7394BAF1">
      <w:pPr>
        <w:spacing w:line="360" w:lineRule="auto"/>
        <w:rPr>
          <w:color w:val="auto"/>
          <w:szCs w:val="21"/>
        </w:rPr>
      </w:pPr>
    </w:p>
    <w:p w14:paraId="2BD49574">
      <w:pPr>
        <w:spacing w:line="360" w:lineRule="auto"/>
        <w:rPr>
          <w:color w:val="auto"/>
          <w:szCs w:val="21"/>
        </w:rPr>
      </w:pPr>
      <w:r>
        <w:rPr>
          <w:color w:val="auto"/>
          <w:szCs w:val="21"/>
        </w:rPr>
        <w:t>日期：</w:t>
      </w:r>
      <w:r>
        <w:rPr>
          <w:color w:val="auto"/>
          <w:szCs w:val="21"/>
          <w:u w:val="single"/>
        </w:rPr>
        <w:t xml:space="preserve">      </w:t>
      </w:r>
      <w:r>
        <w:rPr>
          <w:color w:val="auto"/>
          <w:szCs w:val="21"/>
        </w:rPr>
        <w:t>年</w:t>
      </w:r>
      <w:r>
        <w:rPr>
          <w:color w:val="auto"/>
          <w:szCs w:val="21"/>
          <w:u w:val="single"/>
        </w:rPr>
        <w:t xml:space="preserve">    </w:t>
      </w:r>
      <w:r>
        <w:rPr>
          <w:color w:val="auto"/>
          <w:szCs w:val="21"/>
        </w:rPr>
        <w:t>月</w:t>
      </w:r>
      <w:r>
        <w:rPr>
          <w:color w:val="auto"/>
          <w:szCs w:val="21"/>
          <w:u w:val="single"/>
        </w:rPr>
        <w:t xml:space="preserve">   </w:t>
      </w:r>
      <w:r>
        <w:rPr>
          <w:color w:val="auto"/>
          <w:szCs w:val="21"/>
        </w:rPr>
        <w:t>日</w:t>
      </w:r>
    </w:p>
    <w:p w14:paraId="15765E2E">
      <w:pPr>
        <w:rPr>
          <w:color w:val="auto"/>
        </w:rPr>
      </w:pPr>
      <w:r>
        <w:rPr>
          <w:b/>
          <w:color w:val="auto"/>
          <w:szCs w:val="21"/>
        </w:rPr>
        <w:br w:type="page"/>
      </w:r>
      <w:r>
        <w:rPr>
          <w:color w:val="auto"/>
        </w:rPr>
        <w:t>2．投标报价明细表格式：</w:t>
      </w:r>
    </w:p>
    <w:p w14:paraId="7907D8C8">
      <w:pPr>
        <w:jc w:val="center"/>
        <w:rPr>
          <w:b/>
          <w:color w:val="auto"/>
          <w:szCs w:val="21"/>
        </w:rPr>
      </w:pPr>
      <w:r>
        <w:rPr>
          <w:b/>
          <w:color w:val="auto"/>
          <w:szCs w:val="21"/>
        </w:rPr>
        <w:t>投标报价明细表</w:t>
      </w:r>
    </w:p>
    <w:p w14:paraId="3D147B33">
      <w:pPr>
        <w:ind w:firstLine="2415" w:firstLineChars="1150"/>
        <w:rPr>
          <w:color w:val="auto"/>
          <w:szCs w:val="21"/>
        </w:rPr>
      </w:pPr>
      <w:r>
        <w:rPr>
          <w:color w:val="auto"/>
          <w:szCs w:val="21"/>
        </w:rPr>
        <w:t xml:space="preserve">                                    金额单位：人民币（元）</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1620"/>
        <w:gridCol w:w="1080"/>
        <w:gridCol w:w="1440"/>
        <w:gridCol w:w="1620"/>
        <w:gridCol w:w="1260"/>
        <w:gridCol w:w="1440"/>
      </w:tblGrid>
      <w:tr w14:paraId="530555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55C727D2">
            <w:pPr>
              <w:jc w:val="center"/>
              <w:rPr>
                <w:color w:val="auto"/>
                <w:spacing w:val="20"/>
                <w:szCs w:val="21"/>
              </w:rPr>
            </w:pPr>
            <w:r>
              <w:rPr>
                <w:color w:val="auto"/>
                <w:szCs w:val="21"/>
              </w:rPr>
              <w:t>序号</w:t>
            </w:r>
          </w:p>
        </w:tc>
        <w:tc>
          <w:tcPr>
            <w:tcW w:w="1620" w:type="dxa"/>
            <w:tcBorders>
              <w:top w:val="single" w:color="auto" w:sz="4" w:space="0"/>
              <w:left w:val="single" w:color="auto" w:sz="4" w:space="0"/>
              <w:bottom w:val="single" w:color="auto" w:sz="4" w:space="0"/>
              <w:right w:val="single" w:color="auto" w:sz="4" w:space="0"/>
            </w:tcBorders>
            <w:vAlign w:val="center"/>
          </w:tcPr>
          <w:p w14:paraId="544F8A64">
            <w:pPr>
              <w:jc w:val="center"/>
              <w:rPr>
                <w:color w:val="auto"/>
                <w:szCs w:val="21"/>
              </w:rPr>
            </w:pPr>
            <w:r>
              <w:rPr>
                <w:rFonts w:hint="eastAsia"/>
                <w:color w:val="auto"/>
                <w:szCs w:val="21"/>
              </w:rPr>
              <w:t>标的名称</w:t>
            </w:r>
          </w:p>
        </w:tc>
        <w:tc>
          <w:tcPr>
            <w:tcW w:w="1080" w:type="dxa"/>
            <w:tcBorders>
              <w:top w:val="single" w:color="auto" w:sz="4" w:space="0"/>
              <w:left w:val="single" w:color="auto" w:sz="4" w:space="0"/>
              <w:bottom w:val="single" w:color="auto" w:sz="4" w:space="0"/>
              <w:right w:val="single" w:color="auto" w:sz="4" w:space="0"/>
            </w:tcBorders>
            <w:vAlign w:val="center"/>
          </w:tcPr>
          <w:p w14:paraId="0A7CF5C6">
            <w:pPr>
              <w:jc w:val="center"/>
              <w:rPr>
                <w:color w:val="auto"/>
                <w:szCs w:val="21"/>
              </w:rPr>
            </w:pPr>
            <w:r>
              <w:rPr>
                <w:color w:val="auto"/>
                <w:szCs w:val="21"/>
              </w:rPr>
              <w:t>制造商或</w:t>
            </w:r>
            <w:r>
              <w:rPr>
                <w:rFonts w:hint="eastAsia"/>
                <w:color w:val="auto"/>
                <w:szCs w:val="21"/>
              </w:rPr>
              <w:t>品牌</w:t>
            </w:r>
          </w:p>
        </w:tc>
        <w:tc>
          <w:tcPr>
            <w:tcW w:w="1440" w:type="dxa"/>
            <w:tcBorders>
              <w:top w:val="single" w:color="auto" w:sz="4" w:space="0"/>
              <w:left w:val="single" w:color="auto" w:sz="4" w:space="0"/>
              <w:bottom w:val="single" w:color="auto" w:sz="4" w:space="0"/>
              <w:right w:val="single" w:color="auto" w:sz="4" w:space="0"/>
            </w:tcBorders>
            <w:vAlign w:val="center"/>
          </w:tcPr>
          <w:p w14:paraId="76ED5F6E">
            <w:pPr>
              <w:jc w:val="center"/>
              <w:rPr>
                <w:color w:val="auto"/>
                <w:szCs w:val="21"/>
              </w:rPr>
            </w:pPr>
            <w:r>
              <w:rPr>
                <w:color w:val="auto"/>
                <w:szCs w:val="21"/>
              </w:rPr>
              <w:t>规格型号</w:t>
            </w:r>
          </w:p>
        </w:tc>
        <w:tc>
          <w:tcPr>
            <w:tcW w:w="1620" w:type="dxa"/>
            <w:tcBorders>
              <w:top w:val="single" w:color="auto" w:sz="4" w:space="0"/>
              <w:left w:val="single" w:color="auto" w:sz="4" w:space="0"/>
              <w:bottom w:val="single" w:color="auto" w:sz="4" w:space="0"/>
              <w:right w:val="single" w:color="auto" w:sz="4" w:space="0"/>
            </w:tcBorders>
            <w:vAlign w:val="center"/>
          </w:tcPr>
          <w:p w14:paraId="0B72E923">
            <w:pPr>
              <w:jc w:val="center"/>
              <w:rPr>
                <w:color w:val="auto"/>
                <w:szCs w:val="21"/>
              </w:rPr>
            </w:pPr>
            <w:r>
              <w:rPr>
                <w:color w:val="auto"/>
                <w:szCs w:val="21"/>
              </w:rPr>
              <w:t>单位及数量</w:t>
            </w:r>
          </w:p>
        </w:tc>
        <w:tc>
          <w:tcPr>
            <w:tcW w:w="1260" w:type="dxa"/>
            <w:tcBorders>
              <w:top w:val="single" w:color="auto" w:sz="4" w:space="0"/>
              <w:left w:val="single" w:color="auto" w:sz="4" w:space="0"/>
              <w:bottom w:val="single" w:color="auto" w:sz="4" w:space="0"/>
              <w:right w:val="single" w:color="auto" w:sz="4" w:space="0"/>
            </w:tcBorders>
            <w:vAlign w:val="center"/>
          </w:tcPr>
          <w:p w14:paraId="5266A607">
            <w:pPr>
              <w:jc w:val="center"/>
              <w:rPr>
                <w:color w:val="auto"/>
                <w:szCs w:val="21"/>
              </w:rPr>
            </w:pPr>
            <w:r>
              <w:rPr>
                <w:color w:val="auto"/>
                <w:szCs w:val="21"/>
              </w:rPr>
              <w:t>单价</w:t>
            </w:r>
          </w:p>
        </w:tc>
        <w:tc>
          <w:tcPr>
            <w:tcW w:w="1440" w:type="dxa"/>
            <w:tcBorders>
              <w:top w:val="single" w:color="auto" w:sz="4" w:space="0"/>
              <w:left w:val="single" w:color="auto" w:sz="4" w:space="0"/>
              <w:bottom w:val="single" w:color="auto" w:sz="4" w:space="0"/>
              <w:right w:val="single" w:color="auto" w:sz="4" w:space="0"/>
            </w:tcBorders>
            <w:vAlign w:val="center"/>
          </w:tcPr>
          <w:p w14:paraId="46FC2ADE">
            <w:pPr>
              <w:jc w:val="center"/>
              <w:rPr>
                <w:color w:val="auto"/>
                <w:szCs w:val="21"/>
              </w:rPr>
            </w:pPr>
            <w:r>
              <w:rPr>
                <w:rFonts w:hint="eastAsia"/>
                <w:color w:val="auto"/>
                <w:szCs w:val="21"/>
              </w:rPr>
              <w:t>合计</w:t>
            </w:r>
          </w:p>
        </w:tc>
      </w:tr>
      <w:tr w14:paraId="2809A8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vAlign w:val="center"/>
          </w:tcPr>
          <w:p w14:paraId="0EB57FB5">
            <w:pPr>
              <w:jc w:val="center"/>
              <w:rPr>
                <w:color w:val="auto"/>
                <w:spacing w:val="20"/>
                <w:szCs w:val="21"/>
              </w:rPr>
            </w:pPr>
          </w:p>
        </w:tc>
        <w:tc>
          <w:tcPr>
            <w:tcW w:w="1620" w:type="dxa"/>
            <w:tcBorders>
              <w:top w:val="single" w:color="auto" w:sz="4" w:space="0"/>
              <w:left w:val="single" w:color="auto" w:sz="4" w:space="0"/>
              <w:bottom w:val="single" w:color="auto" w:sz="4" w:space="0"/>
              <w:right w:val="single" w:color="auto" w:sz="4" w:space="0"/>
            </w:tcBorders>
            <w:vAlign w:val="center"/>
          </w:tcPr>
          <w:p w14:paraId="63F107C3">
            <w:pPr>
              <w:jc w:val="center"/>
              <w:rPr>
                <w:color w:val="auto"/>
                <w:spacing w:val="20"/>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30C3A8D8">
            <w:pPr>
              <w:jc w:val="center"/>
              <w:rPr>
                <w:color w:val="auto"/>
                <w:spacing w:val="20"/>
                <w:szCs w:val="21"/>
              </w:rPr>
            </w:pPr>
          </w:p>
        </w:tc>
        <w:tc>
          <w:tcPr>
            <w:tcW w:w="1440" w:type="dxa"/>
            <w:tcBorders>
              <w:top w:val="single" w:color="auto" w:sz="4" w:space="0"/>
              <w:left w:val="single" w:color="auto" w:sz="4" w:space="0"/>
              <w:bottom w:val="single" w:color="auto" w:sz="4" w:space="0"/>
              <w:right w:val="single" w:color="auto" w:sz="4" w:space="0"/>
            </w:tcBorders>
            <w:vAlign w:val="center"/>
          </w:tcPr>
          <w:p w14:paraId="5D313A9D">
            <w:pPr>
              <w:jc w:val="center"/>
              <w:rPr>
                <w:color w:val="auto"/>
                <w:spacing w:val="20"/>
                <w:szCs w:val="21"/>
              </w:rPr>
            </w:pPr>
          </w:p>
        </w:tc>
        <w:tc>
          <w:tcPr>
            <w:tcW w:w="1620" w:type="dxa"/>
            <w:tcBorders>
              <w:top w:val="single" w:color="auto" w:sz="4" w:space="0"/>
              <w:left w:val="single" w:color="auto" w:sz="4" w:space="0"/>
              <w:bottom w:val="single" w:color="auto" w:sz="4" w:space="0"/>
              <w:right w:val="single" w:color="auto" w:sz="4" w:space="0"/>
            </w:tcBorders>
            <w:vAlign w:val="center"/>
          </w:tcPr>
          <w:p w14:paraId="44A27233">
            <w:pPr>
              <w:jc w:val="center"/>
              <w:rPr>
                <w:color w:val="auto"/>
                <w:spacing w:val="2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2703EE36">
            <w:pPr>
              <w:jc w:val="center"/>
              <w:rPr>
                <w:color w:val="auto"/>
                <w:spacing w:val="20"/>
                <w:szCs w:val="21"/>
              </w:rPr>
            </w:pPr>
          </w:p>
        </w:tc>
        <w:tc>
          <w:tcPr>
            <w:tcW w:w="1440" w:type="dxa"/>
            <w:tcBorders>
              <w:top w:val="single" w:color="auto" w:sz="4" w:space="0"/>
              <w:left w:val="single" w:color="auto" w:sz="4" w:space="0"/>
              <w:bottom w:val="single" w:color="auto" w:sz="4" w:space="0"/>
              <w:right w:val="single" w:color="auto" w:sz="4" w:space="0"/>
            </w:tcBorders>
            <w:vAlign w:val="center"/>
          </w:tcPr>
          <w:p w14:paraId="5CD665BB">
            <w:pPr>
              <w:jc w:val="center"/>
              <w:rPr>
                <w:color w:val="auto"/>
                <w:spacing w:val="20"/>
                <w:szCs w:val="21"/>
              </w:rPr>
            </w:pPr>
          </w:p>
        </w:tc>
      </w:tr>
      <w:tr w14:paraId="2E43F1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vAlign w:val="center"/>
          </w:tcPr>
          <w:p w14:paraId="1584A541">
            <w:pPr>
              <w:jc w:val="center"/>
              <w:rPr>
                <w:color w:val="auto"/>
                <w:spacing w:val="20"/>
                <w:szCs w:val="21"/>
              </w:rPr>
            </w:pPr>
          </w:p>
        </w:tc>
        <w:tc>
          <w:tcPr>
            <w:tcW w:w="1620" w:type="dxa"/>
            <w:tcBorders>
              <w:top w:val="single" w:color="auto" w:sz="4" w:space="0"/>
              <w:left w:val="single" w:color="auto" w:sz="4" w:space="0"/>
              <w:bottom w:val="single" w:color="auto" w:sz="4" w:space="0"/>
              <w:right w:val="single" w:color="auto" w:sz="4" w:space="0"/>
            </w:tcBorders>
            <w:vAlign w:val="center"/>
          </w:tcPr>
          <w:p w14:paraId="1CC47439">
            <w:pPr>
              <w:jc w:val="center"/>
              <w:rPr>
                <w:color w:val="auto"/>
                <w:spacing w:val="20"/>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37AB7EBB">
            <w:pPr>
              <w:jc w:val="center"/>
              <w:rPr>
                <w:color w:val="auto"/>
                <w:spacing w:val="20"/>
                <w:szCs w:val="21"/>
              </w:rPr>
            </w:pPr>
          </w:p>
        </w:tc>
        <w:tc>
          <w:tcPr>
            <w:tcW w:w="1440" w:type="dxa"/>
            <w:tcBorders>
              <w:top w:val="single" w:color="auto" w:sz="4" w:space="0"/>
              <w:left w:val="single" w:color="auto" w:sz="4" w:space="0"/>
              <w:bottom w:val="single" w:color="auto" w:sz="4" w:space="0"/>
              <w:right w:val="single" w:color="auto" w:sz="4" w:space="0"/>
            </w:tcBorders>
            <w:vAlign w:val="center"/>
          </w:tcPr>
          <w:p w14:paraId="4929A579">
            <w:pPr>
              <w:jc w:val="center"/>
              <w:rPr>
                <w:color w:val="auto"/>
                <w:spacing w:val="20"/>
                <w:szCs w:val="21"/>
              </w:rPr>
            </w:pPr>
          </w:p>
        </w:tc>
        <w:tc>
          <w:tcPr>
            <w:tcW w:w="1620" w:type="dxa"/>
            <w:tcBorders>
              <w:top w:val="single" w:color="auto" w:sz="4" w:space="0"/>
              <w:left w:val="single" w:color="auto" w:sz="4" w:space="0"/>
              <w:bottom w:val="single" w:color="auto" w:sz="4" w:space="0"/>
              <w:right w:val="single" w:color="auto" w:sz="4" w:space="0"/>
            </w:tcBorders>
            <w:vAlign w:val="center"/>
          </w:tcPr>
          <w:p w14:paraId="5DBDEF1E">
            <w:pPr>
              <w:jc w:val="center"/>
              <w:rPr>
                <w:color w:val="auto"/>
                <w:spacing w:val="2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5A8B3BC5">
            <w:pPr>
              <w:jc w:val="center"/>
              <w:rPr>
                <w:color w:val="auto"/>
                <w:spacing w:val="20"/>
                <w:szCs w:val="21"/>
              </w:rPr>
            </w:pPr>
          </w:p>
        </w:tc>
        <w:tc>
          <w:tcPr>
            <w:tcW w:w="1440" w:type="dxa"/>
            <w:tcBorders>
              <w:top w:val="single" w:color="auto" w:sz="4" w:space="0"/>
              <w:left w:val="single" w:color="auto" w:sz="4" w:space="0"/>
              <w:bottom w:val="single" w:color="auto" w:sz="4" w:space="0"/>
              <w:right w:val="single" w:color="auto" w:sz="4" w:space="0"/>
            </w:tcBorders>
            <w:vAlign w:val="center"/>
          </w:tcPr>
          <w:p w14:paraId="2A80E7A8">
            <w:pPr>
              <w:jc w:val="center"/>
              <w:rPr>
                <w:color w:val="auto"/>
                <w:spacing w:val="20"/>
                <w:szCs w:val="21"/>
              </w:rPr>
            </w:pPr>
          </w:p>
        </w:tc>
      </w:tr>
      <w:tr w14:paraId="3AC74C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vAlign w:val="center"/>
          </w:tcPr>
          <w:p w14:paraId="7FA2C9AE">
            <w:pPr>
              <w:jc w:val="center"/>
              <w:rPr>
                <w:color w:val="auto"/>
                <w:spacing w:val="20"/>
                <w:szCs w:val="21"/>
              </w:rPr>
            </w:pPr>
          </w:p>
        </w:tc>
        <w:tc>
          <w:tcPr>
            <w:tcW w:w="1620" w:type="dxa"/>
            <w:tcBorders>
              <w:top w:val="single" w:color="auto" w:sz="4" w:space="0"/>
              <w:left w:val="single" w:color="auto" w:sz="4" w:space="0"/>
              <w:bottom w:val="single" w:color="auto" w:sz="4" w:space="0"/>
              <w:right w:val="single" w:color="auto" w:sz="4" w:space="0"/>
            </w:tcBorders>
            <w:vAlign w:val="center"/>
          </w:tcPr>
          <w:p w14:paraId="232017F7">
            <w:pPr>
              <w:jc w:val="center"/>
              <w:rPr>
                <w:color w:val="auto"/>
                <w:spacing w:val="20"/>
                <w:szCs w:val="21"/>
              </w:rPr>
            </w:pPr>
            <w:r>
              <w:rPr>
                <w:color w:val="auto"/>
                <w:spacing w:val="20"/>
                <w:szCs w:val="21"/>
              </w:rPr>
              <w:t>……</w:t>
            </w:r>
          </w:p>
        </w:tc>
        <w:tc>
          <w:tcPr>
            <w:tcW w:w="1080" w:type="dxa"/>
            <w:tcBorders>
              <w:top w:val="single" w:color="auto" w:sz="4" w:space="0"/>
              <w:left w:val="single" w:color="auto" w:sz="4" w:space="0"/>
              <w:bottom w:val="single" w:color="auto" w:sz="4" w:space="0"/>
              <w:right w:val="single" w:color="auto" w:sz="4" w:space="0"/>
            </w:tcBorders>
            <w:vAlign w:val="center"/>
          </w:tcPr>
          <w:p w14:paraId="21442D08">
            <w:pPr>
              <w:jc w:val="center"/>
              <w:rPr>
                <w:color w:val="auto"/>
                <w:spacing w:val="20"/>
                <w:szCs w:val="21"/>
              </w:rPr>
            </w:pPr>
          </w:p>
        </w:tc>
        <w:tc>
          <w:tcPr>
            <w:tcW w:w="1440" w:type="dxa"/>
            <w:tcBorders>
              <w:top w:val="single" w:color="auto" w:sz="4" w:space="0"/>
              <w:left w:val="single" w:color="auto" w:sz="4" w:space="0"/>
              <w:bottom w:val="single" w:color="auto" w:sz="4" w:space="0"/>
              <w:right w:val="single" w:color="auto" w:sz="4" w:space="0"/>
            </w:tcBorders>
            <w:vAlign w:val="center"/>
          </w:tcPr>
          <w:p w14:paraId="4F805EA0">
            <w:pPr>
              <w:jc w:val="center"/>
              <w:rPr>
                <w:color w:val="auto"/>
                <w:spacing w:val="20"/>
                <w:szCs w:val="21"/>
              </w:rPr>
            </w:pPr>
          </w:p>
        </w:tc>
        <w:tc>
          <w:tcPr>
            <w:tcW w:w="1620" w:type="dxa"/>
            <w:tcBorders>
              <w:top w:val="single" w:color="auto" w:sz="4" w:space="0"/>
              <w:left w:val="single" w:color="auto" w:sz="4" w:space="0"/>
              <w:bottom w:val="single" w:color="auto" w:sz="4" w:space="0"/>
              <w:right w:val="single" w:color="auto" w:sz="4" w:space="0"/>
            </w:tcBorders>
            <w:vAlign w:val="center"/>
          </w:tcPr>
          <w:p w14:paraId="0ABB0E59">
            <w:pPr>
              <w:jc w:val="center"/>
              <w:rPr>
                <w:color w:val="auto"/>
                <w:spacing w:val="2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4522273A">
            <w:pPr>
              <w:jc w:val="center"/>
              <w:rPr>
                <w:color w:val="auto"/>
                <w:spacing w:val="20"/>
                <w:szCs w:val="21"/>
              </w:rPr>
            </w:pPr>
          </w:p>
        </w:tc>
        <w:tc>
          <w:tcPr>
            <w:tcW w:w="1440" w:type="dxa"/>
            <w:tcBorders>
              <w:top w:val="single" w:color="auto" w:sz="4" w:space="0"/>
              <w:left w:val="single" w:color="auto" w:sz="4" w:space="0"/>
              <w:bottom w:val="single" w:color="auto" w:sz="4" w:space="0"/>
              <w:right w:val="single" w:color="auto" w:sz="4" w:space="0"/>
            </w:tcBorders>
            <w:vAlign w:val="center"/>
          </w:tcPr>
          <w:p w14:paraId="4A47AD11">
            <w:pPr>
              <w:jc w:val="center"/>
              <w:rPr>
                <w:color w:val="auto"/>
                <w:spacing w:val="20"/>
                <w:szCs w:val="21"/>
              </w:rPr>
            </w:pPr>
          </w:p>
        </w:tc>
      </w:tr>
    </w:tbl>
    <w:p w14:paraId="0AD196B8">
      <w:pPr>
        <w:rPr>
          <w:color w:val="auto"/>
          <w:spacing w:val="20"/>
          <w:szCs w:val="21"/>
          <w:u w:val="single"/>
        </w:rPr>
      </w:pPr>
    </w:p>
    <w:p w14:paraId="258FD93A">
      <w:pPr>
        <w:spacing w:line="360" w:lineRule="auto"/>
        <w:rPr>
          <w:color w:val="auto"/>
          <w:spacing w:val="20"/>
          <w:szCs w:val="21"/>
        </w:rPr>
      </w:pPr>
    </w:p>
    <w:p w14:paraId="1A8D4B62">
      <w:pPr>
        <w:pStyle w:val="17"/>
        <w:rPr>
          <w:color w:val="auto"/>
        </w:rPr>
      </w:pPr>
      <w:bookmarkStart w:id="179" w:name="_Hlk88990717"/>
      <w:r>
        <w:rPr>
          <w:color w:val="auto"/>
          <w:szCs w:val="21"/>
        </w:rPr>
        <w:t>注：</w:t>
      </w:r>
      <w:r>
        <w:rPr>
          <w:rFonts w:hint="eastAsia"/>
          <w:color w:val="auto"/>
          <w:szCs w:val="21"/>
        </w:rPr>
        <w:t>本表如</w:t>
      </w:r>
      <w:r>
        <w:rPr>
          <w:rFonts w:hint="eastAsia"/>
          <w:color w:val="auto"/>
        </w:rPr>
        <w:t>与政采云平台不一致的，以政采云平台为准。</w:t>
      </w:r>
    </w:p>
    <w:p w14:paraId="3991A2C1">
      <w:pPr>
        <w:jc w:val="left"/>
        <w:rPr>
          <w:color w:val="auto"/>
          <w:szCs w:val="21"/>
        </w:rPr>
      </w:pPr>
    </w:p>
    <w:p w14:paraId="231D89C7">
      <w:pPr>
        <w:spacing w:line="360" w:lineRule="auto"/>
        <w:rPr>
          <w:color w:val="auto"/>
          <w:spacing w:val="20"/>
          <w:szCs w:val="21"/>
        </w:rPr>
      </w:pPr>
    </w:p>
    <w:p w14:paraId="3F3B4B98">
      <w:pPr>
        <w:spacing w:line="360" w:lineRule="auto"/>
        <w:rPr>
          <w:color w:val="auto"/>
          <w:szCs w:val="21"/>
        </w:rPr>
      </w:pPr>
      <w:r>
        <w:rPr>
          <w:color w:val="auto"/>
          <w:szCs w:val="21"/>
        </w:rPr>
        <w:t>供应商名称（</w:t>
      </w:r>
      <w:r>
        <w:rPr>
          <w:rFonts w:hint="eastAsia"/>
          <w:color w:val="auto"/>
          <w:szCs w:val="21"/>
        </w:rPr>
        <w:t>电子签章</w:t>
      </w:r>
      <w:r>
        <w:rPr>
          <w:color w:val="auto"/>
          <w:szCs w:val="21"/>
        </w:rPr>
        <w:t>）：</w:t>
      </w:r>
      <w:r>
        <w:rPr>
          <w:color w:val="auto"/>
          <w:szCs w:val="21"/>
          <w:u w:val="single"/>
        </w:rPr>
        <w:t xml:space="preserve">                          </w:t>
      </w:r>
    </w:p>
    <w:p w14:paraId="60CFD7D0">
      <w:pPr>
        <w:spacing w:line="360" w:lineRule="auto"/>
        <w:rPr>
          <w:color w:val="auto"/>
          <w:spacing w:val="20"/>
          <w:szCs w:val="21"/>
          <w:u w:val="single"/>
        </w:rPr>
      </w:pPr>
      <w:r>
        <w:rPr>
          <w:color w:val="auto"/>
          <w:szCs w:val="21"/>
        </w:rPr>
        <w:t>日  期：：</w:t>
      </w:r>
      <w:r>
        <w:rPr>
          <w:color w:val="auto"/>
          <w:szCs w:val="21"/>
          <w:u w:val="single"/>
        </w:rPr>
        <w:t xml:space="preserve">         </w:t>
      </w:r>
      <w:r>
        <w:rPr>
          <w:color w:val="auto"/>
          <w:szCs w:val="21"/>
        </w:rPr>
        <w:t>年</w:t>
      </w:r>
      <w:r>
        <w:rPr>
          <w:color w:val="auto"/>
          <w:szCs w:val="21"/>
          <w:u w:val="single"/>
        </w:rPr>
        <w:t xml:space="preserve">   </w:t>
      </w:r>
      <w:r>
        <w:rPr>
          <w:color w:val="auto"/>
          <w:szCs w:val="21"/>
        </w:rPr>
        <w:t>月</w:t>
      </w:r>
      <w:r>
        <w:rPr>
          <w:color w:val="auto"/>
          <w:szCs w:val="21"/>
          <w:u w:val="single"/>
        </w:rPr>
        <w:t xml:space="preserve">   </w:t>
      </w:r>
      <w:r>
        <w:rPr>
          <w:color w:val="auto"/>
          <w:szCs w:val="21"/>
        </w:rPr>
        <w:t xml:space="preserve">日 </w:t>
      </w:r>
    </w:p>
    <w:bookmarkEnd w:id="179"/>
    <w:p w14:paraId="20973F59">
      <w:pPr>
        <w:snapToGrid w:val="0"/>
        <w:spacing w:before="50" w:after="120" w:afterLines="50"/>
        <w:jc w:val="left"/>
        <w:rPr>
          <w:color w:val="auto"/>
          <w:szCs w:val="21"/>
        </w:rPr>
      </w:pPr>
      <w:r>
        <w:rPr>
          <w:color w:val="auto"/>
          <w:szCs w:val="21"/>
        </w:rPr>
        <w:br w:type="page"/>
      </w:r>
      <w:bookmarkStart w:id="180" w:name="_Hlk19115862"/>
      <w:r>
        <w:rPr>
          <w:color w:val="auto"/>
          <w:szCs w:val="21"/>
        </w:rPr>
        <w:t>3．过低报价合理性的说明。（如有）</w:t>
      </w:r>
    </w:p>
    <w:p w14:paraId="65660BAD">
      <w:pPr>
        <w:spacing w:line="360" w:lineRule="auto"/>
        <w:ind w:firstLine="420" w:firstLineChars="200"/>
        <w:rPr>
          <w:color w:val="auto"/>
          <w:szCs w:val="21"/>
        </w:rPr>
      </w:pPr>
      <w:r>
        <w:rPr>
          <w:color w:val="auto"/>
          <w:szCs w:val="21"/>
        </w:rPr>
        <w:t>评审委员会认为供应商的报价明显低于其他通过符合性审查供应商报价的，供应商将被要求以书面方式提供</w:t>
      </w:r>
      <w:r>
        <w:rPr>
          <w:rFonts w:hint="eastAsia"/>
          <w:color w:val="auto"/>
          <w:szCs w:val="21"/>
        </w:rPr>
        <w:t>说明</w:t>
      </w:r>
      <w:r>
        <w:rPr>
          <w:color w:val="auto"/>
          <w:szCs w:val="21"/>
        </w:rPr>
        <w:t>。为避免在评审现场因未能及时提供说明而导致被评审委员会作为无效投标，供应商</w:t>
      </w:r>
      <w:r>
        <w:rPr>
          <w:rFonts w:hint="eastAsia"/>
          <w:color w:val="auto"/>
        </w:rPr>
        <w:t>自行决定是否</w:t>
      </w:r>
      <w:r>
        <w:rPr>
          <w:color w:val="auto"/>
          <w:kern w:val="1"/>
          <w:szCs w:val="21"/>
        </w:rPr>
        <w:t>直接在</w:t>
      </w:r>
      <w:r>
        <w:rPr>
          <w:color w:val="auto"/>
          <w:szCs w:val="21"/>
        </w:rPr>
        <w:t>此处</w:t>
      </w:r>
      <w:r>
        <w:rPr>
          <w:rFonts w:hint="eastAsia"/>
          <w:color w:val="auto"/>
          <w:szCs w:val="21"/>
        </w:rPr>
        <w:t>进行陈述</w:t>
      </w:r>
      <w:r>
        <w:rPr>
          <w:color w:val="auto"/>
          <w:szCs w:val="21"/>
        </w:rPr>
        <w:t>。格式自拟。</w:t>
      </w:r>
      <w:r>
        <w:rPr>
          <w:rFonts w:hint="eastAsia"/>
          <w:color w:val="auto"/>
          <w:szCs w:val="21"/>
        </w:rPr>
        <w:t>（</w:t>
      </w:r>
      <w:r>
        <w:rPr>
          <w:rFonts w:hint="eastAsia"/>
          <w:color w:val="auto"/>
          <w:kern w:val="1"/>
          <w:szCs w:val="21"/>
        </w:rPr>
        <w:t>具体要求详见第四章评审方法及标准“过低报价合理性的审查”</w:t>
      </w:r>
      <w:r>
        <w:rPr>
          <w:rFonts w:hint="eastAsia"/>
          <w:color w:val="auto"/>
          <w:szCs w:val="21"/>
        </w:rPr>
        <w:t>）</w:t>
      </w:r>
    </w:p>
    <w:bookmarkEnd w:id="180"/>
    <w:p w14:paraId="16DADD97">
      <w:pPr>
        <w:widowControl/>
        <w:jc w:val="left"/>
        <w:rPr>
          <w:color w:val="auto"/>
          <w:szCs w:val="21"/>
        </w:rPr>
      </w:pPr>
      <w:r>
        <w:rPr>
          <w:color w:val="auto"/>
          <w:szCs w:val="21"/>
        </w:rPr>
        <w:br w:type="page"/>
      </w:r>
    </w:p>
    <w:p w14:paraId="6573B95A">
      <w:pPr>
        <w:snapToGrid w:val="0"/>
        <w:spacing w:before="120" w:beforeLines="50" w:after="50" w:line="440" w:lineRule="exact"/>
        <w:jc w:val="left"/>
        <w:outlineLvl w:val="1"/>
        <w:rPr>
          <w:color w:val="auto"/>
          <w:szCs w:val="21"/>
        </w:rPr>
      </w:pPr>
      <w:bookmarkStart w:id="181" w:name="_Hlk19115874"/>
      <w:bookmarkStart w:id="182" w:name="_Hlk132793601"/>
      <w:r>
        <w:rPr>
          <w:color w:val="auto"/>
          <w:szCs w:val="21"/>
        </w:rPr>
        <w:t>4．</w:t>
      </w:r>
      <w:r>
        <w:rPr>
          <w:rFonts w:hint="eastAsia"/>
          <w:color w:val="auto"/>
          <w:szCs w:val="21"/>
        </w:rPr>
        <w:t>其他文书格式</w:t>
      </w:r>
    </w:p>
    <w:p w14:paraId="239AA72F">
      <w:pPr>
        <w:rPr>
          <w:color w:val="auto"/>
          <w:szCs w:val="21"/>
        </w:rPr>
      </w:pPr>
      <w:r>
        <w:rPr>
          <w:color w:val="auto"/>
          <w:szCs w:val="21"/>
        </w:rPr>
        <w:t>4.1</w:t>
      </w:r>
      <w:r>
        <w:rPr>
          <w:rFonts w:hint="eastAsia"/>
          <w:bCs/>
          <w:color w:val="auto"/>
          <w:szCs w:val="21"/>
        </w:rPr>
        <w:t>中小企业声明函</w:t>
      </w:r>
      <w:r>
        <w:rPr>
          <w:color w:val="auto"/>
          <w:szCs w:val="21"/>
        </w:rPr>
        <w:t>。</w:t>
      </w:r>
    </w:p>
    <w:bookmarkEnd w:id="181"/>
    <w:p w14:paraId="7F0C88B7">
      <w:pPr>
        <w:spacing w:line="360" w:lineRule="auto"/>
        <w:ind w:firstLine="3584" w:firstLineChars="1700"/>
        <w:rPr>
          <w:b/>
          <w:color w:val="auto"/>
          <w:szCs w:val="21"/>
        </w:rPr>
      </w:pPr>
      <w:bookmarkStart w:id="183" w:name="_Hlk60651253"/>
    </w:p>
    <w:p w14:paraId="1EE5E219">
      <w:pPr>
        <w:spacing w:line="360" w:lineRule="auto"/>
        <w:ind w:firstLine="3584" w:firstLineChars="1700"/>
        <w:rPr>
          <w:b/>
          <w:color w:val="auto"/>
          <w:szCs w:val="21"/>
        </w:rPr>
      </w:pPr>
      <w:bookmarkStart w:id="184" w:name="_Hlk60653683"/>
      <w:bookmarkStart w:id="185" w:name="_Hlk60649458"/>
      <w:r>
        <w:rPr>
          <w:rFonts w:hint="eastAsia"/>
          <w:b/>
          <w:color w:val="auto"/>
          <w:szCs w:val="21"/>
        </w:rPr>
        <w:t>中小企业声明函（货物）</w:t>
      </w:r>
    </w:p>
    <w:p w14:paraId="741F983E">
      <w:pPr>
        <w:spacing w:line="360" w:lineRule="auto"/>
        <w:ind w:firstLine="420"/>
        <w:rPr>
          <w:bCs/>
          <w:color w:val="auto"/>
          <w:szCs w:val="21"/>
        </w:rPr>
      </w:pPr>
      <w:r>
        <w:rPr>
          <w:rFonts w:hint="eastAsia"/>
          <w:bCs/>
          <w:color w:val="auto"/>
          <w:szCs w:val="21"/>
        </w:rPr>
        <w:t>本公司（联合体）郑重声明，根据《政府采购促进中小企业发展管理办法》（财库﹝2020﹞46 号）的规定，本公司（联合体）参加</w:t>
      </w:r>
      <w:r>
        <w:rPr>
          <w:rFonts w:hint="eastAsia"/>
          <w:bCs/>
          <w:color w:val="auto"/>
          <w:szCs w:val="21"/>
          <w:u w:val="single"/>
        </w:rPr>
        <w:t>（单位名称）</w:t>
      </w:r>
      <w:r>
        <w:rPr>
          <w:rFonts w:hint="eastAsia"/>
          <w:bCs/>
          <w:color w:val="auto"/>
          <w:szCs w:val="21"/>
        </w:rPr>
        <w:t>的</w:t>
      </w:r>
      <w:r>
        <w:rPr>
          <w:rFonts w:hint="eastAsia"/>
          <w:bCs/>
          <w:color w:val="auto"/>
          <w:szCs w:val="21"/>
          <w:u w:val="single"/>
        </w:rPr>
        <w:t>（项目名称）</w:t>
      </w:r>
      <w:r>
        <w:rPr>
          <w:rFonts w:hint="eastAsia"/>
          <w:bCs/>
          <w:color w:val="auto"/>
          <w:szCs w:val="21"/>
        </w:rPr>
        <w:t>采购活动，提供的货物全部由符合政策要求的中小企业制造。相关企业（含联合体中的中小企业、签订分包意向协议的中小企业） 的具体情况如下：</w:t>
      </w:r>
    </w:p>
    <w:p w14:paraId="7B208771">
      <w:pPr>
        <w:spacing w:line="360" w:lineRule="auto"/>
        <w:ind w:firstLine="420"/>
        <w:rPr>
          <w:bCs/>
          <w:color w:val="auto"/>
          <w:szCs w:val="21"/>
        </w:rPr>
      </w:pPr>
      <w:r>
        <w:rPr>
          <w:bCs/>
          <w:color w:val="auto"/>
          <w:szCs w:val="21"/>
        </w:rPr>
        <w:t>1.</w:t>
      </w:r>
      <w:r>
        <w:rPr>
          <w:rFonts w:hint="eastAsia"/>
          <w:bCs/>
          <w:color w:val="auto"/>
          <w:szCs w:val="21"/>
          <w:u w:val="single"/>
        </w:rPr>
        <w:t>（标的名称）</w:t>
      </w:r>
      <w:r>
        <w:rPr>
          <w:rFonts w:hint="eastAsia"/>
          <w:bCs/>
          <w:color w:val="auto"/>
          <w:szCs w:val="21"/>
        </w:rPr>
        <w:t>，属于</w:t>
      </w:r>
      <w:r>
        <w:rPr>
          <w:rFonts w:hint="eastAsia"/>
          <w:bCs/>
          <w:color w:val="auto"/>
          <w:szCs w:val="21"/>
          <w:u w:val="single"/>
        </w:rPr>
        <w:t>（招标文件中明确的所属行业）</w:t>
      </w:r>
      <w:r>
        <w:rPr>
          <w:rFonts w:hint="eastAsia"/>
          <w:bCs/>
          <w:color w:val="auto"/>
          <w:szCs w:val="21"/>
        </w:rPr>
        <w:t>行业；制造商为</w:t>
      </w:r>
      <w:r>
        <w:rPr>
          <w:rFonts w:hint="eastAsia"/>
          <w:bCs/>
          <w:color w:val="auto"/>
          <w:szCs w:val="21"/>
          <w:u w:val="single"/>
        </w:rPr>
        <w:t>（企业名称）</w:t>
      </w:r>
      <w:r>
        <w:rPr>
          <w:rFonts w:hint="eastAsia"/>
          <w:bCs/>
          <w:color w:val="auto"/>
          <w:szCs w:val="21"/>
        </w:rPr>
        <w:t>，从业人员</w:t>
      </w:r>
      <w:r>
        <w:rPr>
          <w:bCs/>
          <w:color w:val="auto"/>
          <w:szCs w:val="21"/>
          <w:u w:val="single"/>
        </w:rPr>
        <w:t xml:space="preserve">    </w:t>
      </w:r>
      <w:r>
        <w:rPr>
          <w:rFonts w:hint="eastAsia"/>
          <w:bCs/>
          <w:color w:val="auto"/>
          <w:szCs w:val="21"/>
        </w:rPr>
        <w:t>人，营业收入为</w:t>
      </w:r>
      <w:r>
        <w:rPr>
          <w:rFonts w:hint="eastAsia"/>
          <w:bCs/>
          <w:color w:val="auto"/>
          <w:szCs w:val="21"/>
          <w:u w:val="single"/>
        </w:rPr>
        <w:t xml:space="preserve"> </w:t>
      </w:r>
      <w:r>
        <w:rPr>
          <w:bCs/>
          <w:color w:val="auto"/>
          <w:szCs w:val="21"/>
          <w:u w:val="single"/>
        </w:rPr>
        <w:t xml:space="preserve">  </w:t>
      </w:r>
      <w:r>
        <w:rPr>
          <w:rFonts w:hint="eastAsia"/>
          <w:bCs/>
          <w:color w:val="auto"/>
          <w:szCs w:val="21"/>
          <w:u w:val="single"/>
        </w:rPr>
        <w:t xml:space="preserve"> </w:t>
      </w:r>
      <w:r>
        <w:rPr>
          <w:rFonts w:hint="eastAsia"/>
          <w:bCs/>
          <w:color w:val="auto"/>
          <w:szCs w:val="21"/>
        </w:rPr>
        <w:t>万元，资产总额为</w:t>
      </w:r>
      <w:r>
        <w:rPr>
          <w:rFonts w:hint="eastAsia"/>
          <w:bCs/>
          <w:color w:val="auto"/>
          <w:szCs w:val="21"/>
          <w:u w:val="single"/>
        </w:rPr>
        <w:t xml:space="preserve">    </w:t>
      </w:r>
      <w:r>
        <w:rPr>
          <w:rFonts w:hint="eastAsia"/>
          <w:bCs/>
          <w:color w:val="auto"/>
          <w:szCs w:val="21"/>
        </w:rPr>
        <w:t>万元，属于</w:t>
      </w:r>
      <w:r>
        <w:rPr>
          <w:rFonts w:hint="eastAsia"/>
          <w:bCs/>
          <w:color w:val="auto"/>
          <w:szCs w:val="21"/>
          <w:u w:val="single"/>
        </w:rPr>
        <w:t>（中型企业、小型企业、微型企业）</w:t>
      </w:r>
      <w:r>
        <w:rPr>
          <w:rFonts w:hint="eastAsia"/>
          <w:bCs/>
          <w:color w:val="auto"/>
          <w:szCs w:val="21"/>
        </w:rPr>
        <w:t>；</w:t>
      </w:r>
    </w:p>
    <w:p w14:paraId="29F9033F">
      <w:pPr>
        <w:spacing w:line="360" w:lineRule="auto"/>
        <w:ind w:firstLine="420"/>
        <w:rPr>
          <w:bCs/>
          <w:color w:val="auto"/>
          <w:szCs w:val="21"/>
        </w:rPr>
      </w:pPr>
      <w:r>
        <w:rPr>
          <w:bCs/>
          <w:color w:val="auto"/>
          <w:szCs w:val="21"/>
        </w:rPr>
        <w:t>2.</w:t>
      </w:r>
      <w:r>
        <w:rPr>
          <w:rFonts w:hint="eastAsia"/>
          <w:bCs/>
          <w:color w:val="auto"/>
          <w:szCs w:val="21"/>
          <w:u w:val="single"/>
        </w:rPr>
        <w:t>（标的名称）</w:t>
      </w:r>
      <w:r>
        <w:rPr>
          <w:rFonts w:hint="eastAsia"/>
          <w:bCs/>
          <w:color w:val="auto"/>
          <w:szCs w:val="21"/>
        </w:rPr>
        <w:t>，属于</w:t>
      </w:r>
      <w:r>
        <w:rPr>
          <w:rFonts w:hint="eastAsia"/>
          <w:bCs/>
          <w:color w:val="auto"/>
          <w:szCs w:val="21"/>
          <w:u w:val="single"/>
        </w:rPr>
        <w:t>（招标文件中明确的所属行业）</w:t>
      </w:r>
      <w:r>
        <w:rPr>
          <w:rFonts w:hint="eastAsia"/>
          <w:bCs/>
          <w:color w:val="auto"/>
          <w:szCs w:val="21"/>
        </w:rPr>
        <w:t>行业；制造商为</w:t>
      </w:r>
      <w:r>
        <w:rPr>
          <w:rFonts w:hint="eastAsia"/>
          <w:bCs/>
          <w:color w:val="auto"/>
          <w:szCs w:val="21"/>
          <w:u w:val="single"/>
        </w:rPr>
        <w:t>（企业名称）</w:t>
      </w:r>
      <w:r>
        <w:rPr>
          <w:rFonts w:hint="eastAsia"/>
          <w:bCs/>
          <w:color w:val="auto"/>
          <w:szCs w:val="21"/>
        </w:rPr>
        <w:t>，从业人员</w:t>
      </w:r>
      <w:r>
        <w:rPr>
          <w:rFonts w:hint="eastAsia"/>
          <w:bCs/>
          <w:color w:val="auto"/>
          <w:szCs w:val="21"/>
          <w:u w:val="single"/>
        </w:rPr>
        <w:t xml:space="preserve">       </w:t>
      </w:r>
      <w:r>
        <w:rPr>
          <w:rFonts w:hint="eastAsia"/>
          <w:bCs/>
          <w:color w:val="auto"/>
          <w:szCs w:val="21"/>
        </w:rPr>
        <w:t>人，营业收入为</w:t>
      </w:r>
      <w:r>
        <w:rPr>
          <w:rFonts w:hint="eastAsia"/>
          <w:bCs/>
          <w:color w:val="auto"/>
          <w:szCs w:val="21"/>
          <w:u w:val="single"/>
        </w:rPr>
        <w:t xml:space="preserve">     </w:t>
      </w:r>
      <w:r>
        <w:rPr>
          <w:rFonts w:hint="eastAsia"/>
          <w:bCs/>
          <w:color w:val="auto"/>
          <w:szCs w:val="21"/>
        </w:rPr>
        <w:t>万元，资产总额为</w:t>
      </w:r>
      <w:r>
        <w:rPr>
          <w:rFonts w:hint="eastAsia"/>
          <w:bCs/>
          <w:color w:val="auto"/>
          <w:szCs w:val="21"/>
          <w:u w:val="single"/>
        </w:rPr>
        <w:t xml:space="preserve"> </w:t>
      </w:r>
      <w:r>
        <w:rPr>
          <w:bCs/>
          <w:color w:val="auto"/>
          <w:szCs w:val="21"/>
          <w:u w:val="single"/>
        </w:rPr>
        <w:t xml:space="preserve">     </w:t>
      </w:r>
      <w:r>
        <w:rPr>
          <w:rFonts w:hint="eastAsia"/>
          <w:bCs/>
          <w:color w:val="auto"/>
          <w:szCs w:val="21"/>
          <w:u w:val="single"/>
        </w:rPr>
        <w:t xml:space="preserve"> </w:t>
      </w:r>
      <w:r>
        <w:rPr>
          <w:rFonts w:hint="eastAsia"/>
          <w:bCs/>
          <w:color w:val="auto"/>
          <w:szCs w:val="21"/>
        </w:rPr>
        <w:t>万元，属于</w:t>
      </w:r>
      <w:r>
        <w:rPr>
          <w:rFonts w:hint="eastAsia"/>
          <w:bCs/>
          <w:color w:val="auto"/>
          <w:szCs w:val="21"/>
          <w:u w:val="single"/>
        </w:rPr>
        <w:t>（中型企业、小型企业、微型企业）</w:t>
      </w:r>
      <w:r>
        <w:rPr>
          <w:rFonts w:hint="eastAsia"/>
          <w:bCs/>
          <w:color w:val="auto"/>
          <w:szCs w:val="21"/>
        </w:rPr>
        <w:t>；</w:t>
      </w:r>
    </w:p>
    <w:p w14:paraId="50FE51D7">
      <w:pPr>
        <w:spacing w:line="360" w:lineRule="auto"/>
        <w:ind w:firstLine="420"/>
        <w:rPr>
          <w:bCs/>
          <w:color w:val="auto"/>
          <w:szCs w:val="21"/>
        </w:rPr>
      </w:pPr>
      <w:r>
        <w:rPr>
          <w:rFonts w:hint="eastAsia"/>
          <w:bCs/>
          <w:color w:val="auto"/>
          <w:szCs w:val="21"/>
        </w:rPr>
        <w:t>……</w:t>
      </w:r>
    </w:p>
    <w:p w14:paraId="479689A9">
      <w:pPr>
        <w:spacing w:line="360" w:lineRule="auto"/>
        <w:ind w:firstLine="420"/>
        <w:rPr>
          <w:bCs/>
          <w:color w:val="auto"/>
          <w:szCs w:val="21"/>
        </w:rPr>
      </w:pPr>
      <w:r>
        <w:rPr>
          <w:rFonts w:hint="eastAsia"/>
          <w:bCs/>
          <w:color w:val="auto"/>
          <w:szCs w:val="21"/>
        </w:rPr>
        <w:t>以上企业，不属于大企业的分支机构，不存在控股股东为大企业的情形，也不存在与大企业的负责人为同一人的情形。</w:t>
      </w:r>
    </w:p>
    <w:p w14:paraId="752BE917">
      <w:pPr>
        <w:spacing w:line="360" w:lineRule="auto"/>
        <w:ind w:firstLine="420"/>
        <w:rPr>
          <w:bCs/>
          <w:color w:val="auto"/>
          <w:szCs w:val="21"/>
        </w:rPr>
      </w:pPr>
      <w:r>
        <w:rPr>
          <w:rFonts w:hint="eastAsia"/>
          <w:bCs/>
          <w:color w:val="auto"/>
          <w:szCs w:val="21"/>
        </w:rPr>
        <w:t>本企业对上述声明内容的真实性负责。如有虚假，将依法承担相应责任。</w:t>
      </w:r>
    </w:p>
    <w:p w14:paraId="309A093F">
      <w:pPr>
        <w:spacing w:line="360" w:lineRule="auto"/>
        <w:ind w:firstLine="3150" w:firstLineChars="1500"/>
        <w:rPr>
          <w:bCs/>
          <w:color w:val="auto"/>
          <w:szCs w:val="21"/>
        </w:rPr>
      </w:pPr>
      <w:r>
        <w:rPr>
          <w:rFonts w:hint="eastAsia"/>
          <w:bCs/>
          <w:color w:val="auto"/>
          <w:szCs w:val="21"/>
        </w:rPr>
        <w:t>企业名称</w:t>
      </w:r>
      <w:r>
        <w:rPr>
          <w:rFonts w:hint="eastAsia"/>
          <w:color w:val="auto"/>
          <w:szCs w:val="21"/>
        </w:rPr>
        <w:t xml:space="preserve"> (电子签章</w:t>
      </w:r>
      <w:r>
        <w:rPr>
          <w:color w:val="auto"/>
          <w:szCs w:val="21"/>
        </w:rPr>
        <w:t>)</w:t>
      </w:r>
      <w:r>
        <w:rPr>
          <w:rFonts w:hint="eastAsia"/>
          <w:bCs/>
          <w:color w:val="auto"/>
          <w:szCs w:val="21"/>
        </w:rPr>
        <w:t xml:space="preserve">： </w:t>
      </w:r>
      <w:r>
        <w:rPr>
          <w:bCs/>
          <w:color w:val="auto"/>
          <w:szCs w:val="21"/>
        </w:rPr>
        <w:t xml:space="preserve">   </w:t>
      </w:r>
      <w:r>
        <w:rPr>
          <w:rFonts w:hint="eastAsia"/>
          <w:bCs/>
          <w:color w:val="auto"/>
          <w:szCs w:val="21"/>
        </w:rPr>
        <w:t>日期：</w:t>
      </w:r>
    </w:p>
    <w:p w14:paraId="20619353">
      <w:pPr>
        <w:spacing w:line="360" w:lineRule="auto"/>
        <w:jc w:val="left"/>
        <w:rPr>
          <w:bCs/>
          <w:color w:val="auto"/>
          <w:szCs w:val="21"/>
        </w:rPr>
      </w:pPr>
      <w:bookmarkStart w:id="186" w:name="_Hlk65852026"/>
      <w:r>
        <w:rPr>
          <w:rFonts w:hint="eastAsia"/>
          <w:bCs/>
          <w:color w:val="auto"/>
          <w:szCs w:val="21"/>
        </w:rPr>
        <w:t>注：</w:t>
      </w:r>
    </w:p>
    <w:bookmarkEnd w:id="183"/>
    <w:bookmarkEnd w:id="184"/>
    <w:bookmarkEnd w:id="185"/>
    <w:bookmarkEnd w:id="186"/>
    <w:p w14:paraId="5A5D9E09">
      <w:pPr>
        <w:spacing w:line="360" w:lineRule="auto"/>
        <w:jc w:val="left"/>
        <w:rPr>
          <w:bCs/>
          <w:color w:val="auto"/>
          <w:szCs w:val="21"/>
        </w:rPr>
      </w:pPr>
      <w:bookmarkStart w:id="187" w:name="_Hlk19115884"/>
      <w:r>
        <w:rPr>
          <w:rFonts w:hint="eastAsia"/>
          <w:bCs/>
          <w:color w:val="auto"/>
          <w:szCs w:val="21"/>
        </w:rPr>
        <w:t>（1）标的名称按照第二章采购需求一览表中的货物名称填写，</w:t>
      </w:r>
      <w:r>
        <w:rPr>
          <w:color w:val="auto"/>
          <w:szCs w:val="21"/>
        </w:rPr>
        <w:t>所属行业标明“/”的</w:t>
      </w:r>
      <w:r>
        <w:rPr>
          <w:rFonts w:hint="eastAsia"/>
          <w:bCs/>
          <w:color w:val="auto"/>
          <w:szCs w:val="21"/>
        </w:rPr>
        <w:t>，无需在上表填写。</w:t>
      </w:r>
    </w:p>
    <w:p w14:paraId="548492AA">
      <w:pPr>
        <w:spacing w:line="360" w:lineRule="auto"/>
        <w:jc w:val="left"/>
        <w:rPr>
          <w:bCs/>
          <w:color w:val="auto"/>
          <w:szCs w:val="21"/>
        </w:rPr>
      </w:pPr>
      <w:r>
        <w:rPr>
          <w:rFonts w:hint="eastAsia"/>
          <w:bCs/>
          <w:color w:val="auto"/>
          <w:szCs w:val="21"/>
        </w:rPr>
        <w:t>（</w:t>
      </w:r>
      <w:r>
        <w:rPr>
          <w:bCs/>
          <w:color w:val="auto"/>
          <w:szCs w:val="21"/>
        </w:rPr>
        <w:t>2</w:t>
      </w:r>
      <w:r>
        <w:rPr>
          <w:rFonts w:hint="eastAsia"/>
          <w:bCs/>
          <w:color w:val="auto"/>
          <w:szCs w:val="21"/>
        </w:rPr>
        <w:t>）如供应商为联合体或分包的，声明函中“项目名称”应填写联合体中小微企业承担的具体内容或者小微企业具体分包内容。</w:t>
      </w:r>
    </w:p>
    <w:p w14:paraId="7CFB63F6">
      <w:pPr>
        <w:spacing w:line="360" w:lineRule="auto"/>
        <w:jc w:val="left"/>
        <w:rPr>
          <w:bCs/>
          <w:color w:val="auto"/>
          <w:szCs w:val="21"/>
        </w:rPr>
      </w:pPr>
      <w:r>
        <w:rPr>
          <w:rFonts w:hint="eastAsia"/>
          <w:bCs/>
          <w:color w:val="auto"/>
          <w:szCs w:val="21"/>
        </w:rPr>
        <w:t>（</w:t>
      </w:r>
      <w:r>
        <w:rPr>
          <w:bCs/>
          <w:color w:val="auto"/>
          <w:szCs w:val="21"/>
        </w:rPr>
        <w:t>3</w:t>
      </w:r>
      <w:r>
        <w:rPr>
          <w:rFonts w:hint="eastAsia"/>
          <w:bCs/>
          <w:color w:val="auto"/>
          <w:szCs w:val="21"/>
        </w:rPr>
        <w:t>）从业人员、营业收入、资产总额填报上一年度数据，无上一年度数据的新成立企业参照国务院批准的中小企业划分标准，根据企业自身情况如实判断。</w:t>
      </w:r>
    </w:p>
    <w:p w14:paraId="5336DD43">
      <w:pPr>
        <w:spacing w:line="360" w:lineRule="auto"/>
        <w:jc w:val="left"/>
        <w:rPr>
          <w:bCs/>
          <w:color w:val="auto"/>
          <w:szCs w:val="21"/>
        </w:rPr>
      </w:pPr>
      <w:r>
        <w:rPr>
          <w:rFonts w:hint="eastAsia"/>
          <w:bCs/>
          <w:color w:val="auto"/>
          <w:szCs w:val="21"/>
        </w:rPr>
        <w:t>（</w:t>
      </w:r>
      <w:r>
        <w:rPr>
          <w:bCs/>
          <w:color w:val="auto"/>
          <w:szCs w:val="21"/>
        </w:rPr>
        <w:t>4</w:t>
      </w:r>
      <w:r>
        <w:rPr>
          <w:rFonts w:hint="eastAsia"/>
          <w:bCs/>
          <w:color w:val="auto"/>
          <w:szCs w:val="21"/>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7AD327C8">
      <w:pPr>
        <w:spacing w:line="360" w:lineRule="auto"/>
        <w:jc w:val="left"/>
        <w:rPr>
          <w:bCs/>
          <w:color w:val="auto"/>
          <w:szCs w:val="21"/>
        </w:rPr>
      </w:pPr>
      <w:r>
        <w:rPr>
          <w:rFonts w:hint="eastAsia"/>
          <w:bCs/>
          <w:color w:val="auto"/>
          <w:szCs w:val="21"/>
        </w:rPr>
        <w:t>（5）根据国际统计局《劳动工资统计报表制度》，从业人员数是指本单位工作，并取得工资活其他形式劳动报酬的人员数，是在岗职工、劳务派遣人员及其他从业人员之和。</w:t>
      </w:r>
    </w:p>
    <w:p w14:paraId="11AA18B3">
      <w:pPr>
        <w:spacing w:line="360" w:lineRule="auto"/>
        <w:jc w:val="left"/>
        <w:rPr>
          <w:bCs/>
          <w:color w:val="auto"/>
          <w:szCs w:val="21"/>
        </w:rPr>
      </w:pPr>
      <w:r>
        <w:rPr>
          <w:rFonts w:hint="eastAsia"/>
          <w:bCs/>
          <w:color w:val="auto"/>
          <w:szCs w:val="21"/>
        </w:rPr>
        <w:t>（</w:t>
      </w:r>
      <w:r>
        <w:rPr>
          <w:bCs/>
          <w:color w:val="auto"/>
          <w:szCs w:val="21"/>
        </w:rPr>
        <w:t>6</w:t>
      </w:r>
      <w:r>
        <w:rPr>
          <w:rFonts w:hint="eastAsia"/>
          <w:bCs/>
          <w:color w:val="auto"/>
          <w:szCs w:val="21"/>
        </w:rPr>
        <w:t>）本声明函由供应商填写，供应商应按中小企业划分标准《关于印发中小企业划型标准规定的通知》（工信部联企业〔2011〕300号</w:t>
      </w:r>
      <w:r>
        <w:rPr>
          <w:rFonts w:hint="eastAsia"/>
          <w:color w:val="auto"/>
          <w:szCs w:val="21"/>
        </w:rPr>
        <w:t>以及《金融业企业划型标准规定》（银发〔2015〕309号）</w:t>
      </w:r>
      <w:r>
        <w:rPr>
          <w:rFonts w:hint="eastAsia"/>
          <w:bCs/>
          <w:color w:val="auto"/>
          <w:szCs w:val="21"/>
        </w:rPr>
        <w:t>）判断是否为中小企业。</w:t>
      </w:r>
    </w:p>
    <w:p w14:paraId="45823403">
      <w:pPr>
        <w:spacing w:line="360" w:lineRule="auto"/>
        <w:jc w:val="left"/>
        <w:rPr>
          <w:bCs/>
          <w:color w:val="auto"/>
          <w:szCs w:val="21"/>
        </w:rPr>
      </w:pPr>
      <w:r>
        <w:rPr>
          <w:rFonts w:hint="eastAsia"/>
          <w:bCs/>
          <w:color w:val="auto"/>
          <w:szCs w:val="21"/>
        </w:rPr>
        <w:t>（</w:t>
      </w:r>
      <w:r>
        <w:rPr>
          <w:bCs/>
          <w:color w:val="auto"/>
          <w:szCs w:val="21"/>
        </w:rPr>
        <w:t>7</w:t>
      </w:r>
      <w:r>
        <w:rPr>
          <w:rFonts w:hint="eastAsia"/>
          <w:bCs/>
          <w:color w:val="auto"/>
          <w:szCs w:val="21"/>
        </w:rPr>
        <w:t>）供应商对《中小企业声明函》的真实性负责，如有虚假则需承担不利后果。依法享受中小企业优惠政策的，采购人或采购代理机构在公告成交结果时，同时公告其《中小企业声明函》，接受社会监督。</w:t>
      </w:r>
    </w:p>
    <w:p w14:paraId="2F123EA4">
      <w:pPr>
        <w:spacing w:line="360" w:lineRule="auto"/>
        <w:jc w:val="left"/>
        <w:rPr>
          <w:bCs/>
          <w:color w:val="auto"/>
          <w:szCs w:val="21"/>
        </w:rPr>
      </w:pPr>
      <w:r>
        <w:rPr>
          <w:rFonts w:hint="eastAsia"/>
          <w:bCs/>
          <w:color w:val="auto"/>
          <w:szCs w:val="21"/>
        </w:rPr>
        <w:t>（</w:t>
      </w:r>
      <w:r>
        <w:rPr>
          <w:bCs/>
          <w:color w:val="auto"/>
          <w:szCs w:val="21"/>
        </w:rPr>
        <w:t>8</w:t>
      </w:r>
      <w:r>
        <w:rPr>
          <w:rFonts w:hint="eastAsia"/>
          <w:bCs/>
          <w:color w:val="auto"/>
          <w:szCs w:val="21"/>
        </w:rPr>
        <w:t>）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69F9F477">
      <w:pPr>
        <w:spacing w:line="360" w:lineRule="auto"/>
        <w:jc w:val="left"/>
        <w:rPr>
          <w:bCs/>
          <w:color w:val="auto"/>
          <w:szCs w:val="21"/>
        </w:rPr>
      </w:pPr>
    </w:p>
    <w:p w14:paraId="35245FBC">
      <w:pPr>
        <w:snapToGrid w:val="0"/>
        <w:spacing w:before="50" w:after="120" w:afterLines="50"/>
        <w:jc w:val="left"/>
        <w:rPr>
          <w:color w:val="auto"/>
          <w:szCs w:val="21"/>
        </w:rPr>
      </w:pPr>
      <w:r>
        <w:rPr>
          <w:color w:val="auto"/>
          <w:szCs w:val="21"/>
        </w:rPr>
        <w:t>4.2监狱企业须提供最新一期《XX省监狱企业产品目录》或其他监狱企业证明材料。（非监狱企业无需提供）</w:t>
      </w:r>
    </w:p>
    <w:p w14:paraId="4F79755B">
      <w:pPr>
        <w:snapToGrid w:val="0"/>
        <w:spacing w:before="50" w:after="120" w:afterLines="50"/>
        <w:jc w:val="left"/>
        <w:rPr>
          <w:color w:val="auto"/>
          <w:szCs w:val="21"/>
        </w:rPr>
      </w:pPr>
    </w:p>
    <w:p w14:paraId="0197F788">
      <w:pPr>
        <w:widowControl/>
        <w:jc w:val="left"/>
        <w:rPr>
          <w:color w:val="auto"/>
          <w:szCs w:val="21"/>
        </w:rPr>
      </w:pPr>
      <w:r>
        <w:rPr>
          <w:color w:val="auto"/>
          <w:szCs w:val="21"/>
        </w:rPr>
        <w:t>4.3</w:t>
      </w:r>
      <w:bookmarkStart w:id="188" w:name="_Hlk19051624"/>
      <w:r>
        <w:rPr>
          <w:color w:val="auto"/>
        </w:rPr>
        <w:t>残疾人福利性单位须提供《残疾人福利性单位声明函》，格式如下。</w:t>
      </w:r>
      <w:r>
        <w:rPr>
          <w:color w:val="auto"/>
          <w:szCs w:val="21"/>
        </w:rPr>
        <w:t>（非残疾人福利性单位无需提供）</w:t>
      </w:r>
    </w:p>
    <w:bookmarkEnd w:id="188"/>
    <w:p w14:paraId="3DFFDD38">
      <w:pPr>
        <w:spacing w:line="360" w:lineRule="auto"/>
        <w:jc w:val="center"/>
        <w:rPr>
          <w:b/>
          <w:color w:val="auto"/>
          <w:szCs w:val="21"/>
        </w:rPr>
      </w:pPr>
      <w:bookmarkStart w:id="189" w:name="OLE_LINK13"/>
      <w:bookmarkStart w:id="190" w:name="OLE_LINK14"/>
      <w:r>
        <w:rPr>
          <w:b/>
          <w:color w:val="auto"/>
          <w:szCs w:val="21"/>
        </w:rPr>
        <w:t>残疾人福利性单位声明函</w:t>
      </w:r>
      <w:bookmarkEnd w:id="189"/>
      <w:bookmarkEnd w:id="190"/>
    </w:p>
    <w:p w14:paraId="1BD68BC2">
      <w:pPr>
        <w:spacing w:line="360" w:lineRule="auto"/>
        <w:ind w:firstLine="420"/>
        <w:jc w:val="left"/>
        <w:rPr>
          <w:color w:val="auto"/>
          <w:szCs w:val="21"/>
        </w:rPr>
      </w:pPr>
      <w:r>
        <w:rPr>
          <w:color w:val="auto"/>
          <w:szCs w:val="21"/>
        </w:rPr>
        <w:t>本单位郑重声明，根据《财政部 民政部 中国残疾人联合会关于促进残疾人就业政府采购政策的通知》（财库〔2017〕141号）的规定，本单位为符合条件的残疾人福利性单位，且本单位参加</w:t>
      </w:r>
      <w:r>
        <w:rPr>
          <w:color w:val="auto"/>
          <w:szCs w:val="21"/>
          <w:u w:val="single"/>
        </w:rPr>
        <w:t xml:space="preserve">        </w:t>
      </w:r>
      <w:r>
        <w:rPr>
          <w:color w:val="auto"/>
          <w:szCs w:val="21"/>
        </w:rPr>
        <w:t>单位的</w:t>
      </w:r>
      <w:r>
        <w:rPr>
          <w:color w:val="auto"/>
          <w:szCs w:val="21"/>
          <w:u w:val="single"/>
        </w:rPr>
        <w:t xml:space="preserve">           </w:t>
      </w:r>
      <w:r>
        <w:rPr>
          <w:color w:val="auto"/>
          <w:szCs w:val="21"/>
        </w:rPr>
        <w:t>项目采购活动提供本单位制造的货物（由本单位承担工程/提供服务），或者提供其他残疾人福利性单位制造的货物（不包括使用非残疾人福利性单位注册商标的货物）。</w:t>
      </w:r>
    </w:p>
    <w:p w14:paraId="10BC4B53">
      <w:pPr>
        <w:spacing w:line="360" w:lineRule="auto"/>
        <w:ind w:firstLine="420"/>
        <w:rPr>
          <w:color w:val="auto"/>
          <w:szCs w:val="21"/>
        </w:rPr>
      </w:pPr>
      <w:r>
        <w:rPr>
          <w:color w:val="auto"/>
          <w:szCs w:val="21"/>
        </w:rPr>
        <w:t>本单位对上述声明的真实性负责。如有虚假，将依法承担相应责任。</w:t>
      </w:r>
    </w:p>
    <w:p w14:paraId="22A26B52">
      <w:pPr>
        <w:spacing w:line="360" w:lineRule="auto"/>
        <w:ind w:firstLine="420"/>
        <w:jc w:val="right"/>
        <w:rPr>
          <w:color w:val="auto"/>
          <w:spacing w:val="6"/>
          <w:szCs w:val="21"/>
        </w:rPr>
      </w:pPr>
      <w:r>
        <w:rPr>
          <w:color w:val="auto"/>
          <w:spacing w:val="6"/>
          <w:sz w:val="30"/>
          <w:szCs w:val="30"/>
        </w:rPr>
        <w:t xml:space="preserve"> </w:t>
      </w:r>
      <w:r>
        <w:rPr>
          <w:color w:val="auto"/>
          <w:spacing w:val="6"/>
          <w:szCs w:val="21"/>
        </w:rPr>
        <w:t xml:space="preserve"> </w:t>
      </w:r>
      <w:r>
        <w:rPr>
          <w:rFonts w:hint="eastAsia"/>
          <w:color w:val="auto"/>
          <w:spacing w:val="6"/>
          <w:szCs w:val="21"/>
        </w:rPr>
        <w:t xml:space="preserve">                                            </w:t>
      </w:r>
      <w:r>
        <w:rPr>
          <w:color w:val="auto"/>
          <w:spacing w:val="6"/>
          <w:szCs w:val="21"/>
        </w:rPr>
        <w:t>单位名称</w:t>
      </w:r>
      <w:r>
        <w:rPr>
          <w:rFonts w:hint="eastAsia"/>
          <w:color w:val="auto"/>
          <w:szCs w:val="21"/>
        </w:rPr>
        <w:t>(电子签章</w:t>
      </w:r>
      <w:r>
        <w:rPr>
          <w:color w:val="auto"/>
          <w:szCs w:val="21"/>
        </w:rPr>
        <w:t>)</w:t>
      </w:r>
      <w:r>
        <w:rPr>
          <w:color w:val="auto"/>
          <w:spacing w:val="6"/>
          <w:szCs w:val="21"/>
        </w:rPr>
        <w:t xml:space="preserve">：          </w:t>
      </w:r>
    </w:p>
    <w:p w14:paraId="4BFBFD28">
      <w:pPr>
        <w:spacing w:line="360" w:lineRule="auto"/>
        <w:ind w:firstLine="420"/>
        <w:jc w:val="right"/>
        <w:rPr>
          <w:color w:val="auto"/>
          <w:spacing w:val="6"/>
          <w:szCs w:val="21"/>
        </w:rPr>
      </w:pPr>
      <w:r>
        <w:rPr>
          <w:color w:val="auto"/>
          <w:spacing w:val="6"/>
          <w:szCs w:val="21"/>
        </w:rPr>
        <w:t xml:space="preserve"> </w:t>
      </w:r>
      <w:r>
        <w:rPr>
          <w:rFonts w:hint="eastAsia"/>
          <w:color w:val="auto"/>
          <w:spacing w:val="6"/>
          <w:szCs w:val="21"/>
        </w:rPr>
        <w:t xml:space="preserve">                                                      </w:t>
      </w:r>
      <w:r>
        <w:rPr>
          <w:color w:val="auto"/>
          <w:spacing w:val="6"/>
          <w:szCs w:val="21"/>
        </w:rPr>
        <w:t>日  期：</w:t>
      </w:r>
    </w:p>
    <w:p w14:paraId="1D2BD59A">
      <w:pPr>
        <w:spacing w:line="360" w:lineRule="auto"/>
        <w:rPr>
          <w:color w:val="auto"/>
          <w:szCs w:val="21"/>
        </w:rPr>
      </w:pPr>
      <w:bookmarkStart w:id="191" w:name="_Hlk65852042"/>
    </w:p>
    <w:bookmarkEnd w:id="187"/>
    <w:p w14:paraId="35AE4844">
      <w:pPr>
        <w:widowControl/>
        <w:jc w:val="left"/>
        <w:rPr>
          <w:color w:val="auto"/>
          <w:szCs w:val="21"/>
        </w:rPr>
      </w:pPr>
      <w:r>
        <w:rPr>
          <w:color w:val="auto"/>
          <w:szCs w:val="21"/>
        </w:rPr>
        <w:br w:type="page"/>
      </w:r>
      <w:bookmarkEnd w:id="191"/>
    </w:p>
    <w:bookmarkEnd w:id="182"/>
    <w:p w14:paraId="7A1731F1">
      <w:pPr>
        <w:widowControl/>
        <w:jc w:val="left"/>
        <w:rPr>
          <w:color w:val="auto"/>
          <w:szCs w:val="21"/>
        </w:rPr>
      </w:pPr>
    </w:p>
    <w:p w14:paraId="66E3D133">
      <w:pPr>
        <w:widowControl/>
        <w:jc w:val="left"/>
        <w:outlineLvl w:val="1"/>
        <w:rPr>
          <w:color w:val="auto"/>
          <w:szCs w:val="21"/>
        </w:rPr>
      </w:pPr>
      <w:bookmarkStart w:id="192" w:name="_Hlk88990880"/>
      <w:r>
        <w:rPr>
          <w:color w:val="auto"/>
          <w:szCs w:val="21"/>
        </w:rPr>
        <w:t>5</w:t>
      </w:r>
      <w:r>
        <w:rPr>
          <w:rFonts w:hint="eastAsia"/>
          <w:color w:val="auto"/>
          <w:szCs w:val="21"/>
        </w:rPr>
        <w:t>．开标一览表</w:t>
      </w:r>
    </w:p>
    <w:p w14:paraId="4CDD8C09">
      <w:pPr>
        <w:widowControl/>
        <w:jc w:val="left"/>
        <w:rPr>
          <w:color w:val="auto"/>
          <w:szCs w:val="21"/>
        </w:rPr>
      </w:pPr>
    </w:p>
    <w:p w14:paraId="6A520E6F">
      <w:pPr>
        <w:widowControl/>
        <w:jc w:val="left"/>
        <w:rPr>
          <w:color w:val="auto"/>
          <w:szCs w:val="21"/>
        </w:rPr>
      </w:pPr>
    </w:p>
    <w:p w14:paraId="69009801">
      <w:pPr>
        <w:widowControl/>
        <w:jc w:val="left"/>
        <w:rPr>
          <w:color w:val="auto"/>
          <w:szCs w:val="21"/>
        </w:rPr>
      </w:pPr>
    </w:p>
    <w:p w14:paraId="56D45CD7">
      <w:pPr>
        <w:rPr>
          <w:b/>
          <w:color w:val="auto"/>
          <w:szCs w:val="21"/>
        </w:rPr>
      </w:pPr>
    </w:p>
    <w:p w14:paraId="2BFA9553">
      <w:pPr>
        <w:rPr>
          <w:b/>
          <w:color w:val="auto"/>
          <w:szCs w:val="21"/>
        </w:rPr>
      </w:pPr>
    </w:p>
    <w:p w14:paraId="473F563C">
      <w:pPr>
        <w:rPr>
          <w:b/>
          <w:color w:val="auto"/>
          <w:szCs w:val="21"/>
        </w:rPr>
      </w:pPr>
      <w:r>
        <w:rPr>
          <w:rFonts w:hint="eastAsia"/>
          <w:b/>
          <w:color w:val="auto"/>
          <w:szCs w:val="21"/>
        </w:rPr>
        <w:t>格式详见政采云平台，且仅在政采云平台填写即可。</w:t>
      </w:r>
    </w:p>
    <w:bookmarkEnd w:id="192"/>
    <w:p w14:paraId="63DC27C4">
      <w:pPr>
        <w:widowControl/>
        <w:jc w:val="left"/>
        <w:rPr>
          <w:color w:val="auto"/>
          <w:szCs w:val="21"/>
        </w:rPr>
      </w:pPr>
    </w:p>
    <w:sectPr>
      <w:headerReference r:id="rId14" w:type="default"/>
      <w:pgSz w:w="11906" w:h="16838"/>
      <w:pgMar w:top="1418" w:right="1133" w:bottom="1246"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F"/>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75802289"/>
    </w:sdtPr>
    <w:sdtContent>
      <w:p w14:paraId="65FD5858">
        <w:pPr>
          <w:pStyle w:val="31"/>
          <w:jc w:val="center"/>
        </w:pPr>
        <w:r>
          <w:fldChar w:fldCharType="begin"/>
        </w:r>
        <w:r>
          <w:instrText xml:space="preserve">PAGE   \* MERGEFORMAT</w:instrText>
        </w:r>
        <w:r>
          <w:fldChar w:fldCharType="separate"/>
        </w:r>
        <w:r>
          <w:rPr>
            <w:lang w:val="zh-CN"/>
          </w:rPr>
          <w:t>35</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8F2BB">
    <w:pPr>
      <w:pStyle w:val="31"/>
      <w:framePr w:wrap="around" w:vAnchor="text" w:hAnchor="margin" w:xAlign="center" w:y="1"/>
      <w:rPr>
        <w:rStyle w:val="55"/>
      </w:rPr>
    </w:pPr>
    <w:r>
      <w:fldChar w:fldCharType="begin"/>
    </w:r>
    <w:r>
      <w:rPr>
        <w:rStyle w:val="55"/>
      </w:rPr>
      <w:instrText xml:space="preserve">PAGE  </w:instrText>
    </w:r>
    <w:r>
      <w:fldChar w:fldCharType="end"/>
    </w:r>
  </w:p>
  <w:p w14:paraId="0EB49FF7">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EC665">
    <w:pPr>
      <w:pStyle w:val="31"/>
      <w:ind w:right="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28FF0">
    <w:pPr>
      <w:pStyle w:val="31"/>
      <w:ind w:right="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64373">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5D6C3">
    <w:pPr>
      <w:pStyle w:val="32"/>
      <w:jc w:val="left"/>
    </w:pPr>
    <w:r>
      <w:rPr>
        <w:rFonts w:hint="eastAsia"/>
      </w:rPr>
      <w:t xml:space="preserve">广西机电设备招标有限公司招标文件                                                               </w:t>
    </w:r>
  </w:p>
  <w:p w14:paraId="211CB914">
    <w:pPr>
      <w:pStyle w:val="3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7AD85">
    <w:pPr>
      <w:pStyle w:val="32"/>
      <w:jc w:val="left"/>
    </w:pPr>
    <w:r>
      <w:rPr>
        <w:rFonts w:hint="eastAsia"/>
      </w:rPr>
      <w:t xml:space="preserve">广西机电设备招标有限公司招标文件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0D0E1">
    <w:pPr>
      <w:pStyle w:val="32"/>
      <w:jc w:val="left"/>
    </w:pPr>
    <w:r>
      <w:rPr>
        <w:rFonts w:hint="eastAsia"/>
      </w:rPr>
      <w:t xml:space="preserve">广西机电设备招标有限公司招标文件                                                           </w:t>
    </w:r>
  </w:p>
  <w:p w14:paraId="0CDA3357">
    <w:pPr>
      <w:pStyle w:val="32"/>
      <w:pBdr>
        <w:bottom w:val="none" w:color="auto" w:sz="0" w:space="0"/>
      </w:pBdr>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F362B">
    <w:pPr>
      <w:pStyle w:val="32"/>
      <w:jc w:val="left"/>
    </w:pPr>
    <w:r>
      <w:rPr>
        <w:rFonts w:hint="eastAsia"/>
      </w:rPr>
      <w:t xml:space="preserve">广西机电设备招标有限公司招标文件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3A6FA">
    <w:pPr>
      <w:pStyle w:val="32"/>
      <w:jc w:val="left"/>
    </w:pPr>
    <w:r>
      <w:rPr>
        <w:rFonts w:hint="eastAsia"/>
      </w:rPr>
      <w:t xml:space="preserve">广西机电设备招标有限公司招标文件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BB07D">
    <w:pPr>
      <w:pStyle w:val="32"/>
      <w:jc w:val="left"/>
    </w:pPr>
    <w:r>
      <w:rPr>
        <w:rFonts w:hint="eastAsia"/>
      </w:rPr>
      <w:t>广西机电设备招标有限公司招标文件                                                     评标方法及评标标准</w:t>
    </w:r>
  </w:p>
  <w:p w14:paraId="52EE9F79">
    <w:pPr>
      <w:pStyle w:val="32"/>
      <w:pBdr>
        <w:bottom w:val="none" w:color="auto" w:sz="0" w:space="0"/>
      </w:pBdr>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311B9">
    <w:pPr>
      <w:rPr>
        <w:sz w:val="18"/>
        <w:szCs w:val="18"/>
        <w:u w:val="single"/>
      </w:rPr>
    </w:pPr>
    <w:r>
      <w:rPr>
        <w:rFonts w:hint="eastAsia"/>
        <w:sz w:val="18"/>
        <w:szCs w:val="18"/>
        <w:u w:val="single"/>
      </w:rPr>
      <w:t xml:space="preserve">广西机电设备招标有限公司招标文件                                             </w:t>
    </w:r>
    <w:r>
      <w:rPr>
        <w:sz w:val="18"/>
        <w:szCs w:val="18"/>
        <w:u w:val="single"/>
      </w:rPr>
      <w:t xml:space="preserve">            </w:t>
    </w:r>
    <w:r>
      <w:rPr>
        <w:rFonts w:hint="eastAsia"/>
        <w:sz w:val="18"/>
        <w:szCs w:val="18"/>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B8D000"/>
    <w:multiLevelType w:val="singleLevel"/>
    <w:tmpl w:val="86B8D000"/>
    <w:lvl w:ilvl="0" w:tentative="0">
      <w:start w:val="6"/>
      <w:numFmt w:val="decimal"/>
      <w:lvlText w:val="%1."/>
      <w:lvlJc w:val="left"/>
      <w:pPr>
        <w:tabs>
          <w:tab w:val="left" w:pos="312"/>
        </w:tabs>
      </w:pPr>
    </w:lvl>
  </w:abstractNum>
  <w:abstractNum w:abstractNumId="1">
    <w:nsid w:val="DD149C28"/>
    <w:multiLevelType w:val="multilevel"/>
    <w:tmpl w:val="DD149C28"/>
    <w:lvl w:ilvl="0" w:tentative="0">
      <w:start w:val="1"/>
      <w:numFmt w:val="decimal"/>
      <w:suff w:val="nothing"/>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7EF565"/>
    <w:multiLevelType w:val="singleLevel"/>
    <w:tmpl w:val="0E7EF565"/>
    <w:lvl w:ilvl="0" w:tentative="0">
      <w:start w:val="21"/>
      <w:numFmt w:val="decimal"/>
      <w:suff w:val="nothing"/>
      <w:lvlText w:val="%1、"/>
      <w:lvlJc w:val="left"/>
    </w:lvl>
  </w:abstractNum>
  <w:abstractNum w:abstractNumId="3">
    <w:nsid w:val="24B2DB82"/>
    <w:multiLevelType w:val="singleLevel"/>
    <w:tmpl w:val="24B2DB82"/>
    <w:lvl w:ilvl="0" w:tentative="0">
      <w:start w:val="1"/>
      <w:numFmt w:val="decimal"/>
      <w:suff w:val="nothing"/>
      <w:lvlText w:val="%1．"/>
      <w:lvlJc w:val="left"/>
    </w:lvl>
  </w:abstractNum>
  <w:abstractNum w:abstractNumId="4">
    <w:nsid w:val="57FB4FB7"/>
    <w:multiLevelType w:val="singleLevel"/>
    <w:tmpl w:val="57FB4FB7"/>
    <w:lvl w:ilvl="0" w:tentative="0">
      <w:start w:val="1"/>
      <w:numFmt w:val="decimal"/>
      <w:suff w:val="nothing"/>
      <w:lvlText w:val="%1、"/>
      <w:lvlJc w:val="left"/>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k3NjlhMzJkMWNhYTgzMzUxNGM1YmI0YmEwMDYzMmUifQ=="/>
    <w:docVar w:name="KSO_WPS_MARK_KEY" w:val="8b073a44-7462-46b0-ab6e-e57ced2c1d66"/>
  </w:docVars>
  <w:rsids>
    <w:rsidRoot w:val="00172A27"/>
    <w:rsid w:val="000003B8"/>
    <w:rsid w:val="000003EF"/>
    <w:rsid w:val="00000653"/>
    <w:rsid w:val="000008B9"/>
    <w:rsid w:val="0000091B"/>
    <w:rsid w:val="00000ADC"/>
    <w:rsid w:val="00000D0A"/>
    <w:rsid w:val="00000D19"/>
    <w:rsid w:val="00000E1A"/>
    <w:rsid w:val="000011C3"/>
    <w:rsid w:val="00001B3E"/>
    <w:rsid w:val="00001B68"/>
    <w:rsid w:val="00001CD6"/>
    <w:rsid w:val="00001D8F"/>
    <w:rsid w:val="00001E6F"/>
    <w:rsid w:val="00001FB8"/>
    <w:rsid w:val="000020DA"/>
    <w:rsid w:val="00002AC8"/>
    <w:rsid w:val="00002DDA"/>
    <w:rsid w:val="00002F41"/>
    <w:rsid w:val="00003255"/>
    <w:rsid w:val="000033BC"/>
    <w:rsid w:val="00003428"/>
    <w:rsid w:val="00003544"/>
    <w:rsid w:val="00003C81"/>
    <w:rsid w:val="00003D02"/>
    <w:rsid w:val="00003DAE"/>
    <w:rsid w:val="00003DDF"/>
    <w:rsid w:val="0000436E"/>
    <w:rsid w:val="000046C2"/>
    <w:rsid w:val="000055C3"/>
    <w:rsid w:val="000056BC"/>
    <w:rsid w:val="000058D7"/>
    <w:rsid w:val="00005E55"/>
    <w:rsid w:val="0000644D"/>
    <w:rsid w:val="00006E2C"/>
    <w:rsid w:val="00007315"/>
    <w:rsid w:val="00007501"/>
    <w:rsid w:val="000079FF"/>
    <w:rsid w:val="00007B0D"/>
    <w:rsid w:val="00007F38"/>
    <w:rsid w:val="000102A9"/>
    <w:rsid w:val="00010339"/>
    <w:rsid w:val="000105C3"/>
    <w:rsid w:val="00011B70"/>
    <w:rsid w:val="00011D72"/>
    <w:rsid w:val="00011DE9"/>
    <w:rsid w:val="00012078"/>
    <w:rsid w:val="00012218"/>
    <w:rsid w:val="00012320"/>
    <w:rsid w:val="0001242C"/>
    <w:rsid w:val="00012447"/>
    <w:rsid w:val="000128AC"/>
    <w:rsid w:val="000129EA"/>
    <w:rsid w:val="00013034"/>
    <w:rsid w:val="00013166"/>
    <w:rsid w:val="00013350"/>
    <w:rsid w:val="0001338B"/>
    <w:rsid w:val="00013391"/>
    <w:rsid w:val="000136AF"/>
    <w:rsid w:val="00013748"/>
    <w:rsid w:val="00013AE8"/>
    <w:rsid w:val="00013D41"/>
    <w:rsid w:val="00013D8B"/>
    <w:rsid w:val="000143A3"/>
    <w:rsid w:val="000144F2"/>
    <w:rsid w:val="000145E3"/>
    <w:rsid w:val="00014CA6"/>
    <w:rsid w:val="00014DD6"/>
    <w:rsid w:val="0001532B"/>
    <w:rsid w:val="0001598C"/>
    <w:rsid w:val="00016007"/>
    <w:rsid w:val="000169F3"/>
    <w:rsid w:val="00016C31"/>
    <w:rsid w:val="00016CE3"/>
    <w:rsid w:val="00016D4C"/>
    <w:rsid w:val="0001710D"/>
    <w:rsid w:val="00017504"/>
    <w:rsid w:val="00017758"/>
    <w:rsid w:val="000178D7"/>
    <w:rsid w:val="00017900"/>
    <w:rsid w:val="00017C14"/>
    <w:rsid w:val="00017E50"/>
    <w:rsid w:val="00017F40"/>
    <w:rsid w:val="000204C7"/>
    <w:rsid w:val="0002053C"/>
    <w:rsid w:val="00020670"/>
    <w:rsid w:val="00020861"/>
    <w:rsid w:val="00020BB1"/>
    <w:rsid w:val="00020BF0"/>
    <w:rsid w:val="00020C0B"/>
    <w:rsid w:val="00020F60"/>
    <w:rsid w:val="00020FAF"/>
    <w:rsid w:val="000215B7"/>
    <w:rsid w:val="000217BF"/>
    <w:rsid w:val="00021C98"/>
    <w:rsid w:val="00021CCD"/>
    <w:rsid w:val="00021EE3"/>
    <w:rsid w:val="00022395"/>
    <w:rsid w:val="00022808"/>
    <w:rsid w:val="000228AB"/>
    <w:rsid w:val="00022C7D"/>
    <w:rsid w:val="00022E58"/>
    <w:rsid w:val="00022F2A"/>
    <w:rsid w:val="00022F8B"/>
    <w:rsid w:val="00022FB8"/>
    <w:rsid w:val="00023147"/>
    <w:rsid w:val="00023187"/>
    <w:rsid w:val="000233CA"/>
    <w:rsid w:val="00023436"/>
    <w:rsid w:val="0002351E"/>
    <w:rsid w:val="00023652"/>
    <w:rsid w:val="000236EE"/>
    <w:rsid w:val="00023731"/>
    <w:rsid w:val="00024633"/>
    <w:rsid w:val="0002469F"/>
    <w:rsid w:val="00024D61"/>
    <w:rsid w:val="0002535B"/>
    <w:rsid w:val="0002560A"/>
    <w:rsid w:val="00025B64"/>
    <w:rsid w:val="00025DA0"/>
    <w:rsid w:val="00026003"/>
    <w:rsid w:val="000262BC"/>
    <w:rsid w:val="0002696D"/>
    <w:rsid w:val="0002754D"/>
    <w:rsid w:val="00027666"/>
    <w:rsid w:val="000276B2"/>
    <w:rsid w:val="00027833"/>
    <w:rsid w:val="00027A1D"/>
    <w:rsid w:val="00027A46"/>
    <w:rsid w:val="00027AF3"/>
    <w:rsid w:val="00027C79"/>
    <w:rsid w:val="00030024"/>
    <w:rsid w:val="00030124"/>
    <w:rsid w:val="000302F0"/>
    <w:rsid w:val="000305FD"/>
    <w:rsid w:val="0003081E"/>
    <w:rsid w:val="0003084F"/>
    <w:rsid w:val="00030C2F"/>
    <w:rsid w:val="00031169"/>
    <w:rsid w:val="0003129D"/>
    <w:rsid w:val="00031692"/>
    <w:rsid w:val="00031757"/>
    <w:rsid w:val="00031B37"/>
    <w:rsid w:val="00031DDD"/>
    <w:rsid w:val="00031E69"/>
    <w:rsid w:val="00032686"/>
    <w:rsid w:val="0003274B"/>
    <w:rsid w:val="00032AD8"/>
    <w:rsid w:val="00032ADF"/>
    <w:rsid w:val="00032D8D"/>
    <w:rsid w:val="000331CC"/>
    <w:rsid w:val="0003322E"/>
    <w:rsid w:val="00033856"/>
    <w:rsid w:val="00033927"/>
    <w:rsid w:val="00034443"/>
    <w:rsid w:val="00034833"/>
    <w:rsid w:val="00034947"/>
    <w:rsid w:val="00034A89"/>
    <w:rsid w:val="000352BA"/>
    <w:rsid w:val="00035840"/>
    <w:rsid w:val="00035844"/>
    <w:rsid w:val="00035A8D"/>
    <w:rsid w:val="00035C94"/>
    <w:rsid w:val="00035F2C"/>
    <w:rsid w:val="00035F8C"/>
    <w:rsid w:val="000360DB"/>
    <w:rsid w:val="00036107"/>
    <w:rsid w:val="0003613D"/>
    <w:rsid w:val="00036383"/>
    <w:rsid w:val="00036AE4"/>
    <w:rsid w:val="00036BAA"/>
    <w:rsid w:val="00036E33"/>
    <w:rsid w:val="00037101"/>
    <w:rsid w:val="00037C2D"/>
    <w:rsid w:val="00037C63"/>
    <w:rsid w:val="00037CE4"/>
    <w:rsid w:val="00037DB6"/>
    <w:rsid w:val="00037DD8"/>
    <w:rsid w:val="00037FD7"/>
    <w:rsid w:val="00040187"/>
    <w:rsid w:val="000401FD"/>
    <w:rsid w:val="0004079D"/>
    <w:rsid w:val="00040AC1"/>
    <w:rsid w:val="00040ED3"/>
    <w:rsid w:val="0004139C"/>
    <w:rsid w:val="000415E3"/>
    <w:rsid w:val="000418B1"/>
    <w:rsid w:val="00041C02"/>
    <w:rsid w:val="00042280"/>
    <w:rsid w:val="0004231D"/>
    <w:rsid w:val="000424AB"/>
    <w:rsid w:val="00042A57"/>
    <w:rsid w:val="00042BF9"/>
    <w:rsid w:val="00042ED7"/>
    <w:rsid w:val="000431D3"/>
    <w:rsid w:val="00043295"/>
    <w:rsid w:val="0004377D"/>
    <w:rsid w:val="00043BCB"/>
    <w:rsid w:val="00043C71"/>
    <w:rsid w:val="00043FFA"/>
    <w:rsid w:val="00044236"/>
    <w:rsid w:val="00044578"/>
    <w:rsid w:val="00044990"/>
    <w:rsid w:val="00044A8C"/>
    <w:rsid w:val="00044AF1"/>
    <w:rsid w:val="00044D55"/>
    <w:rsid w:val="00045069"/>
    <w:rsid w:val="00045070"/>
    <w:rsid w:val="000450D9"/>
    <w:rsid w:val="000450F6"/>
    <w:rsid w:val="000451CD"/>
    <w:rsid w:val="000453FC"/>
    <w:rsid w:val="00045947"/>
    <w:rsid w:val="000459FB"/>
    <w:rsid w:val="000462A8"/>
    <w:rsid w:val="00046360"/>
    <w:rsid w:val="0004653D"/>
    <w:rsid w:val="000465AB"/>
    <w:rsid w:val="00046E59"/>
    <w:rsid w:val="000472E6"/>
    <w:rsid w:val="000479CD"/>
    <w:rsid w:val="000479FF"/>
    <w:rsid w:val="00047CF5"/>
    <w:rsid w:val="00047FDF"/>
    <w:rsid w:val="000500E6"/>
    <w:rsid w:val="000504FE"/>
    <w:rsid w:val="000513E2"/>
    <w:rsid w:val="00051C80"/>
    <w:rsid w:val="00051D87"/>
    <w:rsid w:val="00051F04"/>
    <w:rsid w:val="00052326"/>
    <w:rsid w:val="000529E7"/>
    <w:rsid w:val="00052DBE"/>
    <w:rsid w:val="00053175"/>
    <w:rsid w:val="000534EE"/>
    <w:rsid w:val="0005359C"/>
    <w:rsid w:val="00053628"/>
    <w:rsid w:val="0005387F"/>
    <w:rsid w:val="00053BFC"/>
    <w:rsid w:val="00053EED"/>
    <w:rsid w:val="0005428F"/>
    <w:rsid w:val="000544F4"/>
    <w:rsid w:val="000545D3"/>
    <w:rsid w:val="00054676"/>
    <w:rsid w:val="000547E4"/>
    <w:rsid w:val="00054870"/>
    <w:rsid w:val="00054AB0"/>
    <w:rsid w:val="00054ABD"/>
    <w:rsid w:val="00054CCC"/>
    <w:rsid w:val="00054D04"/>
    <w:rsid w:val="00054F24"/>
    <w:rsid w:val="00054F7D"/>
    <w:rsid w:val="00055230"/>
    <w:rsid w:val="00055279"/>
    <w:rsid w:val="00055557"/>
    <w:rsid w:val="000555EA"/>
    <w:rsid w:val="00055945"/>
    <w:rsid w:val="00055A8A"/>
    <w:rsid w:val="00055AF4"/>
    <w:rsid w:val="00055E6D"/>
    <w:rsid w:val="00055FB0"/>
    <w:rsid w:val="0005625F"/>
    <w:rsid w:val="0005649E"/>
    <w:rsid w:val="0005682D"/>
    <w:rsid w:val="00056945"/>
    <w:rsid w:val="0005700C"/>
    <w:rsid w:val="00057393"/>
    <w:rsid w:val="00057988"/>
    <w:rsid w:val="00057E45"/>
    <w:rsid w:val="0006027F"/>
    <w:rsid w:val="00060523"/>
    <w:rsid w:val="000606B6"/>
    <w:rsid w:val="000609AC"/>
    <w:rsid w:val="0006148A"/>
    <w:rsid w:val="000618AE"/>
    <w:rsid w:val="00062637"/>
    <w:rsid w:val="0006263C"/>
    <w:rsid w:val="00062653"/>
    <w:rsid w:val="00062949"/>
    <w:rsid w:val="00062CE8"/>
    <w:rsid w:val="000631AC"/>
    <w:rsid w:val="000631B7"/>
    <w:rsid w:val="000633DD"/>
    <w:rsid w:val="00063420"/>
    <w:rsid w:val="00063894"/>
    <w:rsid w:val="000639D4"/>
    <w:rsid w:val="00063B14"/>
    <w:rsid w:val="00063B29"/>
    <w:rsid w:val="0006408F"/>
    <w:rsid w:val="00064189"/>
    <w:rsid w:val="000642D1"/>
    <w:rsid w:val="000646CC"/>
    <w:rsid w:val="00064840"/>
    <w:rsid w:val="00064882"/>
    <w:rsid w:val="000648B7"/>
    <w:rsid w:val="00064A48"/>
    <w:rsid w:val="00064AEB"/>
    <w:rsid w:val="00064C80"/>
    <w:rsid w:val="00065429"/>
    <w:rsid w:val="00065587"/>
    <w:rsid w:val="000657C2"/>
    <w:rsid w:val="00065AB7"/>
    <w:rsid w:val="00065BFE"/>
    <w:rsid w:val="00065C40"/>
    <w:rsid w:val="00065D71"/>
    <w:rsid w:val="000666D4"/>
    <w:rsid w:val="000673D8"/>
    <w:rsid w:val="000673E7"/>
    <w:rsid w:val="00067DE7"/>
    <w:rsid w:val="00070106"/>
    <w:rsid w:val="0007014F"/>
    <w:rsid w:val="00070517"/>
    <w:rsid w:val="000706AC"/>
    <w:rsid w:val="00070950"/>
    <w:rsid w:val="000709D3"/>
    <w:rsid w:val="00070A7D"/>
    <w:rsid w:val="00070AAB"/>
    <w:rsid w:val="000712F8"/>
    <w:rsid w:val="00071A68"/>
    <w:rsid w:val="00071A6A"/>
    <w:rsid w:val="00071A8B"/>
    <w:rsid w:val="00071C95"/>
    <w:rsid w:val="0007240C"/>
    <w:rsid w:val="00072627"/>
    <w:rsid w:val="00072A95"/>
    <w:rsid w:val="00072AB4"/>
    <w:rsid w:val="00072CEC"/>
    <w:rsid w:val="0007368B"/>
    <w:rsid w:val="00073C3B"/>
    <w:rsid w:val="00074144"/>
    <w:rsid w:val="000744D4"/>
    <w:rsid w:val="000745E9"/>
    <w:rsid w:val="00074674"/>
    <w:rsid w:val="000747B7"/>
    <w:rsid w:val="00074923"/>
    <w:rsid w:val="00074EE8"/>
    <w:rsid w:val="00075092"/>
    <w:rsid w:val="000750EA"/>
    <w:rsid w:val="000750F3"/>
    <w:rsid w:val="0007539D"/>
    <w:rsid w:val="00075562"/>
    <w:rsid w:val="00075A8D"/>
    <w:rsid w:val="00075C22"/>
    <w:rsid w:val="00076542"/>
    <w:rsid w:val="000770BC"/>
    <w:rsid w:val="00077359"/>
    <w:rsid w:val="000774F1"/>
    <w:rsid w:val="00077698"/>
    <w:rsid w:val="000777B1"/>
    <w:rsid w:val="00077891"/>
    <w:rsid w:val="0007797E"/>
    <w:rsid w:val="00077C1B"/>
    <w:rsid w:val="0008006B"/>
    <w:rsid w:val="0008017C"/>
    <w:rsid w:val="00080321"/>
    <w:rsid w:val="00080AA6"/>
    <w:rsid w:val="00080BE2"/>
    <w:rsid w:val="00080DA9"/>
    <w:rsid w:val="00080DF6"/>
    <w:rsid w:val="00081BF9"/>
    <w:rsid w:val="00081C1C"/>
    <w:rsid w:val="00081ECB"/>
    <w:rsid w:val="0008224F"/>
    <w:rsid w:val="000822F0"/>
    <w:rsid w:val="000824BD"/>
    <w:rsid w:val="00082611"/>
    <w:rsid w:val="00082617"/>
    <w:rsid w:val="0008264F"/>
    <w:rsid w:val="00082C85"/>
    <w:rsid w:val="0008304A"/>
    <w:rsid w:val="0008372E"/>
    <w:rsid w:val="00083A64"/>
    <w:rsid w:val="00083AC4"/>
    <w:rsid w:val="00083B97"/>
    <w:rsid w:val="000842B5"/>
    <w:rsid w:val="00085560"/>
    <w:rsid w:val="00085A86"/>
    <w:rsid w:val="00085E63"/>
    <w:rsid w:val="00086067"/>
    <w:rsid w:val="000866A9"/>
    <w:rsid w:val="00086975"/>
    <w:rsid w:val="00086EC2"/>
    <w:rsid w:val="000870C0"/>
    <w:rsid w:val="00087358"/>
    <w:rsid w:val="000873F5"/>
    <w:rsid w:val="000876C2"/>
    <w:rsid w:val="0008771A"/>
    <w:rsid w:val="00087736"/>
    <w:rsid w:val="00087B15"/>
    <w:rsid w:val="00087E2E"/>
    <w:rsid w:val="000900DF"/>
    <w:rsid w:val="00090193"/>
    <w:rsid w:val="0009021F"/>
    <w:rsid w:val="00090524"/>
    <w:rsid w:val="00090794"/>
    <w:rsid w:val="000907D1"/>
    <w:rsid w:val="00091332"/>
    <w:rsid w:val="0009134B"/>
    <w:rsid w:val="000919E1"/>
    <w:rsid w:val="00091AE8"/>
    <w:rsid w:val="00091D8D"/>
    <w:rsid w:val="00092F17"/>
    <w:rsid w:val="00093869"/>
    <w:rsid w:val="00093BC0"/>
    <w:rsid w:val="00093DF8"/>
    <w:rsid w:val="00093E53"/>
    <w:rsid w:val="000941F6"/>
    <w:rsid w:val="000942AF"/>
    <w:rsid w:val="0009454A"/>
    <w:rsid w:val="000945C5"/>
    <w:rsid w:val="00094ECF"/>
    <w:rsid w:val="00095092"/>
    <w:rsid w:val="0009592E"/>
    <w:rsid w:val="00095AAF"/>
    <w:rsid w:val="00095B76"/>
    <w:rsid w:val="00095ECB"/>
    <w:rsid w:val="00096D28"/>
    <w:rsid w:val="0009715C"/>
    <w:rsid w:val="00097406"/>
    <w:rsid w:val="000975D5"/>
    <w:rsid w:val="00097D9D"/>
    <w:rsid w:val="00097F93"/>
    <w:rsid w:val="00097F98"/>
    <w:rsid w:val="00097FE0"/>
    <w:rsid w:val="000A062D"/>
    <w:rsid w:val="000A07F9"/>
    <w:rsid w:val="000A0A59"/>
    <w:rsid w:val="000A10DB"/>
    <w:rsid w:val="000A111D"/>
    <w:rsid w:val="000A117F"/>
    <w:rsid w:val="000A128A"/>
    <w:rsid w:val="000A147E"/>
    <w:rsid w:val="000A165F"/>
    <w:rsid w:val="000A21D0"/>
    <w:rsid w:val="000A262B"/>
    <w:rsid w:val="000A27A2"/>
    <w:rsid w:val="000A2960"/>
    <w:rsid w:val="000A2968"/>
    <w:rsid w:val="000A299E"/>
    <w:rsid w:val="000A2AE9"/>
    <w:rsid w:val="000A2C66"/>
    <w:rsid w:val="000A2D6D"/>
    <w:rsid w:val="000A2E12"/>
    <w:rsid w:val="000A2E97"/>
    <w:rsid w:val="000A3515"/>
    <w:rsid w:val="000A3518"/>
    <w:rsid w:val="000A3B53"/>
    <w:rsid w:val="000A4852"/>
    <w:rsid w:val="000A4ACE"/>
    <w:rsid w:val="000A4C12"/>
    <w:rsid w:val="000A4FF6"/>
    <w:rsid w:val="000A509A"/>
    <w:rsid w:val="000A56E6"/>
    <w:rsid w:val="000A6C4D"/>
    <w:rsid w:val="000A6C54"/>
    <w:rsid w:val="000A6E22"/>
    <w:rsid w:val="000A6F1D"/>
    <w:rsid w:val="000A707B"/>
    <w:rsid w:val="000A70C7"/>
    <w:rsid w:val="000A7238"/>
    <w:rsid w:val="000A745D"/>
    <w:rsid w:val="000A78BB"/>
    <w:rsid w:val="000A791D"/>
    <w:rsid w:val="000A7931"/>
    <w:rsid w:val="000B034B"/>
    <w:rsid w:val="000B0720"/>
    <w:rsid w:val="000B08E4"/>
    <w:rsid w:val="000B09FE"/>
    <w:rsid w:val="000B0BB1"/>
    <w:rsid w:val="000B15EF"/>
    <w:rsid w:val="000B1F65"/>
    <w:rsid w:val="000B2185"/>
    <w:rsid w:val="000B23BA"/>
    <w:rsid w:val="000B26D6"/>
    <w:rsid w:val="000B2D1E"/>
    <w:rsid w:val="000B316D"/>
    <w:rsid w:val="000B3194"/>
    <w:rsid w:val="000B3CFE"/>
    <w:rsid w:val="000B44CF"/>
    <w:rsid w:val="000B45B1"/>
    <w:rsid w:val="000B49F7"/>
    <w:rsid w:val="000B4EF3"/>
    <w:rsid w:val="000B51CB"/>
    <w:rsid w:val="000B554C"/>
    <w:rsid w:val="000B5D87"/>
    <w:rsid w:val="000B60C6"/>
    <w:rsid w:val="000B6115"/>
    <w:rsid w:val="000B68A5"/>
    <w:rsid w:val="000B6F18"/>
    <w:rsid w:val="000B70DB"/>
    <w:rsid w:val="000B71FC"/>
    <w:rsid w:val="000B76E7"/>
    <w:rsid w:val="000B797D"/>
    <w:rsid w:val="000B7AC2"/>
    <w:rsid w:val="000B7E6D"/>
    <w:rsid w:val="000B7F80"/>
    <w:rsid w:val="000C04DC"/>
    <w:rsid w:val="000C0869"/>
    <w:rsid w:val="000C099A"/>
    <w:rsid w:val="000C0A0F"/>
    <w:rsid w:val="000C1322"/>
    <w:rsid w:val="000C1825"/>
    <w:rsid w:val="000C1979"/>
    <w:rsid w:val="000C19D0"/>
    <w:rsid w:val="000C1DBB"/>
    <w:rsid w:val="000C20B5"/>
    <w:rsid w:val="000C2508"/>
    <w:rsid w:val="000C270D"/>
    <w:rsid w:val="000C2AE8"/>
    <w:rsid w:val="000C2B1E"/>
    <w:rsid w:val="000C2C63"/>
    <w:rsid w:val="000C350A"/>
    <w:rsid w:val="000C3518"/>
    <w:rsid w:val="000C3762"/>
    <w:rsid w:val="000C41CD"/>
    <w:rsid w:val="000C4988"/>
    <w:rsid w:val="000C501B"/>
    <w:rsid w:val="000C5167"/>
    <w:rsid w:val="000C57DD"/>
    <w:rsid w:val="000C59D1"/>
    <w:rsid w:val="000C5C88"/>
    <w:rsid w:val="000C5E1C"/>
    <w:rsid w:val="000C5FCD"/>
    <w:rsid w:val="000C6176"/>
    <w:rsid w:val="000C61B8"/>
    <w:rsid w:val="000C620D"/>
    <w:rsid w:val="000C64D1"/>
    <w:rsid w:val="000C655F"/>
    <w:rsid w:val="000C669B"/>
    <w:rsid w:val="000C66AB"/>
    <w:rsid w:val="000C6872"/>
    <w:rsid w:val="000C6DEA"/>
    <w:rsid w:val="000C7045"/>
    <w:rsid w:val="000C718C"/>
    <w:rsid w:val="000C71D4"/>
    <w:rsid w:val="000C7563"/>
    <w:rsid w:val="000C757A"/>
    <w:rsid w:val="000C77C4"/>
    <w:rsid w:val="000C7A29"/>
    <w:rsid w:val="000C7D9F"/>
    <w:rsid w:val="000D074C"/>
    <w:rsid w:val="000D0C28"/>
    <w:rsid w:val="000D0F0F"/>
    <w:rsid w:val="000D0F2E"/>
    <w:rsid w:val="000D1788"/>
    <w:rsid w:val="000D17CF"/>
    <w:rsid w:val="000D1ACF"/>
    <w:rsid w:val="000D1C4F"/>
    <w:rsid w:val="000D1D6C"/>
    <w:rsid w:val="000D2D0F"/>
    <w:rsid w:val="000D31CB"/>
    <w:rsid w:val="000D3ACA"/>
    <w:rsid w:val="000D3DCE"/>
    <w:rsid w:val="000D3E1B"/>
    <w:rsid w:val="000D3FBF"/>
    <w:rsid w:val="000D4061"/>
    <w:rsid w:val="000D44A4"/>
    <w:rsid w:val="000D47EF"/>
    <w:rsid w:val="000D4860"/>
    <w:rsid w:val="000D48FB"/>
    <w:rsid w:val="000D4933"/>
    <w:rsid w:val="000D4B4F"/>
    <w:rsid w:val="000D4E0B"/>
    <w:rsid w:val="000D4EC1"/>
    <w:rsid w:val="000D55FD"/>
    <w:rsid w:val="000D562F"/>
    <w:rsid w:val="000D56C7"/>
    <w:rsid w:val="000D672C"/>
    <w:rsid w:val="000D68F4"/>
    <w:rsid w:val="000D6A04"/>
    <w:rsid w:val="000D6A61"/>
    <w:rsid w:val="000D6B49"/>
    <w:rsid w:val="000D6C78"/>
    <w:rsid w:val="000D74B9"/>
    <w:rsid w:val="000D77A9"/>
    <w:rsid w:val="000E01DF"/>
    <w:rsid w:val="000E071A"/>
    <w:rsid w:val="000E1094"/>
    <w:rsid w:val="000E129F"/>
    <w:rsid w:val="000E1838"/>
    <w:rsid w:val="000E18A1"/>
    <w:rsid w:val="000E19D1"/>
    <w:rsid w:val="000E1AC3"/>
    <w:rsid w:val="000E1C04"/>
    <w:rsid w:val="000E20DA"/>
    <w:rsid w:val="000E29CF"/>
    <w:rsid w:val="000E2AD1"/>
    <w:rsid w:val="000E2AD8"/>
    <w:rsid w:val="000E2C47"/>
    <w:rsid w:val="000E2F86"/>
    <w:rsid w:val="000E3D2F"/>
    <w:rsid w:val="000E42EF"/>
    <w:rsid w:val="000E4712"/>
    <w:rsid w:val="000E4723"/>
    <w:rsid w:val="000E4757"/>
    <w:rsid w:val="000E4A4B"/>
    <w:rsid w:val="000E4F47"/>
    <w:rsid w:val="000E508E"/>
    <w:rsid w:val="000E565C"/>
    <w:rsid w:val="000E575A"/>
    <w:rsid w:val="000E612C"/>
    <w:rsid w:val="000E6372"/>
    <w:rsid w:val="000E6C14"/>
    <w:rsid w:val="000E6D38"/>
    <w:rsid w:val="000E6D94"/>
    <w:rsid w:val="000E72E7"/>
    <w:rsid w:val="000E72F6"/>
    <w:rsid w:val="000E7533"/>
    <w:rsid w:val="000E75B3"/>
    <w:rsid w:val="000E75D1"/>
    <w:rsid w:val="000E7C51"/>
    <w:rsid w:val="000E7CC8"/>
    <w:rsid w:val="000F0524"/>
    <w:rsid w:val="000F0608"/>
    <w:rsid w:val="000F0D10"/>
    <w:rsid w:val="000F0DEF"/>
    <w:rsid w:val="000F0E1D"/>
    <w:rsid w:val="000F12E7"/>
    <w:rsid w:val="000F1617"/>
    <w:rsid w:val="000F18D8"/>
    <w:rsid w:val="000F1AF3"/>
    <w:rsid w:val="000F1B78"/>
    <w:rsid w:val="000F1F51"/>
    <w:rsid w:val="000F1FB0"/>
    <w:rsid w:val="000F2181"/>
    <w:rsid w:val="000F238F"/>
    <w:rsid w:val="000F24AC"/>
    <w:rsid w:val="000F253C"/>
    <w:rsid w:val="000F28A5"/>
    <w:rsid w:val="000F2943"/>
    <w:rsid w:val="000F2E97"/>
    <w:rsid w:val="000F2F22"/>
    <w:rsid w:val="000F2F60"/>
    <w:rsid w:val="000F3461"/>
    <w:rsid w:val="000F38FC"/>
    <w:rsid w:val="000F40BA"/>
    <w:rsid w:val="000F4486"/>
    <w:rsid w:val="000F4B3A"/>
    <w:rsid w:val="000F4B82"/>
    <w:rsid w:val="000F500A"/>
    <w:rsid w:val="000F506D"/>
    <w:rsid w:val="000F5331"/>
    <w:rsid w:val="000F55C9"/>
    <w:rsid w:val="000F5CAA"/>
    <w:rsid w:val="000F60C1"/>
    <w:rsid w:val="000F6242"/>
    <w:rsid w:val="000F666F"/>
    <w:rsid w:val="000F6CFE"/>
    <w:rsid w:val="000F6F32"/>
    <w:rsid w:val="000F70DA"/>
    <w:rsid w:val="000F75A8"/>
    <w:rsid w:val="000F76E0"/>
    <w:rsid w:val="000F77B5"/>
    <w:rsid w:val="000F78FB"/>
    <w:rsid w:val="000F79FD"/>
    <w:rsid w:val="00100331"/>
    <w:rsid w:val="00101255"/>
    <w:rsid w:val="001014D2"/>
    <w:rsid w:val="001014F7"/>
    <w:rsid w:val="001016BB"/>
    <w:rsid w:val="001018E0"/>
    <w:rsid w:val="00101989"/>
    <w:rsid w:val="001019B6"/>
    <w:rsid w:val="00101A37"/>
    <w:rsid w:val="0010251A"/>
    <w:rsid w:val="00102768"/>
    <w:rsid w:val="00102BC3"/>
    <w:rsid w:val="00102EF2"/>
    <w:rsid w:val="00103458"/>
    <w:rsid w:val="001037BD"/>
    <w:rsid w:val="00103BA3"/>
    <w:rsid w:val="0010425A"/>
    <w:rsid w:val="001047CB"/>
    <w:rsid w:val="00104AFF"/>
    <w:rsid w:val="00104E14"/>
    <w:rsid w:val="0010520D"/>
    <w:rsid w:val="001053EE"/>
    <w:rsid w:val="00105629"/>
    <w:rsid w:val="0010574F"/>
    <w:rsid w:val="00105863"/>
    <w:rsid w:val="0010590B"/>
    <w:rsid w:val="00105996"/>
    <w:rsid w:val="001059FC"/>
    <w:rsid w:val="00105A06"/>
    <w:rsid w:val="00105CCB"/>
    <w:rsid w:val="00105F3E"/>
    <w:rsid w:val="00106050"/>
    <w:rsid w:val="00106171"/>
    <w:rsid w:val="001061C3"/>
    <w:rsid w:val="0010624A"/>
    <w:rsid w:val="001066F6"/>
    <w:rsid w:val="00106DC3"/>
    <w:rsid w:val="00107889"/>
    <w:rsid w:val="001078F4"/>
    <w:rsid w:val="001101C7"/>
    <w:rsid w:val="001105FF"/>
    <w:rsid w:val="00110638"/>
    <w:rsid w:val="00110744"/>
    <w:rsid w:val="00110797"/>
    <w:rsid w:val="00110BFA"/>
    <w:rsid w:val="00110E04"/>
    <w:rsid w:val="00111062"/>
    <w:rsid w:val="0011170E"/>
    <w:rsid w:val="00111849"/>
    <w:rsid w:val="00111A34"/>
    <w:rsid w:val="00111ECD"/>
    <w:rsid w:val="001121DD"/>
    <w:rsid w:val="00112340"/>
    <w:rsid w:val="00112D31"/>
    <w:rsid w:val="00112DBF"/>
    <w:rsid w:val="00113646"/>
    <w:rsid w:val="0011371D"/>
    <w:rsid w:val="001137BE"/>
    <w:rsid w:val="00113A1E"/>
    <w:rsid w:val="00113CD1"/>
    <w:rsid w:val="00113FAA"/>
    <w:rsid w:val="00114359"/>
    <w:rsid w:val="0011487E"/>
    <w:rsid w:val="0011492A"/>
    <w:rsid w:val="00115093"/>
    <w:rsid w:val="00115417"/>
    <w:rsid w:val="00115757"/>
    <w:rsid w:val="00115825"/>
    <w:rsid w:val="00115960"/>
    <w:rsid w:val="001161CA"/>
    <w:rsid w:val="00116258"/>
    <w:rsid w:val="00116494"/>
    <w:rsid w:val="00116529"/>
    <w:rsid w:val="001166D3"/>
    <w:rsid w:val="001167AE"/>
    <w:rsid w:val="001167C6"/>
    <w:rsid w:val="00116BE3"/>
    <w:rsid w:val="001170F8"/>
    <w:rsid w:val="00117A39"/>
    <w:rsid w:val="001202C5"/>
    <w:rsid w:val="0012077F"/>
    <w:rsid w:val="00120813"/>
    <w:rsid w:val="0012099E"/>
    <w:rsid w:val="00120CE3"/>
    <w:rsid w:val="00120E60"/>
    <w:rsid w:val="0012130E"/>
    <w:rsid w:val="001213B0"/>
    <w:rsid w:val="00121741"/>
    <w:rsid w:val="001217BA"/>
    <w:rsid w:val="00121832"/>
    <w:rsid w:val="00122050"/>
    <w:rsid w:val="00122232"/>
    <w:rsid w:val="0012235C"/>
    <w:rsid w:val="00122857"/>
    <w:rsid w:val="001229E1"/>
    <w:rsid w:val="00122A75"/>
    <w:rsid w:val="00122E8B"/>
    <w:rsid w:val="00123529"/>
    <w:rsid w:val="0012388E"/>
    <w:rsid w:val="00123DA5"/>
    <w:rsid w:val="00123E7A"/>
    <w:rsid w:val="001241D1"/>
    <w:rsid w:val="00124271"/>
    <w:rsid w:val="00124457"/>
    <w:rsid w:val="00124669"/>
    <w:rsid w:val="0012466D"/>
    <w:rsid w:val="00124985"/>
    <w:rsid w:val="00124DA6"/>
    <w:rsid w:val="00125609"/>
    <w:rsid w:val="001257A9"/>
    <w:rsid w:val="00125CB3"/>
    <w:rsid w:val="00125D8A"/>
    <w:rsid w:val="001260EE"/>
    <w:rsid w:val="00126655"/>
    <w:rsid w:val="00126707"/>
    <w:rsid w:val="0012679D"/>
    <w:rsid w:val="001269E0"/>
    <w:rsid w:val="00126A92"/>
    <w:rsid w:val="00126F2B"/>
    <w:rsid w:val="00126FC8"/>
    <w:rsid w:val="001270F4"/>
    <w:rsid w:val="001274D7"/>
    <w:rsid w:val="00127514"/>
    <w:rsid w:val="001279A3"/>
    <w:rsid w:val="00127B28"/>
    <w:rsid w:val="00130992"/>
    <w:rsid w:val="00130D0F"/>
    <w:rsid w:val="00130D23"/>
    <w:rsid w:val="001311C9"/>
    <w:rsid w:val="001312E1"/>
    <w:rsid w:val="00131335"/>
    <w:rsid w:val="00131627"/>
    <w:rsid w:val="001318CD"/>
    <w:rsid w:val="0013190A"/>
    <w:rsid w:val="00131955"/>
    <w:rsid w:val="00131C94"/>
    <w:rsid w:val="00131DE6"/>
    <w:rsid w:val="001321CA"/>
    <w:rsid w:val="001323E6"/>
    <w:rsid w:val="001326D3"/>
    <w:rsid w:val="001326DF"/>
    <w:rsid w:val="00132848"/>
    <w:rsid w:val="001329EC"/>
    <w:rsid w:val="00132A53"/>
    <w:rsid w:val="00132A5F"/>
    <w:rsid w:val="00132AD8"/>
    <w:rsid w:val="00132CCE"/>
    <w:rsid w:val="00133BBE"/>
    <w:rsid w:val="00133D01"/>
    <w:rsid w:val="001342A2"/>
    <w:rsid w:val="00134510"/>
    <w:rsid w:val="00134DD2"/>
    <w:rsid w:val="001358D6"/>
    <w:rsid w:val="00135FDA"/>
    <w:rsid w:val="00136073"/>
    <w:rsid w:val="00136198"/>
    <w:rsid w:val="001361F7"/>
    <w:rsid w:val="00136606"/>
    <w:rsid w:val="0013663C"/>
    <w:rsid w:val="001367BA"/>
    <w:rsid w:val="00136806"/>
    <w:rsid w:val="001369A6"/>
    <w:rsid w:val="00136BD6"/>
    <w:rsid w:val="00136BF1"/>
    <w:rsid w:val="00136DBC"/>
    <w:rsid w:val="00136F77"/>
    <w:rsid w:val="001370A8"/>
    <w:rsid w:val="00137507"/>
    <w:rsid w:val="00137856"/>
    <w:rsid w:val="00137966"/>
    <w:rsid w:val="00137B4E"/>
    <w:rsid w:val="00137BD3"/>
    <w:rsid w:val="00137BD8"/>
    <w:rsid w:val="00137CFE"/>
    <w:rsid w:val="00140291"/>
    <w:rsid w:val="00140866"/>
    <w:rsid w:val="00140D22"/>
    <w:rsid w:val="0014226B"/>
    <w:rsid w:val="0014229D"/>
    <w:rsid w:val="001422BC"/>
    <w:rsid w:val="001422D4"/>
    <w:rsid w:val="0014235F"/>
    <w:rsid w:val="0014236F"/>
    <w:rsid w:val="00142705"/>
    <w:rsid w:val="00142853"/>
    <w:rsid w:val="0014288C"/>
    <w:rsid w:val="001428FA"/>
    <w:rsid w:val="00142A87"/>
    <w:rsid w:val="00142C3F"/>
    <w:rsid w:val="001433C6"/>
    <w:rsid w:val="00143A59"/>
    <w:rsid w:val="00143B30"/>
    <w:rsid w:val="00143B37"/>
    <w:rsid w:val="00143B9F"/>
    <w:rsid w:val="0014427F"/>
    <w:rsid w:val="001442C2"/>
    <w:rsid w:val="001449E1"/>
    <w:rsid w:val="00144D5F"/>
    <w:rsid w:val="00144DD9"/>
    <w:rsid w:val="001455BA"/>
    <w:rsid w:val="00145DDE"/>
    <w:rsid w:val="00145F78"/>
    <w:rsid w:val="0014621F"/>
    <w:rsid w:val="0014647C"/>
    <w:rsid w:val="001467BA"/>
    <w:rsid w:val="00146907"/>
    <w:rsid w:val="00146A0C"/>
    <w:rsid w:val="00146E85"/>
    <w:rsid w:val="001473F1"/>
    <w:rsid w:val="00147916"/>
    <w:rsid w:val="0014795D"/>
    <w:rsid w:val="001479AA"/>
    <w:rsid w:val="00147F00"/>
    <w:rsid w:val="00150146"/>
    <w:rsid w:val="001502FF"/>
    <w:rsid w:val="00150536"/>
    <w:rsid w:val="00150564"/>
    <w:rsid w:val="001506A7"/>
    <w:rsid w:val="0015087C"/>
    <w:rsid w:val="00150882"/>
    <w:rsid w:val="00150A4A"/>
    <w:rsid w:val="00150D1D"/>
    <w:rsid w:val="00150FCC"/>
    <w:rsid w:val="00150FFB"/>
    <w:rsid w:val="00151671"/>
    <w:rsid w:val="001518B5"/>
    <w:rsid w:val="00151BBA"/>
    <w:rsid w:val="00151BDE"/>
    <w:rsid w:val="0015252D"/>
    <w:rsid w:val="00152656"/>
    <w:rsid w:val="00152C00"/>
    <w:rsid w:val="00152C2B"/>
    <w:rsid w:val="00152E98"/>
    <w:rsid w:val="00153084"/>
    <w:rsid w:val="00153A54"/>
    <w:rsid w:val="00153B4B"/>
    <w:rsid w:val="00154072"/>
    <w:rsid w:val="00154264"/>
    <w:rsid w:val="00154304"/>
    <w:rsid w:val="001544EE"/>
    <w:rsid w:val="001546EA"/>
    <w:rsid w:val="0015477A"/>
    <w:rsid w:val="00154902"/>
    <w:rsid w:val="00154913"/>
    <w:rsid w:val="00154951"/>
    <w:rsid w:val="001549E4"/>
    <w:rsid w:val="00154BA6"/>
    <w:rsid w:val="00154F0A"/>
    <w:rsid w:val="001551DA"/>
    <w:rsid w:val="001552AE"/>
    <w:rsid w:val="001559DA"/>
    <w:rsid w:val="00156891"/>
    <w:rsid w:val="00156BA3"/>
    <w:rsid w:val="00157320"/>
    <w:rsid w:val="001579B9"/>
    <w:rsid w:val="001602EB"/>
    <w:rsid w:val="00160794"/>
    <w:rsid w:val="0016080B"/>
    <w:rsid w:val="00160853"/>
    <w:rsid w:val="00160D29"/>
    <w:rsid w:val="00160F65"/>
    <w:rsid w:val="001610B4"/>
    <w:rsid w:val="001610EB"/>
    <w:rsid w:val="00161216"/>
    <w:rsid w:val="001614D4"/>
    <w:rsid w:val="00161BB8"/>
    <w:rsid w:val="00161C1F"/>
    <w:rsid w:val="00161C2F"/>
    <w:rsid w:val="00161F11"/>
    <w:rsid w:val="001620B6"/>
    <w:rsid w:val="001622BA"/>
    <w:rsid w:val="00162664"/>
    <w:rsid w:val="00162C60"/>
    <w:rsid w:val="00163194"/>
    <w:rsid w:val="00163499"/>
    <w:rsid w:val="001634CD"/>
    <w:rsid w:val="001638DF"/>
    <w:rsid w:val="001639B6"/>
    <w:rsid w:val="00163DB9"/>
    <w:rsid w:val="00163DD8"/>
    <w:rsid w:val="00163EC3"/>
    <w:rsid w:val="001643DB"/>
    <w:rsid w:val="00164F8F"/>
    <w:rsid w:val="00165130"/>
    <w:rsid w:val="0016529F"/>
    <w:rsid w:val="00165645"/>
    <w:rsid w:val="001658F5"/>
    <w:rsid w:val="00165C1E"/>
    <w:rsid w:val="00165F38"/>
    <w:rsid w:val="001661B8"/>
    <w:rsid w:val="00166237"/>
    <w:rsid w:val="00166385"/>
    <w:rsid w:val="0016644D"/>
    <w:rsid w:val="0016655F"/>
    <w:rsid w:val="00166656"/>
    <w:rsid w:val="001666AA"/>
    <w:rsid w:val="00166EE6"/>
    <w:rsid w:val="001672AF"/>
    <w:rsid w:val="00167454"/>
    <w:rsid w:val="00167460"/>
    <w:rsid w:val="00167517"/>
    <w:rsid w:val="0016764C"/>
    <w:rsid w:val="00170307"/>
    <w:rsid w:val="00170377"/>
    <w:rsid w:val="001706B2"/>
    <w:rsid w:val="00170A14"/>
    <w:rsid w:val="00170B4C"/>
    <w:rsid w:val="00170F8B"/>
    <w:rsid w:val="00171014"/>
    <w:rsid w:val="0017112B"/>
    <w:rsid w:val="0017113C"/>
    <w:rsid w:val="00171185"/>
    <w:rsid w:val="00171C71"/>
    <w:rsid w:val="00172202"/>
    <w:rsid w:val="001726CF"/>
    <w:rsid w:val="00172A27"/>
    <w:rsid w:val="00172A39"/>
    <w:rsid w:val="00172BAF"/>
    <w:rsid w:val="00172D05"/>
    <w:rsid w:val="00172EC0"/>
    <w:rsid w:val="00173191"/>
    <w:rsid w:val="0017339D"/>
    <w:rsid w:val="00173686"/>
    <w:rsid w:val="001737FE"/>
    <w:rsid w:val="00173E1F"/>
    <w:rsid w:val="00173F0C"/>
    <w:rsid w:val="0017426E"/>
    <w:rsid w:val="00174691"/>
    <w:rsid w:val="00175014"/>
    <w:rsid w:val="001751EE"/>
    <w:rsid w:val="001753D1"/>
    <w:rsid w:val="00175B11"/>
    <w:rsid w:val="00175B5B"/>
    <w:rsid w:val="00175F46"/>
    <w:rsid w:val="00176AFA"/>
    <w:rsid w:val="00176B0A"/>
    <w:rsid w:val="00176C25"/>
    <w:rsid w:val="00176E50"/>
    <w:rsid w:val="0017723E"/>
    <w:rsid w:val="001775DA"/>
    <w:rsid w:val="00177610"/>
    <w:rsid w:val="00177935"/>
    <w:rsid w:val="00177AD0"/>
    <w:rsid w:val="00177B95"/>
    <w:rsid w:val="00180510"/>
    <w:rsid w:val="001807EF"/>
    <w:rsid w:val="00180952"/>
    <w:rsid w:val="0018095E"/>
    <w:rsid w:val="00181019"/>
    <w:rsid w:val="001810ED"/>
    <w:rsid w:val="00181135"/>
    <w:rsid w:val="00181394"/>
    <w:rsid w:val="001813A3"/>
    <w:rsid w:val="001816A8"/>
    <w:rsid w:val="00181C0B"/>
    <w:rsid w:val="00181EF7"/>
    <w:rsid w:val="00181F74"/>
    <w:rsid w:val="001820BF"/>
    <w:rsid w:val="00182382"/>
    <w:rsid w:val="0018274C"/>
    <w:rsid w:val="00182DEB"/>
    <w:rsid w:val="00182DF8"/>
    <w:rsid w:val="00182F66"/>
    <w:rsid w:val="0018315F"/>
    <w:rsid w:val="00183672"/>
    <w:rsid w:val="00183DA3"/>
    <w:rsid w:val="0018495A"/>
    <w:rsid w:val="0018502B"/>
    <w:rsid w:val="0018578E"/>
    <w:rsid w:val="00185DC9"/>
    <w:rsid w:val="00186403"/>
    <w:rsid w:val="00186455"/>
    <w:rsid w:val="00186B76"/>
    <w:rsid w:val="00186C91"/>
    <w:rsid w:val="00186DC9"/>
    <w:rsid w:val="0018707E"/>
    <w:rsid w:val="001872C9"/>
    <w:rsid w:val="0018776D"/>
    <w:rsid w:val="00187892"/>
    <w:rsid w:val="00187DFB"/>
    <w:rsid w:val="00190463"/>
    <w:rsid w:val="00191435"/>
    <w:rsid w:val="00191C69"/>
    <w:rsid w:val="00191F33"/>
    <w:rsid w:val="00192213"/>
    <w:rsid w:val="001927A2"/>
    <w:rsid w:val="00192BD1"/>
    <w:rsid w:val="00192FED"/>
    <w:rsid w:val="00192FF5"/>
    <w:rsid w:val="0019302D"/>
    <w:rsid w:val="0019335B"/>
    <w:rsid w:val="001938DB"/>
    <w:rsid w:val="00193DB1"/>
    <w:rsid w:val="00193EBE"/>
    <w:rsid w:val="001940F4"/>
    <w:rsid w:val="0019423A"/>
    <w:rsid w:val="00194277"/>
    <w:rsid w:val="001945BB"/>
    <w:rsid w:val="0019473A"/>
    <w:rsid w:val="00194FA4"/>
    <w:rsid w:val="00195203"/>
    <w:rsid w:val="00195234"/>
    <w:rsid w:val="00195384"/>
    <w:rsid w:val="0019557A"/>
    <w:rsid w:val="00195648"/>
    <w:rsid w:val="001959DC"/>
    <w:rsid w:val="00195A29"/>
    <w:rsid w:val="00195F44"/>
    <w:rsid w:val="00195FB5"/>
    <w:rsid w:val="00195FC6"/>
    <w:rsid w:val="00196019"/>
    <w:rsid w:val="001963F9"/>
    <w:rsid w:val="00196B1D"/>
    <w:rsid w:val="00196C83"/>
    <w:rsid w:val="00196E92"/>
    <w:rsid w:val="001972D7"/>
    <w:rsid w:val="00197AAA"/>
    <w:rsid w:val="00197C3A"/>
    <w:rsid w:val="00197FDE"/>
    <w:rsid w:val="001A0298"/>
    <w:rsid w:val="001A0361"/>
    <w:rsid w:val="001A03EA"/>
    <w:rsid w:val="001A0896"/>
    <w:rsid w:val="001A0BA5"/>
    <w:rsid w:val="001A0F1F"/>
    <w:rsid w:val="001A0F97"/>
    <w:rsid w:val="001A0FF1"/>
    <w:rsid w:val="001A11A2"/>
    <w:rsid w:val="001A172F"/>
    <w:rsid w:val="001A1D22"/>
    <w:rsid w:val="001A2185"/>
    <w:rsid w:val="001A2679"/>
    <w:rsid w:val="001A315B"/>
    <w:rsid w:val="001A334F"/>
    <w:rsid w:val="001A3856"/>
    <w:rsid w:val="001A3954"/>
    <w:rsid w:val="001A3F6D"/>
    <w:rsid w:val="001A4126"/>
    <w:rsid w:val="001A4C94"/>
    <w:rsid w:val="001A4D77"/>
    <w:rsid w:val="001A4F40"/>
    <w:rsid w:val="001A5233"/>
    <w:rsid w:val="001A564C"/>
    <w:rsid w:val="001A56FD"/>
    <w:rsid w:val="001A57C8"/>
    <w:rsid w:val="001A5923"/>
    <w:rsid w:val="001A5946"/>
    <w:rsid w:val="001A5DA1"/>
    <w:rsid w:val="001A66E5"/>
    <w:rsid w:val="001A6A4C"/>
    <w:rsid w:val="001A7328"/>
    <w:rsid w:val="001A775C"/>
    <w:rsid w:val="001A7CA4"/>
    <w:rsid w:val="001A7CBA"/>
    <w:rsid w:val="001B0DF5"/>
    <w:rsid w:val="001B16E6"/>
    <w:rsid w:val="001B1736"/>
    <w:rsid w:val="001B1AE6"/>
    <w:rsid w:val="001B1CC8"/>
    <w:rsid w:val="001B1F0B"/>
    <w:rsid w:val="001B201D"/>
    <w:rsid w:val="001B2576"/>
    <w:rsid w:val="001B2E4E"/>
    <w:rsid w:val="001B32D3"/>
    <w:rsid w:val="001B32E4"/>
    <w:rsid w:val="001B3778"/>
    <w:rsid w:val="001B3783"/>
    <w:rsid w:val="001B3CB6"/>
    <w:rsid w:val="001B3E30"/>
    <w:rsid w:val="001B43A2"/>
    <w:rsid w:val="001B4634"/>
    <w:rsid w:val="001B4D03"/>
    <w:rsid w:val="001B4ED3"/>
    <w:rsid w:val="001B5091"/>
    <w:rsid w:val="001B50CC"/>
    <w:rsid w:val="001B5355"/>
    <w:rsid w:val="001B5426"/>
    <w:rsid w:val="001B593D"/>
    <w:rsid w:val="001B5D57"/>
    <w:rsid w:val="001B5D62"/>
    <w:rsid w:val="001B6049"/>
    <w:rsid w:val="001B60D4"/>
    <w:rsid w:val="001B618E"/>
    <w:rsid w:val="001B6482"/>
    <w:rsid w:val="001B6B01"/>
    <w:rsid w:val="001B6F4A"/>
    <w:rsid w:val="001B7014"/>
    <w:rsid w:val="001B739D"/>
    <w:rsid w:val="001B7432"/>
    <w:rsid w:val="001B7474"/>
    <w:rsid w:val="001B7C32"/>
    <w:rsid w:val="001B7CBF"/>
    <w:rsid w:val="001B7E06"/>
    <w:rsid w:val="001C0476"/>
    <w:rsid w:val="001C0846"/>
    <w:rsid w:val="001C0FCB"/>
    <w:rsid w:val="001C12CB"/>
    <w:rsid w:val="001C148A"/>
    <w:rsid w:val="001C15DB"/>
    <w:rsid w:val="001C16C8"/>
    <w:rsid w:val="001C17AC"/>
    <w:rsid w:val="001C1814"/>
    <w:rsid w:val="001C1B36"/>
    <w:rsid w:val="001C1F01"/>
    <w:rsid w:val="001C2831"/>
    <w:rsid w:val="001C320C"/>
    <w:rsid w:val="001C32D4"/>
    <w:rsid w:val="001C3BCE"/>
    <w:rsid w:val="001C3D5E"/>
    <w:rsid w:val="001C3D80"/>
    <w:rsid w:val="001C4222"/>
    <w:rsid w:val="001C4361"/>
    <w:rsid w:val="001C4AA8"/>
    <w:rsid w:val="001C4C81"/>
    <w:rsid w:val="001C51A3"/>
    <w:rsid w:val="001C5358"/>
    <w:rsid w:val="001C56D1"/>
    <w:rsid w:val="001C5A59"/>
    <w:rsid w:val="001C5E59"/>
    <w:rsid w:val="001C606C"/>
    <w:rsid w:val="001C61E9"/>
    <w:rsid w:val="001C67E7"/>
    <w:rsid w:val="001C6F0D"/>
    <w:rsid w:val="001C7325"/>
    <w:rsid w:val="001C7702"/>
    <w:rsid w:val="001C7A8C"/>
    <w:rsid w:val="001C7DF6"/>
    <w:rsid w:val="001C7F79"/>
    <w:rsid w:val="001C7FBB"/>
    <w:rsid w:val="001D0774"/>
    <w:rsid w:val="001D0AF1"/>
    <w:rsid w:val="001D0B07"/>
    <w:rsid w:val="001D0D82"/>
    <w:rsid w:val="001D0F05"/>
    <w:rsid w:val="001D1136"/>
    <w:rsid w:val="001D13E6"/>
    <w:rsid w:val="001D151F"/>
    <w:rsid w:val="001D15D9"/>
    <w:rsid w:val="001D1912"/>
    <w:rsid w:val="001D1DD7"/>
    <w:rsid w:val="001D1EC2"/>
    <w:rsid w:val="001D215D"/>
    <w:rsid w:val="001D21CD"/>
    <w:rsid w:val="001D23EF"/>
    <w:rsid w:val="001D2608"/>
    <w:rsid w:val="001D273D"/>
    <w:rsid w:val="001D285A"/>
    <w:rsid w:val="001D2A03"/>
    <w:rsid w:val="001D2E8F"/>
    <w:rsid w:val="001D329A"/>
    <w:rsid w:val="001D3534"/>
    <w:rsid w:val="001D3652"/>
    <w:rsid w:val="001D4607"/>
    <w:rsid w:val="001D465D"/>
    <w:rsid w:val="001D49FD"/>
    <w:rsid w:val="001D4EB1"/>
    <w:rsid w:val="001D5354"/>
    <w:rsid w:val="001D537F"/>
    <w:rsid w:val="001D565B"/>
    <w:rsid w:val="001D592E"/>
    <w:rsid w:val="001D6B8D"/>
    <w:rsid w:val="001D6D80"/>
    <w:rsid w:val="001D723E"/>
    <w:rsid w:val="001D75E1"/>
    <w:rsid w:val="001D7681"/>
    <w:rsid w:val="001D7CDE"/>
    <w:rsid w:val="001E0531"/>
    <w:rsid w:val="001E131D"/>
    <w:rsid w:val="001E15B4"/>
    <w:rsid w:val="001E1FA3"/>
    <w:rsid w:val="001E21AC"/>
    <w:rsid w:val="001E24A4"/>
    <w:rsid w:val="001E2756"/>
    <w:rsid w:val="001E28CC"/>
    <w:rsid w:val="001E28E4"/>
    <w:rsid w:val="001E290A"/>
    <w:rsid w:val="001E2DA9"/>
    <w:rsid w:val="001E317A"/>
    <w:rsid w:val="001E31A6"/>
    <w:rsid w:val="001E321D"/>
    <w:rsid w:val="001E327A"/>
    <w:rsid w:val="001E3315"/>
    <w:rsid w:val="001E33D6"/>
    <w:rsid w:val="001E38B1"/>
    <w:rsid w:val="001E3A2B"/>
    <w:rsid w:val="001E4004"/>
    <w:rsid w:val="001E4100"/>
    <w:rsid w:val="001E478C"/>
    <w:rsid w:val="001E4C00"/>
    <w:rsid w:val="001E4D12"/>
    <w:rsid w:val="001E4D56"/>
    <w:rsid w:val="001E4DB4"/>
    <w:rsid w:val="001E532C"/>
    <w:rsid w:val="001E5559"/>
    <w:rsid w:val="001E5BBC"/>
    <w:rsid w:val="001E5F00"/>
    <w:rsid w:val="001E62C7"/>
    <w:rsid w:val="001E6542"/>
    <w:rsid w:val="001E6685"/>
    <w:rsid w:val="001E66CC"/>
    <w:rsid w:val="001E6976"/>
    <w:rsid w:val="001E69FA"/>
    <w:rsid w:val="001E72E0"/>
    <w:rsid w:val="001E7739"/>
    <w:rsid w:val="001E7AB5"/>
    <w:rsid w:val="001E7B04"/>
    <w:rsid w:val="001F0064"/>
    <w:rsid w:val="001F03DE"/>
    <w:rsid w:val="001F0D9E"/>
    <w:rsid w:val="001F16DF"/>
    <w:rsid w:val="001F193B"/>
    <w:rsid w:val="001F1960"/>
    <w:rsid w:val="001F1FBA"/>
    <w:rsid w:val="001F2022"/>
    <w:rsid w:val="001F2202"/>
    <w:rsid w:val="001F2C58"/>
    <w:rsid w:val="001F3066"/>
    <w:rsid w:val="001F327B"/>
    <w:rsid w:val="001F32DA"/>
    <w:rsid w:val="001F3DAE"/>
    <w:rsid w:val="001F4A98"/>
    <w:rsid w:val="001F4C8F"/>
    <w:rsid w:val="001F4F82"/>
    <w:rsid w:val="001F6159"/>
    <w:rsid w:val="001F6680"/>
    <w:rsid w:val="001F6947"/>
    <w:rsid w:val="001F6C51"/>
    <w:rsid w:val="001F6DC6"/>
    <w:rsid w:val="001F6FB6"/>
    <w:rsid w:val="001F736C"/>
    <w:rsid w:val="001F740D"/>
    <w:rsid w:val="001F7432"/>
    <w:rsid w:val="001F792F"/>
    <w:rsid w:val="001F7AC9"/>
    <w:rsid w:val="001F7B9E"/>
    <w:rsid w:val="001F7BE1"/>
    <w:rsid w:val="001F7C97"/>
    <w:rsid w:val="00200A84"/>
    <w:rsid w:val="00200A89"/>
    <w:rsid w:val="00200C40"/>
    <w:rsid w:val="00200D7D"/>
    <w:rsid w:val="00201213"/>
    <w:rsid w:val="00201229"/>
    <w:rsid w:val="002013AF"/>
    <w:rsid w:val="002014F7"/>
    <w:rsid w:val="0020175B"/>
    <w:rsid w:val="00202359"/>
    <w:rsid w:val="002023BE"/>
    <w:rsid w:val="0020248C"/>
    <w:rsid w:val="00202576"/>
    <w:rsid w:val="00202583"/>
    <w:rsid w:val="0020269C"/>
    <w:rsid w:val="00202B50"/>
    <w:rsid w:val="00202E5D"/>
    <w:rsid w:val="00202EF9"/>
    <w:rsid w:val="00203204"/>
    <w:rsid w:val="00203236"/>
    <w:rsid w:val="00203395"/>
    <w:rsid w:val="002036E8"/>
    <w:rsid w:val="00203939"/>
    <w:rsid w:val="00203B3F"/>
    <w:rsid w:val="002048AD"/>
    <w:rsid w:val="00204967"/>
    <w:rsid w:val="00204BB7"/>
    <w:rsid w:val="0020511F"/>
    <w:rsid w:val="002051F7"/>
    <w:rsid w:val="0020531C"/>
    <w:rsid w:val="00205693"/>
    <w:rsid w:val="002056B0"/>
    <w:rsid w:val="00205AD3"/>
    <w:rsid w:val="00205B53"/>
    <w:rsid w:val="00205E98"/>
    <w:rsid w:val="002066C1"/>
    <w:rsid w:val="002067D2"/>
    <w:rsid w:val="00206D59"/>
    <w:rsid w:val="00206DC8"/>
    <w:rsid w:val="00206EF3"/>
    <w:rsid w:val="00207026"/>
    <w:rsid w:val="0020708A"/>
    <w:rsid w:val="00207402"/>
    <w:rsid w:val="00207435"/>
    <w:rsid w:val="00207642"/>
    <w:rsid w:val="00207877"/>
    <w:rsid w:val="00207A53"/>
    <w:rsid w:val="00207AAC"/>
    <w:rsid w:val="00207F6A"/>
    <w:rsid w:val="00210191"/>
    <w:rsid w:val="00210256"/>
    <w:rsid w:val="00210394"/>
    <w:rsid w:val="0021051F"/>
    <w:rsid w:val="002105C8"/>
    <w:rsid w:val="0021076E"/>
    <w:rsid w:val="002107A4"/>
    <w:rsid w:val="002109BC"/>
    <w:rsid w:val="0021141A"/>
    <w:rsid w:val="00211511"/>
    <w:rsid w:val="00211A77"/>
    <w:rsid w:val="00211E23"/>
    <w:rsid w:val="00211F07"/>
    <w:rsid w:val="00211F79"/>
    <w:rsid w:val="0021206E"/>
    <w:rsid w:val="00212451"/>
    <w:rsid w:val="002127B9"/>
    <w:rsid w:val="00212B08"/>
    <w:rsid w:val="00212B38"/>
    <w:rsid w:val="00213289"/>
    <w:rsid w:val="00213825"/>
    <w:rsid w:val="00213CEF"/>
    <w:rsid w:val="00214189"/>
    <w:rsid w:val="0021432D"/>
    <w:rsid w:val="002143B4"/>
    <w:rsid w:val="00214532"/>
    <w:rsid w:val="00214ADD"/>
    <w:rsid w:val="00214F68"/>
    <w:rsid w:val="0021525B"/>
    <w:rsid w:val="002160AD"/>
    <w:rsid w:val="00216356"/>
    <w:rsid w:val="002164F1"/>
    <w:rsid w:val="00216A00"/>
    <w:rsid w:val="00216A50"/>
    <w:rsid w:val="00216B19"/>
    <w:rsid w:val="00216CCC"/>
    <w:rsid w:val="00216E16"/>
    <w:rsid w:val="002172B5"/>
    <w:rsid w:val="0021738B"/>
    <w:rsid w:val="00217EE6"/>
    <w:rsid w:val="00220082"/>
    <w:rsid w:val="002203BD"/>
    <w:rsid w:val="002203F3"/>
    <w:rsid w:val="00220517"/>
    <w:rsid w:val="00220776"/>
    <w:rsid w:val="0022116D"/>
    <w:rsid w:val="002216CC"/>
    <w:rsid w:val="00221ED0"/>
    <w:rsid w:val="002221C3"/>
    <w:rsid w:val="002222FA"/>
    <w:rsid w:val="0022241C"/>
    <w:rsid w:val="0022256B"/>
    <w:rsid w:val="0022299A"/>
    <w:rsid w:val="00222A0B"/>
    <w:rsid w:val="00222B91"/>
    <w:rsid w:val="00222D7D"/>
    <w:rsid w:val="00222DE4"/>
    <w:rsid w:val="002230FD"/>
    <w:rsid w:val="002232B3"/>
    <w:rsid w:val="00223664"/>
    <w:rsid w:val="0022401E"/>
    <w:rsid w:val="00224756"/>
    <w:rsid w:val="002247AB"/>
    <w:rsid w:val="00224878"/>
    <w:rsid w:val="0022514D"/>
    <w:rsid w:val="00225CEE"/>
    <w:rsid w:val="00225E3F"/>
    <w:rsid w:val="00226447"/>
    <w:rsid w:val="002266DB"/>
    <w:rsid w:val="00226894"/>
    <w:rsid w:val="002268B0"/>
    <w:rsid w:val="00226C0B"/>
    <w:rsid w:val="002272F5"/>
    <w:rsid w:val="00227577"/>
    <w:rsid w:val="002277E9"/>
    <w:rsid w:val="00230153"/>
    <w:rsid w:val="002302AF"/>
    <w:rsid w:val="002303A6"/>
    <w:rsid w:val="00230894"/>
    <w:rsid w:val="002308E9"/>
    <w:rsid w:val="00230B49"/>
    <w:rsid w:val="00231060"/>
    <w:rsid w:val="0023146B"/>
    <w:rsid w:val="00231B36"/>
    <w:rsid w:val="00231F9E"/>
    <w:rsid w:val="00232310"/>
    <w:rsid w:val="00232498"/>
    <w:rsid w:val="002324E2"/>
    <w:rsid w:val="0023254E"/>
    <w:rsid w:val="00232918"/>
    <w:rsid w:val="00232955"/>
    <w:rsid w:val="00232B27"/>
    <w:rsid w:val="0023350C"/>
    <w:rsid w:val="00233698"/>
    <w:rsid w:val="00233981"/>
    <w:rsid w:val="00233E13"/>
    <w:rsid w:val="00233E70"/>
    <w:rsid w:val="002340E1"/>
    <w:rsid w:val="00234281"/>
    <w:rsid w:val="00234B9E"/>
    <w:rsid w:val="00234BBE"/>
    <w:rsid w:val="00234DD6"/>
    <w:rsid w:val="00234FD3"/>
    <w:rsid w:val="0023568A"/>
    <w:rsid w:val="00235B0E"/>
    <w:rsid w:val="00236382"/>
    <w:rsid w:val="00236B90"/>
    <w:rsid w:val="00236BCD"/>
    <w:rsid w:val="00236C21"/>
    <w:rsid w:val="00236FF2"/>
    <w:rsid w:val="002371BF"/>
    <w:rsid w:val="002371E1"/>
    <w:rsid w:val="00237249"/>
    <w:rsid w:val="00237662"/>
    <w:rsid w:val="00237A87"/>
    <w:rsid w:val="00237F71"/>
    <w:rsid w:val="00240262"/>
    <w:rsid w:val="002404C3"/>
    <w:rsid w:val="002410C4"/>
    <w:rsid w:val="00241129"/>
    <w:rsid w:val="002411AE"/>
    <w:rsid w:val="00241205"/>
    <w:rsid w:val="00241388"/>
    <w:rsid w:val="00241731"/>
    <w:rsid w:val="00241840"/>
    <w:rsid w:val="00241C36"/>
    <w:rsid w:val="00241D87"/>
    <w:rsid w:val="002423E5"/>
    <w:rsid w:val="0024262D"/>
    <w:rsid w:val="002427EB"/>
    <w:rsid w:val="002427F0"/>
    <w:rsid w:val="002428BD"/>
    <w:rsid w:val="00242D15"/>
    <w:rsid w:val="00242E09"/>
    <w:rsid w:val="002432B7"/>
    <w:rsid w:val="002432E9"/>
    <w:rsid w:val="00243D23"/>
    <w:rsid w:val="002440B2"/>
    <w:rsid w:val="00244577"/>
    <w:rsid w:val="002445FE"/>
    <w:rsid w:val="002451B3"/>
    <w:rsid w:val="002458CE"/>
    <w:rsid w:val="002459C5"/>
    <w:rsid w:val="00245A3D"/>
    <w:rsid w:val="00245DE9"/>
    <w:rsid w:val="00245E81"/>
    <w:rsid w:val="00245F09"/>
    <w:rsid w:val="00246513"/>
    <w:rsid w:val="00246851"/>
    <w:rsid w:val="00246B1D"/>
    <w:rsid w:val="00246E71"/>
    <w:rsid w:val="00246F16"/>
    <w:rsid w:val="0024705A"/>
    <w:rsid w:val="002477AE"/>
    <w:rsid w:val="00247BDE"/>
    <w:rsid w:val="00247D10"/>
    <w:rsid w:val="00247D4D"/>
    <w:rsid w:val="00247F3A"/>
    <w:rsid w:val="002504FC"/>
    <w:rsid w:val="00250B11"/>
    <w:rsid w:val="00250D82"/>
    <w:rsid w:val="00250F7C"/>
    <w:rsid w:val="0025120C"/>
    <w:rsid w:val="00251CC2"/>
    <w:rsid w:val="00251EB3"/>
    <w:rsid w:val="00251EE5"/>
    <w:rsid w:val="00252136"/>
    <w:rsid w:val="002523D0"/>
    <w:rsid w:val="00252D18"/>
    <w:rsid w:val="0025329B"/>
    <w:rsid w:val="00253582"/>
    <w:rsid w:val="0025362C"/>
    <w:rsid w:val="002538BA"/>
    <w:rsid w:val="00253AC1"/>
    <w:rsid w:val="00253AE3"/>
    <w:rsid w:val="00253C3E"/>
    <w:rsid w:val="00253EC4"/>
    <w:rsid w:val="0025418A"/>
    <w:rsid w:val="00254240"/>
    <w:rsid w:val="0025425A"/>
    <w:rsid w:val="002547EA"/>
    <w:rsid w:val="0025531B"/>
    <w:rsid w:val="00255536"/>
    <w:rsid w:val="002557BB"/>
    <w:rsid w:val="002558AC"/>
    <w:rsid w:val="00255BC2"/>
    <w:rsid w:val="00255EFE"/>
    <w:rsid w:val="00256298"/>
    <w:rsid w:val="002564CF"/>
    <w:rsid w:val="00256539"/>
    <w:rsid w:val="00256DEA"/>
    <w:rsid w:val="00257117"/>
    <w:rsid w:val="002577B5"/>
    <w:rsid w:val="00257923"/>
    <w:rsid w:val="002579BB"/>
    <w:rsid w:val="00257AB4"/>
    <w:rsid w:val="00257ABE"/>
    <w:rsid w:val="00257C49"/>
    <w:rsid w:val="00260299"/>
    <w:rsid w:val="002603B3"/>
    <w:rsid w:val="0026072F"/>
    <w:rsid w:val="00260952"/>
    <w:rsid w:val="00260B2B"/>
    <w:rsid w:val="00260C11"/>
    <w:rsid w:val="00260F7B"/>
    <w:rsid w:val="002610D7"/>
    <w:rsid w:val="00261192"/>
    <w:rsid w:val="0026131A"/>
    <w:rsid w:val="0026176E"/>
    <w:rsid w:val="00261A11"/>
    <w:rsid w:val="00261CB5"/>
    <w:rsid w:val="00261D8A"/>
    <w:rsid w:val="002625F2"/>
    <w:rsid w:val="00262999"/>
    <w:rsid w:val="00262CA3"/>
    <w:rsid w:val="00262D43"/>
    <w:rsid w:val="00263413"/>
    <w:rsid w:val="00263AEC"/>
    <w:rsid w:val="00263B87"/>
    <w:rsid w:val="00263DE1"/>
    <w:rsid w:val="00263E3B"/>
    <w:rsid w:val="0026408F"/>
    <w:rsid w:val="0026431A"/>
    <w:rsid w:val="002644A4"/>
    <w:rsid w:val="00264634"/>
    <w:rsid w:val="0026485D"/>
    <w:rsid w:val="00264A11"/>
    <w:rsid w:val="00264C8F"/>
    <w:rsid w:val="00265066"/>
    <w:rsid w:val="002650EA"/>
    <w:rsid w:val="00265548"/>
    <w:rsid w:val="00265C93"/>
    <w:rsid w:val="00265CE9"/>
    <w:rsid w:val="00266300"/>
    <w:rsid w:val="002663F1"/>
    <w:rsid w:val="0026641E"/>
    <w:rsid w:val="00266678"/>
    <w:rsid w:val="002669B2"/>
    <w:rsid w:val="00266EE2"/>
    <w:rsid w:val="002674FD"/>
    <w:rsid w:val="002678CA"/>
    <w:rsid w:val="00267BBD"/>
    <w:rsid w:val="00267EC5"/>
    <w:rsid w:val="00267F3E"/>
    <w:rsid w:val="00270297"/>
    <w:rsid w:val="0027038F"/>
    <w:rsid w:val="002707FA"/>
    <w:rsid w:val="00270DFB"/>
    <w:rsid w:val="00270EAC"/>
    <w:rsid w:val="00270ED2"/>
    <w:rsid w:val="00271150"/>
    <w:rsid w:val="00271DDF"/>
    <w:rsid w:val="0027297F"/>
    <w:rsid w:val="00272EB3"/>
    <w:rsid w:val="00273328"/>
    <w:rsid w:val="00273743"/>
    <w:rsid w:val="0027393F"/>
    <w:rsid w:val="0027438E"/>
    <w:rsid w:val="0027447A"/>
    <w:rsid w:val="00274682"/>
    <w:rsid w:val="002747CC"/>
    <w:rsid w:val="00274830"/>
    <w:rsid w:val="00274AAB"/>
    <w:rsid w:val="00274DF9"/>
    <w:rsid w:val="00275170"/>
    <w:rsid w:val="00275D77"/>
    <w:rsid w:val="00275EAD"/>
    <w:rsid w:val="0027602C"/>
    <w:rsid w:val="002760F9"/>
    <w:rsid w:val="00276A43"/>
    <w:rsid w:val="00276D2F"/>
    <w:rsid w:val="00276D5E"/>
    <w:rsid w:val="00276FBF"/>
    <w:rsid w:val="002775C7"/>
    <w:rsid w:val="002778F2"/>
    <w:rsid w:val="00277AB9"/>
    <w:rsid w:val="00277F52"/>
    <w:rsid w:val="00277F90"/>
    <w:rsid w:val="002809A3"/>
    <w:rsid w:val="002809CB"/>
    <w:rsid w:val="00280AED"/>
    <w:rsid w:val="00280E91"/>
    <w:rsid w:val="0028107C"/>
    <w:rsid w:val="00281979"/>
    <w:rsid w:val="00281E85"/>
    <w:rsid w:val="0028200C"/>
    <w:rsid w:val="00282011"/>
    <w:rsid w:val="00282469"/>
    <w:rsid w:val="00282533"/>
    <w:rsid w:val="00282622"/>
    <w:rsid w:val="00283221"/>
    <w:rsid w:val="002837F8"/>
    <w:rsid w:val="00283A81"/>
    <w:rsid w:val="00283ACF"/>
    <w:rsid w:val="00283C99"/>
    <w:rsid w:val="00283D11"/>
    <w:rsid w:val="002845EA"/>
    <w:rsid w:val="0028473D"/>
    <w:rsid w:val="00284850"/>
    <w:rsid w:val="00284CEE"/>
    <w:rsid w:val="00284D22"/>
    <w:rsid w:val="00284DB4"/>
    <w:rsid w:val="00284F33"/>
    <w:rsid w:val="002851E8"/>
    <w:rsid w:val="0028529C"/>
    <w:rsid w:val="00285326"/>
    <w:rsid w:val="0028572F"/>
    <w:rsid w:val="00285DE8"/>
    <w:rsid w:val="00287067"/>
    <w:rsid w:val="00290337"/>
    <w:rsid w:val="00290461"/>
    <w:rsid w:val="002904A9"/>
    <w:rsid w:val="0029054D"/>
    <w:rsid w:val="00290891"/>
    <w:rsid w:val="00291AA1"/>
    <w:rsid w:val="00291DA9"/>
    <w:rsid w:val="00291E40"/>
    <w:rsid w:val="00292552"/>
    <w:rsid w:val="00292661"/>
    <w:rsid w:val="00292773"/>
    <w:rsid w:val="002927AC"/>
    <w:rsid w:val="002928D1"/>
    <w:rsid w:val="00292D88"/>
    <w:rsid w:val="00293689"/>
    <w:rsid w:val="00294241"/>
    <w:rsid w:val="002943E7"/>
    <w:rsid w:val="00294519"/>
    <w:rsid w:val="0029469F"/>
    <w:rsid w:val="0029476B"/>
    <w:rsid w:val="0029515F"/>
    <w:rsid w:val="00295405"/>
    <w:rsid w:val="002954FB"/>
    <w:rsid w:val="00295E06"/>
    <w:rsid w:val="00295E8B"/>
    <w:rsid w:val="0029618D"/>
    <w:rsid w:val="0029658F"/>
    <w:rsid w:val="002965BA"/>
    <w:rsid w:val="00296814"/>
    <w:rsid w:val="00296D48"/>
    <w:rsid w:val="00296EB8"/>
    <w:rsid w:val="00296F5F"/>
    <w:rsid w:val="0029716C"/>
    <w:rsid w:val="002976F2"/>
    <w:rsid w:val="00297A95"/>
    <w:rsid w:val="002A0070"/>
    <w:rsid w:val="002A02A0"/>
    <w:rsid w:val="002A068A"/>
    <w:rsid w:val="002A071D"/>
    <w:rsid w:val="002A076C"/>
    <w:rsid w:val="002A07C4"/>
    <w:rsid w:val="002A0D1C"/>
    <w:rsid w:val="002A0DD4"/>
    <w:rsid w:val="002A2381"/>
    <w:rsid w:val="002A24CF"/>
    <w:rsid w:val="002A2537"/>
    <w:rsid w:val="002A2AB8"/>
    <w:rsid w:val="002A2B8E"/>
    <w:rsid w:val="002A2B92"/>
    <w:rsid w:val="002A3123"/>
    <w:rsid w:val="002A3195"/>
    <w:rsid w:val="002A3789"/>
    <w:rsid w:val="002A399D"/>
    <w:rsid w:val="002A4B7B"/>
    <w:rsid w:val="002A5126"/>
    <w:rsid w:val="002A51EB"/>
    <w:rsid w:val="002A529E"/>
    <w:rsid w:val="002A54C1"/>
    <w:rsid w:val="002A5948"/>
    <w:rsid w:val="002A5BCC"/>
    <w:rsid w:val="002A5C4F"/>
    <w:rsid w:val="002A6115"/>
    <w:rsid w:val="002A639F"/>
    <w:rsid w:val="002A64F2"/>
    <w:rsid w:val="002A6590"/>
    <w:rsid w:val="002A6708"/>
    <w:rsid w:val="002A6960"/>
    <w:rsid w:val="002A6E8F"/>
    <w:rsid w:val="002A7058"/>
    <w:rsid w:val="002A7478"/>
    <w:rsid w:val="002A7678"/>
    <w:rsid w:val="002A7B26"/>
    <w:rsid w:val="002B01AD"/>
    <w:rsid w:val="002B02F8"/>
    <w:rsid w:val="002B037F"/>
    <w:rsid w:val="002B047F"/>
    <w:rsid w:val="002B0A48"/>
    <w:rsid w:val="002B151D"/>
    <w:rsid w:val="002B1824"/>
    <w:rsid w:val="002B182C"/>
    <w:rsid w:val="002B1845"/>
    <w:rsid w:val="002B1A9F"/>
    <w:rsid w:val="002B210C"/>
    <w:rsid w:val="002B2402"/>
    <w:rsid w:val="002B2847"/>
    <w:rsid w:val="002B2C8F"/>
    <w:rsid w:val="002B2D78"/>
    <w:rsid w:val="002B32B6"/>
    <w:rsid w:val="002B32C9"/>
    <w:rsid w:val="002B35D8"/>
    <w:rsid w:val="002B3736"/>
    <w:rsid w:val="002B4054"/>
    <w:rsid w:val="002B41A8"/>
    <w:rsid w:val="002B427C"/>
    <w:rsid w:val="002B435D"/>
    <w:rsid w:val="002B46A0"/>
    <w:rsid w:val="002B46FF"/>
    <w:rsid w:val="002B497D"/>
    <w:rsid w:val="002B4BBC"/>
    <w:rsid w:val="002B4D0E"/>
    <w:rsid w:val="002B4D3C"/>
    <w:rsid w:val="002B4EA1"/>
    <w:rsid w:val="002B4F54"/>
    <w:rsid w:val="002B542A"/>
    <w:rsid w:val="002B5484"/>
    <w:rsid w:val="002B5495"/>
    <w:rsid w:val="002B54C5"/>
    <w:rsid w:val="002B55DD"/>
    <w:rsid w:val="002B55E5"/>
    <w:rsid w:val="002B56C3"/>
    <w:rsid w:val="002B6104"/>
    <w:rsid w:val="002B61C9"/>
    <w:rsid w:val="002B653E"/>
    <w:rsid w:val="002B6703"/>
    <w:rsid w:val="002B68A4"/>
    <w:rsid w:val="002B6D69"/>
    <w:rsid w:val="002B6E4E"/>
    <w:rsid w:val="002B6E5B"/>
    <w:rsid w:val="002B6F67"/>
    <w:rsid w:val="002B7411"/>
    <w:rsid w:val="002B7488"/>
    <w:rsid w:val="002B7F1B"/>
    <w:rsid w:val="002C0083"/>
    <w:rsid w:val="002C0186"/>
    <w:rsid w:val="002C0303"/>
    <w:rsid w:val="002C032E"/>
    <w:rsid w:val="002C081A"/>
    <w:rsid w:val="002C087B"/>
    <w:rsid w:val="002C0BA9"/>
    <w:rsid w:val="002C108A"/>
    <w:rsid w:val="002C1553"/>
    <w:rsid w:val="002C1B74"/>
    <w:rsid w:val="002C2035"/>
    <w:rsid w:val="002C231A"/>
    <w:rsid w:val="002C23E0"/>
    <w:rsid w:val="002C24C4"/>
    <w:rsid w:val="002C25D4"/>
    <w:rsid w:val="002C2A2B"/>
    <w:rsid w:val="002C2AB5"/>
    <w:rsid w:val="002C2C95"/>
    <w:rsid w:val="002C2CCD"/>
    <w:rsid w:val="002C2DBF"/>
    <w:rsid w:val="002C2F2D"/>
    <w:rsid w:val="002C2F7F"/>
    <w:rsid w:val="002C2FB4"/>
    <w:rsid w:val="002C2FD3"/>
    <w:rsid w:val="002C3027"/>
    <w:rsid w:val="002C30AA"/>
    <w:rsid w:val="002C3683"/>
    <w:rsid w:val="002C3C31"/>
    <w:rsid w:val="002C4417"/>
    <w:rsid w:val="002C475C"/>
    <w:rsid w:val="002C4AFD"/>
    <w:rsid w:val="002C5516"/>
    <w:rsid w:val="002C5A3A"/>
    <w:rsid w:val="002C5D7E"/>
    <w:rsid w:val="002C654E"/>
    <w:rsid w:val="002C6669"/>
    <w:rsid w:val="002C6A57"/>
    <w:rsid w:val="002C6BB3"/>
    <w:rsid w:val="002C6DC2"/>
    <w:rsid w:val="002C6DDA"/>
    <w:rsid w:val="002C713E"/>
    <w:rsid w:val="002C72FB"/>
    <w:rsid w:val="002C77B0"/>
    <w:rsid w:val="002C77C6"/>
    <w:rsid w:val="002C7C3D"/>
    <w:rsid w:val="002D0068"/>
    <w:rsid w:val="002D0466"/>
    <w:rsid w:val="002D053D"/>
    <w:rsid w:val="002D071B"/>
    <w:rsid w:val="002D0829"/>
    <w:rsid w:val="002D0B99"/>
    <w:rsid w:val="002D0BD0"/>
    <w:rsid w:val="002D1600"/>
    <w:rsid w:val="002D1936"/>
    <w:rsid w:val="002D1CE8"/>
    <w:rsid w:val="002D1F76"/>
    <w:rsid w:val="002D21F0"/>
    <w:rsid w:val="002D22E4"/>
    <w:rsid w:val="002D2403"/>
    <w:rsid w:val="002D2D0D"/>
    <w:rsid w:val="002D2FB2"/>
    <w:rsid w:val="002D3066"/>
    <w:rsid w:val="002D32C1"/>
    <w:rsid w:val="002D34FE"/>
    <w:rsid w:val="002D35EA"/>
    <w:rsid w:val="002D3782"/>
    <w:rsid w:val="002D3B24"/>
    <w:rsid w:val="002D3D02"/>
    <w:rsid w:val="002D3D77"/>
    <w:rsid w:val="002D4837"/>
    <w:rsid w:val="002D48E6"/>
    <w:rsid w:val="002D5331"/>
    <w:rsid w:val="002D55BB"/>
    <w:rsid w:val="002D5B16"/>
    <w:rsid w:val="002D5BC9"/>
    <w:rsid w:val="002D5DDC"/>
    <w:rsid w:val="002D64D5"/>
    <w:rsid w:val="002D67F7"/>
    <w:rsid w:val="002D6DE0"/>
    <w:rsid w:val="002D717C"/>
    <w:rsid w:val="002D71F2"/>
    <w:rsid w:val="002D7621"/>
    <w:rsid w:val="002D769A"/>
    <w:rsid w:val="002D7736"/>
    <w:rsid w:val="002D7789"/>
    <w:rsid w:val="002D77B7"/>
    <w:rsid w:val="002D79D9"/>
    <w:rsid w:val="002D7CC4"/>
    <w:rsid w:val="002D7DBC"/>
    <w:rsid w:val="002E00AC"/>
    <w:rsid w:val="002E00DB"/>
    <w:rsid w:val="002E06C1"/>
    <w:rsid w:val="002E0A65"/>
    <w:rsid w:val="002E0C21"/>
    <w:rsid w:val="002E101F"/>
    <w:rsid w:val="002E192A"/>
    <w:rsid w:val="002E2048"/>
    <w:rsid w:val="002E2471"/>
    <w:rsid w:val="002E286E"/>
    <w:rsid w:val="002E2A52"/>
    <w:rsid w:val="002E2B84"/>
    <w:rsid w:val="002E2F11"/>
    <w:rsid w:val="002E300A"/>
    <w:rsid w:val="002E3449"/>
    <w:rsid w:val="002E3543"/>
    <w:rsid w:val="002E3A7E"/>
    <w:rsid w:val="002E3B82"/>
    <w:rsid w:val="002E3C95"/>
    <w:rsid w:val="002E40D7"/>
    <w:rsid w:val="002E437F"/>
    <w:rsid w:val="002E4D81"/>
    <w:rsid w:val="002E4E88"/>
    <w:rsid w:val="002E5BC7"/>
    <w:rsid w:val="002E5CA3"/>
    <w:rsid w:val="002E5F0D"/>
    <w:rsid w:val="002E65A7"/>
    <w:rsid w:val="002E68C7"/>
    <w:rsid w:val="002E6EE7"/>
    <w:rsid w:val="002E6F4A"/>
    <w:rsid w:val="002E7655"/>
    <w:rsid w:val="002E7750"/>
    <w:rsid w:val="002E7964"/>
    <w:rsid w:val="002E79AB"/>
    <w:rsid w:val="002E7D40"/>
    <w:rsid w:val="002F01E3"/>
    <w:rsid w:val="002F0A52"/>
    <w:rsid w:val="002F0C6B"/>
    <w:rsid w:val="002F0CF2"/>
    <w:rsid w:val="002F0E24"/>
    <w:rsid w:val="002F1686"/>
    <w:rsid w:val="002F1771"/>
    <w:rsid w:val="002F1BD2"/>
    <w:rsid w:val="002F1CD0"/>
    <w:rsid w:val="002F1D5C"/>
    <w:rsid w:val="002F1D62"/>
    <w:rsid w:val="002F1D92"/>
    <w:rsid w:val="002F207F"/>
    <w:rsid w:val="002F23FA"/>
    <w:rsid w:val="002F249E"/>
    <w:rsid w:val="002F24AF"/>
    <w:rsid w:val="002F29E4"/>
    <w:rsid w:val="002F32ED"/>
    <w:rsid w:val="002F3799"/>
    <w:rsid w:val="002F41D5"/>
    <w:rsid w:val="002F43B6"/>
    <w:rsid w:val="002F49F9"/>
    <w:rsid w:val="002F4D5A"/>
    <w:rsid w:val="002F4E54"/>
    <w:rsid w:val="002F515D"/>
    <w:rsid w:val="002F59D7"/>
    <w:rsid w:val="002F5F68"/>
    <w:rsid w:val="002F6028"/>
    <w:rsid w:val="002F6673"/>
    <w:rsid w:val="002F66C9"/>
    <w:rsid w:val="002F66DB"/>
    <w:rsid w:val="002F6A20"/>
    <w:rsid w:val="002F6DE4"/>
    <w:rsid w:val="002F7155"/>
    <w:rsid w:val="002F7700"/>
    <w:rsid w:val="002F778A"/>
    <w:rsid w:val="002F7954"/>
    <w:rsid w:val="002F7C27"/>
    <w:rsid w:val="002F7CCB"/>
    <w:rsid w:val="002F7EB8"/>
    <w:rsid w:val="0030086D"/>
    <w:rsid w:val="00300C25"/>
    <w:rsid w:val="00300D86"/>
    <w:rsid w:val="00300E82"/>
    <w:rsid w:val="00301153"/>
    <w:rsid w:val="003015B5"/>
    <w:rsid w:val="00301655"/>
    <w:rsid w:val="003017E1"/>
    <w:rsid w:val="00301A1F"/>
    <w:rsid w:val="003021BB"/>
    <w:rsid w:val="00302588"/>
    <w:rsid w:val="00302643"/>
    <w:rsid w:val="00302D5B"/>
    <w:rsid w:val="00302F6A"/>
    <w:rsid w:val="00303061"/>
    <w:rsid w:val="00303314"/>
    <w:rsid w:val="0030359B"/>
    <w:rsid w:val="00303A66"/>
    <w:rsid w:val="00303D62"/>
    <w:rsid w:val="00303F85"/>
    <w:rsid w:val="00303FEF"/>
    <w:rsid w:val="00303FFA"/>
    <w:rsid w:val="00304041"/>
    <w:rsid w:val="003040C0"/>
    <w:rsid w:val="003044AD"/>
    <w:rsid w:val="00304501"/>
    <w:rsid w:val="00304917"/>
    <w:rsid w:val="00304DC8"/>
    <w:rsid w:val="00305040"/>
    <w:rsid w:val="003051FF"/>
    <w:rsid w:val="0030538B"/>
    <w:rsid w:val="00305BB3"/>
    <w:rsid w:val="00305CC7"/>
    <w:rsid w:val="00305F62"/>
    <w:rsid w:val="003067B8"/>
    <w:rsid w:val="003067DB"/>
    <w:rsid w:val="0030688B"/>
    <w:rsid w:val="00306AAF"/>
    <w:rsid w:val="00306E35"/>
    <w:rsid w:val="003074FD"/>
    <w:rsid w:val="00307728"/>
    <w:rsid w:val="00307A2D"/>
    <w:rsid w:val="003100AB"/>
    <w:rsid w:val="00310204"/>
    <w:rsid w:val="00310272"/>
    <w:rsid w:val="003107D8"/>
    <w:rsid w:val="00310D86"/>
    <w:rsid w:val="00310EC5"/>
    <w:rsid w:val="00310F34"/>
    <w:rsid w:val="0031157E"/>
    <w:rsid w:val="00312134"/>
    <w:rsid w:val="0031233D"/>
    <w:rsid w:val="003126B1"/>
    <w:rsid w:val="003126F6"/>
    <w:rsid w:val="00312AF6"/>
    <w:rsid w:val="00312CB7"/>
    <w:rsid w:val="00312E68"/>
    <w:rsid w:val="00312F97"/>
    <w:rsid w:val="00313103"/>
    <w:rsid w:val="0031351A"/>
    <w:rsid w:val="003138EC"/>
    <w:rsid w:val="00314039"/>
    <w:rsid w:val="0031460F"/>
    <w:rsid w:val="00314863"/>
    <w:rsid w:val="00314C8A"/>
    <w:rsid w:val="00314E33"/>
    <w:rsid w:val="003153A8"/>
    <w:rsid w:val="00315595"/>
    <w:rsid w:val="00315F66"/>
    <w:rsid w:val="00315FB7"/>
    <w:rsid w:val="003161E5"/>
    <w:rsid w:val="00316520"/>
    <w:rsid w:val="00316884"/>
    <w:rsid w:val="00316C18"/>
    <w:rsid w:val="00317071"/>
    <w:rsid w:val="003170F2"/>
    <w:rsid w:val="003171A9"/>
    <w:rsid w:val="00317767"/>
    <w:rsid w:val="00317F95"/>
    <w:rsid w:val="0032043F"/>
    <w:rsid w:val="003204DA"/>
    <w:rsid w:val="00320582"/>
    <w:rsid w:val="00321282"/>
    <w:rsid w:val="0032130E"/>
    <w:rsid w:val="0032187E"/>
    <w:rsid w:val="003218EA"/>
    <w:rsid w:val="00321A24"/>
    <w:rsid w:val="00321F93"/>
    <w:rsid w:val="0032278A"/>
    <w:rsid w:val="0032279E"/>
    <w:rsid w:val="003229D2"/>
    <w:rsid w:val="00322A25"/>
    <w:rsid w:val="00322C27"/>
    <w:rsid w:val="00322E8B"/>
    <w:rsid w:val="0032318E"/>
    <w:rsid w:val="00323389"/>
    <w:rsid w:val="003233D1"/>
    <w:rsid w:val="0032399E"/>
    <w:rsid w:val="00324067"/>
    <w:rsid w:val="003246F7"/>
    <w:rsid w:val="003248E7"/>
    <w:rsid w:val="00324925"/>
    <w:rsid w:val="00324A14"/>
    <w:rsid w:val="00324FF1"/>
    <w:rsid w:val="00325668"/>
    <w:rsid w:val="00325E53"/>
    <w:rsid w:val="00325F1E"/>
    <w:rsid w:val="003260AB"/>
    <w:rsid w:val="003260D7"/>
    <w:rsid w:val="003262AB"/>
    <w:rsid w:val="0032659C"/>
    <w:rsid w:val="0032699B"/>
    <w:rsid w:val="00326D01"/>
    <w:rsid w:val="00326D28"/>
    <w:rsid w:val="00327292"/>
    <w:rsid w:val="003272FD"/>
    <w:rsid w:val="0032744E"/>
    <w:rsid w:val="00327480"/>
    <w:rsid w:val="00327A30"/>
    <w:rsid w:val="00327C6C"/>
    <w:rsid w:val="003300E1"/>
    <w:rsid w:val="00330380"/>
    <w:rsid w:val="003303B7"/>
    <w:rsid w:val="003304A1"/>
    <w:rsid w:val="003309B2"/>
    <w:rsid w:val="00330A37"/>
    <w:rsid w:val="00330A59"/>
    <w:rsid w:val="00330B81"/>
    <w:rsid w:val="003311FC"/>
    <w:rsid w:val="00331300"/>
    <w:rsid w:val="00331713"/>
    <w:rsid w:val="00331820"/>
    <w:rsid w:val="00331AB2"/>
    <w:rsid w:val="00331F6C"/>
    <w:rsid w:val="00332637"/>
    <w:rsid w:val="00332B88"/>
    <w:rsid w:val="00332F69"/>
    <w:rsid w:val="00333A15"/>
    <w:rsid w:val="00333A6D"/>
    <w:rsid w:val="00333D8E"/>
    <w:rsid w:val="00333DF6"/>
    <w:rsid w:val="00333F1D"/>
    <w:rsid w:val="003341BB"/>
    <w:rsid w:val="003341BD"/>
    <w:rsid w:val="003347E1"/>
    <w:rsid w:val="00335021"/>
    <w:rsid w:val="00335387"/>
    <w:rsid w:val="00335776"/>
    <w:rsid w:val="003357FF"/>
    <w:rsid w:val="00335DA6"/>
    <w:rsid w:val="00336075"/>
    <w:rsid w:val="0033623B"/>
    <w:rsid w:val="00336787"/>
    <w:rsid w:val="00336852"/>
    <w:rsid w:val="00337120"/>
    <w:rsid w:val="003371DD"/>
    <w:rsid w:val="003373C1"/>
    <w:rsid w:val="003374B9"/>
    <w:rsid w:val="003375AB"/>
    <w:rsid w:val="003375FE"/>
    <w:rsid w:val="00337717"/>
    <w:rsid w:val="003377A8"/>
    <w:rsid w:val="003378B1"/>
    <w:rsid w:val="003403FA"/>
    <w:rsid w:val="003408E2"/>
    <w:rsid w:val="00340A5B"/>
    <w:rsid w:val="00340A83"/>
    <w:rsid w:val="00340CB6"/>
    <w:rsid w:val="00340D35"/>
    <w:rsid w:val="00340EE4"/>
    <w:rsid w:val="0034123C"/>
    <w:rsid w:val="003412BF"/>
    <w:rsid w:val="00341384"/>
    <w:rsid w:val="003415A2"/>
    <w:rsid w:val="0034168B"/>
    <w:rsid w:val="003416C0"/>
    <w:rsid w:val="00341CF7"/>
    <w:rsid w:val="00341DFD"/>
    <w:rsid w:val="0034295D"/>
    <w:rsid w:val="00342C62"/>
    <w:rsid w:val="0034312D"/>
    <w:rsid w:val="0034330F"/>
    <w:rsid w:val="00343669"/>
    <w:rsid w:val="00343773"/>
    <w:rsid w:val="00343C67"/>
    <w:rsid w:val="003440AE"/>
    <w:rsid w:val="0034413A"/>
    <w:rsid w:val="00344664"/>
    <w:rsid w:val="00344BA3"/>
    <w:rsid w:val="00344BDC"/>
    <w:rsid w:val="00344D5E"/>
    <w:rsid w:val="00344E8E"/>
    <w:rsid w:val="00345475"/>
    <w:rsid w:val="0034578E"/>
    <w:rsid w:val="003457A1"/>
    <w:rsid w:val="0034686E"/>
    <w:rsid w:val="00346AE5"/>
    <w:rsid w:val="00346C56"/>
    <w:rsid w:val="00347712"/>
    <w:rsid w:val="00347782"/>
    <w:rsid w:val="00347D51"/>
    <w:rsid w:val="00347E11"/>
    <w:rsid w:val="00347F4E"/>
    <w:rsid w:val="003500DB"/>
    <w:rsid w:val="00350268"/>
    <w:rsid w:val="003503A9"/>
    <w:rsid w:val="00350573"/>
    <w:rsid w:val="00350594"/>
    <w:rsid w:val="00350B46"/>
    <w:rsid w:val="0035101C"/>
    <w:rsid w:val="003518DC"/>
    <w:rsid w:val="00351EEA"/>
    <w:rsid w:val="00352012"/>
    <w:rsid w:val="00352542"/>
    <w:rsid w:val="00352668"/>
    <w:rsid w:val="00352677"/>
    <w:rsid w:val="00352780"/>
    <w:rsid w:val="0035326A"/>
    <w:rsid w:val="0035327A"/>
    <w:rsid w:val="003534CB"/>
    <w:rsid w:val="00353803"/>
    <w:rsid w:val="00353832"/>
    <w:rsid w:val="00353C27"/>
    <w:rsid w:val="00353C29"/>
    <w:rsid w:val="00353C8B"/>
    <w:rsid w:val="00353D69"/>
    <w:rsid w:val="00353FC5"/>
    <w:rsid w:val="003541B5"/>
    <w:rsid w:val="003542FC"/>
    <w:rsid w:val="00354407"/>
    <w:rsid w:val="00354730"/>
    <w:rsid w:val="00354C36"/>
    <w:rsid w:val="00354C88"/>
    <w:rsid w:val="0035537B"/>
    <w:rsid w:val="003555CF"/>
    <w:rsid w:val="00355B59"/>
    <w:rsid w:val="00355F0D"/>
    <w:rsid w:val="0035620E"/>
    <w:rsid w:val="003562FE"/>
    <w:rsid w:val="003564B6"/>
    <w:rsid w:val="0035669E"/>
    <w:rsid w:val="003574FA"/>
    <w:rsid w:val="00357C05"/>
    <w:rsid w:val="00357DE5"/>
    <w:rsid w:val="00357F44"/>
    <w:rsid w:val="0036007F"/>
    <w:rsid w:val="00360354"/>
    <w:rsid w:val="0036071E"/>
    <w:rsid w:val="00360720"/>
    <w:rsid w:val="00360FEF"/>
    <w:rsid w:val="0036119E"/>
    <w:rsid w:val="00361D18"/>
    <w:rsid w:val="00362D66"/>
    <w:rsid w:val="00362E07"/>
    <w:rsid w:val="00363198"/>
    <w:rsid w:val="003631E0"/>
    <w:rsid w:val="003633CF"/>
    <w:rsid w:val="00363B12"/>
    <w:rsid w:val="00363E69"/>
    <w:rsid w:val="003640DD"/>
    <w:rsid w:val="0036423C"/>
    <w:rsid w:val="003648BB"/>
    <w:rsid w:val="00364C43"/>
    <w:rsid w:val="00364D2C"/>
    <w:rsid w:val="00364D59"/>
    <w:rsid w:val="00364E6A"/>
    <w:rsid w:val="00365433"/>
    <w:rsid w:val="003654BE"/>
    <w:rsid w:val="003654DD"/>
    <w:rsid w:val="003657EE"/>
    <w:rsid w:val="00365B5D"/>
    <w:rsid w:val="00365B9B"/>
    <w:rsid w:val="00365D2E"/>
    <w:rsid w:val="00365DBB"/>
    <w:rsid w:val="00365DF5"/>
    <w:rsid w:val="003664E3"/>
    <w:rsid w:val="003668A0"/>
    <w:rsid w:val="0036695E"/>
    <w:rsid w:val="00366A1A"/>
    <w:rsid w:val="00366E26"/>
    <w:rsid w:val="00366EE1"/>
    <w:rsid w:val="00367363"/>
    <w:rsid w:val="003673E6"/>
    <w:rsid w:val="003674C3"/>
    <w:rsid w:val="003675F0"/>
    <w:rsid w:val="003678EA"/>
    <w:rsid w:val="00367A90"/>
    <w:rsid w:val="00367E71"/>
    <w:rsid w:val="00370372"/>
    <w:rsid w:val="003703EC"/>
    <w:rsid w:val="003706D5"/>
    <w:rsid w:val="00370769"/>
    <w:rsid w:val="00370865"/>
    <w:rsid w:val="00370963"/>
    <w:rsid w:val="00371009"/>
    <w:rsid w:val="00371252"/>
    <w:rsid w:val="003714DB"/>
    <w:rsid w:val="0037165E"/>
    <w:rsid w:val="0037191D"/>
    <w:rsid w:val="00371AED"/>
    <w:rsid w:val="00371BC4"/>
    <w:rsid w:val="00371EEB"/>
    <w:rsid w:val="00372161"/>
    <w:rsid w:val="003722E8"/>
    <w:rsid w:val="00372733"/>
    <w:rsid w:val="0037280D"/>
    <w:rsid w:val="003728E1"/>
    <w:rsid w:val="00372BD5"/>
    <w:rsid w:val="00372C4C"/>
    <w:rsid w:val="00372F15"/>
    <w:rsid w:val="0037300F"/>
    <w:rsid w:val="00373198"/>
    <w:rsid w:val="00373B9D"/>
    <w:rsid w:val="00373E06"/>
    <w:rsid w:val="0037445B"/>
    <w:rsid w:val="003745D0"/>
    <w:rsid w:val="0037468A"/>
    <w:rsid w:val="003746A3"/>
    <w:rsid w:val="0037492D"/>
    <w:rsid w:val="00374D3E"/>
    <w:rsid w:val="003755E3"/>
    <w:rsid w:val="00375613"/>
    <w:rsid w:val="00375B8A"/>
    <w:rsid w:val="00375D5B"/>
    <w:rsid w:val="00375E04"/>
    <w:rsid w:val="00376300"/>
    <w:rsid w:val="0037642E"/>
    <w:rsid w:val="00376987"/>
    <w:rsid w:val="00376AF3"/>
    <w:rsid w:val="00376CFA"/>
    <w:rsid w:val="00376DF3"/>
    <w:rsid w:val="00377D45"/>
    <w:rsid w:val="003800E2"/>
    <w:rsid w:val="003801DC"/>
    <w:rsid w:val="00380E15"/>
    <w:rsid w:val="00380F29"/>
    <w:rsid w:val="00380F51"/>
    <w:rsid w:val="003811BA"/>
    <w:rsid w:val="00381993"/>
    <w:rsid w:val="00381AC4"/>
    <w:rsid w:val="00381B3A"/>
    <w:rsid w:val="00381F75"/>
    <w:rsid w:val="00381FAE"/>
    <w:rsid w:val="0038248C"/>
    <w:rsid w:val="00382980"/>
    <w:rsid w:val="00382ABA"/>
    <w:rsid w:val="00382C61"/>
    <w:rsid w:val="00382D1F"/>
    <w:rsid w:val="003830EF"/>
    <w:rsid w:val="00383177"/>
    <w:rsid w:val="003832B6"/>
    <w:rsid w:val="00383785"/>
    <w:rsid w:val="003839BF"/>
    <w:rsid w:val="00383A46"/>
    <w:rsid w:val="00383E24"/>
    <w:rsid w:val="00383F72"/>
    <w:rsid w:val="003840B7"/>
    <w:rsid w:val="003844E0"/>
    <w:rsid w:val="00384837"/>
    <w:rsid w:val="00384D6C"/>
    <w:rsid w:val="003851A1"/>
    <w:rsid w:val="00385367"/>
    <w:rsid w:val="0038549F"/>
    <w:rsid w:val="00385639"/>
    <w:rsid w:val="00385668"/>
    <w:rsid w:val="003856C6"/>
    <w:rsid w:val="0038576D"/>
    <w:rsid w:val="00385B28"/>
    <w:rsid w:val="00385BDE"/>
    <w:rsid w:val="00385DD1"/>
    <w:rsid w:val="00385E50"/>
    <w:rsid w:val="003863F2"/>
    <w:rsid w:val="0038685F"/>
    <w:rsid w:val="00386A40"/>
    <w:rsid w:val="00386B43"/>
    <w:rsid w:val="00386CBA"/>
    <w:rsid w:val="00386E82"/>
    <w:rsid w:val="00386FC4"/>
    <w:rsid w:val="0038728C"/>
    <w:rsid w:val="00387677"/>
    <w:rsid w:val="00387F7C"/>
    <w:rsid w:val="00391901"/>
    <w:rsid w:val="00391AC1"/>
    <w:rsid w:val="00391B2B"/>
    <w:rsid w:val="00391B84"/>
    <w:rsid w:val="00391E1C"/>
    <w:rsid w:val="00391FF2"/>
    <w:rsid w:val="003920C7"/>
    <w:rsid w:val="003923E6"/>
    <w:rsid w:val="0039284A"/>
    <w:rsid w:val="003929A4"/>
    <w:rsid w:val="00392BBB"/>
    <w:rsid w:val="00392FAF"/>
    <w:rsid w:val="00393FE9"/>
    <w:rsid w:val="0039447D"/>
    <w:rsid w:val="0039476B"/>
    <w:rsid w:val="003949BE"/>
    <w:rsid w:val="00394B29"/>
    <w:rsid w:val="00394E45"/>
    <w:rsid w:val="00395146"/>
    <w:rsid w:val="00395205"/>
    <w:rsid w:val="00396113"/>
    <w:rsid w:val="0039627D"/>
    <w:rsid w:val="00396980"/>
    <w:rsid w:val="003969C2"/>
    <w:rsid w:val="00396F26"/>
    <w:rsid w:val="003970B3"/>
    <w:rsid w:val="003973FD"/>
    <w:rsid w:val="00397413"/>
    <w:rsid w:val="00397432"/>
    <w:rsid w:val="003976E4"/>
    <w:rsid w:val="0039772B"/>
    <w:rsid w:val="003977F5"/>
    <w:rsid w:val="00397A77"/>
    <w:rsid w:val="00397E07"/>
    <w:rsid w:val="00397E21"/>
    <w:rsid w:val="00397FDC"/>
    <w:rsid w:val="003A00BD"/>
    <w:rsid w:val="003A04AE"/>
    <w:rsid w:val="003A0667"/>
    <w:rsid w:val="003A0EA6"/>
    <w:rsid w:val="003A1342"/>
    <w:rsid w:val="003A1719"/>
    <w:rsid w:val="003A18B8"/>
    <w:rsid w:val="003A1935"/>
    <w:rsid w:val="003A19D6"/>
    <w:rsid w:val="003A1AA1"/>
    <w:rsid w:val="003A1AF0"/>
    <w:rsid w:val="003A230D"/>
    <w:rsid w:val="003A269E"/>
    <w:rsid w:val="003A2CEE"/>
    <w:rsid w:val="003A2D4E"/>
    <w:rsid w:val="003A2EF2"/>
    <w:rsid w:val="003A2FE9"/>
    <w:rsid w:val="003A314E"/>
    <w:rsid w:val="003A36DC"/>
    <w:rsid w:val="003A3717"/>
    <w:rsid w:val="003A393F"/>
    <w:rsid w:val="003A3999"/>
    <w:rsid w:val="003A42AC"/>
    <w:rsid w:val="003A436A"/>
    <w:rsid w:val="003A43B8"/>
    <w:rsid w:val="003A4462"/>
    <w:rsid w:val="003A4497"/>
    <w:rsid w:val="003A4663"/>
    <w:rsid w:val="003A4BFF"/>
    <w:rsid w:val="003A4F4E"/>
    <w:rsid w:val="003A5400"/>
    <w:rsid w:val="003A5581"/>
    <w:rsid w:val="003A59CD"/>
    <w:rsid w:val="003A5A0A"/>
    <w:rsid w:val="003A5CFA"/>
    <w:rsid w:val="003A5D90"/>
    <w:rsid w:val="003A5FA4"/>
    <w:rsid w:val="003A6084"/>
    <w:rsid w:val="003A62DA"/>
    <w:rsid w:val="003A6366"/>
    <w:rsid w:val="003A6CC9"/>
    <w:rsid w:val="003A713A"/>
    <w:rsid w:val="003A71E5"/>
    <w:rsid w:val="003A75BB"/>
    <w:rsid w:val="003A77D8"/>
    <w:rsid w:val="003A7A69"/>
    <w:rsid w:val="003A7B14"/>
    <w:rsid w:val="003A7B7B"/>
    <w:rsid w:val="003A7D2A"/>
    <w:rsid w:val="003A7D38"/>
    <w:rsid w:val="003A7ED5"/>
    <w:rsid w:val="003B08CD"/>
    <w:rsid w:val="003B0C92"/>
    <w:rsid w:val="003B0D86"/>
    <w:rsid w:val="003B0E1D"/>
    <w:rsid w:val="003B0F13"/>
    <w:rsid w:val="003B0F7B"/>
    <w:rsid w:val="003B13E9"/>
    <w:rsid w:val="003B14FD"/>
    <w:rsid w:val="003B1539"/>
    <w:rsid w:val="003B16D4"/>
    <w:rsid w:val="003B1BB7"/>
    <w:rsid w:val="003B1E0D"/>
    <w:rsid w:val="003B2427"/>
    <w:rsid w:val="003B28A8"/>
    <w:rsid w:val="003B2904"/>
    <w:rsid w:val="003B2D2B"/>
    <w:rsid w:val="003B2D7D"/>
    <w:rsid w:val="003B2D8C"/>
    <w:rsid w:val="003B2F6C"/>
    <w:rsid w:val="003B3324"/>
    <w:rsid w:val="003B3CC4"/>
    <w:rsid w:val="003B3E12"/>
    <w:rsid w:val="003B4696"/>
    <w:rsid w:val="003B4859"/>
    <w:rsid w:val="003B4D81"/>
    <w:rsid w:val="003B4DBD"/>
    <w:rsid w:val="003B4E65"/>
    <w:rsid w:val="003B4EB6"/>
    <w:rsid w:val="003B50E8"/>
    <w:rsid w:val="003B5177"/>
    <w:rsid w:val="003B5200"/>
    <w:rsid w:val="003B53E7"/>
    <w:rsid w:val="003B5482"/>
    <w:rsid w:val="003B5663"/>
    <w:rsid w:val="003B5666"/>
    <w:rsid w:val="003B59DC"/>
    <w:rsid w:val="003B6031"/>
    <w:rsid w:val="003B6178"/>
    <w:rsid w:val="003B6223"/>
    <w:rsid w:val="003B6272"/>
    <w:rsid w:val="003B638E"/>
    <w:rsid w:val="003B6BF1"/>
    <w:rsid w:val="003B6C19"/>
    <w:rsid w:val="003B6E81"/>
    <w:rsid w:val="003B7160"/>
    <w:rsid w:val="003B7623"/>
    <w:rsid w:val="003B7661"/>
    <w:rsid w:val="003B76F3"/>
    <w:rsid w:val="003B7E05"/>
    <w:rsid w:val="003C029F"/>
    <w:rsid w:val="003C0456"/>
    <w:rsid w:val="003C052A"/>
    <w:rsid w:val="003C0590"/>
    <w:rsid w:val="003C0634"/>
    <w:rsid w:val="003C0AE9"/>
    <w:rsid w:val="003C131E"/>
    <w:rsid w:val="003C166B"/>
    <w:rsid w:val="003C19A5"/>
    <w:rsid w:val="003C1C85"/>
    <w:rsid w:val="003C1F69"/>
    <w:rsid w:val="003C2010"/>
    <w:rsid w:val="003C2323"/>
    <w:rsid w:val="003C2BA9"/>
    <w:rsid w:val="003C2C59"/>
    <w:rsid w:val="003C3495"/>
    <w:rsid w:val="003C3895"/>
    <w:rsid w:val="003C3A2A"/>
    <w:rsid w:val="003C3CC7"/>
    <w:rsid w:val="003C3E7F"/>
    <w:rsid w:val="003C4482"/>
    <w:rsid w:val="003C504B"/>
    <w:rsid w:val="003C50B5"/>
    <w:rsid w:val="003C5260"/>
    <w:rsid w:val="003C5936"/>
    <w:rsid w:val="003C5B64"/>
    <w:rsid w:val="003C607D"/>
    <w:rsid w:val="003C612F"/>
    <w:rsid w:val="003C619A"/>
    <w:rsid w:val="003C6468"/>
    <w:rsid w:val="003C64AF"/>
    <w:rsid w:val="003C676E"/>
    <w:rsid w:val="003C7A23"/>
    <w:rsid w:val="003C7A34"/>
    <w:rsid w:val="003C7B28"/>
    <w:rsid w:val="003D0AF6"/>
    <w:rsid w:val="003D0BFD"/>
    <w:rsid w:val="003D0FA5"/>
    <w:rsid w:val="003D1004"/>
    <w:rsid w:val="003D115F"/>
    <w:rsid w:val="003D11D9"/>
    <w:rsid w:val="003D1567"/>
    <w:rsid w:val="003D1E5A"/>
    <w:rsid w:val="003D228C"/>
    <w:rsid w:val="003D22F5"/>
    <w:rsid w:val="003D2939"/>
    <w:rsid w:val="003D2B3F"/>
    <w:rsid w:val="003D2BFE"/>
    <w:rsid w:val="003D2F40"/>
    <w:rsid w:val="003D32AA"/>
    <w:rsid w:val="003D33AE"/>
    <w:rsid w:val="003D3429"/>
    <w:rsid w:val="003D3574"/>
    <w:rsid w:val="003D3990"/>
    <w:rsid w:val="003D3A19"/>
    <w:rsid w:val="003D3C6E"/>
    <w:rsid w:val="003D3FA7"/>
    <w:rsid w:val="003D42CB"/>
    <w:rsid w:val="003D43E2"/>
    <w:rsid w:val="003D4572"/>
    <w:rsid w:val="003D4B62"/>
    <w:rsid w:val="003D4E9A"/>
    <w:rsid w:val="003D51D3"/>
    <w:rsid w:val="003D51F4"/>
    <w:rsid w:val="003D5231"/>
    <w:rsid w:val="003D5345"/>
    <w:rsid w:val="003D5811"/>
    <w:rsid w:val="003D58C5"/>
    <w:rsid w:val="003D5A13"/>
    <w:rsid w:val="003D6316"/>
    <w:rsid w:val="003D6638"/>
    <w:rsid w:val="003D6A51"/>
    <w:rsid w:val="003D6AE1"/>
    <w:rsid w:val="003D7211"/>
    <w:rsid w:val="003D7786"/>
    <w:rsid w:val="003D7DD6"/>
    <w:rsid w:val="003D7FC4"/>
    <w:rsid w:val="003E0354"/>
    <w:rsid w:val="003E0437"/>
    <w:rsid w:val="003E08DC"/>
    <w:rsid w:val="003E10A8"/>
    <w:rsid w:val="003E127A"/>
    <w:rsid w:val="003E184A"/>
    <w:rsid w:val="003E1887"/>
    <w:rsid w:val="003E18C9"/>
    <w:rsid w:val="003E19E2"/>
    <w:rsid w:val="003E1EF3"/>
    <w:rsid w:val="003E2538"/>
    <w:rsid w:val="003E2784"/>
    <w:rsid w:val="003E278F"/>
    <w:rsid w:val="003E2E55"/>
    <w:rsid w:val="003E2F58"/>
    <w:rsid w:val="003E3028"/>
    <w:rsid w:val="003E311C"/>
    <w:rsid w:val="003E3A5D"/>
    <w:rsid w:val="003E3D4A"/>
    <w:rsid w:val="003E4296"/>
    <w:rsid w:val="003E43C8"/>
    <w:rsid w:val="003E4528"/>
    <w:rsid w:val="003E4B5F"/>
    <w:rsid w:val="003E50BB"/>
    <w:rsid w:val="003E530F"/>
    <w:rsid w:val="003E5A33"/>
    <w:rsid w:val="003E5E27"/>
    <w:rsid w:val="003E5E65"/>
    <w:rsid w:val="003E65FD"/>
    <w:rsid w:val="003E69CF"/>
    <w:rsid w:val="003E6C56"/>
    <w:rsid w:val="003E6DA0"/>
    <w:rsid w:val="003E72DA"/>
    <w:rsid w:val="003E7963"/>
    <w:rsid w:val="003E7C3C"/>
    <w:rsid w:val="003E7C99"/>
    <w:rsid w:val="003F00B9"/>
    <w:rsid w:val="003F031C"/>
    <w:rsid w:val="003F0E59"/>
    <w:rsid w:val="003F0EED"/>
    <w:rsid w:val="003F0F93"/>
    <w:rsid w:val="003F0FBA"/>
    <w:rsid w:val="003F133B"/>
    <w:rsid w:val="003F1622"/>
    <w:rsid w:val="003F1AA3"/>
    <w:rsid w:val="003F1E52"/>
    <w:rsid w:val="003F24EE"/>
    <w:rsid w:val="003F25EF"/>
    <w:rsid w:val="003F28CD"/>
    <w:rsid w:val="003F2A3E"/>
    <w:rsid w:val="003F2D59"/>
    <w:rsid w:val="003F3277"/>
    <w:rsid w:val="003F33C5"/>
    <w:rsid w:val="003F3645"/>
    <w:rsid w:val="003F3B6D"/>
    <w:rsid w:val="003F3BE5"/>
    <w:rsid w:val="003F3EC5"/>
    <w:rsid w:val="003F49D2"/>
    <w:rsid w:val="003F4C79"/>
    <w:rsid w:val="003F4E06"/>
    <w:rsid w:val="003F4EF8"/>
    <w:rsid w:val="003F4FD7"/>
    <w:rsid w:val="003F5383"/>
    <w:rsid w:val="003F58E5"/>
    <w:rsid w:val="003F58F4"/>
    <w:rsid w:val="003F5990"/>
    <w:rsid w:val="003F5E3F"/>
    <w:rsid w:val="003F6068"/>
    <w:rsid w:val="003F6152"/>
    <w:rsid w:val="003F67CB"/>
    <w:rsid w:val="003F6D1A"/>
    <w:rsid w:val="003F6FA1"/>
    <w:rsid w:val="003F759C"/>
    <w:rsid w:val="00400541"/>
    <w:rsid w:val="00400688"/>
    <w:rsid w:val="004018B0"/>
    <w:rsid w:val="00401CD0"/>
    <w:rsid w:val="00402083"/>
    <w:rsid w:val="0040223A"/>
    <w:rsid w:val="0040257A"/>
    <w:rsid w:val="00402608"/>
    <w:rsid w:val="00403542"/>
    <w:rsid w:val="004036AC"/>
    <w:rsid w:val="00403A15"/>
    <w:rsid w:val="00403AD6"/>
    <w:rsid w:val="004042E5"/>
    <w:rsid w:val="00404A7D"/>
    <w:rsid w:val="00405461"/>
    <w:rsid w:val="00405477"/>
    <w:rsid w:val="0040566B"/>
    <w:rsid w:val="004058B9"/>
    <w:rsid w:val="00405AB5"/>
    <w:rsid w:val="00405C5D"/>
    <w:rsid w:val="00405E6C"/>
    <w:rsid w:val="00406079"/>
    <w:rsid w:val="0040654A"/>
    <w:rsid w:val="004066E7"/>
    <w:rsid w:val="004067F1"/>
    <w:rsid w:val="0040689D"/>
    <w:rsid w:val="00406A50"/>
    <w:rsid w:val="00406C91"/>
    <w:rsid w:val="00407363"/>
    <w:rsid w:val="0040798D"/>
    <w:rsid w:val="00407E6E"/>
    <w:rsid w:val="00410179"/>
    <w:rsid w:val="00410441"/>
    <w:rsid w:val="0041074C"/>
    <w:rsid w:val="0041078F"/>
    <w:rsid w:val="00410B78"/>
    <w:rsid w:val="0041102C"/>
    <w:rsid w:val="00411154"/>
    <w:rsid w:val="00411208"/>
    <w:rsid w:val="004114A9"/>
    <w:rsid w:val="004114C9"/>
    <w:rsid w:val="00411645"/>
    <w:rsid w:val="00411863"/>
    <w:rsid w:val="00411BD7"/>
    <w:rsid w:val="00411D31"/>
    <w:rsid w:val="004128FF"/>
    <w:rsid w:val="00412B52"/>
    <w:rsid w:val="00412BDE"/>
    <w:rsid w:val="00413022"/>
    <w:rsid w:val="0041398B"/>
    <w:rsid w:val="00413F0B"/>
    <w:rsid w:val="004143CB"/>
    <w:rsid w:val="00414601"/>
    <w:rsid w:val="004146E5"/>
    <w:rsid w:val="00414828"/>
    <w:rsid w:val="00414C5A"/>
    <w:rsid w:val="00414D14"/>
    <w:rsid w:val="00414DE0"/>
    <w:rsid w:val="00415051"/>
    <w:rsid w:val="00415052"/>
    <w:rsid w:val="004150FE"/>
    <w:rsid w:val="004158A0"/>
    <w:rsid w:val="00415D69"/>
    <w:rsid w:val="00415DEC"/>
    <w:rsid w:val="00415FAD"/>
    <w:rsid w:val="0041600F"/>
    <w:rsid w:val="0041619C"/>
    <w:rsid w:val="004162D3"/>
    <w:rsid w:val="0041747C"/>
    <w:rsid w:val="00417701"/>
    <w:rsid w:val="00417C68"/>
    <w:rsid w:val="00417D7A"/>
    <w:rsid w:val="004203AA"/>
    <w:rsid w:val="00420901"/>
    <w:rsid w:val="00420948"/>
    <w:rsid w:val="00420BA6"/>
    <w:rsid w:val="00420E13"/>
    <w:rsid w:val="00420E32"/>
    <w:rsid w:val="00421063"/>
    <w:rsid w:val="004210D7"/>
    <w:rsid w:val="0042121D"/>
    <w:rsid w:val="0042181C"/>
    <w:rsid w:val="004219E8"/>
    <w:rsid w:val="00421FAA"/>
    <w:rsid w:val="00422508"/>
    <w:rsid w:val="0042267A"/>
    <w:rsid w:val="0042282D"/>
    <w:rsid w:val="00422BE1"/>
    <w:rsid w:val="00422C59"/>
    <w:rsid w:val="00422CFC"/>
    <w:rsid w:val="00423A89"/>
    <w:rsid w:val="00423E35"/>
    <w:rsid w:val="0042409B"/>
    <w:rsid w:val="0042412E"/>
    <w:rsid w:val="0042472D"/>
    <w:rsid w:val="0042505E"/>
    <w:rsid w:val="00425115"/>
    <w:rsid w:val="004257A7"/>
    <w:rsid w:val="00425A22"/>
    <w:rsid w:val="00425A94"/>
    <w:rsid w:val="00425B0B"/>
    <w:rsid w:val="00425E7D"/>
    <w:rsid w:val="00425EF9"/>
    <w:rsid w:val="00426396"/>
    <w:rsid w:val="0042663A"/>
    <w:rsid w:val="004270B5"/>
    <w:rsid w:val="0042770D"/>
    <w:rsid w:val="00427843"/>
    <w:rsid w:val="004279C1"/>
    <w:rsid w:val="00427B37"/>
    <w:rsid w:val="0043009A"/>
    <w:rsid w:val="004303BB"/>
    <w:rsid w:val="004305C5"/>
    <w:rsid w:val="00430708"/>
    <w:rsid w:val="00430C05"/>
    <w:rsid w:val="0043115F"/>
    <w:rsid w:val="004318F9"/>
    <w:rsid w:val="00431BB8"/>
    <w:rsid w:val="004327A9"/>
    <w:rsid w:val="004329E5"/>
    <w:rsid w:val="00432B9E"/>
    <w:rsid w:val="00432BB8"/>
    <w:rsid w:val="00432E66"/>
    <w:rsid w:val="00432F84"/>
    <w:rsid w:val="0043362A"/>
    <w:rsid w:val="0043436F"/>
    <w:rsid w:val="00434374"/>
    <w:rsid w:val="00434476"/>
    <w:rsid w:val="00434A4A"/>
    <w:rsid w:val="00434E4F"/>
    <w:rsid w:val="00435197"/>
    <w:rsid w:val="0043557B"/>
    <w:rsid w:val="0043561C"/>
    <w:rsid w:val="00435BC9"/>
    <w:rsid w:val="00435DF5"/>
    <w:rsid w:val="0043678E"/>
    <w:rsid w:val="0043699B"/>
    <w:rsid w:val="00436DF9"/>
    <w:rsid w:val="00437005"/>
    <w:rsid w:val="00437876"/>
    <w:rsid w:val="00437B57"/>
    <w:rsid w:val="00440068"/>
    <w:rsid w:val="00440418"/>
    <w:rsid w:val="004410BC"/>
    <w:rsid w:val="00441164"/>
    <w:rsid w:val="004414D3"/>
    <w:rsid w:val="004415C2"/>
    <w:rsid w:val="00441A6C"/>
    <w:rsid w:val="004420F9"/>
    <w:rsid w:val="004422EC"/>
    <w:rsid w:val="004422FE"/>
    <w:rsid w:val="0044249D"/>
    <w:rsid w:val="004426AD"/>
    <w:rsid w:val="0044304D"/>
    <w:rsid w:val="00443250"/>
    <w:rsid w:val="004435D7"/>
    <w:rsid w:val="004436C4"/>
    <w:rsid w:val="00443CFE"/>
    <w:rsid w:val="0044410A"/>
    <w:rsid w:val="00444188"/>
    <w:rsid w:val="00444473"/>
    <w:rsid w:val="0044482D"/>
    <w:rsid w:val="00444927"/>
    <w:rsid w:val="004449A6"/>
    <w:rsid w:val="00444D84"/>
    <w:rsid w:val="00444FEA"/>
    <w:rsid w:val="0044530D"/>
    <w:rsid w:val="0044536C"/>
    <w:rsid w:val="00445784"/>
    <w:rsid w:val="004458AB"/>
    <w:rsid w:val="00445C9F"/>
    <w:rsid w:val="00445F4E"/>
    <w:rsid w:val="004463E7"/>
    <w:rsid w:val="0044672C"/>
    <w:rsid w:val="00446D64"/>
    <w:rsid w:val="00446FB0"/>
    <w:rsid w:val="00447577"/>
    <w:rsid w:val="004477C4"/>
    <w:rsid w:val="004501E9"/>
    <w:rsid w:val="004503A1"/>
    <w:rsid w:val="0045059B"/>
    <w:rsid w:val="004505E7"/>
    <w:rsid w:val="00450674"/>
    <w:rsid w:val="00450CAE"/>
    <w:rsid w:val="004511C7"/>
    <w:rsid w:val="0045197A"/>
    <w:rsid w:val="00451B26"/>
    <w:rsid w:val="00451C64"/>
    <w:rsid w:val="0045201A"/>
    <w:rsid w:val="0045251E"/>
    <w:rsid w:val="00452687"/>
    <w:rsid w:val="00452691"/>
    <w:rsid w:val="0045283F"/>
    <w:rsid w:val="00453D2C"/>
    <w:rsid w:val="00453DB3"/>
    <w:rsid w:val="00453DC1"/>
    <w:rsid w:val="00453F48"/>
    <w:rsid w:val="00453FCD"/>
    <w:rsid w:val="00454A21"/>
    <w:rsid w:val="00454B72"/>
    <w:rsid w:val="00454B8F"/>
    <w:rsid w:val="00454C05"/>
    <w:rsid w:val="00454C20"/>
    <w:rsid w:val="00454C37"/>
    <w:rsid w:val="00454F4E"/>
    <w:rsid w:val="0045546F"/>
    <w:rsid w:val="004558FA"/>
    <w:rsid w:val="00455CAE"/>
    <w:rsid w:val="00455E9B"/>
    <w:rsid w:val="00456437"/>
    <w:rsid w:val="00456438"/>
    <w:rsid w:val="00456A0A"/>
    <w:rsid w:val="00456D15"/>
    <w:rsid w:val="00456DC0"/>
    <w:rsid w:val="0045725B"/>
    <w:rsid w:val="004578E3"/>
    <w:rsid w:val="00457CF5"/>
    <w:rsid w:val="004602D4"/>
    <w:rsid w:val="0046031D"/>
    <w:rsid w:val="00460657"/>
    <w:rsid w:val="004608BA"/>
    <w:rsid w:val="00460A4B"/>
    <w:rsid w:val="00460AA8"/>
    <w:rsid w:val="00461252"/>
    <w:rsid w:val="004613E4"/>
    <w:rsid w:val="0046159B"/>
    <w:rsid w:val="00461A7C"/>
    <w:rsid w:val="00461A84"/>
    <w:rsid w:val="00461ABF"/>
    <w:rsid w:val="00461E66"/>
    <w:rsid w:val="00461EBB"/>
    <w:rsid w:val="00461FFA"/>
    <w:rsid w:val="00462286"/>
    <w:rsid w:val="00462AAB"/>
    <w:rsid w:val="00462C80"/>
    <w:rsid w:val="00462D87"/>
    <w:rsid w:val="00462D95"/>
    <w:rsid w:val="00462F25"/>
    <w:rsid w:val="004631A1"/>
    <w:rsid w:val="0046330C"/>
    <w:rsid w:val="00463393"/>
    <w:rsid w:val="00463717"/>
    <w:rsid w:val="00463754"/>
    <w:rsid w:val="004637CD"/>
    <w:rsid w:val="00463EC9"/>
    <w:rsid w:val="004646B4"/>
    <w:rsid w:val="00464964"/>
    <w:rsid w:val="00464A75"/>
    <w:rsid w:val="004653AD"/>
    <w:rsid w:val="00465498"/>
    <w:rsid w:val="00465582"/>
    <w:rsid w:val="00465A3C"/>
    <w:rsid w:val="00465A7C"/>
    <w:rsid w:val="00465F55"/>
    <w:rsid w:val="00466093"/>
    <w:rsid w:val="0046615C"/>
    <w:rsid w:val="0046635D"/>
    <w:rsid w:val="0046665D"/>
    <w:rsid w:val="00466668"/>
    <w:rsid w:val="004666B2"/>
    <w:rsid w:val="00466742"/>
    <w:rsid w:val="00466A2E"/>
    <w:rsid w:val="00466AE4"/>
    <w:rsid w:val="00467074"/>
    <w:rsid w:val="00467370"/>
    <w:rsid w:val="0046756D"/>
    <w:rsid w:val="0046774B"/>
    <w:rsid w:val="004677AD"/>
    <w:rsid w:val="004677E1"/>
    <w:rsid w:val="00467A1C"/>
    <w:rsid w:val="00467B68"/>
    <w:rsid w:val="00467D8B"/>
    <w:rsid w:val="00467EDD"/>
    <w:rsid w:val="00470D4C"/>
    <w:rsid w:val="0047122D"/>
    <w:rsid w:val="00471361"/>
    <w:rsid w:val="00471A12"/>
    <w:rsid w:val="00471C14"/>
    <w:rsid w:val="004724CE"/>
    <w:rsid w:val="00472834"/>
    <w:rsid w:val="00472ADA"/>
    <w:rsid w:val="00472AF9"/>
    <w:rsid w:val="00472CA4"/>
    <w:rsid w:val="00472E87"/>
    <w:rsid w:val="004738BC"/>
    <w:rsid w:val="004738E8"/>
    <w:rsid w:val="00473C51"/>
    <w:rsid w:val="00473E89"/>
    <w:rsid w:val="00474322"/>
    <w:rsid w:val="00474339"/>
    <w:rsid w:val="0047443D"/>
    <w:rsid w:val="00474620"/>
    <w:rsid w:val="004746A9"/>
    <w:rsid w:val="004746DA"/>
    <w:rsid w:val="00474A03"/>
    <w:rsid w:val="004751FE"/>
    <w:rsid w:val="00475371"/>
    <w:rsid w:val="0047548C"/>
    <w:rsid w:val="004754C9"/>
    <w:rsid w:val="00475FB6"/>
    <w:rsid w:val="00476446"/>
    <w:rsid w:val="00476479"/>
    <w:rsid w:val="00476570"/>
    <w:rsid w:val="004767BC"/>
    <w:rsid w:val="00476D81"/>
    <w:rsid w:val="0047762B"/>
    <w:rsid w:val="004778B8"/>
    <w:rsid w:val="004779AB"/>
    <w:rsid w:val="00477B96"/>
    <w:rsid w:val="00477C52"/>
    <w:rsid w:val="00477CA1"/>
    <w:rsid w:val="00477FA2"/>
    <w:rsid w:val="004801BA"/>
    <w:rsid w:val="0048028B"/>
    <w:rsid w:val="00480316"/>
    <w:rsid w:val="00480762"/>
    <w:rsid w:val="00480BAF"/>
    <w:rsid w:val="00480C8E"/>
    <w:rsid w:val="00481382"/>
    <w:rsid w:val="00481A19"/>
    <w:rsid w:val="00481BAB"/>
    <w:rsid w:val="00481C87"/>
    <w:rsid w:val="004828B4"/>
    <w:rsid w:val="004829E4"/>
    <w:rsid w:val="00482F94"/>
    <w:rsid w:val="00483314"/>
    <w:rsid w:val="004835ED"/>
    <w:rsid w:val="004836CB"/>
    <w:rsid w:val="004840B7"/>
    <w:rsid w:val="00484D3F"/>
    <w:rsid w:val="004851C3"/>
    <w:rsid w:val="00485352"/>
    <w:rsid w:val="00485B74"/>
    <w:rsid w:val="00486122"/>
    <w:rsid w:val="0048639E"/>
    <w:rsid w:val="004867DA"/>
    <w:rsid w:val="00486EA4"/>
    <w:rsid w:val="00486F65"/>
    <w:rsid w:val="00486FCB"/>
    <w:rsid w:val="004876C2"/>
    <w:rsid w:val="004878B6"/>
    <w:rsid w:val="00487B62"/>
    <w:rsid w:val="00487C76"/>
    <w:rsid w:val="00487E61"/>
    <w:rsid w:val="00487F1E"/>
    <w:rsid w:val="00490130"/>
    <w:rsid w:val="004902C0"/>
    <w:rsid w:val="00490831"/>
    <w:rsid w:val="00490C38"/>
    <w:rsid w:val="00491095"/>
    <w:rsid w:val="00491630"/>
    <w:rsid w:val="004918B1"/>
    <w:rsid w:val="00491B3B"/>
    <w:rsid w:val="00491C5E"/>
    <w:rsid w:val="0049269C"/>
    <w:rsid w:val="004928A8"/>
    <w:rsid w:val="00492B8D"/>
    <w:rsid w:val="00492C56"/>
    <w:rsid w:val="00492D23"/>
    <w:rsid w:val="00492F1A"/>
    <w:rsid w:val="0049304E"/>
    <w:rsid w:val="00493211"/>
    <w:rsid w:val="004932D9"/>
    <w:rsid w:val="00493782"/>
    <w:rsid w:val="004938E0"/>
    <w:rsid w:val="0049398D"/>
    <w:rsid w:val="004939A6"/>
    <w:rsid w:val="00493CF5"/>
    <w:rsid w:val="00493E2D"/>
    <w:rsid w:val="00494B2E"/>
    <w:rsid w:val="00494E4F"/>
    <w:rsid w:val="004952A2"/>
    <w:rsid w:val="00495415"/>
    <w:rsid w:val="00495804"/>
    <w:rsid w:val="0049590C"/>
    <w:rsid w:val="00495CBB"/>
    <w:rsid w:val="00495D9A"/>
    <w:rsid w:val="004963CB"/>
    <w:rsid w:val="004966E0"/>
    <w:rsid w:val="00496FD6"/>
    <w:rsid w:val="0049793F"/>
    <w:rsid w:val="004979FF"/>
    <w:rsid w:val="00497D1D"/>
    <w:rsid w:val="004A05C8"/>
    <w:rsid w:val="004A0697"/>
    <w:rsid w:val="004A0B83"/>
    <w:rsid w:val="004A0ECC"/>
    <w:rsid w:val="004A1163"/>
    <w:rsid w:val="004A1246"/>
    <w:rsid w:val="004A17FA"/>
    <w:rsid w:val="004A1932"/>
    <w:rsid w:val="004A1DAD"/>
    <w:rsid w:val="004A2005"/>
    <w:rsid w:val="004A215B"/>
    <w:rsid w:val="004A23E5"/>
    <w:rsid w:val="004A25D9"/>
    <w:rsid w:val="004A270B"/>
    <w:rsid w:val="004A29C7"/>
    <w:rsid w:val="004A2B71"/>
    <w:rsid w:val="004A2CD5"/>
    <w:rsid w:val="004A321F"/>
    <w:rsid w:val="004A3429"/>
    <w:rsid w:val="004A3644"/>
    <w:rsid w:val="004A38A5"/>
    <w:rsid w:val="004A38D6"/>
    <w:rsid w:val="004A3A41"/>
    <w:rsid w:val="004A3A47"/>
    <w:rsid w:val="004A3ABF"/>
    <w:rsid w:val="004A3CB7"/>
    <w:rsid w:val="004A3F18"/>
    <w:rsid w:val="004A3F2E"/>
    <w:rsid w:val="004A42CE"/>
    <w:rsid w:val="004A43DF"/>
    <w:rsid w:val="004A44DF"/>
    <w:rsid w:val="004A45FD"/>
    <w:rsid w:val="004A471D"/>
    <w:rsid w:val="004A493E"/>
    <w:rsid w:val="004A4D06"/>
    <w:rsid w:val="004A4FC8"/>
    <w:rsid w:val="004A50BC"/>
    <w:rsid w:val="004A5232"/>
    <w:rsid w:val="004A55BE"/>
    <w:rsid w:val="004A657D"/>
    <w:rsid w:val="004A664D"/>
    <w:rsid w:val="004A6825"/>
    <w:rsid w:val="004A69DA"/>
    <w:rsid w:val="004A6D5C"/>
    <w:rsid w:val="004A723F"/>
    <w:rsid w:val="004A72DD"/>
    <w:rsid w:val="004A74C3"/>
    <w:rsid w:val="004A76F0"/>
    <w:rsid w:val="004A76FD"/>
    <w:rsid w:val="004A7922"/>
    <w:rsid w:val="004B0033"/>
    <w:rsid w:val="004B04F1"/>
    <w:rsid w:val="004B0624"/>
    <w:rsid w:val="004B06D0"/>
    <w:rsid w:val="004B0A5F"/>
    <w:rsid w:val="004B0B6E"/>
    <w:rsid w:val="004B11AD"/>
    <w:rsid w:val="004B140D"/>
    <w:rsid w:val="004B15CE"/>
    <w:rsid w:val="004B1687"/>
    <w:rsid w:val="004B20E2"/>
    <w:rsid w:val="004B2575"/>
    <w:rsid w:val="004B2630"/>
    <w:rsid w:val="004B27E3"/>
    <w:rsid w:val="004B2918"/>
    <w:rsid w:val="004B29F6"/>
    <w:rsid w:val="004B34DD"/>
    <w:rsid w:val="004B358D"/>
    <w:rsid w:val="004B40A7"/>
    <w:rsid w:val="004B4249"/>
    <w:rsid w:val="004B4A60"/>
    <w:rsid w:val="004B4BC7"/>
    <w:rsid w:val="004B50E3"/>
    <w:rsid w:val="004B51A3"/>
    <w:rsid w:val="004B534E"/>
    <w:rsid w:val="004B5393"/>
    <w:rsid w:val="004B5551"/>
    <w:rsid w:val="004B59CB"/>
    <w:rsid w:val="004B625B"/>
    <w:rsid w:val="004B64D4"/>
    <w:rsid w:val="004B6901"/>
    <w:rsid w:val="004B6F05"/>
    <w:rsid w:val="004B702B"/>
    <w:rsid w:val="004B768B"/>
    <w:rsid w:val="004B774C"/>
    <w:rsid w:val="004B7AD9"/>
    <w:rsid w:val="004B7E64"/>
    <w:rsid w:val="004C0244"/>
    <w:rsid w:val="004C0712"/>
    <w:rsid w:val="004C0962"/>
    <w:rsid w:val="004C0EC9"/>
    <w:rsid w:val="004C0F0D"/>
    <w:rsid w:val="004C0FBF"/>
    <w:rsid w:val="004C142D"/>
    <w:rsid w:val="004C175A"/>
    <w:rsid w:val="004C1838"/>
    <w:rsid w:val="004C19D2"/>
    <w:rsid w:val="004C1AA7"/>
    <w:rsid w:val="004C1CE3"/>
    <w:rsid w:val="004C2B40"/>
    <w:rsid w:val="004C2C95"/>
    <w:rsid w:val="004C2CAC"/>
    <w:rsid w:val="004C3539"/>
    <w:rsid w:val="004C381C"/>
    <w:rsid w:val="004C3F0D"/>
    <w:rsid w:val="004C3FD7"/>
    <w:rsid w:val="004C4648"/>
    <w:rsid w:val="004C48E5"/>
    <w:rsid w:val="004C4971"/>
    <w:rsid w:val="004C50C0"/>
    <w:rsid w:val="004C55E8"/>
    <w:rsid w:val="004C5AA1"/>
    <w:rsid w:val="004C5BBD"/>
    <w:rsid w:val="004C5D10"/>
    <w:rsid w:val="004C600D"/>
    <w:rsid w:val="004C6374"/>
    <w:rsid w:val="004C64D0"/>
    <w:rsid w:val="004C6641"/>
    <w:rsid w:val="004C683A"/>
    <w:rsid w:val="004C6B4F"/>
    <w:rsid w:val="004C6D63"/>
    <w:rsid w:val="004C6DF5"/>
    <w:rsid w:val="004C7754"/>
    <w:rsid w:val="004C79D9"/>
    <w:rsid w:val="004D059B"/>
    <w:rsid w:val="004D0705"/>
    <w:rsid w:val="004D0EBA"/>
    <w:rsid w:val="004D14E1"/>
    <w:rsid w:val="004D199D"/>
    <w:rsid w:val="004D1E35"/>
    <w:rsid w:val="004D21E5"/>
    <w:rsid w:val="004D2237"/>
    <w:rsid w:val="004D259F"/>
    <w:rsid w:val="004D25E2"/>
    <w:rsid w:val="004D26A0"/>
    <w:rsid w:val="004D2844"/>
    <w:rsid w:val="004D3A17"/>
    <w:rsid w:val="004D3E36"/>
    <w:rsid w:val="004D4588"/>
    <w:rsid w:val="004D4AC2"/>
    <w:rsid w:val="004D4B5B"/>
    <w:rsid w:val="004D4CAE"/>
    <w:rsid w:val="004D5038"/>
    <w:rsid w:val="004D50DC"/>
    <w:rsid w:val="004D51D4"/>
    <w:rsid w:val="004D5251"/>
    <w:rsid w:val="004D53F8"/>
    <w:rsid w:val="004D5D9E"/>
    <w:rsid w:val="004D5EBD"/>
    <w:rsid w:val="004D6314"/>
    <w:rsid w:val="004D68BE"/>
    <w:rsid w:val="004D68ED"/>
    <w:rsid w:val="004D6A67"/>
    <w:rsid w:val="004D6D7B"/>
    <w:rsid w:val="004D7312"/>
    <w:rsid w:val="004D7420"/>
    <w:rsid w:val="004D7576"/>
    <w:rsid w:val="004E00E6"/>
    <w:rsid w:val="004E01C0"/>
    <w:rsid w:val="004E0242"/>
    <w:rsid w:val="004E054D"/>
    <w:rsid w:val="004E06B0"/>
    <w:rsid w:val="004E07DA"/>
    <w:rsid w:val="004E08E7"/>
    <w:rsid w:val="004E0A8F"/>
    <w:rsid w:val="004E111B"/>
    <w:rsid w:val="004E1454"/>
    <w:rsid w:val="004E1E3E"/>
    <w:rsid w:val="004E1EA8"/>
    <w:rsid w:val="004E2459"/>
    <w:rsid w:val="004E26C8"/>
    <w:rsid w:val="004E2822"/>
    <w:rsid w:val="004E2921"/>
    <w:rsid w:val="004E2BC5"/>
    <w:rsid w:val="004E2FD4"/>
    <w:rsid w:val="004E305F"/>
    <w:rsid w:val="004E368E"/>
    <w:rsid w:val="004E3834"/>
    <w:rsid w:val="004E3C85"/>
    <w:rsid w:val="004E3FB6"/>
    <w:rsid w:val="004E41AF"/>
    <w:rsid w:val="004E4277"/>
    <w:rsid w:val="004E46EE"/>
    <w:rsid w:val="004E47BF"/>
    <w:rsid w:val="004E49BD"/>
    <w:rsid w:val="004E4E85"/>
    <w:rsid w:val="004E4F95"/>
    <w:rsid w:val="004E53FC"/>
    <w:rsid w:val="004E578F"/>
    <w:rsid w:val="004E5CB9"/>
    <w:rsid w:val="004E5CF5"/>
    <w:rsid w:val="004E63EE"/>
    <w:rsid w:val="004E650B"/>
    <w:rsid w:val="004E6510"/>
    <w:rsid w:val="004E6BC9"/>
    <w:rsid w:val="004E6CBA"/>
    <w:rsid w:val="004E7063"/>
    <w:rsid w:val="004E73E8"/>
    <w:rsid w:val="004E7540"/>
    <w:rsid w:val="004E7870"/>
    <w:rsid w:val="004E7FC0"/>
    <w:rsid w:val="004F0148"/>
    <w:rsid w:val="004F04C9"/>
    <w:rsid w:val="004F0564"/>
    <w:rsid w:val="004F056A"/>
    <w:rsid w:val="004F0571"/>
    <w:rsid w:val="004F05B8"/>
    <w:rsid w:val="004F06B9"/>
    <w:rsid w:val="004F083D"/>
    <w:rsid w:val="004F0C3F"/>
    <w:rsid w:val="004F0DF9"/>
    <w:rsid w:val="004F1A7E"/>
    <w:rsid w:val="004F2715"/>
    <w:rsid w:val="004F28AA"/>
    <w:rsid w:val="004F2A1D"/>
    <w:rsid w:val="004F2BB1"/>
    <w:rsid w:val="004F2F35"/>
    <w:rsid w:val="004F304A"/>
    <w:rsid w:val="004F30BF"/>
    <w:rsid w:val="004F34AC"/>
    <w:rsid w:val="004F37EE"/>
    <w:rsid w:val="004F3BE6"/>
    <w:rsid w:val="004F3BF4"/>
    <w:rsid w:val="004F3D20"/>
    <w:rsid w:val="004F3FD2"/>
    <w:rsid w:val="004F40AD"/>
    <w:rsid w:val="004F41C8"/>
    <w:rsid w:val="004F4978"/>
    <w:rsid w:val="004F4F47"/>
    <w:rsid w:val="004F56ED"/>
    <w:rsid w:val="004F588D"/>
    <w:rsid w:val="004F5C58"/>
    <w:rsid w:val="004F5D56"/>
    <w:rsid w:val="004F5F23"/>
    <w:rsid w:val="004F5FA0"/>
    <w:rsid w:val="004F6045"/>
    <w:rsid w:val="004F6147"/>
    <w:rsid w:val="004F614F"/>
    <w:rsid w:val="004F6677"/>
    <w:rsid w:val="004F6782"/>
    <w:rsid w:val="004F69FE"/>
    <w:rsid w:val="004F6ED6"/>
    <w:rsid w:val="004F6EE4"/>
    <w:rsid w:val="004F752A"/>
    <w:rsid w:val="004F781C"/>
    <w:rsid w:val="004F7918"/>
    <w:rsid w:val="004F7F31"/>
    <w:rsid w:val="0050098F"/>
    <w:rsid w:val="00500CC6"/>
    <w:rsid w:val="005017AF"/>
    <w:rsid w:val="00501A5D"/>
    <w:rsid w:val="00501C1C"/>
    <w:rsid w:val="00502190"/>
    <w:rsid w:val="005022AE"/>
    <w:rsid w:val="005034E2"/>
    <w:rsid w:val="00503738"/>
    <w:rsid w:val="00503797"/>
    <w:rsid w:val="005038CB"/>
    <w:rsid w:val="0050398F"/>
    <w:rsid w:val="005039EE"/>
    <w:rsid w:val="00503F6D"/>
    <w:rsid w:val="00504CF2"/>
    <w:rsid w:val="005051C5"/>
    <w:rsid w:val="00505415"/>
    <w:rsid w:val="00505714"/>
    <w:rsid w:val="005057FE"/>
    <w:rsid w:val="00505827"/>
    <w:rsid w:val="00505B35"/>
    <w:rsid w:val="0050634D"/>
    <w:rsid w:val="00506441"/>
    <w:rsid w:val="005067EB"/>
    <w:rsid w:val="00506A1E"/>
    <w:rsid w:val="00506B64"/>
    <w:rsid w:val="00506C00"/>
    <w:rsid w:val="00506E42"/>
    <w:rsid w:val="00507749"/>
    <w:rsid w:val="00507A41"/>
    <w:rsid w:val="00510162"/>
    <w:rsid w:val="005106A0"/>
    <w:rsid w:val="00510A77"/>
    <w:rsid w:val="00510B78"/>
    <w:rsid w:val="00510FFA"/>
    <w:rsid w:val="005111E1"/>
    <w:rsid w:val="00511586"/>
    <w:rsid w:val="0051180D"/>
    <w:rsid w:val="0051227C"/>
    <w:rsid w:val="00512342"/>
    <w:rsid w:val="0051254F"/>
    <w:rsid w:val="005125B3"/>
    <w:rsid w:val="005125B6"/>
    <w:rsid w:val="005129F7"/>
    <w:rsid w:val="00512AF0"/>
    <w:rsid w:val="00512E59"/>
    <w:rsid w:val="005130A1"/>
    <w:rsid w:val="005133C9"/>
    <w:rsid w:val="0051367A"/>
    <w:rsid w:val="005137A4"/>
    <w:rsid w:val="00513E25"/>
    <w:rsid w:val="0051430B"/>
    <w:rsid w:val="005144B5"/>
    <w:rsid w:val="00514710"/>
    <w:rsid w:val="00514CF7"/>
    <w:rsid w:val="00514E75"/>
    <w:rsid w:val="0051524A"/>
    <w:rsid w:val="0051535D"/>
    <w:rsid w:val="005158FB"/>
    <w:rsid w:val="00515A03"/>
    <w:rsid w:val="0051601C"/>
    <w:rsid w:val="005162F1"/>
    <w:rsid w:val="005162FB"/>
    <w:rsid w:val="00516603"/>
    <w:rsid w:val="0051788F"/>
    <w:rsid w:val="00517E75"/>
    <w:rsid w:val="0052095A"/>
    <w:rsid w:val="00520E0A"/>
    <w:rsid w:val="0052125B"/>
    <w:rsid w:val="00521565"/>
    <w:rsid w:val="00521745"/>
    <w:rsid w:val="005219BF"/>
    <w:rsid w:val="005221B4"/>
    <w:rsid w:val="005224A4"/>
    <w:rsid w:val="00522B66"/>
    <w:rsid w:val="00523055"/>
    <w:rsid w:val="005232C3"/>
    <w:rsid w:val="005234BC"/>
    <w:rsid w:val="00523809"/>
    <w:rsid w:val="00523D53"/>
    <w:rsid w:val="00523D66"/>
    <w:rsid w:val="00523F12"/>
    <w:rsid w:val="00523FCF"/>
    <w:rsid w:val="0052446A"/>
    <w:rsid w:val="00524490"/>
    <w:rsid w:val="005244CA"/>
    <w:rsid w:val="005248DC"/>
    <w:rsid w:val="005249CF"/>
    <w:rsid w:val="00524A48"/>
    <w:rsid w:val="005251FB"/>
    <w:rsid w:val="00525285"/>
    <w:rsid w:val="0052543F"/>
    <w:rsid w:val="0052553B"/>
    <w:rsid w:val="00525A58"/>
    <w:rsid w:val="00525A6A"/>
    <w:rsid w:val="00525BBB"/>
    <w:rsid w:val="00525DF6"/>
    <w:rsid w:val="00526118"/>
    <w:rsid w:val="005263EB"/>
    <w:rsid w:val="00526534"/>
    <w:rsid w:val="0052699C"/>
    <w:rsid w:val="00526AE6"/>
    <w:rsid w:val="00526CF2"/>
    <w:rsid w:val="0052700A"/>
    <w:rsid w:val="005272A2"/>
    <w:rsid w:val="005275E5"/>
    <w:rsid w:val="00527868"/>
    <w:rsid w:val="00527A5E"/>
    <w:rsid w:val="00527B27"/>
    <w:rsid w:val="00527BA9"/>
    <w:rsid w:val="00530166"/>
    <w:rsid w:val="00530771"/>
    <w:rsid w:val="00530783"/>
    <w:rsid w:val="00530833"/>
    <w:rsid w:val="00530DE9"/>
    <w:rsid w:val="00530EBF"/>
    <w:rsid w:val="00531469"/>
    <w:rsid w:val="005314FB"/>
    <w:rsid w:val="0053199B"/>
    <w:rsid w:val="00531B9E"/>
    <w:rsid w:val="005320EA"/>
    <w:rsid w:val="00533561"/>
    <w:rsid w:val="00533C9D"/>
    <w:rsid w:val="005348CE"/>
    <w:rsid w:val="00534A7B"/>
    <w:rsid w:val="00534FA1"/>
    <w:rsid w:val="0053567B"/>
    <w:rsid w:val="0053578C"/>
    <w:rsid w:val="00535955"/>
    <w:rsid w:val="00535DC9"/>
    <w:rsid w:val="0053625D"/>
    <w:rsid w:val="00536816"/>
    <w:rsid w:val="00536F59"/>
    <w:rsid w:val="00537507"/>
    <w:rsid w:val="00537A32"/>
    <w:rsid w:val="00537F17"/>
    <w:rsid w:val="00540376"/>
    <w:rsid w:val="0054077E"/>
    <w:rsid w:val="00540889"/>
    <w:rsid w:val="00540997"/>
    <w:rsid w:val="005412F3"/>
    <w:rsid w:val="00541413"/>
    <w:rsid w:val="005414EF"/>
    <w:rsid w:val="005420CD"/>
    <w:rsid w:val="00542366"/>
    <w:rsid w:val="005424AA"/>
    <w:rsid w:val="005425AD"/>
    <w:rsid w:val="00542A02"/>
    <w:rsid w:val="005431F0"/>
    <w:rsid w:val="005431FC"/>
    <w:rsid w:val="00543B50"/>
    <w:rsid w:val="00543E78"/>
    <w:rsid w:val="00544329"/>
    <w:rsid w:val="00544453"/>
    <w:rsid w:val="005446AA"/>
    <w:rsid w:val="0054481C"/>
    <w:rsid w:val="005448CD"/>
    <w:rsid w:val="00545158"/>
    <w:rsid w:val="00545440"/>
    <w:rsid w:val="005454E8"/>
    <w:rsid w:val="00545C69"/>
    <w:rsid w:val="00546132"/>
    <w:rsid w:val="00546319"/>
    <w:rsid w:val="00546C4D"/>
    <w:rsid w:val="00546E90"/>
    <w:rsid w:val="00546FEB"/>
    <w:rsid w:val="0054766B"/>
    <w:rsid w:val="00547E0F"/>
    <w:rsid w:val="005501CE"/>
    <w:rsid w:val="00550242"/>
    <w:rsid w:val="00550733"/>
    <w:rsid w:val="00550AA6"/>
    <w:rsid w:val="00550BAA"/>
    <w:rsid w:val="00550D0E"/>
    <w:rsid w:val="005516BD"/>
    <w:rsid w:val="0055172A"/>
    <w:rsid w:val="00551A54"/>
    <w:rsid w:val="005520B1"/>
    <w:rsid w:val="00552731"/>
    <w:rsid w:val="00552833"/>
    <w:rsid w:val="00552941"/>
    <w:rsid w:val="005529BB"/>
    <w:rsid w:val="00552F06"/>
    <w:rsid w:val="005530E3"/>
    <w:rsid w:val="00553198"/>
    <w:rsid w:val="00553457"/>
    <w:rsid w:val="0055347B"/>
    <w:rsid w:val="00553797"/>
    <w:rsid w:val="005539BE"/>
    <w:rsid w:val="005539EC"/>
    <w:rsid w:val="00553A0B"/>
    <w:rsid w:val="00553FFB"/>
    <w:rsid w:val="0055421A"/>
    <w:rsid w:val="005542EE"/>
    <w:rsid w:val="00554329"/>
    <w:rsid w:val="00554607"/>
    <w:rsid w:val="00554627"/>
    <w:rsid w:val="0055475C"/>
    <w:rsid w:val="005547FF"/>
    <w:rsid w:val="00554D86"/>
    <w:rsid w:val="00554E74"/>
    <w:rsid w:val="00554F04"/>
    <w:rsid w:val="00554F9C"/>
    <w:rsid w:val="00555E12"/>
    <w:rsid w:val="00556136"/>
    <w:rsid w:val="005563C9"/>
    <w:rsid w:val="005566AA"/>
    <w:rsid w:val="00556B93"/>
    <w:rsid w:val="00556D00"/>
    <w:rsid w:val="0055711B"/>
    <w:rsid w:val="0055738E"/>
    <w:rsid w:val="005574F9"/>
    <w:rsid w:val="0055758F"/>
    <w:rsid w:val="0055770D"/>
    <w:rsid w:val="00557DAC"/>
    <w:rsid w:val="00560031"/>
    <w:rsid w:val="00560194"/>
    <w:rsid w:val="005602C8"/>
    <w:rsid w:val="005602EA"/>
    <w:rsid w:val="00560404"/>
    <w:rsid w:val="00560469"/>
    <w:rsid w:val="00560624"/>
    <w:rsid w:val="00560748"/>
    <w:rsid w:val="00560881"/>
    <w:rsid w:val="00560978"/>
    <w:rsid w:val="00560A37"/>
    <w:rsid w:val="00560B65"/>
    <w:rsid w:val="00560C38"/>
    <w:rsid w:val="00560D2B"/>
    <w:rsid w:val="00560DE2"/>
    <w:rsid w:val="00560FAC"/>
    <w:rsid w:val="005611B9"/>
    <w:rsid w:val="005612D4"/>
    <w:rsid w:val="005613A3"/>
    <w:rsid w:val="005613A7"/>
    <w:rsid w:val="00561710"/>
    <w:rsid w:val="00561975"/>
    <w:rsid w:val="005619B7"/>
    <w:rsid w:val="00561AEE"/>
    <w:rsid w:val="00561C1C"/>
    <w:rsid w:val="00561CCE"/>
    <w:rsid w:val="00561D3C"/>
    <w:rsid w:val="00562A5F"/>
    <w:rsid w:val="00562BE5"/>
    <w:rsid w:val="00562D7E"/>
    <w:rsid w:val="00562E3D"/>
    <w:rsid w:val="005634BA"/>
    <w:rsid w:val="005639B1"/>
    <w:rsid w:val="00563ADB"/>
    <w:rsid w:val="00563EC3"/>
    <w:rsid w:val="00563F75"/>
    <w:rsid w:val="005640EB"/>
    <w:rsid w:val="00564600"/>
    <w:rsid w:val="0056495D"/>
    <w:rsid w:val="00564DA3"/>
    <w:rsid w:val="00564EB4"/>
    <w:rsid w:val="005651DE"/>
    <w:rsid w:val="00565514"/>
    <w:rsid w:val="0056557A"/>
    <w:rsid w:val="00565A48"/>
    <w:rsid w:val="00565FCB"/>
    <w:rsid w:val="00566076"/>
    <w:rsid w:val="00566282"/>
    <w:rsid w:val="00566571"/>
    <w:rsid w:val="005666B9"/>
    <w:rsid w:val="00566766"/>
    <w:rsid w:val="00566845"/>
    <w:rsid w:val="00566A6C"/>
    <w:rsid w:val="00566F82"/>
    <w:rsid w:val="00567218"/>
    <w:rsid w:val="00567646"/>
    <w:rsid w:val="00567851"/>
    <w:rsid w:val="00567B69"/>
    <w:rsid w:val="00570072"/>
    <w:rsid w:val="0057013D"/>
    <w:rsid w:val="0057031E"/>
    <w:rsid w:val="00570584"/>
    <w:rsid w:val="005705C8"/>
    <w:rsid w:val="0057094E"/>
    <w:rsid w:val="00570A00"/>
    <w:rsid w:val="00570E16"/>
    <w:rsid w:val="005712D6"/>
    <w:rsid w:val="00571812"/>
    <w:rsid w:val="00571DCD"/>
    <w:rsid w:val="0057218C"/>
    <w:rsid w:val="005723F9"/>
    <w:rsid w:val="00572654"/>
    <w:rsid w:val="00572C81"/>
    <w:rsid w:val="00572E70"/>
    <w:rsid w:val="00572EB6"/>
    <w:rsid w:val="00573348"/>
    <w:rsid w:val="00573369"/>
    <w:rsid w:val="0057337D"/>
    <w:rsid w:val="0057354E"/>
    <w:rsid w:val="005737C9"/>
    <w:rsid w:val="00573C20"/>
    <w:rsid w:val="00574098"/>
    <w:rsid w:val="0057418A"/>
    <w:rsid w:val="005747F1"/>
    <w:rsid w:val="00574923"/>
    <w:rsid w:val="005749F3"/>
    <w:rsid w:val="00574D59"/>
    <w:rsid w:val="0057512E"/>
    <w:rsid w:val="00575146"/>
    <w:rsid w:val="0057535A"/>
    <w:rsid w:val="00575641"/>
    <w:rsid w:val="00575BF7"/>
    <w:rsid w:val="00575C24"/>
    <w:rsid w:val="00576226"/>
    <w:rsid w:val="005762EA"/>
    <w:rsid w:val="005767AE"/>
    <w:rsid w:val="00576933"/>
    <w:rsid w:val="005773EC"/>
    <w:rsid w:val="00577AD2"/>
    <w:rsid w:val="00580390"/>
    <w:rsid w:val="00580491"/>
    <w:rsid w:val="00580D79"/>
    <w:rsid w:val="00580F52"/>
    <w:rsid w:val="0058137E"/>
    <w:rsid w:val="00581624"/>
    <w:rsid w:val="005816EE"/>
    <w:rsid w:val="005817B2"/>
    <w:rsid w:val="005819CB"/>
    <w:rsid w:val="005819F7"/>
    <w:rsid w:val="00581A20"/>
    <w:rsid w:val="00581BC4"/>
    <w:rsid w:val="00581C35"/>
    <w:rsid w:val="00581C62"/>
    <w:rsid w:val="0058204A"/>
    <w:rsid w:val="005820CE"/>
    <w:rsid w:val="005820EC"/>
    <w:rsid w:val="0058220C"/>
    <w:rsid w:val="00582265"/>
    <w:rsid w:val="005823A5"/>
    <w:rsid w:val="005824C6"/>
    <w:rsid w:val="00582629"/>
    <w:rsid w:val="00582674"/>
    <w:rsid w:val="005826EE"/>
    <w:rsid w:val="0058271E"/>
    <w:rsid w:val="0058283F"/>
    <w:rsid w:val="00582ECE"/>
    <w:rsid w:val="00583198"/>
    <w:rsid w:val="005831BF"/>
    <w:rsid w:val="005834BC"/>
    <w:rsid w:val="00583930"/>
    <w:rsid w:val="00583BFE"/>
    <w:rsid w:val="00583D8A"/>
    <w:rsid w:val="00583DBE"/>
    <w:rsid w:val="005840EB"/>
    <w:rsid w:val="005840EF"/>
    <w:rsid w:val="005843BE"/>
    <w:rsid w:val="005845A3"/>
    <w:rsid w:val="005848F8"/>
    <w:rsid w:val="00584E2F"/>
    <w:rsid w:val="005850F8"/>
    <w:rsid w:val="00585151"/>
    <w:rsid w:val="0058523B"/>
    <w:rsid w:val="0058525B"/>
    <w:rsid w:val="00585AAE"/>
    <w:rsid w:val="00585C03"/>
    <w:rsid w:val="00585F1C"/>
    <w:rsid w:val="005863B2"/>
    <w:rsid w:val="005863F7"/>
    <w:rsid w:val="00586637"/>
    <w:rsid w:val="005868AB"/>
    <w:rsid w:val="005868C2"/>
    <w:rsid w:val="00587229"/>
    <w:rsid w:val="00587C46"/>
    <w:rsid w:val="00587F56"/>
    <w:rsid w:val="00587FD9"/>
    <w:rsid w:val="0059001E"/>
    <w:rsid w:val="005900B9"/>
    <w:rsid w:val="005902C9"/>
    <w:rsid w:val="005908B9"/>
    <w:rsid w:val="00591265"/>
    <w:rsid w:val="00591282"/>
    <w:rsid w:val="00591283"/>
    <w:rsid w:val="005915A4"/>
    <w:rsid w:val="005924D3"/>
    <w:rsid w:val="005924F1"/>
    <w:rsid w:val="005925E3"/>
    <w:rsid w:val="00592CF0"/>
    <w:rsid w:val="0059304D"/>
    <w:rsid w:val="00593058"/>
    <w:rsid w:val="005933AE"/>
    <w:rsid w:val="005934A8"/>
    <w:rsid w:val="0059382B"/>
    <w:rsid w:val="00593CBE"/>
    <w:rsid w:val="00593F5D"/>
    <w:rsid w:val="0059404E"/>
    <w:rsid w:val="0059406A"/>
    <w:rsid w:val="005944F1"/>
    <w:rsid w:val="005946CA"/>
    <w:rsid w:val="005948E1"/>
    <w:rsid w:val="005948F3"/>
    <w:rsid w:val="00594B14"/>
    <w:rsid w:val="00594CD9"/>
    <w:rsid w:val="00595156"/>
    <w:rsid w:val="00596139"/>
    <w:rsid w:val="005962ED"/>
    <w:rsid w:val="005965C9"/>
    <w:rsid w:val="005966C9"/>
    <w:rsid w:val="00596790"/>
    <w:rsid w:val="005967C0"/>
    <w:rsid w:val="00596832"/>
    <w:rsid w:val="00596CCB"/>
    <w:rsid w:val="00596DB6"/>
    <w:rsid w:val="005970CD"/>
    <w:rsid w:val="00597459"/>
    <w:rsid w:val="00597753"/>
    <w:rsid w:val="005979C3"/>
    <w:rsid w:val="00597D8A"/>
    <w:rsid w:val="00597E6F"/>
    <w:rsid w:val="005A0203"/>
    <w:rsid w:val="005A03BD"/>
    <w:rsid w:val="005A052F"/>
    <w:rsid w:val="005A05DF"/>
    <w:rsid w:val="005A0C7F"/>
    <w:rsid w:val="005A0ECA"/>
    <w:rsid w:val="005A0EFC"/>
    <w:rsid w:val="005A1018"/>
    <w:rsid w:val="005A1099"/>
    <w:rsid w:val="005A10AE"/>
    <w:rsid w:val="005A12EF"/>
    <w:rsid w:val="005A1396"/>
    <w:rsid w:val="005A13B0"/>
    <w:rsid w:val="005A1586"/>
    <w:rsid w:val="005A15BB"/>
    <w:rsid w:val="005A15D8"/>
    <w:rsid w:val="005A1980"/>
    <w:rsid w:val="005A1A26"/>
    <w:rsid w:val="005A1BC8"/>
    <w:rsid w:val="005A1C64"/>
    <w:rsid w:val="005A1CFF"/>
    <w:rsid w:val="005A1D75"/>
    <w:rsid w:val="005A1F74"/>
    <w:rsid w:val="005A207E"/>
    <w:rsid w:val="005A2293"/>
    <w:rsid w:val="005A2593"/>
    <w:rsid w:val="005A27B7"/>
    <w:rsid w:val="005A2FFB"/>
    <w:rsid w:val="005A3196"/>
    <w:rsid w:val="005A339E"/>
    <w:rsid w:val="005A35CE"/>
    <w:rsid w:val="005A3858"/>
    <w:rsid w:val="005A3993"/>
    <w:rsid w:val="005A3CF7"/>
    <w:rsid w:val="005A3E4B"/>
    <w:rsid w:val="005A3F81"/>
    <w:rsid w:val="005A408B"/>
    <w:rsid w:val="005A4142"/>
    <w:rsid w:val="005A414B"/>
    <w:rsid w:val="005A48B4"/>
    <w:rsid w:val="005A48BD"/>
    <w:rsid w:val="005A581C"/>
    <w:rsid w:val="005A5872"/>
    <w:rsid w:val="005A5A88"/>
    <w:rsid w:val="005A6A8A"/>
    <w:rsid w:val="005A6E32"/>
    <w:rsid w:val="005A6F80"/>
    <w:rsid w:val="005A7215"/>
    <w:rsid w:val="005A726F"/>
    <w:rsid w:val="005A7550"/>
    <w:rsid w:val="005A782E"/>
    <w:rsid w:val="005A793B"/>
    <w:rsid w:val="005A79AE"/>
    <w:rsid w:val="005A7A5C"/>
    <w:rsid w:val="005A7EBC"/>
    <w:rsid w:val="005B00B5"/>
    <w:rsid w:val="005B0168"/>
    <w:rsid w:val="005B01B7"/>
    <w:rsid w:val="005B05E7"/>
    <w:rsid w:val="005B0774"/>
    <w:rsid w:val="005B080D"/>
    <w:rsid w:val="005B0A29"/>
    <w:rsid w:val="005B0E02"/>
    <w:rsid w:val="005B1595"/>
    <w:rsid w:val="005B1731"/>
    <w:rsid w:val="005B1878"/>
    <w:rsid w:val="005B18B2"/>
    <w:rsid w:val="005B1965"/>
    <w:rsid w:val="005B1CF5"/>
    <w:rsid w:val="005B203F"/>
    <w:rsid w:val="005B2054"/>
    <w:rsid w:val="005B247D"/>
    <w:rsid w:val="005B2561"/>
    <w:rsid w:val="005B25AA"/>
    <w:rsid w:val="005B2607"/>
    <w:rsid w:val="005B26FD"/>
    <w:rsid w:val="005B2BC5"/>
    <w:rsid w:val="005B2E63"/>
    <w:rsid w:val="005B3176"/>
    <w:rsid w:val="005B39D8"/>
    <w:rsid w:val="005B3EF1"/>
    <w:rsid w:val="005B3F34"/>
    <w:rsid w:val="005B429E"/>
    <w:rsid w:val="005B42A7"/>
    <w:rsid w:val="005B44D0"/>
    <w:rsid w:val="005B4CD8"/>
    <w:rsid w:val="005B55D6"/>
    <w:rsid w:val="005B5B11"/>
    <w:rsid w:val="005B5C27"/>
    <w:rsid w:val="005B5C4A"/>
    <w:rsid w:val="005B5EDF"/>
    <w:rsid w:val="005B5FC3"/>
    <w:rsid w:val="005B60BD"/>
    <w:rsid w:val="005B61BF"/>
    <w:rsid w:val="005B668D"/>
    <w:rsid w:val="005B6717"/>
    <w:rsid w:val="005B67FE"/>
    <w:rsid w:val="005B6837"/>
    <w:rsid w:val="005B6913"/>
    <w:rsid w:val="005B6AD3"/>
    <w:rsid w:val="005B705F"/>
    <w:rsid w:val="005B72EF"/>
    <w:rsid w:val="005B799E"/>
    <w:rsid w:val="005B7A53"/>
    <w:rsid w:val="005B7C8C"/>
    <w:rsid w:val="005C0178"/>
    <w:rsid w:val="005C02BC"/>
    <w:rsid w:val="005C0423"/>
    <w:rsid w:val="005C0607"/>
    <w:rsid w:val="005C0873"/>
    <w:rsid w:val="005C0A76"/>
    <w:rsid w:val="005C0F3A"/>
    <w:rsid w:val="005C0F51"/>
    <w:rsid w:val="005C0FA9"/>
    <w:rsid w:val="005C0FE5"/>
    <w:rsid w:val="005C11E6"/>
    <w:rsid w:val="005C147A"/>
    <w:rsid w:val="005C1490"/>
    <w:rsid w:val="005C19D6"/>
    <w:rsid w:val="005C1F3B"/>
    <w:rsid w:val="005C208C"/>
    <w:rsid w:val="005C20F7"/>
    <w:rsid w:val="005C2469"/>
    <w:rsid w:val="005C28E4"/>
    <w:rsid w:val="005C2A7E"/>
    <w:rsid w:val="005C2E67"/>
    <w:rsid w:val="005C35ED"/>
    <w:rsid w:val="005C35FA"/>
    <w:rsid w:val="005C37F2"/>
    <w:rsid w:val="005C414B"/>
    <w:rsid w:val="005C42EA"/>
    <w:rsid w:val="005C4457"/>
    <w:rsid w:val="005C4616"/>
    <w:rsid w:val="005C4AD1"/>
    <w:rsid w:val="005C4AF0"/>
    <w:rsid w:val="005C4D24"/>
    <w:rsid w:val="005C4DD7"/>
    <w:rsid w:val="005C5284"/>
    <w:rsid w:val="005C539A"/>
    <w:rsid w:val="005C5693"/>
    <w:rsid w:val="005C5A2A"/>
    <w:rsid w:val="005C5BA0"/>
    <w:rsid w:val="005C5C9E"/>
    <w:rsid w:val="005C5D0A"/>
    <w:rsid w:val="005C60B1"/>
    <w:rsid w:val="005C6C12"/>
    <w:rsid w:val="005C6F04"/>
    <w:rsid w:val="005C74F8"/>
    <w:rsid w:val="005C75B9"/>
    <w:rsid w:val="005C778A"/>
    <w:rsid w:val="005C794A"/>
    <w:rsid w:val="005C7B1F"/>
    <w:rsid w:val="005C7E97"/>
    <w:rsid w:val="005D065D"/>
    <w:rsid w:val="005D070B"/>
    <w:rsid w:val="005D0C8D"/>
    <w:rsid w:val="005D12BF"/>
    <w:rsid w:val="005D14B2"/>
    <w:rsid w:val="005D14E9"/>
    <w:rsid w:val="005D19D4"/>
    <w:rsid w:val="005D1A3C"/>
    <w:rsid w:val="005D1B75"/>
    <w:rsid w:val="005D1B9B"/>
    <w:rsid w:val="005D1C71"/>
    <w:rsid w:val="005D1E86"/>
    <w:rsid w:val="005D21A6"/>
    <w:rsid w:val="005D29D5"/>
    <w:rsid w:val="005D29F6"/>
    <w:rsid w:val="005D383D"/>
    <w:rsid w:val="005D3947"/>
    <w:rsid w:val="005D3D18"/>
    <w:rsid w:val="005D3E4A"/>
    <w:rsid w:val="005D3E97"/>
    <w:rsid w:val="005D3F76"/>
    <w:rsid w:val="005D4095"/>
    <w:rsid w:val="005D4641"/>
    <w:rsid w:val="005D4750"/>
    <w:rsid w:val="005D49A2"/>
    <w:rsid w:val="005D49FF"/>
    <w:rsid w:val="005D4ACD"/>
    <w:rsid w:val="005D4C36"/>
    <w:rsid w:val="005D4D0A"/>
    <w:rsid w:val="005D4E41"/>
    <w:rsid w:val="005D526E"/>
    <w:rsid w:val="005D5625"/>
    <w:rsid w:val="005D5672"/>
    <w:rsid w:val="005D5695"/>
    <w:rsid w:val="005D5A82"/>
    <w:rsid w:val="005D5D34"/>
    <w:rsid w:val="005D6151"/>
    <w:rsid w:val="005D6156"/>
    <w:rsid w:val="005D6309"/>
    <w:rsid w:val="005D63D6"/>
    <w:rsid w:val="005D64BF"/>
    <w:rsid w:val="005D6BF4"/>
    <w:rsid w:val="005D6CA0"/>
    <w:rsid w:val="005D72C3"/>
    <w:rsid w:val="005D7ED3"/>
    <w:rsid w:val="005D7FFC"/>
    <w:rsid w:val="005E06C9"/>
    <w:rsid w:val="005E0862"/>
    <w:rsid w:val="005E08CF"/>
    <w:rsid w:val="005E0E57"/>
    <w:rsid w:val="005E129D"/>
    <w:rsid w:val="005E1375"/>
    <w:rsid w:val="005E147F"/>
    <w:rsid w:val="005E14D8"/>
    <w:rsid w:val="005E178A"/>
    <w:rsid w:val="005E19FF"/>
    <w:rsid w:val="005E1BF6"/>
    <w:rsid w:val="005E1CEB"/>
    <w:rsid w:val="005E2576"/>
    <w:rsid w:val="005E27F6"/>
    <w:rsid w:val="005E2A30"/>
    <w:rsid w:val="005E2BDE"/>
    <w:rsid w:val="005E2FF1"/>
    <w:rsid w:val="005E3850"/>
    <w:rsid w:val="005E3B4D"/>
    <w:rsid w:val="005E3B5B"/>
    <w:rsid w:val="005E3C1A"/>
    <w:rsid w:val="005E3DEF"/>
    <w:rsid w:val="005E41A6"/>
    <w:rsid w:val="005E4266"/>
    <w:rsid w:val="005E427F"/>
    <w:rsid w:val="005E4E97"/>
    <w:rsid w:val="005E54F0"/>
    <w:rsid w:val="005E57F7"/>
    <w:rsid w:val="005E5C65"/>
    <w:rsid w:val="005E5DFA"/>
    <w:rsid w:val="005E609A"/>
    <w:rsid w:val="005E682E"/>
    <w:rsid w:val="005E68F3"/>
    <w:rsid w:val="005E6A57"/>
    <w:rsid w:val="005E6BB3"/>
    <w:rsid w:val="005E6F86"/>
    <w:rsid w:val="005E70D9"/>
    <w:rsid w:val="005E71E1"/>
    <w:rsid w:val="005E7479"/>
    <w:rsid w:val="005E756A"/>
    <w:rsid w:val="005E7892"/>
    <w:rsid w:val="005E78BB"/>
    <w:rsid w:val="005E7CCA"/>
    <w:rsid w:val="005F0245"/>
    <w:rsid w:val="005F0652"/>
    <w:rsid w:val="005F07BE"/>
    <w:rsid w:val="005F0AE1"/>
    <w:rsid w:val="005F0DE4"/>
    <w:rsid w:val="005F1146"/>
    <w:rsid w:val="005F191F"/>
    <w:rsid w:val="005F1997"/>
    <w:rsid w:val="005F1D63"/>
    <w:rsid w:val="005F1D68"/>
    <w:rsid w:val="005F2BC2"/>
    <w:rsid w:val="005F2FB8"/>
    <w:rsid w:val="005F3B11"/>
    <w:rsid w:val="005F3C0A"/>
    <w:rsid w:val="005F3CEA"/>
    <w:rsid w:val="005F44DE"/>
    <w:rsid w:val="005F4587"/>
    <w:rsid w:val="005F4A97"/>
    <w:rsid w:val="005F4E85"/>
    <w:rsid w:val="005F4EB2"/>
    <w:rsid w:val="005F5255"/>
    <w:rsid w:val="005F546F"/>
    <w:rsid w:val="005F5479"/>
    <w:rsid w:val="005F567B"/>
    <w:rsid w:val="005F5B32"/>
    <w:rsid w:val="005F6065"/>
    <w:rsid w:val="005F66AA"/>
    <w:rsid w:val="005F66DC"/>
    <w:rsid w:val="005F7084"/>
    <w:rsid w:val="005F7097"/>
    <w:rsid w:val="005F731B"/>
    <w:rsid w:val="005F786A"/>
    <w:rsid w:val="005F79F6"/>
    <w:rsid w:val="005F7AC1"/>
    <w:rsid w:val="005F7EA3"/>
    <w:rsid w:val="00600DA1"/>
    <w:rsid w:val="006013FB"/>
    <w:rsid w:val="00601583"/>
    <w:rsid w:val="00601CE8"/>
    <w:rsid w:val="00601CFD"/>
    <w:rsid w:val="00601DFB"/>
    <w:rsid w:val="00601F1A"/>
    <w:rsid w:val="00601F8B"/>
    <w:rsid w:val="0060259D"/>
    <w:rsid w:val="00602746"/>
    <w:rsid w:val="00602911"/>
    <w:rsid w:val="0060294C"/>
    <w:rsid w:val="00602FB1"/>
    <w:rsid w:val="00603073"/>
    <w:rsid w:val="00603105"/>
    <w:rsid w:val="00603128"/>
    <w:rsid w:val="006036E2"/>
    <w:rsid w:val="00603705"/>
    <w:rsid w:val="006037C5"/>
    <w:rsid w:val="00603976"/>
    <w:rsid w:val="00603A7A"/>
    <w:rsid w:val="00604319"/>
    <w:rsid w:val="00604485"/>
    <w:rsid w:val="00604861"/>
    <w:rsid w:val="00604C19"/>
    <w:rsid w:val="00604C32"/>
    <w:rsid w:val="00604D76"/>
    <w:rsid w:val="00604E89"/>
    <w:rsid w:val="00604F87"/>
    <w:rsid w:val="0060508A"/>
    <w:rsid w:val="006052B9"/>
    <w:rsid w:val="00605607"/>
    <w:rsid w:val="006059A8"/>
    <w:rsid w:val="00605E4D"/>
    <w:rsid w:val="00606002"/>
    <w:rsid w:val="00606458"/>
    <w:rsid w:val="00606720"/>
    <w:rsid w:val="00606841"/>
    <w:rsid w:val="00606CC5"/>
    <w:rsid w:val="00606E65"/>
    <w:rsid w:val="00607141"/>
    <w:rsid w:val="00607385"/>
    <w:rsid w:val="0060754F"/>
    <w:rsid w:val="00607B23"/>
    <w:rsid w:val="00610057"/>
    <w:rsid w:val="006109AE"/>
    <w:rsid w:val="00610BA7"/>
    <w:rsid w:val="00610C20"/>
    <w:rsid w:val="00611189"/>
    <w:rsid w:val="006116F6"/>
    <w:rsid w:val="00611765"/>
    <w:rsid w:val="00611FD0"/>
    <w:rsid w:val="0061233F"/>
    <w:rsid w:val="006125C5"/>
    <w:rsid w:val="006126E2"/>
    <w:rsid w:val="00612766"/>
    <w:rsid w:val="0061278B"/>
    <w:rsid w:val="00612B0D"/>
    <w:rsid w:val="00612EE9"/>
    <w:rsid w:val="0061385B"/>
    <w:rsid w:val="00613AB5"/>
    <w:rsid w:val="00614153"/>
    <w:rsid w:val="006144BB"/>
    <w:rsid w:val="00614667"/>
    <w:rsid w:val="0061489F"/>
    <w:rsid w:val="006149AD"/>
    <w:rsid w:val="00614CAC"/>
    <w:rsid w:val="00615189"/>
    <w:rsid w:val="0061549B"/>
    <w:rsid w:val="00616089"/>
    <w:rsid w:val="006160EF"/>
    <w:rsid w:val="00616900"/>
    <w:rsid w:val="00616A41"/>
    <w:rsid w:val="00616ACC"/>
    <w:rsid w:val="00616B2A"/>
    <w:rsid w:val="0061744E"/>
    <w:rsid w:val="0061747F"/>
    <w:rsid w:val="006174AA"/>
    <w:rsid w:val="0061799E"/>
    <w:rsid w:val="00617B9D"/>
    <w:rsid w:val="00617CDA"/>
    <w:rsid w:val="00620102"/>
    <w:rsid w:val="0062032D"/>
    <w:rsid w:val="006204D9"/>
    <w:rsid w:val="0062057F"/>
    <w:rsid w:val="006205AD"/>
    <w:rsid w:val="00620BE6"/>
    <w:rsid w:val="00620CA8"/>
    <w:rsid w:val="00620E5D"/>
    <w:rsid w:val="0062122F"/>
    <w:rsid w:val="0062165E"/>
    <w:rsid w:val="00621934"/>
    <w:rsid w:val="00621C89"/>
    <w:rsid w:val="00621D6D"/>
    <w:rsid w:val="00621FA9"/>
    <w:rsid w:val="00622007"/>
    <w:rsid w:val="00622079"/>
    <w:rsid w:val="0062237E"/>
    <w:rsid w:val="00622782"/>
    <w:rsid w:val="00622874"/>
    <w:rsid w:val="00622A90"/>
    <w:rsid w:val="006239A3"/>
    <w:rsid w:val="00623D94"/>
    <w:rsid w:val="00623F1D"/>
    <w:rsid w:val="00624529"/>
    <w:rsid w:val="00624544"/>
    <w:rsid w:val="00624CA0"/>
    <w:rsid w:val="00624D93"/>
    <w:rsid w:val="006250CF"/>
    <w:rsid w:val="006254B1"/>
    <w:rsid w:val="00625671"/>
    <w:rsid w:val="006261D9"/>
    <w:rsid w:val="006261E6"/>
    <w:rsid w:val="006265AF"/>
    <w:rsid w:val="006265BD"/>
    <w:rsid w:val="006265D8"/>
    <w:rsid w:val="00626AAB"/>
    <w:rsid w:val="00626BD8"/>
    <w:rsid w:val="00627A7E"/>
    <w:rsid w:val="00630007"/>
    <w:rsid w:val="00630115"/>
    <w:rsid w:val="006305AE"/>
    <w:rsid w:val="00630770"/>
    <w:rsid w:val="00630940"/>
    <w:rsid w:val="00630B6A"/>
    <w:rsid w:val="006310C3"/>
    <w:rsid w:val="006312F7"/>
    <w:rsid w:val="00631B50"/>
    <w:rsid w:val="00631C3E"/>
    <w:rsid w:val="006320CB"/>
    <w:rsid w:val="006321A5"/>
    <w:rsid w:val="00632209"/>
    <w:rsid w:val="00632656"/>
    <w:rsid w:val="00632991"/>
    <w:rsid w:val="00632F67"/>
    <w:rsid w:val="006331E5"/>
    <w:rsid w:val="006333DD"/>
    <w:rsid w:val="006335DE"/>
    <w:rsid w:val="006339B8"/>
    <w:rsid w:val="00633FD6"/>
    <w:rsid w:val="0063450F"/>
    <w:rsid w:val="006345ED"/>
    <w:rsid w:val="006345EE"/>
    <w:rsid w:val="00634C72"/>
    <w:rsid w:val="00634E95"/>
    <w:rsid w:val="0063515E"/>
    <w:rsid w:val="00635D61"/>
    <w:rsid w:val="00635E30"/>
    <w:rsid w:val="006361DC"/>
    <w:rsid w:val="00636330"/>
    <w:rsid w:val="00636B1C"/>
    <w:rsid w:val="006370ED"/>
    <w:rsid w:val="0063731C"/>
    <w:rsid w:val="00637C31"/>
    <w:rsid w:val="00640005"/>
    <w:rsid w:val="00640169"/>
    <w:rsid w:val="0064043A"/>
    <w:rsid w:val="006407E9"/>
    <w:rsid w:val="0064099A"/>
    <w:rsid w:val="00640B61"/>
    <w:rsid w:val="00640EE9"/>
    <w:rsid w:val="00640FBA"/>
    <w:rsid w:val="0064166A"/>
    <w:rsid w:val="00641758"/>
    <w:rsid w:val="00641B57"/>
    <w:rsid w:val="00641CD9"/>
    <w:rsid w:val="00641DF1"/>
    <w:rsid w:val="00641E4F"/>
    <w:rsid w:val="006420AB"/>
    <w:rsid w:val="00642128"/>
    <w:rsid w:val="006428DF"/>
    <w:rsid w:val="00642978"/>
    <w:rsid w:val="00642B83"/>
    <w:rsid w:val="0064341D"/>
    <w:rsid w:val="00644429"/>
    <w:rsid w:val="00644462"/>
    <w:rsid w:val="00644634"/>
    <w:rsid w:val="00644E33"/>
    <w:rsid w:val="00644FA1"/>
    <w:rsid w:val="00645164"/>
    <w:rsid w:val="006455FE"/>
    <w:rsid w:val="00645C8C"/>
    <w:rsid w:val="00646291"/>
    <w:rsid w:val="00646441"/>
    <w:rsid w:val="006469A2"/>
    <w:rsid w:val="00646AB8"/>
    <w:rsid w:val="00646D0D"/>
    <w:rsid w:val="006470E5"/>
    <w:rsid w:val="006471F9"/>
    <w:rsid w:val="006475CA"/>
    <w:rsid w:val="0064776F"/>
    <w:rsid w:val="0064782E"/>
    <w:rsid w:val="006479EC"/>
    <w:rsid w:val="00647A3C"/>
    <w:rsid w:val="0065045B"/>
    <w:rsid w:val="00650635"/>
    <w:rsid w:val="00650760"/>
    <w:rsid w:val="006507E9"/>
    <w:rsid w:val="00650822"/>
    <w:rsid w:val="00650A98"/>
    <w:rsid w:val="00650E05"/>
    <w:rsid w:val="00650E20"/>
    <w:rsid w:val="006516E7"/>
    <w:rsid w:val="006517A8"/>
    <w:rsid w:val="00651DE4"/>
    <w:rsid w:val="006521E6"/>
    <w:rsid w:val="006525F9"/>
    <w:rsid w:val="0065271E"/>
    <w:rsid w:val="00652863"/>
    <w:rsid w:val="0065290E"/>
    <w:rsid w:val="00652921"/>
    <w:rsid w:val="00652950"/>
    <w:rsid w:val="00652E02"/>
    <w:rsid w:val="006532FB"/>
    <w:rsid w:val="006533A9"/>
    <w:rsid w:val="00653C4B"/>
    <w:rsid w:val="00653D6D"/>
    <w:rsid w:val="006548AD"/>
    <w:rsid w:val="00654978"/>
    <w:rsid w:val="0065544C"/>
    <w:rsid w:val="00655962"/>
    <w:rsid w:val="006559C6"/>
    <w:rsid w:val="00655E4B"/>
    <w:rsid w:val="006560A2"/>
    <w:rsid w:val="00656401"/>
    <w:rsid w:val="00656989"/>
    <w:rsid w:val="006572C7"/>
    <w:rsid w:val="00657372"/>
    <w:rsid w:val="00657575"/>
    <w:rsid w:val="00657674"/>
    <w:rsid w:val="0065775E"/>
    <w:rsid w:val="006578FA"/>
    <w:rsid w:val="0066025F"/>
    <w:rsid w:val="006602A6"/>
    <w:rsid w:val="0066041F"/>
    <w:rsid w:val="00660473"/>
    <w:rsid w:val="0066047B"/>
    <w:rsid w:val="00660D04"/>
    <w:rsid w:val="00660E13"/>
    <w:rsid w:val="0066141F"/>
    <w:rsid w:val="006614D8"/>
    <w:rsid w:val="006615CE"/>
    <w:rsid w:val="00661B9D"/>
    <w:rsid w:val="006624EE"/>
    <w:rsid w:val="006628C1"/>
    <w:rsid w:val="00662A84"/>
    <w:rsid w:val="00662C39"/>
    <w:rsid w:val="00662E8A"/>
    <w:rsid w:val="00663136"/>
    <w:rsid w:val="006636ED"/>
    <w:rsid w:val="00663BB8"/>
    <w:rsid w:val="00663C3F"/>
    <w:rsid w:val="00663CD7"/>
    <w:rsid w:val="00663E10"/>
    <w:rsid w:val="00663EBA"/>
    <w:rsid w:val="00663F2E"/>
    <w:rsid w:val="0066419D"/>
    <w:rsid w:val="0066434A"/>
    <w:rsid w:val="00664404"/>
    <w:rsid w:val="00664716"/>
    <w:rsid w:val="00664879"/>
    <w:rsid w:val="006655C3"/>
    <w:rsid w:val="00665E1E"/>
    <w:rsid w:val="006661AE"/>
    <w:rsid w:val="006661E7"/>
    <w:rsid w:val="00666763"/>
    <w:rsid w:val="0066694C"/>
    <w:rsid w:val="00666EAA"/>
    <w:rsid w:val="0066711D"/>
    <w:rsid w:val="006671D6"/>
    <w:rsid w:val="00667451"/>
    <w:rsid w:val="006674AF"/>
    <w:rsid w:val="00667861"/>
    <w:rsid w:val="00667CE2"/>
    <w:rsid w:val="00667EF3"/>
    <w:rsid w:val="00667FEE"/>
    <w:rsid w:val="00670175"/>
    <w:rsid w:val="006701A1"/>
    <w:rsid w:val="00670560"/>
    <w:rsid w:val="006707CC"/>
    <w:rsid w:val="006708F6"/>
    <w:rsid w:val="00670DF0"/>
    <w:rsid w:val="00670E7B"/>
    <w:rsid w:val="00670ECD"/>
    <w:rsid w:val="0067129F"/>
    <w:rsid w:val="006714BB"/>
    <w:rsid w:val="00671629"/>
    <w:rsid w:val="006716EB"/>
    <w:rsid w:val="00671766"/>
    <w:rsid w:val="00671A26"/>
    <w:rsid w:val="00671AF8"/>
    <w:rsid w:val="00671D87"/>
    <w:rsid w:val="00671D8A"/>
    <w:rsid w:val="00671E40"/>
    <w:rsid w:val="00672050"/>
    <w:rsid w:val="00672427"/>
    <w:rsid w:val="006729A4"/>
    <w:rsid w:val="00672F7D"/>
    <w:rsid w:val="0067356B"/>
    <w:rsid w:val="00673669"/>
    <w:rsid w:val="00673A3B"/>
    <w:rsid w:val="00673BEE"/>
    <w:rsid w:val="00673D65"/>
    <w:rsid w:val="00673DCA"/>
    <w:rsid w:val="00673E42"/>
    <w:rsid w:val="006740EF"/>
    <w:rsid w:val="006741B8"/>
    <w:rsid w:val="006746D0"/>
    <w:rsid w:val="00675115"/>
    <w:rsid w:val="00675489"/>
    <w:rsid w:val="00675502"/>
    <w:rsid w:val="00675796"/>
    <w:rsid w:val="00675847"/>
    <w:rsid w:val="00675FA0"/>
    <w:rsid w:val="006770C5"/>
    <w:rsid w:val="006775D3"/>
    <w:rsid w:val="00677B79"/>
    <w:rsid w:val="00677E62"/>
    <w:rsid w:val="00677FAC"/>
    <w:rsid w:val="00680190"/>
    <w:rsid w:val="006805AC"/>
    <w:rsid w:val="006809EC"/>
    <w:rsid w:val="00680B1F"/>
    <w:rsid w:val="00680E20"/>
    <w:rsid w:val="00680E4A"/>
    <w:rsid w:val="00681209"/>
    <w:rsid w:val="00681436"/>
    <w:rsid w:val="006815F6"/>
    <w:rsid w:val="00681A6F"/>
    <w:rsid w:val="00681C2D"/>
    <w:rsid w:val="00681D97"/>
    <w:rsid w:val="00681E83"/>
    <w:rsid w:val="00681E9C"/>
    <w:rsid w:val="00681F0B"/>
    <w:rsid w:val="00681F24"/>
    <w:rsid w:val="006820A6"/>
    <w:rsid w:val="006821AB"/>
    <w:rsid w:val="00682324"/>
    <w:rsid w:val="006826D6"/>
    <w:rsid w:val="00682B55"/>
    <w:rsid w:val="00682D13"/>
    <w:rsid w:val="00682DEB"/>
    <w:rsid w:val="00682E6A"/>
    <w:rsid w:val="00682F49"/>
    <w:rsid w:val="006838A5"/>
    <w:rsid w:val="006838FF"/>
    <w:rsid w:val="00683A08"/>
    <w:rsid w:val="00683C33"/>
    <w:rsid w:val="00683F65"/>
    <w:rsid w:val="0068401C"/>
    <w:rsid w:val="006840C7"/>
    <w:rsid w:val="0068441B"/>
    <w:rsid w:val="0068476F"/>
    <w:rsid w:val="00684C89"/>
    <w:rsid w:val="00685196"/>
    <w:rsid w:val="00685517"/>
    <w:rsid w:val="0068553C"/>
    <w:rsid w:val="006856C2"/>
    <w:rsid w:val="006857F9"/>
    <w:rsid w:val="006866BE"/>
    <w:rsid w:val="00686933"/>
    <w:rsid w:val="00686F72"/>
    <w:rsid w:val="0068744E"/>
    <w:rsid w:val="006875BF"/>
    <w:rsid w:val="00687644"/>
    <w:rsid w:val="00687A58"/>
    <w:rsid w:val="00687C95"/>
    <w:rsid w:val="00687CF6"/>
    <w:rsid w:val="00687D00"/>
    <w:rsid w:val="00687D10"/>
    <w:rsid w:val="00687E65"/>
    <w:rsid w:val="00687EA8"/>
    <w:rsid w:val="00687EE8"/>
    <w:rsid w:val="006900B3"/>
    <w:rsid w:val="0069098B"/>
    <w:rsid w:val="00691115"/>
    <w:rsid w:val="006914F0"/>
    <w:rsid w:val="006915D4"/>
    <w:rsid w:val="006915DB"/>
    <w:rsid w:val="00691734"/>
    <w:rsid w:val="00691C10"/>
    <w:rsid w:val="006923EA"/>
    <w:rsid w:val="006926D4"/>
    <w:rsid w:val="00692BB5"/>
    <w:rsid w:val="00692D1A"/>
    <w:rsid w:val="00692DC6"/>
    <w:rsid w:val="006930F8"/>
    <w:rsid w:val="006932A5"/>
    <w:rsid w:val="00693310"/>
    <w:rsid w:val="00693359"/>
    <w:rsid w:val="006935A3"/>
    <w:rsid w:val="00693912"/>
    <w:rsid w:val="00693BDB"/>
    <w:rsid w:val="00693D13"/>
    <w:rsid w:val="006940D3"/>
    <w:rsid w:val="006940F0"/>
    <w:rsid w:val="00694113"/>
    <w:rsid w:val="0069465F"/>
    <w:rsid w:val="006947F6"/>
    <w:rsid w:val="006949CD"/>
    <w:rsid w:val="00694D72"/>
    <w:rsid w:val="00694FE0"/>
    <w:rsid w:val="006957DE"/>
    <w:rsid w:val="00695A3D"/>
    <w:rsid w:val="00695C9D"/>
    <w:rsid w:val="006962AA"/>
    <w:rsid w:val="006966DF"/>
    <w:rsid w:val="00696FF1"/>
    <w:rsid w:val="006972F7"/>
    <w:rsid w:val="00697918"/>
    <w:rsid w:val="00697AC1"/>
    <w:rsid w:val="00697BE9"/>
    <w:rsid w:val="00697ED5"/>
    <w:rsid w:val="00697F3F"/>
    <w:rsid w:val="006A030E"/>
    <w:rsid w:val="006A0405"/>
    <w:rsid w:val="006A0534"/>
    <w:rsid w:val="006A0747"/>
    <w:rsid w:val="006A0942"/>
    <w:rsid w:val="006A0D24"/>
    <w:rsid w:val="006A120D"/>
    <w:rsid w:val="006A14AC"/>
    <w:rsid w:val="006A14EC"/>
    <w:rsid w:val="006A1640"/>
    <w:rsid w:val="006A1679"/>
    <w:rsid w:val="006A16A8"/>
    <w:rsid w:val="006A18E6"/>
    <w:rsid w:val="006A1DBF"/>
    <w:rsid w:val="006A273B"/>
    <w:rsid w:val="006A28CF"/>
    <w:rsid w:val="006A29F8"/>
    <w:rsid w:val="006A2AC1"/>
    <w:rsid w:val="006A3097"/>
    <w:rsid w:val="006A3187"/>
    <w:rsid w:val="006A356D"/>
    <w:rsid w:val="006A3734"/>
    <w:rsid w:val="006A3786"/>
    <w:rsid w:val="006A39FB"/>
    <w:rsid w:val="006A3E95"/>
    <w:rsid w:val="006A4344"/>
    <w:rsid w:val="006A43FD"/>
    <w:rsid w:val="006A48EB"/>
    <w:rsid w:val="006A4E28"/>
    <w:rsid w:val="006A4FC9"/>
    <w:rsid w:val="006A50E1"/>
    <w:rsid w:val="006A55B0"/>
    <w:rsid w:val="006A562D"/>
    <w:rsid w:val="006A5946"/>
    <w:rsid w:val="006A5A36"/>
    <w:rsid w:val="006A5BE3"/>
    <w:rsid w:val="006A5C43"/>
    <w:rsid w:val="006A5C90"/>
    <w:rsid w:val="006A6023"/>
    <w:rsid w:val="006A683D"/>
    <w:rsid w:val="006A693A"/>
    <w:rsid w:val="006A6C1F"/>
    <w:rsid w:val="006A6CA6"/>
    <w:rsid w:val="006A77AB"/>
    <w:rsid w:val="006A77B3"/>
    <w:rsid w:val="006A78B9"/>
    <w:rsid w:val="006A7A4D"/>
    <w:rsid w:val="006A7B27"/>
    <w:rsid w:val="006A7D09"/>
    <w:rsid w:val="006A7E1D"/>
    <w:rsid w:val="006B00FD"/>
    <w:rsid w:val="006B0723"/>
    <w:rsid w:val="006B0794"/>
    <w:rsid w:val="006B0B91"/>
    <w:rsid w:val="006B0EF2"/>
    <w:rsid w:val="006B1213"/>
    <w:rsid w:val="006B14B4"/>
    <w:rsid w:val="006B1692"/>
    <w:rsid w:val="006B1A4C"/>
    <w:rsid w:val="006B1B31"/>
    <w:rsid w:val="006B2203"/>
    <w:rsid w:val="006B2257"/>
    <w:rsid w:val="006B249D"/>
    <w:rsid w:val="006B253D"/>
    <w:rsid w:val="006B25B8"/>
    <w:rsid w:val="006B26C9"/>
    <w:rsid w:val="006B27DB"/>
    <w:rsid w:val="006B2CF1"/>
    <w:rsid w:val="006B31D8"/>
    <w:rsid w:val="006B3642"/>
    <w:rsid w:val="006B38F2"/>
    <w:rsid w:val="006B3E1A"/>
    <w:rsid w:val="006B3F37"/>
    <w:rsid w:val="006B490F"/>
    <w:rsid w:val="006B4968"/>
    <w:rsid w:val="006B49F5"/>
    <w:rsid w:val="006B4DB0"/>
    <w:rsid w:val="006B51B9"/>
    <w:rsid w:val="006B54D8"/>
    <w:rsid w:val="006B6130"/>
    <w:rsid w:val="006B624D"/>
    <w:rsid w:val="006B632A"/>
    <w:rsid w:val="006B657B"/>
    <w:rsid w:val="006B66A3"/>
    <w:rsid w:val="006B6E38"/>
    <w:rsid w:val="006B7123"/>
    <w:rsid w:val="006B75B6"/>
    <w:rsid w:val="006B7772"/>
    <w:rsid w:val="006B7983"/>
    <w:rsid w:val="006B7A80"/>
    <w:rsid w:val="006C0484"/>
    <w:rsid w:val="006C05A9"/>
    <w:rsid w:val="006C0F83"/>
    <w:rsid w:val="006C0F9C"/>
    <w:rsid w:val="006C1165"/>
    <w:rsid w:val="006C179E"/>
    <w:rsid w:val="006C1850"/>
    <w:rsid w:val="006C192B"/>
    <w:rsid w:val="006C1A5F"/>
    <w:rsid w:val="006C1C99"/>
    <w:rsid w:val="006C1D4C"/>
    <w:rsid w:val="006C1F6C"/>
    <w:rsid w:val="006C2157"/>
    <w:rsid w:val="006C25DD"/>
    <w:rsid w:val="006C2910"/>
    <w:rsid w:val="006C2CB1"/>
    <w:rsid w:val="006C2D53"/>
    <w:rsid w:val="006C2DAE"/>
    <w:rsid w:val="006C3606"/>
    <w:rsid w:val="006C3AB5"/>
    <w:rsid w:val="006C3C49"/>
    <w:rsid w:val="006C47A7"/>
    <w:rsid w:val="006C495F"/>
    <w:rsid w:val="006C562C"/>
    <w:rsid w:val="006C5775"/>
    <w:rsid w:val="006C580C"/>
    <w:rsid w:val="006C588E"/>
    <w:rsid w:val="006C61A8"/>
    <w:rsid w:val="006C65A0"/>
    <w:rsid w:val="006C66A6"/>
    <w:rsid w:val="006C6782"/>
    <w:rsid w:val="006C6E7A"/>
    <w:rsid w:val="006C7394"/>
    <w:rsid w:val="006C76C7"/>
    <w:rsid w:val="006C7AA6"/>
    <w:rsid w:val="006C7BAC"/>
    <w:rsid w:val="006C7EC3"/>
    <w:rsid w:val="006D036D"/>
    <w:rsid w:val="006D0760"/>
    <w:rsid w:val="006D0793"/>
    <w:rsid w:val="006D0B8E"/>
    <w:rsid w:val="006D0E1D"/>
    <w:rsid w:val="006D0F97"/>
    <w:rsid w:val="006D101E"/>
    <w:rsid w:val="006D130E"/>
    <w:rsid w:val="006D1A28"/>
    <w:rsid w:val="006D1ABC"/>
    <w:rsid w:val="006D1B1C"/>
    <w:rsid w:val="006D1B4E"/>
    <w:rsid w:val="006D21C1"/>
    <w:rsid w:val="006D2699"/>
    <w:rsid w:val="006D2BDA"/>
    <w:rsid w:val="006D2DBC"/>
    <w:rsid w:val="006D2FED"/>
    <w:rsid w:val="006D348B"/>
    <w:rsid w:val="006D3522"/>
    <w:rsid w:val="006D3530"/>
    <w:rsid w:val="006D3751"/>
    <w:rsid w:val="006D4415"/>
    <w:rsid w:val="006D47F4"/>
    <w:rsid w:val="006D48BD"/>
    <w:rsid w:val="006D4C5C"/>
    <w:rsid w:val="006D4DAD"/>
    <w:rsid w:val="006D52D5"/>
    <w:rsid w:val="006D5683"/>
    <w:rsid w:val="006D60C9"/>
    <w:rsid w:val="006D6123"/>
    <w:rsid w:val="006D6772"/>
    <w:rsid w:val="006D6F11"/>
    <w:rsid w:val="006D716B"/>
    <w:rsid w:val="006D72A3"/>
    <w:rsid w:val="006D7E02"/>
    <w:rsid w:val="006D7EAC"/>
    <w:rsid w:val="006E03A8"/>
    <w:rsid w:val="006E04A0"/>
    <w:rsid w:val="006E0520"/>
    <w:rsid w:val="006E0CFF"/>
    <w:rsid w:val="006E0F5E"/>
    <w:rsid w:val="006E17E8"/>
    <w:rsid w:val="006E1A47"/>
    <w:rsid w:val="006E1B36"/>
    <w:rsid w:val="006E1EAC"/>
    <w:rsid w:val="006E21F4"/>
    <w:rsid w:val="006E23AB"/>
    <w:rsid w:val="006E255D"/>
    <w:rsid w:val="006E2E6A"/>
    <w:rsid w:val="006E3379"/>
    <w:rsid w:val="006E3648"/>
    <w:rsid w:val="006E38CF"/>
    <w:rsid w:val="006E3B32"/>
    <w:rsid w:val="006E40E4"/>
    <w:rsid w:val="006E4494"/>
    <w:rsid w:val="006E4844"/>
    <w:rsid w:val="006E48CC"/>
    <w:rsid w:val="006E49E7"/>
    <w:rsid w:val="006E4E59"/>
    <w:rsid w:val="006E551D"/>
    <w:rsid w:val="006E566A"/>
    <w:rsid w:val="006E566E"/>
    <w:rsid w:val="006E5CD9"/>
    <w:rsid w:val="006E6B3F"/>
    <w:rsid w:val="006E6F67"/>
    <w:rsid w:val="006E7035"/>
    <w:rsid w:val="006E737E"/>
    <w:rsid w:val="006E74B5"/>
    <w:rsid w:val="006E783E"/>
    <w:rsid w:val="006E7889"/>
    <w:rsid w:val="006E7CBD"/>
    <w:rsid w:val="006E7E39"/>
    <w:rsid w:val="006E7FC2"/>
    <w:rsid w:val="006F000F"/>
    <w:rsid w:val="006F003B"/>
    <w:rsid w:val="006F021B"/>
    <w:rsid w:val="006F0608"/>
    <w:rsid w:val="006F090F"/>
    <w:rsid w:val="006F0ED3"/>
    <w:rsid w:val="006F0F4F"/>
    <w:rsid w:val="006F1238"/>
    <w:rsid w:val="006F1358"/>
    <w:rsid w:val="006F1F39"/>
    <w:rsid w:val="006F2254"/>
    <w:rsid w:val="006F2668"/>
    <w:rsid w:val="006F26CE"/>
    <w:rsid w:val="006F27E3"/>
    <w:rsid w:val="006F28FB"/>
    <w:rsid w:val="006F2EE7"/>
    <w:rsid w:val="006F310C"/>
    <w:rsid w:val="006F316D"/>
    <w:rsid w:val="006F3298"/>
    <w:rsid w:val="006F337A"/>
    <w:rsid w:val="006F3593"/>
    <w:rsid w:val="006F3918"/>
    <w:rsid w:val="006F39CD"/>
    <w:rsid w:val="006F3A0F"/>
    <w:rsid w:val="006F3A12"/>
    <w:rsid w:val="006F3DAA"/>
    <w:rsid w:val="006F491F"/>
    <w:rsid w:val="006F4F72"/>
    <w:rsid w:val="006F529F"/>
    <w:rsid w:val="006F5643"/>
    <w:rsid w:val="006F5FB6"/>
    <w:rsid w:val="006F60C3"/>
    <w:rsid w:val="006F7DDF"/>
    <w:rsid w:val="00700123"/>
    <w:rsid w:val="007004A0"/>
    <w:rsid w:val="00700DA9"/>
    <w:rsid w:val="00700E5B"/>
    <w:rsid w:val="0070109F"/>
    <w:rsid w:val="00701447"/>
    <w:rsid w:val="007016A8"/>
    <w:rsid w:val="007016D3"/>
    <w:rsid w:val="00701979"/>
    <w:rsid w:val="00701F65"/>
    <w:rsid w:val="007021FC"/>
    <w:rsid w:val="00702260"/>
    <w:rsid w:val="007023A5"/>
    <w:rsid w:val="00702672"/>
    <w:rsid w:val="0070281F"/>
    <w:rsid w:val="00702F78"/>
    <w:rsid w:val="00702F7F"/>
    <w:rsid w:val="00703156"/>
    <w:rsid w:val="0070326E"/>
    <w:rsid w:val="00703425"/>
    <w:rsid w:val="0070369A"/>
    <w:rsid w:val="00703706"/>
    <w:rsid w:val="00703C9A"/>
    <w:rsid w:val="00703CFD"/>
    <w:rsid w:val="00703E2E"/>
    <w:rsid w:val="00703FAC"/>
    <w:rsid w:val="00704A0E"/>
    <w:rsid w:val="00704A76"/>
    <w:rsid w:val="00704B01"/>
    <w:rsid w:val="00704E72"/>
    <w:rsid w:val="00705320"/>
    <w:rsid w:val="0070538E"/>
    <w:rsid w:val="00705495"/>
    <w:rsid w:val="007055DE"/>
    <w:rsid w:val="007056E8"/>
    <w:rsid w:val="0070661B"/>
    <w:rsid w:val="0070698D"/>
    <w:rsid w:val="00706A08"/>
    <w:rsid w:val="00706F45"/>
    <w:rsid w:val="00706FCE"/>
    <w:rsid w:val="00707282"/>
    <w:rsid w:val="00707892"/>
    <w:rsid w:val="00707926"/>
    <w:rsid w:val="00707992"/>
    <w:rsid w:val="00707ACC"/>
    <w:rsid w:val="007102CB"/>
    <w:rsid w:val="00710376"/>
    <w:rsid w:val="007104DD"/>
    <w:rsid w:val="00710809"/>
    <w:rsid w:val="007108D9"/>
    <w:rsid w:val="00710A5C"/>
    <w:rsid w:val="00711196"/>
    <w:rsid w:val="00711564"/>
    <w:rsid w:val="00711B3F"/>
    <w:rsid w:val="00711D8C"/>
    <w:rsid w:val="00712024"/>
    <w:rsid w:val="007121B4"/>
    <w:rsid w:val="00712886"/>
    <w:rsid w:val="007129A2"/>
    <w:rsid w:val="00713423"/>
    <w:rsid w:val="00713D1E"/>
    <w:rsid w:val="00713DE8"/>
    <w:rsid w:val="00714306"/>
    <w:rsid w:val="00714870"/>
    <w:rsid w:val="007150D4"/>
    <w:rsid w:val="0071544C"/>
    <w:rsid w:val="00715633"/>
    <w:rsid w:val="00715664"/>
    <w:rsid w:val="00715A72"/>
    <w:rsid w:val="00715BF6"/>
    <w:rsid w:val="00715EA4"/>
    <w:rsid w:val="00716220"/>
    <w:rsid w:val="00716994"/>
    <w:rsid w:val="007177FC"/>
    <w:rsid w:val="00717B75"/>
    <w:rsid w:val="00717ECB"/>
    <w:rsid w:val="00717FE8"/>
    <w:rsid w:val="00720025"/>
    <w:rsid w:val="007203E3"/>
    <w:rsid w:val="0072064C"/>
    <w:rsid w:val="00720710"/>
    <w:rsid w:val="00720C72"/>
    <w:rsid w:val="00720FE8"/>
    <w:rsid w:val="007213E4"/>
    <w:rsid w:val="0072154F"/>
    <w:rsid w:val="0072161F"/>
    <w:rsid w:val="0072163E"/>
    <w:rsid w:val="007218C4"/>
    <w:rsid w:val="007219FB"/>
    <w:rsid w:val="00721B66"/>
    <w:rsid w:val="00721D3E"/>
    <w:rsid w:val="00722F64"/>
    <w:rsid w:val="00723F70"/>
    <w:rsid w:val="00723F81"/>
    <w:rsid w:val="007241E9"/>
    <w:rsid w:val="007244D5"/>
    <w:rsid w:val="007245DB"/>
    <w:rsid w:val="00724A61"/>
    <w:rsid w:val="00724F5C"/>
    <w:rsid w:val="00724F8A"/>
    <w:rsid w:val="0072521E"/>
    <w:rsid w:val="00725385"/>
    <w:rsid w:val="0072578A"/>
    <w:rsid w:val="00725F9F"/>
    <w:rsid w:val="007261CA"/>
    <w:rsid w:val="00726329"/>
    <w:rsid w:val="0072662E"/>
    <w:rsid w:val="00726C8F"/>
    <w:rsid w:val="00726CB3"/>
    <w:rsid w:val="00726DAC"/>
    <w:rsid w:val="0072715C"/>
    <w:rsid w:val="00727742"/>
    <w:rsid w:val="00727C11"/>
    <w:rsid w:val="00730355"/>
    <w:rsid w:val="00730825"/>
    <w:rsid w:val="00730894"/>
    <w:rsid w:val="00730A5F"/>
    <w:rsid w:val="00730D1A"/>
    <w:rsid w:val="00730E75"/>
    <w:rsid w:val="007311D1"/>
    <w:rsid w:val="00731544"/>
    <w:rsid w:val="0073158E"/>
    <w:rsid w:val="007315F4"/>
    <w:rsid w:val="00731679"/>
    <w:rsid w:val="0073172A"/>
    <w:rsid w:val="00732773"/>
    <w:rsid w:val="00732905"/>
    <w:rsid w:val="0073299D"/>
    <w:rsid w:val="00732EBC"/>
    <w:rsid w:val="00733672"/>
    <w:rsid w:val="0073379C"/>
    <w:rsid w:val="007339DE"/>
    <w:rsid w:val="00733B01"/>
    <w:rsid w:val="00733C84"/>
    <w:rsid w:val="00733E91"/>
    <w:rsid w:val="00733FAF"/>
    <w:rsid w:val="00733FFC"/>
    <w:rsid w:val="0073414D"/>
    <w:rsid w:val="00734191"/>
    <w:rsid w:val="00734289"/>
    <w:rsid w:val="007345C7"/>
    <w:rsid w:val="00734947"/>
    <w:rsid w:val="00734C17"/>
    <w:rsid w:val="00734DB4"/>
    <w:rsid w:val="00734EF6"/>
    <w:rsid w:val="00734F10"/>
    <w:rsid w:val="00735263"/>
    <w:rsid w:val="00735626"/>
    <w:rsid w:val="00735893"/>
    <w:rsid w:val="007358CC"/>
    <w:rsid w:val="007359D7"/>
    <w:rsid w:val="00735B47"/>
    <w:rsid w:val="00735C2D"/>
    <w:rsid w:val="00735E32"/>
    <w:rsid w:val="0073630A"/>
    <w:rsid w:val="00736733"/>
    <w:rsid w:val="00736A2F"/>
    <w:rsid w:val="00736AA2"/>
    <w:rsid w:val="007371A6"/>
    <w:rsid w:val="00737264"/>
    <w:rsid w:val="007379E4"/>
    <w:rsid w:val="00737B6E"/>
    <w:rsid w:val="00737BA6"/>
    <w:rsid w:val="00737C8A"/>
    <w:rsid w:val="00740267"/>
    <w:rsid w:val="007409B2"/>
    <w:rsid w:val="007409C1"/>
    <w:rsid w:val="00740BA0"/>
    <w:rsid w:val="00740DBC"/>
    <w:rsid w:val="00741015"/>
    <w:rsid w:val="00741510"/>
    <w:rsid w:val="0074157A"/>
    <w:rsid w:val="007417E5"/>
    <w:rsid w:val="00741DBC"/>
    <w:rsid w:val="0074218F"/>
    <w:rsid w:val="00742506"/>
    <w:rsid w:val="00742D9E"/>
    <w:rsid w:val="00742DC6"/>
    <w:rsid w:val="007433F0"/>
    <w:rsid w:val="00743A40"/>
    <w:rsid w:val="00743AB9"/>
    <w:rsid w:val="00743ADC"/>
    <w:rsid w:val="00743CE3"/>
    <w:rsid w:val="00743E67"/>
    <w:rsid w:val="0074404B"/>
    <w:rsid w:val="00744416"/>
    <w:rsid w:val="00744493"/>
    <w:rsid w:val="00744649"/>
    <w:rsid w:val="007446F8"/>
    <w:rsid w:val="0074484C"/>
    <w:rsid w:val="00744C97"/>
    <w:rsid w:val="007455FE"/>
    <w:rsid w:val="00745C33"/>
    <w:rsid w:val="00745C69"/>
    <w:rsid w:val="007461FF"/>
    <w:rsid w:val="007462EC"/>
    <w:rsid w:val="00746589"/>
    <w:rsid w:val="0074663B"/>
    <w:rsid w:val="007472AA"/>
    <w:rsid w:val="00747A23"/>
    <w:rsid w:val="00747C62"/>
    <w:rsid w:val="00747DCF"/>
    <w:rsid w:val="0075090A"/>
    <w:rsid w:val="00750B94"/>
    <w:rsid w:val="00750BEE"/>
    <w:rsid w:val="00751195"/>
    <w:rsid w:val="007514A9"/>
    <w:rsid w:val="00751657"/>
    <w:rsid w:val="00751720"/>
    <w:rsid w:val="007519BA"/>
    <w:rsid w:val="00751A88"/>
    <w:rsid w:val="00751FC9"/>
    <w:rsid w:val="0075215B"/>
    <w:rsid w:val="0075224C"/>
    <w:rsid w:val="007522AF"/>
    <w:rsid w:val="007532F4"/>
    <w:rsid w:val="007533C9"/>
    <w:rsid w:val="007539BF"/>
    <w:rsid w:val="007539CB"/>
    <w:rsid w:val="00753F62"/>
    <w:rsid w:val="007541A4"/>
    <w:rsid w:val="007544A9"/>
    <w:rsid w:val="00754C49"/>
    <w:rsid w:val="00755096"/>
    <w:rsid w:val="007550EE"/>
    <w:rsid w:val="00755901"/>
    <w:rsid w:val="00755D9A"/>
    <w:rsid w:val="00755FCE"/>
    <w:rsid w:val="0075689B"/>
    <w:rsid w:val="00756B31"/>
    <w:rsid w:val="00757425"/>
    <w:rsid w:val="0075771E"/>
    <w:rsid w:val="00757887"/>
    <w:rsid w:val="0075790F"/>
    <w:rsid w:val="00757AE7"/>
    <w:rsid w:val="00757DB6"/>
    <w:rsid w:val="0076077A"/>
    <w:rsid w:val="007613CB"/>
    <w:rsid w:val="00761795"/>
    <w:rsid w:val="00761AC8"/>
    <w:rsid w:val="00761AEE"/>
    <w:rsid w:val="00761DB1"/>
    <w:rsid w:val="0076206F"/>
    <w:rsid w:val="00762226"/>
    <w:rsid w:val="00762400"/>
    <w:rsid w:val="007624F5"/>
    <w:rsid w:val="00762CF0"/>
    <w:rsid w:val="00762D38"/>
    <w:rsid w:val="007632E0"/>
    <w:rsid w:val="0076345B"/>
    <w:rsid w:val="007634AC"/>
    <w:rsid w:val="00763566"/>
    <w:rsid w:val="00764453"/>
    <w:rsid w:val="0076449D"/>
    <w:rsid w:val="00764801"/>
    <w:rsid w:val="00764C4A"/>
    <w:rsid w:val="0076515D"/>
    <w:rsid w:val="007651D6"/>
    <w:rsid w:val="007652CA"/>
    <w:rsid w:val="007655FA"/>
    <w:rsid w:val="007658E5"/>
    <w:rsid w:val="00765AA7"/>
    <w:rsid w:val="00765B1B"/>
    <w:rsid w:val="00765C16"/>
    <w:rsid w:val="00765C3D"/>
    <w:rsid w:val="00765EC0"/>
    <w:rsid w:val="00766003"/>
    <w:rsid w:val="00766523"/>
    <w:rsid w:val="007669D7"/>
    <w:rsid w:val="00766FEB"/>
    <w:rsid w:val="00767397"/>
    <w:rsid w:val="007679EB"/>
    <w:rsid w:val="007704CA"/>
    <w:rsid w:val="00770C8A"/>
    <w:rsid w:val="00770D94"/>
    <w:rsid w:val="007715F2"/>
    <w:rsid w:val="0077160D"/>
    <w:rsid w:val="00771631"/>
    <w:rsid w:val="00771F9B"/>
    <w:rsid w:val="0077230E"/>
    <w:rsid w:val="007723F1"/>
    <w:rsid w:val="00772559"/>
    <w:rsid w:val="0077261D"/>
    <w:rsid w:val="00772656"/>
    <w:rsid w:val="0077271B"/>
    <w:rsid w:val="00772ADE"/>
    <w:rsid w:val="00772D6E"/>
    <w:rsid w:val="00772F01"/>
    <w:rsid w:val="0077306D"/>
    <w:rsid w:val="0077311A"/>
    <w:rsid w:val="007732F1"/>
    <w:rsid w:val="007738EC"/>
    <w:rsid w:val="00773F7A"/>
    <w:rsid w:val="00774114"/>
    <w:rsid w:val="007741FF"/>
    <w:rsid w:val="0077546B"/>
    <w:rsid w:val="007756C3"/>
    <w:rsid w:val="00775A2C"/>
    <w:rsid w:val="00775ACF"/>
    <w:rsid w:val="00775FCE"/>
    <w:rsid w:val="00776033"/>
    <w:rsid w:val="0077621D"/>
    <w:rsid w:val="007762CD"/>
    <w:rsid w:val="0077643C"/>
    <w:rsid w:val="0077684B"/>
    <w:rsid w:val="00777020"/>
    <w:rsid w:val="0077726D"/>
    <w:rsid w:val="00777290"/>
    <w:rsid w:val="007772E8"/>
    <w:rsid w:val="00777721"/>
    <w:rsid w:val="00780273"/>
    <w:rsid w:val="00780355"/>
    <w:rsid w:val="00780956"/>
    <w:rsid w:val="00780981"/>
    <w:rsid w:val="0078148C"/>
    <w:rsid w:val="00781619"/>
    <w:rsid w:val="00781725"/>
    <w:rsid w:val="007818C2"/>
    <w:rsid w:val="00781AC2"/>
    <w:rsid w:val="00781C82"/>
    <w:rsid w:val="0078233F"/>
    <w:rsid w:val="00782692"/>
    <w:rsid w:val="007828D5"/>
    <w:rsid w:val="00782A08"/>
    <w:rsid w:val="00782D8F"/>
    <w:rsid w:val="00782F00"/>
    <w:rsid w:val="00782FC5"/>
    <w:rsid w:val="00783263"/>
    <w:rsid w:val="00783345"/>
    <w:rsid w:val="0078357E"/>
    <w:rsid w:val="00783633"/>
    <w:rsid w:val="0078385A"/>
    <w:rsid w:val="007839E7"/>
    <w:rsid w:val="007841FF"/>
    <w:rsid w:val="00785009"/>
    <w:rsid w:val="007853D9"/>
    <w:rsid w:val="0078599A"/>
    <w:rsid w:val="00785A63"/>
    <w:rsid w:val="00785E26"/>
    <w:rsid w:val="00785EFF"/>
    <w:rsid w:val="00786824"/>
    <w:rsid w:val="00786C1E"/>
    <w:rsid w:val="0078724C"/>
    <w:rsid w:val="0078751E"/>
    <w:rsid w:val="00787C9D"/>
    <w:rsid w:val="0079013E"/>
    <w:rsid w:val="007906CA"/>
    <w:rsid w:val="00790D49"/>
    <w:rsid w:val="00791503"/>
    <w:rsid w:val="00791816"/>
    <w:rsid w:val="00791C4B"/>
    <w:rsid w:val="00791E96"/>
    <w:rsid w:val="0079215A"/>
    <w:rsid w:val="00792460"/>
    <w:rsid w:val="007934D4"/>
    <w:rsid w:val="0079377C"/>
    <w:rsid w:val="0079394A"/>
    <w:rsid w:val="0079399A"/>
    <w:rsid w:val="007939BD"/>
    <w:rsid w:val="00793A05"/>
    <w:rsid w:val="00793A0E"/>
    <w:rsid w:val="00793C16"/>
    <w:rsid w:val="00793FBD"/>
    <w:rsid w:val="00794725"/>
    <w:rsid w:val="00794AEE"/>
    <w:rsid w:val="007952E5"/>
    <w:rsid w:val="00795610"/>
    <w:rsid w:val="0079574C"/>
    <w:rsid w:val="00795792"/>
    <w:rsid w:val="00795B10"/>
    <w:rsid w:val="00795BA2"/>
    <w:rsid w:val="00795D98"/>
    <w:rsid w:val="0079663A"/>
    <w:rsid w:val="00796AC3"/>
    <w:rsid w:val="00796C5E"/>
    <w:rsid w:val="00796F84"/>
    <w:rsid w:val="00796F8B"/>
    <w:rsid w:val="007970F4"/>
    <w:rsid w:val="007974EC"/>
    <w:rsid w:val="0079775B"/>
    <w:rsid w:val="00797C38"/>
    <w:rsid w:val="00797E54"/>
    <w:rsid w:val="007A0692"/>
    <w:rsid w:val="007A0B62"/>
    <w:rsid w:val="007A0C8C"/>
    <w:rsid w:val="007A11B0"/>
    <w:rsid w:val="007A1236"/>
    <w:rsid w:val="007A125D"/>
    <w:rsid w:val="007A1760"/>
    <w:rsid w:val="007A1B02"/>
    <w:rsid w:val="007A1D32"/>
    <w:rsid w:val="007A21A0"/>
    <w:rsid w:val="007A2818"/>
    <w:rsid w:val="007A28A4"/>
    <w:rsid w:val="007A2A69"/>
    <w:rsid w:val="007A2A6F"/>
    <w:rsid w:val="007A3386"/>
    <w:rsid w:val="007A39D3"/>
    <w:rsid w:val="007A3BDD"/>
    <w:rsid w:val="007A3D3F"/>
    <w:rsid w:val="007A3E4D"/>
    <w:rsid w:val="007A4506"/>
    <w:rsid w:val="007A45AB"/>
    <w:rsid w:val="007A4BE7"/>
    <w:rsid w:val="007A4C59"/>
    <w:rsid w:val="007A518D"/>
    <w:rsid w:val="007A57AE"/>
    <w:rsid w:val="007A5BDB"/>
    <w:rsid w:val="007A6648"/>
    <w:rsid w:val="007A6B70"/>
    <w:rsid w:val="007A6E20"/>
    <w:rsid w:val="007A6FD8"/>
    <w:rsid w:val="007A7136"/>
    <w:rsid w:val="007A73DA"/>
    <w:rsid w:val="007A7498"/>
    <w:rsid w:val="007A74B2"/>
    <w:rsid w:val="007A771E"/>
    <w:rsid w:val="007A7C64"/>
    <w:rsid w:val="007B0037"/>
    <w:rsid w:val="007B0571"/>
    <w:rsid w:val="007B06B8"/>
    <w:rsid w:val="007B07C4"/>
    <w:rsid w:val="007B0B94"/>
    <w:rsid w:val="007B0C12"/>
    <w:rsid w:val="007B109A"/>
    <w:rsid w:val="007B11EC"/>
    <w:rsid w:val="007B139D"/>
    <w:rsid w:val="007B14A2"/>
    <w:rsid w:val="007B16E5"/>
    <w:rsid w:val="007B1F57"/>
    <w:rsid w:val="007B2135"/>
    <w:rsid w:val="007B216F"/>
    <w:rsid w:val="007B25D1"/>
    <w:rsid w:val="007B2616"/>
    <w:rsid w:val="007B2926"/>
    <w:rsid w:val="007B3057"/>
    <w:rsid w:val="007B3E8D"/>
    <w:rsid w:val="007B418D"/>
    <w:rsid w:val="007B41B5"/>
    <w:rsid w:val="007B4597"/>
    <w:rsid w:val="007B47A0"/>
    <w:rsid w:val="007B5174"/>
    <w:rsid w:val="007B5255"/>
    <w:rsid w:val="007B5336"/>
    <w:rsid w:val="007B55C5"/>
    <w:rsid w:val="007B561D"/>
    <w:rsid w:val="007B57D2"/>
    <w:rsid w:val="007B5E43"/>
    <w:rsid w:val="007B5F3C"/>
    <w:rsid w:val="007B6B9D"/>
    <w:rsid w:val="007B6CC6"/>
    <w:rsid w:val="007B6F4D"/>
    <w:rsid w:val="007B70FB"/>
    <w:rsid w:val="007B72CD"/>
    <w:rsid w:val="007B74DB"/>
    <w:rsid w:val="007B7566"/>
    <w:rsid w:val="007B7A47"/>
    <w:rsid w:val="007B7A6C"/>
    <w:rsid w:val="007B7B3D"/>
    <w:rsid w:val="007C0482"/>
    <w:rsid w:val="007C0E18"/>
    <w:rsid w:val="007C0E80"/>
    <w:rsid w:val="007C123C"/>
    <w:rsid w:val="007C1637"/>
    <w:rsid w:val="007C1DC9"/>
    <w:rsid w:val="007C1E1A"/>
    <w:rsid w:val="007C20FE"/>
    <w:rsid w:val="007C2343"/>
    <w:rsid w:val="007C24BB"/>
    <w:rsid w:val="007C2678"/>
    <w:rsid w:val="007C3435"/>
    <w:rsid w:val="007C351D"/>
    <w:rsid w:val="007C35A9"/>
    <w:rsid w:val="007C35F6"/>
    <w:rsid w:val="007C360B"/>
    <w:rsid w:val="007C376A"/>
    <w:rsid w:val="007C3888"/>
    <w:rsid w:val="007C4526"/>
    <w:rsid w:val="007C49F2"/>
    <w:rsid w:val="007C4A77"/>
    <w:rsid w:val="007C4AC1"/>
    <w:rsid w:val="007C4ACA"/>
    <w:rsid w:val="007C4F4F"/>
    <w:rsid w:val="007C5084"/>
    <w:rsid w:val="007C5577"/>
    <w:rsid w:val="007C55A5"/>
    <w:rsid w:val="007C55BE"/>
    <w:rsid w:val="007C5686"/>
    <w:rsid w:val="007C5AB5"/>
    <w:rsid w:val="007C5DB4"/>
    <w:rsid w:val="007C62D0"/>
    <w:rsid w:val="007C6E2F"/>
    <w:rsid w:val="007C7506"/>
    <w:rsid w:val="007C7663"/>
    <w:rsid w:val="007C766F"/>
    <w:rsid w:val="007C7AD6"/>
    <w:rsid w:val="007C7C59"/>
    <w:rsid w:val="007C7D51"/>
    <w:rsid w:val="007C7DC7"/>
    <w:rsid w:val="007D033A"/>
    <w:rsid w:val="007D03B3"/>
    <w:rsid w:val="007D0816"/>
    <w:rsid w:val="007D0B72"/>
    <w:rsid w:val="007D11DC"/>
    <w:rsid w:val="007D132F"/>
    <w:rsid w:val="007D136E"/>
    <w:rsid w:val="007D15F0"/>
    <w:rsid w:val="007D178B"/>
    <w:rsid w:val="007D1AAA"/>
    <w:rsid w:val="007D1B64"/>
    <w:rsid w:val="007D1CE7"/>
    <w:rsid w:val="007D1F73"/>
    <w:rsid w:val="007D226F"/>
    <w:rsid w:val="007D22CE"/>
    <w:rsid w:val="007D2B9F"/>
    <w:rsid w:val="007D2C50"/>
    <w:rsid w:val="007D2FE3"/>
    <w:rsid w:val="007D3398"/>
    <w:rsid w:val="007D33FA"/>
    <w:rsid w:val="007D363F"/>
    <w:rsid w:val="007D3A86"/>
    <w:rsid w:val="007D3B12"/>
    <w:rsid w:val="007D3BC5"/>
    <w:rsid w:val="007D3CE9"/>
    <w:rsid w:val="007D3DF7"/>
    <w:rsid w:val="007D3F75"/>
    <w:rsid w:val="007D40F5"/>
    <w:rsid w:val="007D440A"/>
    <w:rsid w:val="007D457B"/>
    <w:rsid w:val="007D46D8"/>
    <w:rsid w:val="007D4832"/>
    <w:rsid w:val="007D4892"/>
    <w:rsid w:val="007D48E9"/>
    <w:rsid w:val="007D4A1A"/>
    <w:rsid w:val="007D4D44"/>
    <w:rsid w:val="007D4DC5"/>
    <w:rsid w:val="007D53CB"/>
    <w:rsid w:val="007D5453"/>
    <w:rsid w:val="007D561F"/>
    <w:rsid w:val="007D5857"/>
    <w:rsid w:val="007D5BB4"/>
    <w:rsid w:val="007D6246"/>
    <w:rsid w:val="007D68DB"/>
    <w:rsid w:val="007D6A54"/>
    <w:rsid w:val="007D6CE6"/>
    <w:rsid w:val="007D6E43"/>
    <w:rsid w:val="007D6F86"/>
    <w:rsid w:val="007D72CB"/>
    <w:rsid w:val="007D72EB"/>
    <w:rsid w:val="007D735A"/>
    <w:rsid w:val="007D7CDD"/>
    <w:rsid w:val="007D7F37"/>
    <w:rsid w:val="007E016B"/>
    <w:rsid w:val="007E0416"/>
    <w:rsid w:val="007E08C9"/>
    <w:rsid w:val="007E0A12"/>
    <w:rsid w:val="007E0D35"/>
    <w:rsid w:val="007E0F8F"/>
    <w:rsid w:val="007E13A8"/>
    <w:rsid w:val="007E1A71"/>
    <w:rsid w:val="007E1AAD"/>
    <w:rsid w:val="007E2236"/>
    <w:rsid w:val="007E273A"/>
    <w:rsid w:val="007E296A"/>
    <w:rsid w:val="007E2A9F"/>
    <w:rsid w:val="007E317C"/>
    <w:rsid w:val="007E3456"/>
    <w:rsid w:val="007E35D0"/>
    <w:rsid w:val="007E3A03"/>
    <w:rsid w:val="007E3E82"/>
    <w:rsid w:val="007E44F9"/>
    <w:rsid w:val="007E4701"/>
    <w:rsid w:val="007E47D5"/>
    <w:rsid w:val="007E4C3C"/>
    <w:rsid w:val="007E4DA6"/>
    <w:rsid w:val="007E4F53"/>
    <w:rsid w:val="007E502A"/>
    <w:rsid w:val="007E5268"/>
    <w:rsid w:val="007E53AF"/>
    <w:rsid w:val="007E5725"/>
    <w:rsid w:val="007E5937"/>
    <w:rsid w:val="007E5A2C"/>
    <w:rsid w:val="007E5E82"/>
    <w:rsid w:val="007E5ED9"/>
    <w:rsid w:val="007E5EDC"/>
    <w:rsid w:val="007E6646"/>
    <w:rsid w:val="007E67D9"/>
    <w:rsid w:val="007E691D"/>
    <w:rsid w:val="007E6A96"/>
    <w:rsid w:val="007E6C51"/>
    <w:rsid w:val="007E6D20"/>
    <w:rsid w:val="007E7232"/>
    <w:rsid w:val="007E72AB"/>
    <w:rsid w:val="007E735E"/>
    <w:rsid w:val="007E7D5D"/>
    <w:rsid w:val="007E7E0F"/>
    <w:rsid w:val="007E7EC0"/>
    <w:rsid w:val="007F0378"/>
    <w:rsid w:val="007F0684"/>
    <w:rsid w:val="007F06B6"/>
    <w:rsid w:val="007F06E8"/>
    <w:rsid w:val="007F0AF8"/>
    <w:rsid w:val="007F0E4C"/>
    <w:rsid w:val="007F1475"/>
    <w:rsid w:val="007F1933"/>
    <w:rsid w:val="007F1B94"/>
    <w:rsid w:val="007F1F1C"/>
    <w:rsid w:val="007F219A"/>
    <w:rsid w:val="007F2444"/>
    <w:rsid w:val="007F2C78"/>
    <w:rsid w:val="007F3088"/>
    <w:rsid w:val="007F3130"/>
    <w:rsid w:val="007F35B8"/>
    <w:rsid w:val="007F3D80"/>
    <w:rsid w:val="007F3F16"/>
    <w:rsid w:val="007F42F0"/>
    <w:rsid w:val="007F4748"/>
    <w:rsid w:val="007F4906"/>
    <w:rsid w:val="007F4981"/>
    <w:rsid w:val="007F4D34"/>
    <w:rsid w:val="007F56FC"/>
    <w:rsid w:val="007F62FD"/>
    <w:rsid w:val="007F6340"/>
    <w:rsid w:val="007F65DB"/>
    <w:rsid w:val="007F6761"/>
    <w:rsid w:val="007F6BC4"/>
    <w:rsid w:val="007F6C0E"/>
    <w:rsid w:val="007F6DA9"/>
    <w:rsid w:val="007F70D4"/>
    <w:rsid w:val="007F752E"/>
    <w:rsid w:val="007F76B6"/>
    <w:rsid w:val="007F7ABF"/>
    <w:rsid w:val="007F7CA1"/>
    <w:rsid w:val="0080059B"/>
    <w:rsid w:val="0080073F"/>
    <w:rsid w:val="00800917"/>
    <w:rsid w:val="00800DBB"/>
    <w:rsid w:val="00801607"/>
    <w:rsid w:val="00801713"/>
    <w:rsid w:val="0080176E"/>
    <w:rsid w:val="00801B94"/>
    <w:rsid w:val="00801CB1"/>
    <w:rsid w:val="00801DC9"/>
    <w:rsid w:val="0080238B"/>
    <w:rsid w:val="00802758"/>
    <w:rsid w:val="00802A50"/>
    <w:rsid w:val="00802A7A"/>
    <w:rsid w:val="00802AA7"/>
    <w:rsid w:val="00802B6F"/>
    <w:rsid w:val="00803003"/>
    <w:rsid w:val="008038AE"/>
    <w:rsid w:val="00803AAC"/>
    <w:rsid w:val="00803ACE"/>
    <w:rsid w:val="00803F4E"/>
    <w:rsid w:val="008057B1"/>
    <w:rsid w:val="00805834"/>
    <w:rsid w:val="00805B99"/>
    <w:rsid w:val="00805D3E"/>
    <w:rsid w:val="00805EEC"/>
    <w:rsid w:val="00806026"/>
    <w:rsid w:val="008061C2"/>
    <w:rsid w:val="00806E9B"/>
    <w:rsid w:val="00807090"/>
    <w:rsid w:val="008074F3"/>
    <w:rsid w:val="00807926"/>
    <w:rsid w:val="0080796B"/>
    <w:rsid w:val="00807A15"/>
    <w:rsid w:val="00807AB5"/>
    <w:rsid w:val="00807EBB"/>
    <w:rsid w:val="00807FC3"/>
    <w:rsid w:val="008100A2"/>
    <w:rsid w:val="008104A0"/>
    <w:rsid w:val="008107F5"/>
    <w:rsid w:val="00810A75"/>
    <w:rsid w:val="00810D27"/>
    <w:rsid w:val="00810E30"/>
    <w:rsid w:val="00810ED7"/>
    <w:rsid w:val="00810F56"/>
    <w:rsid w:val="00811057"/>
    <w:rsid w:val="0081169E"/>
    <w:rsid w:val="00811914"/>
    <w:rsid w:val="00811A86"/>
    <w:rsid w:val="00811EE2"/>
    <w:rsid w:val="008123D4"/>
    <w:rsid w:val="00812B2D"/>
    <w:rsid w:val="00812C4E"/>
    <w:rsid w:val="0081353B"/>
    <w:rsid w:val="0081378B"/>
    <w:rsid w:val="00813AEB"/>
    <w:rsid w:val="00814049"/>
    <w:rsid w:val="008140B8"/>
    <w:rsid w:val="0081466A"/>
    <w:rsid w:val="008149A6"/>
    <w:rsid w:val="00814CAD"/>
    <w:rsid w:val="00814E29"/>
    <w:rsid w:val="0081580E"/>
    <w:rsid w:val="00815914"/>
    <w:rsid w:val="00815A49"/>
    <w:rsid w:val="00815BB1"/>
    <w:rsid w:val="00815BFA"/>
    <w:rsid w:val="00815CE0"/>
    <w:rsid w:val="0081623E"/>
    <w:rsid w:val="00816340"/>
    <w:rsid w:val="0081701B"/>
    <w:rsid w:val="008177AE"/>
    <w:rsid w:val="00817C6C"/>
    <w:rsid w:val="00817D96"/>
    <w:rsid w:val="00817E6F"/>
    <w:rsid w:val="00817F9A"/>
    <w:rsid w:val="00820896"/>
    <w:rsid w:val="00820A62"/>
    <w:rsid w:val="008211B5"/>
    <w:rsid w:val="00821912"/>
    <w:rsid w:val="0082194F"/>
    <w:rsid w:val="00821A07"/>
    <w:rsid w:val="0082222E"/>
    <w:rsid w:val="008222D8"/>
    <w:rsid w:val="0082242F"/>
    <w:rsid w:val="008227FA"/>
    <w:rsid w:val="008229A2"/>
    <w:rsid w:val="00822CDF"/>
    <w:rsid w:val="008235B7"/>
    <w:rsid w:val="008236A9"/>
    <w:rsid w:val="00823A6D"/>
    <w:rsid w:val="00823AA9"/>
    <w:rsid w:val="00823FF7"/>
    <w:rsid w:val="008240FA"/>
    <w:rsid w:val="008242B3"/>
    <w:rsid w:val="0082443D"/>
    <w:rsid w:val="00824A9E"/>
    <w:rsid w:val="00824E44"/>
    <w:rsid w:val="008255CE"/>
    <w:rsid w:val="00825966"/>
    <w:rsid w:val="00825ED1"/>
    <w:rsid w:val="00825EDB"/>
    <w:rsid w:val="00825F58"/>
    <w:rsid w:val="008264EB"/>
    <w:rsid w:val="00826635"/>
    <w:rsid w:val="008267E6"/>
    <w:rsid w:val="008268CF"/>
    <w:rsid w:val="00826DEF"/>
    <w:rsid w:val="008270EE"/>
    <w:rsid w:val="00827265"/>
    <w:rsid w:val="008272A7"/>
    <w:rsid w:val="008273A3"/>
    <w:rsid w:val="0082744A"/>
    <w:rsid w:val="00827497"/>
    <w:rsid w:val="008275A9"/>
    <w:rsid w:val="0083026B"/>
    <w:rsid w:val="008307F9"/>
    <w:rsid w:val="00830845"/>
    <w:rsid w:val="0083098F"/>
    <w:rsid w:val="008309E1"/>
    <w:rsid w:val="00830DA4"/>
    <w:rsid w:val="00831472"/>
    <w:rsid w:val="0083171A"/>
    <w:rsid w:val="00831ABE"/>
    <w:rsid w:val="008320C3"/>
    <w:rsid w:val="008322DF"/>
    <w:rsid w:val="008322F6"/>
    <w:rsid w:val="008327F0"/>
    <w:rsid w:val="00832922"/>
    <w:rsid w:val="008329FF"/>
    <w:rsid w:val="00832ECB"/>
    <w:rsid w:val="0083302B"/>
    <w:rsid w:val="00833526"/>
    <w:rsid w:val="008336EE"/>
    <w:rsid w:val="008340EC"/>
    <w:rsid w:val="00834B47"/>
    <w:rsid w:val="00835195"/>
    <w:rsid w:val="00835459"/>
    <w:rsid w:val="00835C3C"/>
    <w:rsid w:val="00835EE4"/>
    <w:rsid w:val="00836259"/>
    <w:rsid w:val="00836AC7"/>
    <w:rsid w:val="00836C77"/>
    <w:rsid w:val="00836E1B"/>
    <w:rsid w:val="008376CD"/>
    <w:rsid w:val="0083793C"/>
    <w:rsid w:val="00837BB6"/>
    <w:rsid w:val="00837C92"/>
    <w:rsid w:val="00837F0F"/>
    <w:rsid w:val="00837FEE"/>
    <w:rsid w:val="008404E0"/>
    <w:rsid w:val="008416E5"/>
    <w:rsid w:val="00841A00"/>
    <w:rsid w:val="00841ED7"/>
    <w:rsid w:val="0084210C"/>
    <w:rsid w:val="00842BBA"/>
    <w:rsid w:val="00842D41"/>
    <w:rsid w:val="00842E56"/>
    <w:rsid w:val="00843029"/>
    <w:rsid w:val="00843420"/>
    <w:rsid w:val="00843B5D"/>
    <w:rsid w:val="00843BE2"/>
    <w:rsid w:val="00843C5D"/>
    <w:rsid w:val="00843F87"/>
    <w:rsid w:val="00844448"/>
    <w:rsid w:val="008447D4"/>
    <w:rsid w:val="0084506C"/>
    <w:rsid w:val="008454BD"/>
    <w:rsid w:val="0084570E"/>
    <w:rsid w:val="00845B66"/>
    <w:rsid w:val="00846126"/>
    <w:rsid w:val="008463AA"/>
    <w:rsid w:val="008463F3"/>
    <w:rsid w:val="00846509"/>
    <w:rsid w:val="008467CB"/>
    <w:rsid w:val="008467D3"/>
    <w:rsid w:val="00846845"/>
    <w:rsid w:val="00846D76"/>
    <w:rsid w:val="00847223"/>
    <w:rsid w:val="00847650"/>
    <w:rsid w:val="008476DC"/>
    <w:rsid w:val="00847829"/>
    <w:rsid w:val="008479B1"/>
    <w:rsid w:val="0085005F"/>
    <w:rsid w:val="008500F5"/>
    <w:rsid w:val="0085030C"/>
    <w:rsid w:val="0085062F"/>
    <w:rsid w:val="00850CBE"/>
    <w:rsid w:val="00851043"/>
    <w:rsid w:val="00851307"/>
    <w:rsid w:val="008515B1"/>
    <w:rsid w:val="008518F3"/>
    <w:rsid w:val="00851C40"/>
    <w:rsid w:val="00851F2D"/>
    <w:rsid w:val="00852239"/>
    <w:rsid w:val="00852508"/>
    <w:rsid w:val="00852578"/>
    <w:rsid w:val="008525B6"/>
    <w:rsid w:val="00852E5B"/>
    <w:rsid w:val="0085323E"/>
    <w:rsid w:val="008535EB"/>
    <w:rsid w:val="00853677"/>
    <w:rsid w:val="00853943"/>
    <w:rsid w:val="00853A88"/>
    <w:rsid w:val="00853ACD"/>
    <w:rsid w:val="00853ACF"/>
    <w:rsid w:val="00853CA6"/>
    <w:rsid w:val="00853DCA"/>
    <w:rsid w:val="00853F1F"/>
    <w:rsid w:val="008544D3"/>
    <w:rsid w:val="00854AD2"/>
    <w:rsid w:val="00855089"/>
    <w:rsid w:val="0085525C"/>
    <w:rsid w:val="008558A1"/>
    <w:rsid w:val="00855A1E"/>
    <w:rsid w:val="00855DEB"/>
    <w:rsid w:val="0085642F"/>
    <w:rsid w:val="0085645A"/>
    <w:rsid w:val="00856554"/>
    <w:rsid w:val="0085717F"/>
    <w:rsid w:val="008573AF"/>
    <w:rsid w:val="008573F8"/>
    <w:rsid w:val="0085749F"/>
    <w:rsid w:val="00857645"/>
    <w:rsid w:val="00857798"/>
    <w:rsid w:val="008577D9"/>
    <w:rsid w:val="00857BEA"/>
    <w:rsid w:val="00857D80"/>
    <w:rsid w:val="00857EAB"/>
    <w:rsid w:val="008602FC"/>
    <w:rsid w:val="0086045C"/>
    <w:rsid w:val="008607FA"/>
    <w:rsid w:val="00860989"/>
    <w:rsid w:val="00860CF9"/>
    <w:rsid w:val="008614A8"/>
    <w:rsid w:val="00861DEF"/>
    <w:rsid w:val="008622D3"/>
    <w:rsid w:val="0086268A"/>
    <w:rsid w:val="00862BD4"/>
    <w:rsid w:val="00862BFA"/>
    <w:rsid w:val="00862D35"/>
    <w:rsid w:val="00862DC6"/>
    <w:rsid w:val="00862EE5"/>
    <w:rsid w:val="008639A2"/>
    <w:rsid w:val="00863BBB"/>
    <w:rsid w:val="008640FD"/>
    <w:rsid w:val="0086426C"/>
    <w:rsid w:val="00864321"/>
    <w:rsid w:val="008644D5"/>
    <w:rsid w:val="00864A96"/>
    <w:rsid w:val="00864E19"/>
    <w:rsid w:val="00864FDD"/>
    <w:rsid w:val="00865020"/>
    <w:rsid w:val="0086526F"/>
    <w:rsid w:val="00865385"/>
    <w:rsid w:val="0086564F"/>
    <w:rsid w:val="00865676"/>
    <w:rsid w:val="00865681"/>
    <w:rsid w:val="00865A34"/>
    <w:rsid w:val="00865AF5"/>
    <w:rsid w:val="00865C9A"/>
    <w:rsid w:val="00866618"/>
    <w:rsid w:val="00866770"/>
    <w:rsid w:val="00867578"/>
    <w:rsid w:val="008678FC"/>
    <w:rsid w:val="00867B6B"/>
    <w:rsid w:val="00867FDD"/>
    <w:rsid w:val="0087000F"/>
    <w:rsid w:val="0087020C"/>
    <w:rsid w:val="008706D6"/>
    <w:rsid w:val="00870788"/>
    <w:rsid w:val="00870923"/>
    <w:rsid w:val="00870A8A"/>
    <w:rsid w:val="00870AFC"/>
    <w:rsid w:val="00870F67"/>
    <w:rsid w:val="00870F6E"/>
    <w:rsid w:val="00871028"/>
    <w:rsid w:val="008715CC"/>
    <w:rsid w:val="008717FE"/>
    <w:rsid w:val="00872589"/>
    <w:rsid w:val="00872770"/>
    <w:rsid w:val="00872A89"/>
    <w:rsid w:val="00872C07"/>
    <w:rsid w:val="00873125"/>
    <w:rsid w:val="008731F2"/>
    <w:rsid w:val="00873754"/>
    <w:rsid w:val="00873CF3"/>
    <w:rsid w:val="008746D7"/>
    <w:rsid w:val="00874D5D"/>
    <w:rsid w:val="0087502F"/>
    <w:rsid w:val="008752FC"/>
    <w:rsid w:val="008755BD"/>
    <w:rsid w:val="00875FA4"/>
    <w:rsid w:val="00876313"/>
    <w:rsid w:val="008763C8"/>
    <w:rsid w:val="0087656D"/>
    <w:rsid w:val="0087672D"/>
    <w:rsid w:val="00876902"/>
    <w:rsid w:val="00876E33"/>
    <w:rsid w:val="00877745"/>
    <w:rsid w:val="008779E9"/>
    <w:rsid w:val="00877ADA"/>
    <w:rsid w:val="00877D2C"/>
    <w:rsid w:val="00877D6E"/>
    <w:rsid w:val="00877E35"/>
    <w:rsid w:val="0088014E"/>
    <w:rsid w:val="008807CE"/>
    <w:rsid w:val="00880AA4"/>
    <w:rsid w:val="00880B6B"/>
    <w:rsid w:val="00880BAB"/>
    <w:rsid w:val="00880C8D"/>
    <w:rsid w:val="008812A7"/>
    <w:rsid w:val="00881646"/>
    <w:rsid w:val="008817FF"/>
    <w:rsid w:val="0088239C"/>
    <w:rsid w:val="00882745"/>
    <w:rsid w:val="008828F7"/>
    <w:rsid w:val="00882946"/>
    <w:rsid w:val="00882A65"/>
    <w:rsid w:val="00882C4D"/>
    <w:rsid w:val="00882D67"/>
    <w:rsid w:val="00882E58"/>
    <w:rsid w:val="00882F94"/>
    <w:rsid w:val="0088318D"/>
    <w:rsid w:val="008835B1"/>
    <w:rsid w:val="00883B3F"/>
    <w:rsid w:val="00883EE0"/>
    <w:rsid w:val="00883EFA"/>
    <w:rsid w:val="008840AD"/>
    <w:rsid w:val="008841BF"/>
    <w:rsid w:val="008846E2"/>
    <w:rsid w:val="00884A91"/>
    <w:rsid w:val="00884E92"/>
    <w:rsid w:val="008851BE"/>
    <w:rsid w:val="00885538"/>
    <w:rsid w:val="00885960"/>
    <w:rsid w:val="00885A63"/>
    <w:rsid w:val="00885ADA"/>
    <w:rsid w:val="00885B81"/>
    <w:rsid w:val="00886188"/>
    <w:rsid w:val="00886342"/>
    <w:rsid w:val="0088651F"/>
    <w:rsid w:val="00886632"/>
    <w:rsid w:val="00886EC6"/>
    <w:rsid w:val="00887063"/>
    <w:rsid w:val="008876D5"/>
    <w:rsid w:val="00887798"/>
    <w:rsid w:val="0088796B"/>
    <w:rsid w:val="00887D83"/>
    <w:rsid w:val="00887F1B"/>
    <w:rsid w:val="008900CF"/>
    <w:rsid w:val="008903F8"/>
    <w:rsid w:val="008905B9"/>
    <w:rsid w:val="00890709"/>
    <w:rsid w:val="00890F94"/>
    <w:rsid w:val="00891186"/>
    <w:rsid w:val="00891AE3"/>
    <w:rsid w:val="00891D67"/>
    <w:rsid w:val="0089203B"/>
    <w:rsid w:val="00892165"/>
    <w:rsid w:val="008922CF"/>
    <w:rsid w:val="008923D1"/>
    <w:rsid w:val="008925B9"/>
    <w:rsid w:val="00892827"/>
    <w:rsid w:val="00892AEE"/>
    <w:rsid w:val="008937AC"/>
    <w:rsid w:val="008937CB"/>
    <w:rsid w:val="00893EA3"/>
    <w:rsid w:val="00893FF7"/>
    <w:rsid w:val="0089427B"/>
    <w:rsid w:val="008942A5"/>
    <w:rsid w:val="008943FD"/>
    <w:rsid w:val="0089483C"/>
    <w:rsid w:val="00894A6B"/>
    <w:rsid w:val="00894A7F"/>
    <w:rsid w:val="00895214"/>
    <w:rsid w:val="00895670"/>
    <w:rsid w:val="00895DCC"/>
    <w:rsid w:val="00895E5A"/>
    <w:rsid w:val="008962BC"/>
    <w:rsid w:val="008973BA"/>
    <w:rsid w:val="00897502"/>
    <w:rsid w:val="00897602"/>
    <w:rsid w:val="0089773D"/>
    <w:rsid w:val="00897855"/>
    <w:rsid w:val="00897A17"/>
    <w:rsid w:val="00897BAC"/>
    <w:rsid w:val="008A03C3"/>
    <w:rsid w:val="008A045F"/>
    <w:rsid w:val="008A0555"/>
    <w:rsid w:val="008A0766"/>
    <w:rsid w:val="008A097F"/>
    <w:rsid w:val="008A0994"/>
    <w:rsid w:val="008A0B6D"/>
    <w:rsid w:val="008A0E02"/>
    <w:rsid w:val="008A0E63"/>
    <w:rsid w:val="008A0F85"/>
    <w:rsid w:val="008A148F"/>
    <w:rsid w:val="008A14BA"/>
    <w:rsid w:val="008A14F8"/>
    <w:rsid w:val="008A173F"/>
    <w:rsid w:val="008A1EFD"/>
    <w:rsid w:val="008A1F90"/>
    <w:rsid w:val="008A210B"/>
    <w:rsid w:val="008A211F"/>
    <w:rsid w:val="008A2385"/>
    <w:rsid w:val="008A2790"/>
    <w:rsid w:val="008A279B"/>
    <w:rsid w:val="008A2830"/>
    <w:rsid w:val="008A2987"/>
    <w:rsid w:val="008A2ACB"/>
    <w:rsid w:val="008A2C5D"/>
    <w:rsid w:val="008A30BD"/>
    <w:rsid w:val="008A34B6"/>
    <w:rsid w:val="008A3C32"/>
    <w:rsid w:val="008A444A"/>
    <w:rsid w:val="008A46CB"/>
    <w:rsid w:val="008A4876"/>
    <w:rsid w:val="008A4B83"/>
    <w:rsid w:val="008A4CFD"/>
    <w:rsid w:val="008A4F57"/>
    <w:rsid w:val="008A52CE"/>
    <w:rsid w:val="008A5432"/>
    <w:rsid w:val="008A544C"/>
    <w:rsid w:val="008A574C"/>
    <w:rsid w:val="008A5800"/>
    <w:rsid w:val="008A5BC7"/>
    <w:rsid w:val="008A5E2C"/>
    <w:rsid w:val="008A5E8C"/>
    <w:rsid w:val="008A67A1"/>
    <w:rsid w:val="008A6A25"/>
    <w:rsid w:val="008A6ED8"/>
    <w:rsid w:val="008A720F"/>
    <w:rsid w:val="008A7605"/>
    <w:rsid w:val="008A77BD"/>
    <w:rsid w:val="008A77F8"/>
    <w:rsid w:val="008A7949"/>
    <w:rsid w:val="008A7A03"/>
    <w:rsid w:val="008A7AF1"/>
    <w:rsid w:val="008A7B45"/>
    <w:rsid w:val="008B0BA7"/>
    <w:rsid w:val="008B0E9B"/>
    <w:rsid w:val="008B103F"/>
    <w:rsid w:val="008B12FC"/>
    <w:rsid w:val="008B19DC"/>
    <w:rsid w:val="008B1C8C"/>
    <w:rsid w:val="008B1DFA"/>
    <w:rsid w:val="008B1E06"/>
    <w:rsid w:val="008B200F"/>
    <w:rsid w:val="008B20A4"/>
    <w:rsid w:val="008B2520"/>
    <w:rsid w:val="008B2582"/>
    <w:rsid w:val="008B2720"/>
    <w:rsid w:val="008B2F1A"/>
    <w:rsid w:val="008B31AD"/>
    <w:rsid w:val="008B329A"/>
    <w:rsid w:val="008B331F"/>
    <w:rsid w:val="008B3960"/>
    <w:rsid w:val="008B3A87"/>
    <w:rsid w:val="008B3B8E"/>
    <w:rsid w:val="008B3C1B"/>
    <w:rsid w:val="008B3C1F"/>
    <w:rsid w:val="008B3D7A"/>
    <w:rsid w:val="008B4243"/>
    <w:rsid w:val="008B4700"/>
    <w:rsid w:val="008B47F4"/>
    <w:rsid w:val="008B4953"/>
    <w:rsid w:val="008B4BFD"/>
    <w:rsid w:val="008B4C60"/>
    <w:rsid w:val="008B4E19"/>
    <w:rsid w:val="008B4F72"/>
    <w:rsid w:val="008B58E4"/>
    <w:rsid w:val="008B5A61"/>
    <w:rsid w:val="008B5F19"/>
    <w:rsid w:val="008B5F58"/>
    <w:rsid w:val="008B6190"/>
    <w:rsid w:val="008B6231"/>
    <w:rsid w:val="008B6367"/>
    <w:rsid w:val="008B63AD"/>
    <w:rsid w:val="008B6939"/>
    <w:rsid w:val="008B6A05"/>
    <w:rsid w:val="008B6ADB"/>
    <w:rsid w:val="008B74A7"/>
    <w:rsid w:val="008B7546"/>
    <w:rsid w:val="008B757C"/>
    <w:rsid w:val="008B77EC"/>
    <w:rsid w:val="008B7C5A"/>
    <w:rsid w:val="008B7ECB"/>
    <w:rsid w:val="008C048E"/>
    <w:rsid w:val="008C052D"/>
    <w:rsid w:val="008C0557"/>
    <w:rsid w:val="008C0771"/>
    <w:rsid w:val="008C0845"/>
    <w:rsid w:val="008C08B7"/>
    <w:rsid w:val="008C0D3F"/>
    <w:rsid w:val="008C1779"/>
    <w:rsid w:val="008C186A"/>
    <w:rsid w:val="008C1DC1"/>
    <w:rsid w:val="008C21A0"/>
    <w:rsid w:val="008C287C"/>
    <w:rsid w:val="008C28B3"/>
    <w:rsid w:val="008C292B"/>
    <w:rsid w:val="008C34C1"/>
    <w:rsid w:val="008C3591"/>
    <w:rsid w:val="008C3853"/>
    <w:rsid w:val="008C3982"/>
    <w:rsid w:val="008C3A88"/>
    <w:rsid w:val="008C3AC1"/>
    <w:rsid w:val="008C3B2A"/>
    <w:rsid w:val="008C3D73"/>
    <w:rsid w:val="008C41CD"/>
    <w:rsid w:val="008C4270"/>
    <w:rsid w:val="008C44FA"/>
    <w:rsid w:val="008C482E"/>
    <w:rsid w:val="008C4BB0"/>
    <w:rsid w:val="008C4E96"/>
    <w:rsid w:val="008C4EB8"/>
    <w:rsid w:val="008C4F08"/>
    <w:rsid w:val="008C4FFE"/>
    <w:rsid w:val="008C51AD"/>
    <w:rsid w:val="008C52AE"/>
    <w:rsid w:val="008C5A8B"/>
    <w:rsid w:val="008C5EAC"/>
    <w:rsid w:val="008C5F93"/>
    <w:rsid w:val="008C61B0"/>
    <w:rsid w:val="008C627C"/>
    <w:rsid w:val="008C6BA6"/>
    <w:rsid w:val="008C6E3D"/>
    <w:rsid w:val="008C6FD3"/>
    <w:rsid w:val="008C70EB"/>
    <w:rsid w:val="008C71DE"/>
    <w:rsid w:val="008C78EA"/>
    <w:rsid w:val="008C7C23"/>
    <w:rsid w:val="008C7FA7"/>
    <w:rsid w:val="008D0E8E"/>
    <w:rsid w:val="008D1047"/>
    <w:rsid w:val="008D155D"/>
    <w:rsid w:val="008D1566"/>
    <w:rsid w:val="008D15E6"/>
    <w:rsid w:val="008D21BB"/>
    <w:rsid w:val="008D229E"/>
    <w:rsid w:val="008D24C5"/>
    <w:rsid w:val="008D24FA"/>
    <w:rsid w:val="008D24FF"/>
    <w:rsid w:val="008D2F91"/>
    <w:rsid w:val="008D34B0"/>
    <w:rsid w:val="008D36D2"/>
    <w:rsid w:val="008D3E05"/>
    <w:rsid w:val="008D3FE4"/>
    <w:rsid w:val="008D415F"/>
    <w:rsid w:val="008D463D"/>
    <w:rsid w:val="008D4D84"/>
    <w:rsid w:val="008D5099"/>
    <w:rsid w:val="008D536E"/>
    <w:rsid w:val="008D5506"/>
    <w:rsid w:val="008D5659"/>
    <w:rsid w:val="008D57A3"/>
    <w:rsid w:val="008D5C9A"/>
    <w:rsid w:val="008D5D6F"/>
    <w:rsid w:val="008D5DAB"/>
    <w:rsid w:val="008D5F74"/>
    <w:rsid w:val="008D638E"/>
    <w:rsid w:val="008D6641"/>
    <w:rsid w:val="008D6847"/>
    <w:rsid w:val="008D6968"/>
    <w:rsid w:val="008D6C68"/>
    <w:rsid w:val="008D71F3"/>
    <w:rsid w:val="008D746A"/>
    <w:rsid w:val="008D75FA"/>
    <w:rsid w:val="008D7AFD"/>
    <w:rsid w:val="008D7DEB"/>
    <w:rsid w:val="008D7E3E"/>
    <w:rsid w:val="008D7EA6"/>
    <w:rsid w:val="008E0029"/>
    <w:rsid w:val="008E01BA"/>
    <w:rsid w:val="008E0219"/>
    <w:rsid w:val="008E030F"/>
    <w:rsid w:val="008E03B3"/>
    <w:rsid w:val="008E0535"/>
    <w:rsid w:val="008E054A"/>
    <w:rsid w:val="008E08F2"/>
    <w:rsid w:val="008E0ABF"/>
    <w:rsid w:val="008E0DE2"/>
    <w:rsid w:val="008E0EF1"/>
    <w:rsid w:val="008E19E9"/>
    <w:rsid w:val="008E1A0B"/>
    <w:rsid w:val="008E1CA4"/>
    <w:rsid w:val="008E22E0"/>
    <w:rsid w:val="008E2338"/>
    <w:rsid w:val="008E260B"/>
    <w:rsid w:val="008E288B"/>
    <w:rsid w:val="008E2BCC"/>
    <w:rsid w:val="008E2EE9"/>
    <w:rsid w:val="008E352E"/>
    <w:rsid w:val="008E3A18"/>
    <w:rsid w:val="008E4157"/>
    <w:rsid w:val="008E46F6"/>
    <w:rsid w:val="008E4E17"/>
    <w:rsid w:val="008E52E7"/>
    <w:rsid w:val="008E53DB"/>
    <w:rsid w:val="008E55C1"/>
    <w:rsid w:val="008E5909"/>
    <w:rsid w:val="008E5A4E"/>
    <w:rsid w:val="008E5C8F"/>
    <w:rsid w:val="008E5F66"/>
    <w:rsid w:val="008E646A"/>
    <w:rsid w:val="008E68B9"/>
    <w:rsid w:val="008E6D37"/>
    <w:rsid w:val="008E6E86"/>
    <w:rsid w:val="008E6F52"/>
    <w:rsid w:val="008E6F6B"/>
    <w:rsid w:val="008E6FF7"/>
    <w:rsid w:val="008E702F"/>
    <w:rsid w:val="008E712B"/>
    <w:rsid w:val="008E7155"/>
    <w:rsid w:val="008E71FB"/>
    <w:rsid w:val="008E7365"/>
    <w:rsid w:val="008E78ED"/>
    <w:rsid w:val="008F0248"/>
    <w:rsid w:val="008F0288"/>
    <w:rsid w:val="008F0671"/>
    <w:rsid w:val="008F07B8"/>
    <w:rsid w:val="008F080D"/>
    <w:rsid w:val="008F086D"/>
    <w:rsid w:val="008F0932"/>
    <w:rsid w:val="008F0945"/>
    <w:rsid w:val="008F0A86"/>
    <w:rsid w:val="008F0AB8"/>
    <w:rsid w:val="008F0AED"/>
    <w:rsid w:val="008F0BD8"/>
    <w:rsid w:val="008F0D11"/>
    <w:rsid w:val="008F0EF5"/>
    <w:rsid w:val="008F0F0D"/>
    <w:rsid w:val="008F1238"/>
    <w:rsid w:val="008F1351"/>
    <w:rsid w:val="008F13E9"/>
    <w:rsid w:val="008F14CA"/>
    <w:rsid w:val="008F14E8"/>
    <w:rsid w:val="008F1C6B"/>
    <w:rsid w:val="008F20E0"/>
    <w:rsid w:val="008F24BD"/>
    <w:rsid w:val="008F257A"/>
    <w:rsid w:val="008F2A47"/>
    <w:rsid w:val="008F2FA5"/>
    <w:rsid w:val="008F35D9"/>
    <w:rsid w:val="008F3793"/>
    <w:rsid w:val="008F3F41"/>
    <w:rsid w:val="008F412A"/>
    <w:rsid w:val="008F438C"/>
    <w:rsid w:val="008F43D6"/>
    <w:rsid w:val="008F45AC"/>
    <w:rsid w:val="008F45BC"/>
    <w:rsid w:val="008F48C6"/>
    <w:rsid w:val="008F49F3"/>
    <w:rsid w:val="008F5138"/>
    <w:rsid w:val="008F525C"/>
    <w:rsid w:val="008F5309"/>
    <w:rsid w:val="008F540C"/>
    <w:rsid w:val="008F58A7"/>
    <w:rsid w:val="008F6060"/>
    <w:rsid w:val="008F6426"/>
    <w:rsid w:val="008F6607"/>
    <w:rsid w:val="008F6AB0"/>
    <w:rsid w:val="008F6B8B"/>
    <w:rsid w:val="008F6BEC"/>
    <w:rsid w:val="00900077"/>
    <w:rsid w:val="0090097F"/>
    <w:rsid w:val="00900D92"/>
    <w:rsid w:val="0090146E"/>
    <w:rsid w:val="009015F4"/>
    <w:rsid w:val="00901E4D"/>
    <w:rsid w:val="0090296B"/>
    <w:rsid w:val="00902972"/>
    <w:rsid w:val="00903424"/>
    <w:rsid w:val="00904206"/>
    <w:rsid w:val="0090441B"/>
    <w:rsid w:val="00904551"/>
    <w:rsid w:val="0090516B"/>
    <w:rsid w:val="00905456"/>
    <w:rsid w:val="009054EA"/>
    <w:rsid w:val="00905BE3"/>
    <w:rsid w:val="0090621C"/>
    <w:rsid w:val="00906618"/>
    <w:rsid w:val="0090662F"/>
    <w:rsid w:val="00906BB6"/>
    <w:rsid w:val="00906C4A"/>
    <w:rsid w:val="00907397"/>
    <w:rsid w:val="00907986"/>
    <w:rsid w:val="00907D90"/>
    <w:rsid w:val="00910078"/>
    <w:rsid w:val="0091026F"/>
    <w:rsid w:val="009104AB"/>
    <w:rsid w:val="00910866"/>
    <w:rsid w:val="0091095D"/>
    <w:rsid w:val="00910D99"/>
    <w:rsid w:val="00910E2C"/>
    <w:rsid w:val="009110AD"/>
    <w:rsid w:val="009111CC"/>
    <w:rsid w:val="009114FF"/>
    <w:rsid w:val="00911A79"/>
    <w:rsid w:val="00911D8B"/>
    <w:rsid w:val="00911DAD"/>
    <w:rsid w:val="0091244E"/>
    <w:rsid w:val="00912464"/>
    <w:rsid w:val="00912662"/>
    <w:rsid w:val="009127CC"/>
    <w:rsid w:val="00912D42"/>
    <w:rsid w:val="009133DD"/>
    <w:rsid w:val="00913BE6"/>
    <w:rsid w:val="009141D1"/>
    <w:rsid w:val="00914234"/>
    <w:rsid w:val="00914525"/>
    <w:rsid w:val="00914722"/>
    <w:rsid w:val="009151EB"/>
    <w:rsid w:val="00915465"/>
    <w:rsid w:val="009158B9"/>
    <w:rsid w:val="00915A71"/>
    <w:rsid w:val="009160F5"/>
    <w:rsid w:val="0091620A"/>
    <w:rsid w:val="00916242"/>
    <w:rsid w:val="00916301"/>
    <w:rsid w:val="00916863"/>
    <w:rsid w:val="0091688E"/>
    <w:rsid w:val="00916F1E"/>
    <w:rsid w:val="00917458"/>
    <w:rsid w:val="00917CA8"/>
    <w:rsid w:val="0092096D"/>
    <w:rsid w:val="00920975"/>
    <w:rsid w:val="009214FB"/>
    <w:rsid w:val="009217B9"/>
    <w:rsid w:val="00921D9C"/>
    <w:rsid w:val="00921E56"/>
    <w:rsid w:val="009221ED"/>
    <w:rsid w:val="0092259C"/>
    <w:rsid w:val="009227F6"/>
    <w:rsid w:val="009228A9"/>
    <w:rsid w:val="00923385"/>
    <w:rsid w:val="009234E2"/>
    <w:rsid w:val="00923EDA"/>
    <w:rsid w:val="009243BC"/>
    <w:rsid w:val="00925099"/>
    <w:rsid w:val="009261AF"/>
    <w:rsid w:val="00926AD0"/>
    <w:rsid w:val="00926F12"/>
    <w:rsid w:val="00927055"/>
    <w:rsid w:val="0092771A"/>
    <w:rsid w:val="009278B2"/>
    <w:rsid w:val="009278EB"/>
    <w:rsid w:val="00927984"/>
    <w:rsid w:val="00927C90"/>
    <w:rsid w:val="00927DE3"/>
    <w:rsid w:val="00930591"/>
    <w:rsid w:val="00930609"/>
    <w:rsid w:val="00930B72"/>
    <w:rsid w:val="0093110E"/>
    <w:rsid w:val="0093122C"/>
    <w:rsid w:val="009315FC"/>
    <w:rsid w:val="009316A9"/>
    <w:rsid w:val="009316C7"/>
    <w:rsid w:val="0093196E"/>
    <w:rsid w:val="00931A58"/>
    <w:rsid w:val="00932027"/>
    <w:rsid w:val="00932113"/>
    <w:rsid w:val="00932670"/>
    <w:rsid w:val="00932AD7"/>
    <w:rsid w:val="00932AFD"/>
    <w:rsid w:val="00932CA9"/>
    <w:rsid w:val="00932DAC"/>
    <w:rsid w:val="00932E71"/>
    <w:rsid w:val="009332E0"/>
    <w:rsid w:val="00933669"/>
    <w:rsid w:val="00933690"/>
    <w:rsid w:val="00933AC3"/>
    <w:rsid w:val="0093423C"/>
    <w:rsid w:val="00934641"/>
    <w:rsid w:val="00934A83"/>
    <w:rsid w:val="00934DE7"/>
    <w:rsid w:val="00934E11"/>
    <w:rsid w:val="00935130"/>
    <w:rsid w:val="00935153"/>
    <w:rsid w:val="009352C5"/>
    <w:rsid w:val="00935534"/>
    <w:rsid w:val="0093562F"/>
    <w:rsid w:val="00935727"/>
    <w:rsid w:val="0093573A"/>
    <w:rsid w:val="00935929"/>
    <w:rsid w:val="009359EE"/>
    <w:rsid w:val="00935D1C"/>
    <w:rsid w:val="00935DD0"/>
    <w:rsid w:val="00935F61"/>
    <w:rsid w:val="009360BB"/>
    <w:rsid w:val="00936493"/>
    <w:rsid w:val="009366CE"/>
    <w:rsid w:val="00936981"/>
    <w:rsid w:val="00936B1F"/>
    <w:rsid w:val="0093775C"/>
    <w:rsid w:val="00937887"/>
    <w:rsid w:val="009379F0"/>
    <w:rsid w:val="00937A54"/>
    <w:rsid w:val="00937A67"/>
    <w:rsid w:val="00937BEC"/>
    <w:rsid w:val="00940258"/>
    <w:rsid w:val="00940463"/>
    <w:rsid w:val="0094055F"/>
    <w:rsid w:val="009405FA"/>
    <w:rsid w:val="00940757"/>
    <w:rsid w:val="009407D4"/>
    <w:rsid w:val="00940DC6"/>
    <w:rsid w:val="00941639"/>
    <w:rsid w:val="00941A0C"/>
    <w:rsid w:val="00941A8A"/>
    <w:rsid w:val="00941B4B"/>
    <w:rsid w:val="00941FF5"/>
    <w:rsid w:val="009424D8"/>
    <w:rsid w:val="0094282B"/>
    <w:rsid w:val="00942B2E"/>
    <w:rsid w:val="00942DF0"/>
    <w:rsid w:val="00943238"/>
    <w:rsid w:val="00943429"/>
    <w:rsid w:val="00943463"/>
    <w:rsid w:val="00943464"/>
    <w:rsid w:val="009434EB"/>
    <w:rsid w:val="00943572"/>
    <w:rsid w:val="009438FA"/>
    <w:rsid w:val="00943CFE"/>
    <w:rsid w:val="00943D56"/>
    <w:rsid w:val="00943EE9"/>
    <w:rsid w:val="00943F5C"/>
    <w:rsid w:val="00943F96"/>
    <w:rsid w:val="00943FA2"/>
    <w:rsid w:val="00944494"/>
    <w:rsid w:val="0094494D"/>
    <w:rsid w:val="00944BA5"/>
    <w:rsid w:val="00944E59"/>
    <w:rsid w:val="00944FD3"/>
    <w:rsid w:val="009451D2"/>
    <w:rsid w:val="00945401"/>
    <w:rsid w:val="009456F4"/>
    <w:rsid w:val="009459F4"/>
    <w:rsid w:val="00945ABE"/>
    <w:rsid w:val="00945D0F"/>
    <w:rsid w:val="00945E58"/>
    <w:rsid w:val="00945F58"/>
    <w:rsid w:val="00946127"/>
    <w:rsid w:val="009465FE"/>
    <w:rsid w:val="009466A9"/>
    <w:rsid w:val="0094689D"/>
    <w:rsid w:val="00946907"/>
    <w:rsid w:val="00946991"/>
    <w:rsid w:val="00947607"/>
    <w:rsid w:val="0094760A"/>
    <w:rsid w:val="009477F9"/>
    <w:rsid w:val="00947F6B"/>
    <w:rsid w:val="009505EB"/>
    <w:rsid w:val="00950CAE"/>
    <w:rsid w:val="00951164"/>
    <w:rsid w:val="009512EC"/>
    <w:rsid w:val="0095141A"/>
    <w:rsid w:val="009517B8"/>
    <w:rsid w:val="00951807"/>
    <w:rsid w:val="009522A9"/>
    <w:rsid w:val="00952767"/>
    <w:rsid w:val="00952E7D"/>
    <w:rsid w:val="0095315A"/>
    <w:rsid w:val="009534DD"/>
    <w:rsid w:val="009535C2"/>
    <w:rsid w:val="0095369D"/>
    <w:rsid w:val="00953A73"/>
    <w:rsid w:val="0095432C"/>
    <w:rsid w:val="00954747"/>
    <w:rsid w:val="00954BB2"/>
    <w:rsid w:val="00954D5A"/>
    <w:rsid w:val="009551A8"/>
    <w:rsid w:val="00955540"/>
    <w:rsid w:val="00955665"/>
    <w:rsid w:val="00955A76"/>
    <w:rsid w:val="00955BFB"/>
    <w:rsid w:val="00955C1A"/>
    <w:rsid w:val="00956116"/>
    <w:rsid w:val="009562CC"/>
    <w:rsid w:val="00956984"/>
    <w:rsid w:val="009569BE"/>
    <w:rsid w:val="009569E3"/>
    <w:rsid w:val="00956B6C"/>
    <w:rsid w:val="00957031"/>
    <w:rsid w:val="00957932"/>
    <w:rsid w:val="00957B5B"/>
    <w:rsid w:val="009601CB"/>
    <w:rsid w:val="00960349"/>
    <w:rsid w:val="0096059A"/>
    <w:rsid w:val="0096081E"/>
    <w:rsid w:val="0096095E"/>
    <w:rsid w:val="00960C64"/>
    <w:rsid w:val="00960D39"/>
    <w:rsid w:val="00960F7E"/>
    <w:rsid w:val="009611A5"/>
    <w:rsid w:val="00961279"/>
    <w:rsid w:val="0096193B"/>
    <w:rsid w:val="00961B25"/>
    <w:rsid w:val="00961BB2"/>
    <w:rsid w:val="009622A5"/>
    <w:rsid w:val="0096267A"/>
    <w:rsid w:val="0096270D"/>
    <w:rsid w:val="00962879"/>
    <w:rsid w:val="009629FE"/>
    <w:rsid w:val="00963188"/>
    <w:rsid w:val="00963240"/>
    <w:rsid w:val="00963957"/>
    <w:rsid w:val="00963B82"/>
    <w:rsid w:val="00964475"/>
    <w:rsid w:val="00964A6E"/>
    <w:rsid w:val="00964FB4"/>
    <w:rsid w:val="00965713"/>
    <w:rsid w:val="0096582E"/>
    <w:rsid w:val="00965DAE"/>
    <w:rsid w:val="009662BB"/>
    <w:rsid w:val="00966514"/>
    <w:rsid w:val="009666BD"/>
    <w:rsid w:val="00966B91"/>
    <w:rsid w:val="00966BE3"/>
    <w:rsid w:val="00966BFB"/>
    <w:rsid w:val="00966CC2"/>
    <w:rsid w:val="00966FF8"/>
    <w:rsid w:val="0096744A"/>
    <w:rsid w:val="0096749A"/>
    <w:rsid w:val="00967CDA"/>
    <w:rsid w:val="00967E59"/>
    <w:rsid w:val="00970048"/>
    <w:rsid w:val="00970549"/>
    <w:rsid w:val="00970999"/>
    <w:rsid w:val="009713C4"/>
    <w:rsid w:val="00971647"/>
    <w:rsid w:val="00971831"/>
    <w:rsid w:val="00971CAF"/>
    <w:rsid w:val="00971F8D"/>
    <w:rsid w:val="0097216D"/>
    <w:rsid w:val="0097218A"/>
    <w:rsid w:val="00972D8F"/>
    <w:rsid w:val="00973C2B"/>
    <w:rsid w:val="00974255"/>
    <w:rsid w:val="0097437B"/>
    <w:rsid w:val="0097441E"/>
    <w:rsid w:val="00975466"/>
    <w:rsid w:val="00975740"/>
    <w:rsid w:val="00975756"/>
    <w:rsid w:val="009758AA"/>
    <w:rsid w:val="00975990"/>
    <w:rsid w:val="00975AF6"/>
    <w:rsid w:val="00975BED"/>
    <w:rsid w:val="00975FB0"/>
    <w:rsid w:val="009762C7"/>
    <w:rsid w:val="0097670F"/>
    <w:rsid w:val="00976BD6"/>
    <w:rsid w:val="00976C61"/>
    <w:rsid w:val="00976E84"/>
    <w:rsid w:val="00977057"/>
    <w:rsid w:val="0097710C"/>
    <w:rsid w:val="009775E0"/>
    <w:rsid w:val="00977AA1"/>
    <w:rsid w:val="009801B1"/>
    <w:rsid w:val="009803EC"/>
    <w:rsid w:val="00980BC3"/>
    <w:rsid w:val="00980DC7"/>
    <w:rsid w:val="00981215"/>
    <w:rsid w:val="009812AC"/>
    <w:rsid w:val="009812FC"/>
    <w:rsid w:val="009813BF"/>
    <w:rsid w:val="009816E3"/>
    <w:rsid w:val="009819CD"/>
    <w:rsid w:val="00981AC2"/>
    <w:rsid w:val="00982032"/>
    <w:rsid w:val="00982332"/>
    <w:rsid w:val="009824DD"/>
    <w:rsid w:val="00982C0D"/>
    <w:rsid w:val="00983028"/>
    <w:rsid w:val="009834ED"/>
    <w:rsid w:val="00983D98"/>
    <w:rsid w:val="00984295"/>
    <w:rsid w:val="009844B4"/>
    <w:rsid w:val="0098453B"/>
    <w:rsid w:val="0098461D"/>
    <w:rsid w:val="009849BE"/>
    <w:rsid w:val="00984BB9"/>
    <w:rsid w:val="00984D82"/>
    <w:rsid w:val="00985587"/>
    <w:rsid w:val="0098568D"/>
    <w:rsid w:val="0098572B"/>
    <w:rsid w:val="00985AEC"/>
    <w:rsid w:val="00985BC0"/>
    <w:rsid w:val="00985CB0"/>
    <w:rsid w:val="00985CDA"/>
    <w:rsid w:val="0098603A"/>
    <w:rsid w:val="00986137"/>
    <w:rsid w:val="00986B96"/>
    <w:rsid w:val="0098740B"/>
    <w:rsid w:val="00987506"/>
    <w:rsid w:val="00987512"/>
    <w:rsid w:val="00987985"/>
    <w:rsid w:val="00987C6F"/>
    <w:rsid w:val="00990117"/>
    <w:rsid w:val="0099018C"/>
    <w:rsid w:val="00990708"/>
    <w:rsid w:val="00990718"/>
    <w:rsid w:val="00990C3D"/>
    <w:rsid w:val="00990F5C"/>
    <w:rsid w:val="00991200"/>
    <w:rsid w:val="009914A3"/>
    <w:rsid w:val="0099199D"/>
    <w:rsid w:val="00991AE9"/>
    <w:rsid w:val="00991B9A"/>
    <w:rsid w:val="00991D9A"/>
    <w:rsid w:val="00992110"/>
    <w:rsid w:val="0099238D"/>
    <w:rsid w:val="0099242C"/>
    <w:rsid w:val="0099244D"/>
    <w:rsid w:val="009927D8"/>
    <w:rsid w:val="00992837"/>
    <w:rsid w:val="00992A01"/>
    <w:rsid w:val="00993499"/>
    <w:rsid w:val="009934DB"/>
    <w:rsid w:val="009939CB"/>
    <w:rsid w:val="00993B07"/>
    <w:rsid w:val="00993D95"/>
    <w:rsid w:val="00994409"/>
    <w:rsid w:val="009945C0"/>
    <w:rsid w:val="00994879"/>
    <w:rsid w:val="009948FE"/>
    <w:rsid w:val="009949AE"/>
    <w:rsid w:val="00994D20"/>
    <w:rsid w:val="00994D3D"/>
    <w:rsid w:val="00995267"/>
    <w:rsid w:val="009952D8"/>
    <w:rsid w:val="009952F4"/>
    <w:rsid w:val="00995756"/>
    <w:rsid w:val="00995B58"/>
    <w:rsid w:val="00995B8C"/>
    <w:rsid w:val="00995C53"/>
    <w:rsid w:val="00995E08"/>
    <w:rsid w:val="00995E5A"/>
    <w:rsid w:val="009961EF"/>
    <w:rsid w:val="00996468"/>
    <w:rsid w:val="009966AD"/>
    <w:rsid w:val="009967AF"/>
    <w:rsid w:val="00996D27"/>
    <w:rsid w:val="00997125"/>
    <w:rsid w:val="00997F39"/>
    <w:rsid w:val="009A0208"/>
    <w:rsid w:val="009A03AC"/>
    <w:rsid w:val="009A0574"/>
    <w:rsid w:val="009A0B05"/>
    <w:rsid w:val="009A0BE4"/>
    <w:rsid w:val="009A0C34"/>
    <w:rsid w:val="009A0DCD"/>
    <w:rsid w:val="009A1089"/>
    <w:rsid w:val="009A15C0"/>
    <w:rsid w:val="009A19DF"/>
    <w:rsid w:val="009A19F4"/>
    <w:rsid w:val="009A1B80"/>
    <w:rsid w:val="009A1D3F"/>
    <w:rsid w:val="009A1DCF"/>
    <w:rsid w:val="009A1F44"/>
    <w:rsid w:val="009A21EE"/>
    <w:rsid w:val="009A24A0"/>
    <w:rsid w:val="009A253B"/>
    <w:rsid w:val="009A2A20"/>
    <w:rsid w:val="009A3205"/>
    <w:rsid w:val="009A346F"/>
    <w:rsid w:val="009A3C6E"/>
    <w:rsid w:val="009A3CC7"/>
    <w:rsid w:val="009A3DA2"/>
    <w:rsid w:val="009A426A"/>
    <w:rsid w:val="009A49BD"/>
    <w:rsid w:val="009A4B92"/>
    <w:rsid w:val="009A4E70"/>
    <w:rsid w:val="009A54A0"/>
    <w:rsid w:val="009A5F39"/>
    <w:rsid w:val="009A640C"/>
    <w:rsid w:val="009A671A"/>
    <w:rsid w:val="009A6A04"/>
    <w:rsid w:val="009A6A34"/>
    <w:rsid w:val="009A707C"/>
    <w:rsid w:val="009A74C7"/>
    <w:rsid w:val="009A7805"/>
    <w:rsid w:val="009A78A6"/>
    <w:rsid w:val="009A7BB0"/>
    <w:rsid w:val="009B01AE"/>
    <w:rsid w:val="009B04F2"/>
    <w:rsid w:val="009B0A43"/>
    <w:rsid w:val="009B0EAE"/>
    <w:rsid w:val="009B123D"/>
    <w:rsid w:val="009B12D4"/>
    <w:rsid w:val="009B19AB"/>
    <w:rsid w:val="009B1C1B"/>
    <w:rsid w:val="009B1DC8"/>
    <w:rsid w:val="009B1E55"/>
    <w:rsid w:val="009B1FF8"/>
    <w:rsid w:val="009B22AC"/>
    <w:rsid w:val="009B23BE"/>
    <w:rsid w:val="009B2486"/>
    <w:rsid w:val="009B2D28"/>
    <w:rsid w:val="009B2DE4"/>
    <w:rsid w:val="009B35B9"/>
    <w:rsid w:val="009B35BF"/>
    <w:rsid w:val="009B438B"/>
    <w:rsid w:val="009B4530"/>
    <w:rsid w:val="009B4C28"/>
    <w:rsid w:val="009B4C3E"/>
    <w:rsid w:val="009B4D2F"/>
    <w:rsid w:val="009B5038"/>
    <w:rsid w:val="009B56BE"/>
    <w:rsid w:val="009B573C"/>
    <w:rsid w:val="009B5C8F"/>
    <w:rsid w:val="009B6071"/>
    <w:rsid w:val="009B624C"/>
    <w:rsid w:val="009B6563"/>
    <w:rsid w:val="009B65D5"/>
    <w:rsid w:val="009B6E0F"/>
    <w:rsid w:val="009B6EF9"/>
    <w:rsid w:val="009B7356"/>
    <w:rsid w:val="009B75BD"/>
    <w:rsid w:val="009B78A7"/>
    <w:rsid w:val="009B7A30"/>
    <w:rsid w:val="009B7A8A"/>
    <w:rsid w:val="009B7CFD"/>
    <w:rsid w:val="009C03A2"/>
    <w:rsid w:val="009C0439"/>
    <w:rsid w:val="009C099B"/>
    <w:rsid w:val="009C0B86"/>
    <w:rsid w:val="009C113F"/>
    <w:rsid w:val="009C1832"/>
    <w:rsid w:val="009C1937"/>
    <w:rsid w:val="009C1978"/>
    <w:rsid w:val="009C1ADB"/>
    <w:rsid w:val="009C21E3"/>
    <w:rsid w:val="009C27DB"/>
    <w:rsid w:val="009C353A"/>
    <w:rsid w:val="009C36D1"/>
    <w:rsid w:val="009C37BF"/>
    <w:rsid w:val="009C3803"/>
    <w:rsid w:val="009C38AD"/>
    <w:rsid w:val="009C398A"/>
    <w:rsid w:val="009C39D9"/>
    <w:rsid w:val="009C407C"/>
    <w:rsid w:val="009C4676"/>
    <w:rsid w:val="009C4ADF"/>
    <w:rsid w:val="009C5220"/>
    <w:rsid w:val="009C5263"/>
    <w:rsid w:val="009C576C"/>
    <w:rsid w:val="009C5BB9"/>
    <w:rsid w:val="009C5FC3"/>
    <w:rsid w:val="009C60E9"/>
    <w:rsid w:val="009C6629"/>
    <w:rsid w:val="009C671C"/>
    <w:rsid w:val="009C6881"/>
    <w:rsid w:val="009C6EB9"/>
    <w:rsid w:val="009C77CA"/>
    <w:rsid w:val="009C7896"/>
    <w:rsid w:val="009C79FD"/>
    <w:rsid w:val="009C7E85"/>
    <w:rsid w:val="009D014A"/>
    <w:rsid w:val="009D0530"/>
    <w:rsid w:val="009D0843"/>
    <w:rsid w:val="009D0C23"/>
    <w:rsid w:val="009D0CF4"/>
    <w:rsid w:val="009D0D52"/>
    <w:rsid w:val="009D140A"/>
    <w:rsid w:val="009D1655"/>
    <w:rsid w:val="009D16C5"/>
    <w:rsid w:val="009D1A74"/>
    <w:rsid w:val="009D1A85"/>
    <w:rsid w:val="009D1C65"/>
    <w:rsid w:val="009D1E9D"/>
    <w:rsid w:val="009D21D4"/>
    <w:rsid w:val="009D228D"/>
    <w:rsid w:val="009D2B87"/>
    <w:rsid w:val="009D2C76"/>
    <w:rsid w:val="009D2CDC"/>
    <w:rsid w:val="009D3079"/>
    <w:rsid w:val="009D313C"/>
    <w:rsid w:val="009D39E1"/>
    <w:rsid w:val="009D3D90"/>
    <w:rsid w:val="009D4060"/>
    <w:rsid w:val="009D43C4"/>
    <w:rsid w:val="009D4549"/>
    <w:rsid w:val="009D47C3"/>
    <w:rsid w:val="009D4831"/>
    <w:rsid w:val="009D4AF8"/>
    <w:rsid w:val="009D4C5D"/>
    <w:rsid w:val="009D5B6B"/>
    <w:rsid w:val="009D5C28"/>
    <w:rsid w:val="009D60AC"/>
    <w:rsid w:val="009D645F"/>
    <w:rsid w:val="009D6D3F"/>
    <w:rsid w:val="009D6FC5"/>
    <w:rsid w:val="009D7410"/>
    <w:rsid w:val="009D7601"/>
    <w:rsid w:val="009D7622"/>
    <w:rsid w:val="009E0004"/>
    <w:rsid w:val="009E055D"/>
    <w:rsid w:val="009E060E"/>
    <w:rsid w:val="009E085A"/>
    <w:rsid w:val="009E09DF"/>
    <w:rsid w:val="009E0AA4"/>
    <w:rsid w:val="009E0BE2"/>
    <w:rsid w:val="009E0BF9"/>
    <w:rsid w:val="009E0D0F"/>
    <w:rsid w:val="009E137C"/>
    <w:rsid w:val="009E188B"/>
    <w:rsid w:val="009E1908"/>
    <w:rsid w:val="009E1A9B"/>
    <w:rsid w:val="009E1DA0"/>
    <w:rsid w:val="009E2016"/>
    <w:rsid w:val="009E2463"/>
    <w:rsid w:val="009E2611"/>
    <w:rsid w:val="009E262E"/>
    <w:rsid w:val="009E2A52"/>
    <w:rsid w:val="009E2A77"/>
    <w:rsid w:val="009E2B4C"/>
    <w:rsid w:val="009E2C55"/>
    <w:rsid w:val="009E2E3F"/>
    <w:rsid w:val="009E2FAC"/>
    <w:rsid w:val="009E3E24"/>
    <w:rsid w:val="009E44A4"/>
    <w:rsid w:val="009E4A34"/>
    <w:rsid w:val="009E4DC4"/>
    <w:rsid w:val="009E4E3B"/>
    <w:rsid w:val="009E5187"/>
    <w:rsid w:val="009E59F4"/>
    <w:rsid w:val="009E5C70"/>
    <w:rsid w:val="009E5DD3"/>
    <w:rsid w:val="009E5EDA"/>
    <w:rsid w:val="009E610A"/>
    <w:rsid w:val="009E61B0"/>
    <w:rsid w:val="009E622E"/>
    <w:rsid w:val="009E62A8"/>
    <w:rsid w:val="009E6387"/>
    <w:rsid w:val="009E63F0"/>
    <w:rsid w:val="009E7209"/>
    <w:rsid w:val="009E75F6"/>
    <w:rsid w:val="009E760A"/>
    <w:rsid w:val="009E7BB1"/>
    <w:rsid w:val="009E7BCD"/>
    <w:rsid w:val="009E7BFC"/>
    <w:rsid w:val="009E7CC4"/>
    <w:rsid w:val="009E7D13"/>
    <w:rsid w:val="009F012F"/>
    <w:rsid w:val="009F0217"/>
    <w:rsid w:val="009F05AC"/>
    <w:rsid w:val="009F0707"/>
    <w:rsid w:val="009F086C"/>
    <w:rsid w:val="009F09BE"/>
    <w:rsid w:val="009F1191"/>
    <w:rsid w:val="009F11E5"/>
    <w:rsid w:val="009F1443"/>
    <w:rsid w:val="009F1448"/>
    <w:rsid w:val="009F1656"/>
    <w:rsid w:val="009F1778"/>
    <w:rsid w:val="009F1949"/>
    <w:rsid w:val="009F1EB0"/>
    <w:rsid w:val="009F1EEE"/>
    <w:rsid w:val="009F1F3F"/>
    <w:rsid w:val="009F2131"/>
    <w:rsid w:val="009F239C"/>
    <w:rsid w:val="009F274F"/>
    <w:rsid w:val="009F2E88"/>
    <w:rsid w:val="009F2F51"/>
    <w:rsid w:val="009F39A1"/>
    <w:rsid w:val="009F3EDA"/>
    <w:rsid w:val="009F3FE4"/>
    <w:rsid w:val="009F43DD"/>
    <w:rsid w:val="009F4740"/>
    <w:rsid w:val="009F4825"/>
    <w:rsid w:val="009F49FF"/>
    <w:rsid w:val="009F5594"/>
    <w:rsid w:val="009F560B"/>
    <w:rsid w:val="009F583E"/>
    <w:rsid w:val="009F58DD"/>
    <w:rsid w:val="009F5AC4"/>
    <w:rsid w:val="009F5CE6"/>
    <w:rsid w:val="009F60E0"/>
    <w:rsid w:val="009F6200"/>
    <w:rsid w:val="009F68A3"/>
    <w:rsid w:val="009F6B75"/>
    <w:rsid w:val="009F6F03"/>
    <w:rsid w:val="009F6F3D"/>
    <w:rsid w:val="009F7178"/>
    <w:rsid w:val="009F71A2"/>
    <w:rsid w:val="009F71FD"/>
    <w:rsid w:val="009F74DB"/>
    <w:rsid w:val="009F77DF"/>
    <w:rsid w:val="009F7813"/>
    <w:rsid w:val="009F7930"/>
    <w:rsid w:val="009F7F8E"/>
    <w:rsid w:val="00A00140"/>
    <w:rsid w:val="00A00221"/>
    <w:rsid w:val="00A00437"/>
    <w:rsid w:val="00A00792"/>
    <w:rsid w:val="00A00BCB"/>
    <w:rsid w:val="00A00DDA"/>
    <w:rsid w:val="00A012A7"/>
    <w:rsid w:val="00A01385"/>
    <w:rsid w:val="00A016A9"/>
    <w:rsid w:val="00A01A18"/>
    <w:rsid w:val="00A01B9D"/>
    <w:rsid w:val="00A01E84"/>
    <w:rsid w:val="00A0201C"/>
    <w:rsid w:val="00A0231A"/>
    <w:rsid w:val="00A02C0A"/>
    <w:rsid w:val="00A03068"/>
    <w:rsid w:val="00A03652"/>
    <w:rsid w:val="00A03A2A"/>
    <w:rsid w:val="00A03AFF"/>
    <w:rsid w:val="00A03E4B"/>
    <w:rsid w:val="00A03EB2"/>
    <w:rsid w:val="00A047DA"/>
    <w:rsid w:val="00A0480E"/>
    <w:rsid w:val="00A04844"/>
    <w:rsid w:val="00A04982"/>
    <w:rsid w:val="00A04AA0"/>
    <w:rsid w:val="00A051EA"/>
    <w:rsid w:val="00A0588A"/>
    <w:rsid w:val="00A05CA6"/>
    <w:rsid w:val="00A05CF4"/>
    <w:rsid w:val="00A063F5"/>
    <w:rsid w:val="00A06990"/>
    <w:rsid w:val="00A06DC4"/>
    <w:rsid w:val="00A06ED8"/>
    <w:rsid w:val="00A06F9D"/>
    <w:rsid w:val="00A070D9"/>
    <w:rsid w:val="00A07301"/>
    <w:rsid w:val="00A0738D"/>
    <w:rsid w:val="00A07570"/>
    <w:rsid w:val="00A10103"/>
    <w:rsid w:val="00A1054B"/>
    <w:rsid w:val="00A10BC9"/>
    <w:rsid w:val="00A11104"/>
    <w:rsid w:val="00A11137"/>
    <w:rsid w:val="00A111EA"/>
    <w:rsid w:val="00A1135E"/>
    <w:rsid w:val="00A11447"/>
    <w:rsid w:val="00A11555"/>
    <w:rsid w:val="00A115D6"/>
    <w:rsid w:val="00A1193E"/>
    <w:rsid w:val="00A11993"/>
    <w:rsid w:val="00A11A81"/>
    <w:rsid w:val="00A11B67"/>
    <w:rsid w:val="00A11D49"/>
    <w:rsid w:val="00A11DEE"/>
    <w:rsid w:val="00A11F14"/>
    <w:rsid w:val="00A120EE"/>
    <w:rsid w:val="00A12A38"/>
    <w:rsid w:val="00A12A97"/>
    <w:rsid w:val="00A12B28"/>
    <w:rsid w:val="00A13177"/>
    <w:rsid w:val="00A136F2"/>
    <w:rsid w:val="00A1374B"/>
    <w:rsid w:val="00A13EAB"/>
    <w:rsid w:val="00A14E33"/>
    <w:rsid w:val="00A1520C"/>
    <w:rsid w:val="00A15545"/>
    <w:rsid w:val="00A1602B"/>
    <w:rsid w:val="00A162DF"/>
    <w:rsid w:val="00A16324"/>
    <w:rsid w:val="00A17013"/>
    <w:rsid w:val="00A17140"/>
    <w:rsid w:val="00A179FB"/>
    <w:rsid w:val="00A17AF1"/>
    <w:rsid w:val="00A17B4D"/>
    <w:rsid w:val="00A17B91"/>
    <w:rsid w:val="00A17BE0"/>
    <w:rsid w:val="00A2008D"/>
    <w:rsid w:val="00A20220"/>
    <w:rsid w:val="00A2055E"/>
    <w:rsid w:val="00A20CAE"/>
    <w:rsid w:val="00A21676"/>
    <w:rsid w:val="00A21C7C"/>
    <w:rsid w:val="00A22532"/>
    <w:rsid w:val="00A225DB"/>
    <w:rsid w:val="00A225EA"/>
    <w:rsid w:val="00A23269"/>
    <w:rsid w:val="00A23DCC"/>
    <w:rsid w:val="00A23F95"/>
    <w:rsid w:val="00A24090"/>
    <w:rsid w:val="00A247C9"/>
    <w:rsid w:val="00A24C51"/>
    <w:rsid w:val="00A252DC"/>
    <w:rsid w:val="00A253BE"/>
    <w:rsid w:val="00A256A9"/>
    <w:rsid w:val="00A25A23"/>
    <w:rsid w:val="00A25DBE"/>
    <w:rsid w:val="00A25E6E"/>
    <w:rsid w:val="00A26159"/>
    <w:rsid w:val="00A26462"/>
    <w:rsid w:val="00A26700"/>
    <w:rsid w:val="00A26B21"/>
    <w:rsid w:val="00A26E73"/>
    <w:rsid w:val="00A274D4"/>
    <w:rsid w:val="00A274E2"/>
    <w:rsid w:val="00A27A34"/>
    <w:rsid w:val="00A27A8A"/>
    <w:rsid w:val="00A27BE4"/>
    <w:rsid w:val="00A303FB"/>
    <w:rsid w:val="00A30527"/>
    <w:rsid w:val="00A3072C"/>
    <w:rsid w:val="00A30B16"/>
    <w:rsid w:val="00A30B97"/>
    <w:rsid w:val="00A30DFC"/>
    <w:rsid w:val="00A31193"/>
    <w:rsid w:val="00A312FC"/>
    <w:rsid w:val="00A31361"/>
    <w:rsid w:val="00A3170B"/>
    <w:rsid w:val="00A31782"/>
    <w:rsid w:val="00A3194F"/>
    <w:rsid w:val="00A31F9A"/>
    <w:rsid w:val="00A31FF4"/>
    <w:rsid w:val="00A32429"/>
    <w:rsid w:val="00A3288D"/>
    <w:rsid w:val="00A3300A"/>
    <w:rsid w:val="00A3307A"/>
    <w:rsid w:val="00A33111"/>
    <w:rsid w:val="00A33A21"/>
    <w:rsid w:val="00A33B8A"/>
    <w:rsid w:val="00A344D2"/>
    <w:rsid w:val="00A34BDA"/>
    <w:rsid w:val="00A35896"/>
    <w:rsid w:val="00A358DC"/>
    <w:rsid w:val="00A35A91"/>
    <w:rsid w:val="00A35C57"/>
    <w:rsid w:val="00A35DEC"/>
    <w:rsid w:val="00A35FDB"/>
    <w:rsid w:val="00A362FE"/>
    <w:rsid w:val="00A36EC0"/>
    <w:rsid w:val="00A37357"/>
    <w:rsid w:val="00A373D8"/>
    <w:rsid w:val="00A374BC"/>
    <w:rsid w:val="00A375B5"/>
    <w:rsid w:val="00A37704"/>
    <w:rsid w:val="00A37719"/>
    <w:rsid w:val="00A37AA5"/>
    <w:rsid w:val="00A37D1B"/>
    <w:rsid w:val="00A37DD6"/>
    <w:rsid w:val="00A40089"/>
    <w:rsid w:val="00A402F9"/>
    <w:rsid w:val="00A40459"/>
    <w:rsid w:val="00A4088D"/>
    <w:rsid w:val="00A408A1"/>
    <w:rsid w:val="00A40E5F"/>
    <w:rsid w:val="00A40EC0"/>
    <w:rsid w:val="00A411CC"/>
    <w:rsid w:val="00A4164A"/>
    <w:rsid w:val="00A41C3D"/>
    <w:rsid w:val="00A41F2E"/>
    <w:rsid w:val="00A42055"/>
    <w:rsid w:val="00A42463"/>
    <w:rsid w:val="00A42883"/>
    <w:rsid w:val="00A42F47"/>
    <w:rsid w:val="00A432A0"/>
    <w:rsid w:val="00A4354B"/>
    <w:rsid w:val="00A43A5C"/>
    <w:rsid w:val="00A43F0A"/>
    <w:rsid w:val="00A43F61"/>
    <w:rsid w:val="00A43FF9"/>
    <w:rsid w:val="00A44082"/>
    <w:rsid w:val="00A44220"/>
    <w:rsid w:val="00A44FC7"/>
    <w:rsid w:val="00A45207"/>
    <w:rsid w:val="00A454DA"/>
    <w:rsid w:val="00A457C1"/>
    <w:rsid w:val="00A457E2"/>
    <w:rsid w:val="00A45944"/>
    <w:rsid w:val="00A46084"/>
    <w:rsid w:val="00A46305"/>
    <w:rsid w:val="00A465E9"/>
    <w:rsid w:val="00A468F2"/>
    <w:rsid w:val="00A46A4B"/>
    <w:rsid w:val="00A46AD0"/>
    <w:rsid w:val="00A46EDA"/>
    <w:rsid w:val="00A470C6"/>
    <w:rsid w:val="00A47757"/>
    <w:rsid w:val="00A47774"/>
    <w:rsid w:val="00A4784D"/>
    <w:rsid w:val="00A47BC1"/>
    <w:rsid w:val="00A47D14"/>
    <w:rsid w:val="00A50702"/>
    <w:rsid w:val="00A5077D"/>
    <w:rsid w:val="00A50899"/>
    <w:rsid w:val="00A50C78"/>
    <w:rsid w:val="00A50D1E"/>
    <w:rsid w:val="00A51049"/>
    <w:rsid w:val="00A51084"/>
    <w:rsid w:val="00A51124"/>
    <w:rsid w:val="00A512A2"/>
    <w:rsid w:val="00A5175F"/>
    <w:rsid w:val="00A51875"/>
    <w:rsid w:val="00A518F7"/>
    <w:rsid w:val="00A51996"/>
    <w:rsid w:val="00A51A4B"/>
    <w:rsid w:val="00A5216F"/>
    <w:rsid w:val="00A52254"/>
    <w:rsid w:val="00A52401"/>
    <w:rsid w:val="00A5287D"/>
    <w:rsid w:val="00A529D4"/>
    <w:rsid w:val="00A52A27"/>
    <w:rsid w:val="00A52C1C"/>
    <w:rsid w:val="00A52D7C"/>
    <w:rsid w:val="00A52E0E"/>
    <w:rsid w:val="00A52ECC"/>
    <w:rsid w:val="00A53131"/>
    <w:rsid w:val="00A536FC"/>
    <w:rsid w:val="00A5419C"/>
    <w:rsid w:val="00A54370"/>
    <w:rsid w:val="00A54C42"/>
    <w:rsid w:val="00A550F7"/>
    <w:rsid w:val="00A5567D"/>
    <w:rsid w:val="00A55BF7"/>
    <w:rsid w:val="00A562BE"/>
    <w:rsid w:val="00A568ED"/>
    <w:rsid w:val="00A56A4F"/>
    <w:rsid w:val="00A56DDE"/>
    <w:rsid w:val="00A5746C"/>
    <w:rsid w:val="00A5773B"/>
    <w:rsid w:val="00A5787F"/>
    <w:rsid w:val="00A57C06"/>
    <w:rsid w:val="00A57E73"/>
    <w:rsid w:val="00A600F7"/>
    <w:rsid w:val="00A601FA"/>
    <w:rsid w:val="00A603C5"/>
    <w:rsid w:val="00A60436"/>
    <w:rsid w:val="00A6052E"/>
    <w:rsid w:val="00A60601"/>
    <w:rsid w:val="00A607D9"/>
    <w:rsid w:val="00A6080A"/>
    <w:rsid w:val="00A60A03"/>
    <w:rsid w:val="00A60C3A"/>
    <w:rsid w:val="00A6104C"/>
    <w:rsid w:val="00A61C35"/>
    <w:rsid w:val="00A621B7"/>
    <w:rsid w:val="00A62DC7"/>
    <w:rsid w:val="00A63037"/>
    <w:rsid w:val="00A6323E"/>
    <w:rsid w:val="00A63277"/>
    <w:rsid w:val="00A633D2"/>
    <w:rsid w:val="00A6351C"/>
    <w:rsid w:val="00A638B4"/>
    <w:rsid w:val="00A63914"/>
    <w:rsid w:val="00A63ADC"/>
    <w:rsid w:val="00A63AF3"/>
    <w:rsid w:val="00A63C03"/>
    <w:rsid w:val="00A64173"/>
    <w:rsid w:val="00A6419E"/>
    <w:rsid w:val="00A64E32"/>
    <w:rsid w:val="00A64E8C"/>
    <w:rsid w:val="00A64EF8"/>
    <w:rsid w:val="00A65B0A"/>
    <w:rsid w:val="00A65CE4"/>
    <w:rsid w:val="00A65E01"/>
    <w:rsid w:val="00A6619D"/>
    <w:rsid w:val="00A66203"/>
    <w:rsid w:val="00A664B6"/>
    <w:rsid w:val="00A6677B"/>
    <w:rsid w:val="00A66B3F"/>
    <w:rsid w:val="00A66CE9"/>
    <w:rsid w:val="00A67D1C"/>
    <w:rsid w:val="00A67F0E"/>
    <w:rsid w:val="00A702BB"/>
    <w:rsid w:val="00A703DF"/>
    <w:rsid w:val="00A70BB5"/>
    <w:rsid w:val="00A70F1D"/>
    <w:rsid w:val="00A70FB9"/>
    <w:rsid w:val="00A70FE6"/>
    <w:rsid w:val="00A710AC"/>
    <w:rsid w:val="00A71316"/>
    <w:rsid w:val="00A7177F"/>
    <w:rsid w:val="00A717AD"/>
    <w:rsid w:val="00A7186E"/>
    <w:rsid w:val="00A71CBF"/>
    <w:rsid w:val="00A71E09"/>
    <w:rsid w:val="00A71FC9"/>
    <w:rsid w:val="00A7218D"/>
    <w:rsid w:val="00A725DB"/>
    <w:rsid w:val="00A72980"/>
    <w:rsid w:val="00A729FA"/>
    <w:rsid w:val="00A72A6F"/>
    <w:rsid w:val="00A72C03"/>
    <w:rsid w:val="00A733FB"/>
    <w:rsid w:val="00A73738"/>
    <w:rsid w:val="00A73D7C"/>
    <w:rsid w:val="00A73E8F"/>
    <w:rsid w:val="00A747DC"/>
    <w:rsid w:val="00A74A82"/>
    <w:rsid w:val="00A74D4E"/>
    <w:rsid w:val="00A74DFA"/>
    <w:rsid w:val="00A752A2"/>
    <w:rsid w:val="00A75301"/>
    <w:rsid w:val="00A753BD"/>
    <w:rsid w:val="00A758B9"/>
    <w:rsid w:val="00A758BE"/>
    <w:rsid w:val="00A758EA"/>
    <w:rsid w:val="00A7598F"/>
    <w:rsid w:val="00A75D0C"/>
    <w:rsid w:val="00A75D7A"/>
    <w:rsid w:val="00A761EE"/>
    <w:rsid w:val="00A766DD"/>
    <w:rsid w:val="00A76A99"/>
    <w:rsid w:val="00A76B33"/>
    <w:rsid w:val="00A76FA4"/>
    <w:rsid w:val="00A777C4"/>
    <w:rsid w:val="00A7783C"/>
    <w:rsid w:val="00A77840"/>
    <w:rsid w:val="00A77933"/>
    <w:rsid w:val="00A77F98"/>
    <w:rsid w:val="00A77FCB"/>
    <w:rsid w:val="00A80559"/>
    <w:rsid w:val="00A80813"/>
    <w:rsid w:val="00A80EA4"/>
    <w:rsid w:val="00A8115F"/>
    <w:rsid w:val="00A819DD"/>
    <w:rsid w:val="00A81C95"/>
    <w:rsid w:val="00A81DE0"/>
    <w:rsid w:val="00A81F01"/>
    <w:rsid w:val="00A827D6"/>
    <w:rsid w:val="00A8297E"/>
    <w:rsid w:val="00A82D4D"/>
    <w:rsid w:val="00A8367F"/>
    <w:rsid w:val="00A83A16"/>
    <w:rsid w:val="00A83CA5"/>
    <w:rsid w:val="00A83DCF"/>
    <w:rsid w:val="00A83ECA"/>
    <w:rsid w:val="00A84336"/>
    <w:rsid w:val="00A8457A"/>
    <w:rsid w:val="00A846D6"/>
    <w:rsid w:val="00A84863"/>
    <w:rsid w:val="00A84EAD"/>
    <w:rsid w:val="00A84EBD"/>
    <w:rsid w:val="00A84EDD"/>
    <w:rsid w:val="00A84F34"/>
    <w:rsid w:val="00A856EE"/>
    <w:rsid w:val="00A8620E"/>
    <w:rsid w:val="00A86499"/>
    <w:rsid w:val="00A864E9"/>
    <w:rsid w:val="00A86521"/>
    <w:rsid w:val="00A86827"/>
    <w:rsid w:val="00A86CC9"/>
    <w:rsid w:val="00A8730E"/>
    <w:rsid w:val="00A8749C"/>
    <w:rsid w:val="00A87673"/>
    <w:rsid w:val="00A87906"/>
    <w:rsid w:val="00A87958"/>
    <w:rsid w:val="00A87E75"/>
    <w:rsid w:val="00A87E9E"/>
    <w:rsid w:val="00A901BE"/>
    <w:rsid w:val="00A904E2"/>
    <w:rsid w:val="00A90B99"/>
    <w:rsid w:val="00A90D2E"/>
    <w:rsid w:val="00A911B5"/>
    <w:rsid w:val="00A912E7"/>
    <w:rsid w:val="00A91B6C"/>
    <w:rsid w:val="00A91E97"/>
    <w:rsid w:val="00A928A6"/>
    <w:rsid w:val="00A92BCF"/>
    <w:rsid w:val="00A92C1A"/>
    <w:rsid w:val="00A92E80"/>
    <w:rsid w:val="00A92EB3"/>
    <w:rsid w:val="00A93095"/>
    <w:rsid w:val="00A93309"/>
    <w:rsid w:val="00A933C8"/>
    <w:rsid w:val="00A934AA"/>
    <w:rsid w:val="00A938A8"/>
    <w:rsid w:val="00A939EB"/>
    <w:rsid w:val="00A93C28"/>
    <w:rsid w:val="00A9448F"/>
    <w:rsid w:val="00A94F32"/>
    <w:rsid w:val="00A95326"/>
    <w:rsid w:val="00A9542D"/>
    <w:rsid w:val="00A954FD"/>
    <w:rsid w:val="00A95612"/>
    <w:rsid w:val="00A957DD"/>
    <w:rsid w:val="00A95C73"/>
    <w:rsid w:val="00A95E2B"/>
    <w:rsid w:val="00A96085"/>
    <w:rsid w:val="00A96151"/>
    <w:rsid w:val="00A96424"/>
    <w:rsid w:val="00A965A2"/>
    <w:rsid w:val="00A96734"/>
    <w:rsid w:val="00A96A1C"/>
    <w:rsid w:val="00A96E3A"/>
    <w:rsid w:val="00A97616"/>
    <w:rsid w:val="00A9797D"/>
    <w:rsid w:val="00A9798C"/>
    <w:rsid w:val="00A97AC3"/>
    <w:rsid w:val="00A97F12"/>
    <w:rsid w:val="00AA0125"/>
    <w:rsid w:val="00AA0297"/>
    <w:rsid w:val="00AA0C9E"/>
    <w:rsid w:val="00AA0D18"/>
    <w:rsid w:val="00AA0F9E"/>
    <w:rsid w:val="00AA139E"/>
    <w:rsid w:val="00AA170D"/>
    <w:rsid w:val="00AA19A6"/>
    <w:rsid w:val="00AA1AED"/>
    <w:rsid w:val="00AA1DA2"/>
    <w:rsid w:val="00AA1EE1"/>
    <w:rsid w:val="00AA20B1"/>
    <w:rsid w:val="00AA25BA"/>
    <w:rsid w:val="00AA262E"/>
    <w:rsid w:val="00AA2AA1"/>
    <w:rsid w:val="00AA2BA2"/>
    <w:rsid w:val="00AA2C89"/>
    <w:rsid w:val="00AA3451"/>
    <w:rsid w:val="00AA3C1A"/>
    <w:rsid w:val="00AA43BD"/>
    <w:rsid w:val="00AA46E6"/>
    <w:rsid w:val="00AA48B6"/>
    <w:rsid w:val="00AA48C1"/>
    <w:rsid w:val="00AA58C2"/>
    <w:rsid w:val="00AA5DCF"/>
    <w:rsid w:val="00AA5EC1"/>
    <w:rsid w:val="00AA5F05"/>
    <w:rsid w:val="00AA60A4"/>
    <w:rsid w:val="00AA62BE"/>
    <w:rsid w:val="00AA63B1"/>
    <w:rsid w:val="00AA67C3"/>
    <w:rsid w:val="00AA6AB5"/>
    <w:rsid w:val="00AA712F"/>
    <w:rsid w:val="00AA714D"/>
    <w:rsid w:val="00AA73A8"/>
    <w:rsid w:val="00AA771D"/>
    <w:rsid w:val="00AA7ADF"/>
    <w:rsid w:val="00AA7C13"/>
    <w:rsid w:val="00AA7D1E"/>
    <w:rsid w:val="00AA7E0A"/>
    <w:rsid w:val="00AB006F"/>
    <w:rsid w:val="00AB0317"/>
    <w:rsid w:val="00AB0BEA"/>
    <w:rsid w:val="00AB12F3"/>
    <w:rsid w:val="00AB171C"/>
    <w:rsid w:val="00AB1A9F"/>
    <w:rsid w:val="00AB200F"/>
    <w:rsid w:val="00AB2C5E"/>
    <w:rsid w:val="00AB3037"/>
    <w:rsid w:val="00AB3184"/>
    <w:rsid w:val="00AB33CF"/>
    <w:rsid w:val="00AB33F5"/>
    <w:rsid w:val="00AB33F9"/>
    <w:rsid w:val="00AB35B0"/>
    <w:rsid w:val="00AB3B50"/>
    <w:rsid w:val="00AB3CEC"/>
    <w:rsid w:val="00AB3E8B"/>
    <w:rsid w:val="00AB415A"/>
    <w:rsid w:val="00AB4A5A"/>
    <w:rsid w:val="00AB4AFF"/>
    <w:rsid w:val="00AB537C"/>
    <w:rsid w:val="00AB5487"/>
    <w:rsid w:val="00AB562E"/>
    <w:rsid w:val="00AB5887"/>
    <w:rsid w:val="00AB5B81"/>
    <w:rsid w:val="00AB5C13"/>
    <w:rsid w:val="00AB5CD5"/>
    <w:rsid w:val="00AB5D24"/>
    <w:rsid w:val="00AB5EF2"/>
    <w:rsid w:val="00AB617F"/>
    <w:rsid w:val="00AB6276"/>
    <w:rsid w:val="00AB64D6"/>
    <w:rsid w:val="00AB64E5"/>
    <w:rsid w:val="00AB65F3"/>
    <w:rsid w:val="00AB6C31"/>
    <w:rsid w:val="00AB7002"/>
    <w:rsid w:val="00AB7213"/>
    <w:rsid w:val="00AB7442"/>
    <w:rsid w:val="00AB74CF"/>
    <w:rsid w:val="00AC0712"/>
    <w:rsid w:val="00AC0717"/>
    <w:rsid w:val="00AC11ED"/>
    <w:rsid w:val="00AC1226"/>
    <w:rsid w:val="00AC146B"/>
    <w:rsid w:val="00AC1481"/>
    <w:rsid w:val="00AC1686"/>
    <w:rsid w:val="00AC179A"/>
    <w:rsid w:val="00AC18EF"/>
    <w:rsid w:val="00AC1DC3"/>
    <w:rsid w:val="00AC24F6"/>
    <w:rsid w:val="00AC2888"/>
    <w:rsid w:val="00AC299E"/>
    <w:rsid w:val="00AC2A25"/>
    <w:rsid w:val="00AC2A54"/>
    <w:rsid w:val="00AC2CAF"/>
    <w:rsid w:val="00AC3987"/>
    <w:rsid w:val="00AC3B0B"/>
    <w:rsid w:val="00AC44AF"/>
    <w:rsid w:val="00AC47E0"/>
    <w:rsid w:val="00AC4838"/>
    <w:rsid w:val="00AC550D"/>
    <w:rsid w:val="00AC585F"/>
    <w:rsid w:val="00AC598F"/>
    <w:rsid w:val="00AC5C6A"/>
    <w:rsid w:val="00AC5CC5"/>
    <w:rsid w:val="00AC5EB5"/>
    <w:rsid w:val="00AC635D"/>
    <w:rsid w:val="00AC6484"/>
    <w:rsid w:val="00AC65AF"/>
    <w:rsid w:val="00AC679E"/>
    <w:rsid w:val="00AC7052"/>
    <w:rsid w:val="00AC7703"/>
    <w:rsid w:val="00AC7A73"/>
    <w:rsid w:val="00AC7D7F"/>
    <w:rsid w:val="00AC7DBA"/>
    <w:rsid w:val="00AC7E57"/>
    <w:rsid w:val="00AC7F32"/>
    <w:rsid w:val="00AD00CD"/>
    <w:rsid w:val="00AD01A3"/>
    <w:rsid w:val="00AD0558"/>
    <w:rsid w:val="00AD0FEB"/>
    <w:rsid w:val="00AD10E5"/>
    <w:rsid w:val="00AD1383"/>
    <w:rsid w:val="00AD13A8"/>
    <w:rsid w:val="00AD1674"/>
    <w:rsid w:val="00AD1A75"/>
    <w:rsid w:val="00AD1D97"/>
    <w:rsid w:val="00AD1FF4"/>
    <w:rsid w:val="00AD21D6"/>
    <w:rsid w:val="00AD23CC"/>
    <w:rsid w:val="00AD2479"/>
    <w:rsid w:val="00AD248F"/>
    <w:rsid w:val="00AD31EC"/>
    <w:rsid w:val="00AD32BE"/>
    <w:rsid w:val="00AD35A4"/>
    <w:rsid w:val="00AD37F0"/>
    <w:rsid w:val="00AD3C2A"/>
    <w:rsid w:val="00AD3E6B"/>
    <w:rsid w:val="00AD4028"/>
    <w:rsid w:val="00AD4379"/>
    <w:rsid w:val="00AD43A0"/>
    <w:rsid w:val="00AD45C7"/>
    <w:rsid w:val="00AD4652"/>
    <w:rsid w:val="00AD4A21"/>
    <w:rsid w:val="00AD4DAE"/>
    <w:rsid w:val="00AD4FB3"/>
    <w:rsid w:val="00AD580F"/>
    <w:rsid w:val="00AD59D8"/>
    <w:rsid w:val="00AD5D1F"/>
    <w:rsid w:val="00AD5D67"/>
    <w:rsid w:val="00AD5D9A"/>
    <w:rsid w:val="00AD5E26"/>
    <w:rsid w:val="00AD6676"/>
    <w:rsid w:val="00AD6833"/>
    <w:rsid w:val="00AD6D41"/>
    <w:rsid w:val="00AD715B"/>
    <w:rsid w:val="00AD7356"/>
    <w:rsid w:val="00AD745C"/>
    <w:rsid w:val="00AD76B1"/>
    <w:rsid w:val="00AD7763"/>
    <w:rsid w:val="00AD77FA"/>
    <w:rsid w:val="00AE035E"/>
    <w:rsid w:val="00AE06F7"/>
    <w:rsid w:val="00AE0914"/>
    <w:rsid w:val="00AE0E20"/>
    <w:rsid w:val="00AE1220"/>
    <w:rsid w:val="00AE14B9"/>
    <w:rsid w:val="00AE1923"/>
    <w:rsid w:val="00AE1CFC"/>
    <w:rsid w:val="00AE1D4C"/>
    <w:rsid w:val="00AE203F"/>
    <w:rsid w:val="00AE23AB"/>
    <w:rsid w:val="00AE252A"/>
    <w:rsid w:val="00AE29AA"/>
    <w:rsid w:val="00AE2CFF"/>
    <w:rsid w:val="00AE2D43"/>
    <w:rsid w:val="00AE30A1"/>
    <w:rsid w:val="00AE31C3"/>
    <w:rsid w:val="00AE31EF"/>
    <w:rsid w:val="00AE329C"/>
    <w:rsid w:val="00AE32D3"/>
    <w:rsid w:val="00AE3D0F"/>
    <w:rsid w:val="00AE3E1D"/>
    <w:rsid w:val="00AE3EC3"/>
    <w:rsid w:val="00AE41C8"/>
    <w:rsid w:val="00AE4513"/>
    <w:rsid w:val="00AE48A4"/>
    <w:rsid w:val="00AE4D24"/>
    <w:rsid w:val="00AE4F24"/>
    <w:rsid w:val="00AE4F38"/>
    <w:rsid w:val="00AE507F"/>
    <w:rsid w:val="00AE5095"/>
    <w:rsid w:val="00AE521A"/>
    <w:rsid w:val="00AE5380"/>
    <w:rsid w:val="00AE5AEC"/>
    <w:rsid w:val="00AE600B"/>
    <w:rsid w:val="00AE6602"/>
    <w:rsid w:val="00AE6873"/>
    <w:rsid w:val="00AE6D21"/>
    <w:rsid w:val="00AE6D50"/>
    <w:rsid w:val="00AE75C3"/>
    <w:rsid w:val="00AE7736"/>
    <w:rsid w:val="00AE7F9B"/>
    <w:rsid w:val="00AF03AA"/>
    <w:rsid w:val="00AF0D9E"/>
    <w:rsid w:val="00AF0E76"/>
    <w:rsid w:val="00AF106D"/>
    <w:rsid w:val="00AF1099"/>
    <w:rsid w:val="00AF1220"/>
    <w:rsid w:val="00AF1DE2"/>
    <w:rsid w:val="00AF26A0"/>
    <w:rsid w:val="00AF278C"/>
    <w:rsid w:val="00AF2806"/>
    <w:rsid w:val="00AF3042"/>
    <w:rsid w:val="00AF34EA"/>
    <w:rsid w:val="00AF362D"/>
    <w:rsid w:val="00AF406C"/>
    <w:rsid w:val="00AF428A"/>
    <w:rsid w:val="00AF430F"/>
    <w:rsid w:val="00AF498E"/>
    <w:rsid w:val="00AF49D2"/>
    <w:rsid w:val="00AF4AF0"/>
    <w:rsid w:val="00AF4E90"/>
    <w:rsid w:val="00AF4FDE"/>
    <w:rsid w:val="00AF5391"/>
    <w:rsid w:val="00AF5912"/>
    <w:rsid w:val="00AF5D43"/>
    <w:rsid w:val="00AF5D8B"/>
    <w:rsid w:val="00AF62E0"/>
    <w:rsid w:val="00AF6574"/>
    <w:rsid w:val="00AF698E"/>
    <w:rsid w:val="00AF6A75"/>
    <w:rsid w:val="00AF6EE6"/>
    <w:rsid w:val="00AF7341"/>
    <w:rsid w:val="00AF7555"/>
    <w:rsid w:val="00AF7BA6"/>
    <w:rsid w:val="00AF7CBE"/>
    <w:rsid w:val="00B0063B"/>
    <w:rsid w:val="00B007F3"/>
    <w:rsid w:val="00B00A76"/>
    <w:rsid w:val="00B00C2F"/>
    <w:rsid w:val="00B00EA1"/>
    <w:rsid w:val="00B00F17"/>
    <w:rsid w:val="00B00FB6"/>
    <w:rsid w:val="00B01324"/>
    <w:rsid w:val="00B0133A"/>
    <w:rsid w:val="00B01ABC"/>
    <w:rsid w:val="00B01D8D"/>
    <w:rsid w:val="00B01DB9"/>
    <w:rsid w:val="00B01E36"/>
    <w:rsid w:val="00B01F6C"/>
    <w:rsid w:val="00B025A1"/>
    <w:rsid w:val="00B0264A"/>
    <w:rsid w:val="00B02EE2"/>
    <w:rsid w:val="00B0308E"/>
    <w:rsid w:val="00B03DEE"/>
    <w:rsid w:val="00B04053"/>
    <w:rsid w:val="00B04B8B"/>
    <w:rsid w:val="00B04BF9"/>
    <w:rsid w:val="00B04C10"/>
    <w:rsid w:val="00B04D6B"/>
    <w:rsid w:val="00B04F0F"/>
    <w:rsid w:val="00B05053"/>
    <w:rsid w:val="00B05330"/>
    <w:rsid w:val="00B0575B"/>
    <w:rsid w:val="00B068E4"/>
    <w:rsid w:val="00B068FF"/>
    <w:rsid w:val="00B069DE"/>
    <w:rsid w:val="00B06A46"/>
    <w:rsid w:val="00B06ED6"/>
    <w:rsid w:val="00B078AE"/>
    <w:rsid w:val="00B1063A"/>
    <w:rsid w:val="00B10684"/>
    <w:rsid w:val="00B10802"/>
    <w:rsid w:val="00B10D68"/>
    <w:rsid w:val="00B10E88"/>
    <w:rsid w:val="00B11083"/>
    <w:rsid w:val="00B11114"/>
    <w:rsid w:val="00B1147E"/>
    <w:rsid w:val="00B115ED"/>
    <w:rsid w:val="00B117CB"/>
    <w:rsid w:val="00B117D7"/>
    <w:rsid w:val="00B11E1F"/>
    <w:rsid w:val="00B12047"/>
    <w:rsid w:val="00B12325"/>
    <w:rsid w:val="00B1236B"/>
    <w:rsid w:val="00B12732"/>
    <w:rsid w:val="00B12859"/>
    <w:rsid w:val="00B12A49"/>
    <w:rsid w:val="00B12E82"/>
    <w:rsid w:val="00B12FD8"/>
    <w:rsid w:val="00B134D1"/>
    <w:rsid w:val="00B13785"/>
    <w:rsid w:val="00B13979"/>
    <w:rsid w:val="00B13B16"/>
    <w:rsid w:val="00B13B75"/>
    <w:rsid w:val="00B13B8E"/>
    <w:rsid w:val="00B13BC6"/>
    <w:rsid w:val="00B13FB4"/>
    <w:rsid w:val="00B13FFE"/>
    <w:rsid w:val="00B142E0"/>
    <w:rsid w:val="00B14429"/>
    <w:rsid w:val="00B15237"/>
    <w:rsid w:val="00B156A9"/>
    <w:rsid w:val="00B1598D"/>
    <w:rsid w:val="00B15E04"/>
    <w:rsid w:val="00B1616E"/>
    <w:rsid w:val="00B16360"/>
    <w:rsid w:val="00B166F6"/>
    <w:rsid w:val="00B172FE"/>
    <w:rsid w:val="00B17A6F"/>
    <w:rsid w:val="00B17F5C"/>
    <w:rsid w:val="00B202F8"/>
    <w:rsid w:val="00B2074F"/>
    <w:rsid w:val="00B210CC"/>
    <w:rsid w:val="00B21E4C"/>
    <w:rsid w:val="00B22088"/>
    <w:rsid w:val="00B22359"/>
    <w:rsid w:val="00B22475"/>
    <w:rsid w:val="00B22831"/>
    <w:rsid w:val="00B22BC5"/>
    <w:rsid w:val="00B230D8"/>
    <w:rsid w:val="00B231BC"/>
    <w:rsid w:val="00B232FF"/>
    <w:rsid w:val="00B23573"/>
    <w:rsid w:val="00B23ABE"/>
    <w:rsid w:val="00B23B67"/>
    <w:rsid w:val="00B23F6D"/>
    <w:rsid w:val="00B24B6A"/>
    <w:rsid w:val="00B24B78"/>
    <w:rsid w:val="00B24F9A"/>
    <w:rsid w:val="00B2537B"/>
    <w:rsid w:val="00B2547B"/>
    <w:rsid w:val="00B25FB1"/>
    <w:rsid w:val="00B26797"/>
    <w:rsid w:val="00B26C98"/>
    <w:rsid w:val="00B26E4F"/>
    <w:rsid w:val="00B26F77"/>
    <w:rsid w:val="00B27027"/>
    <w:rsid w:val="00B271E8"/>
    <w:rsid w:val="00B275D8"/>
    <w:rsid w:val="00B27981"/>
    <w:rsid w:val="00B27B3E"/>
    <w:rsid w:val="00B3007E"/>
    <w:rsid w:val="00B300C3"/>
    <w:rsid w:val="00B3024D"/>
    <w:rsid w:val="00B306F6"/>
    <w:rsid w:val="00B30871"/>
    <w:rsid w:val="00B30AD6"/>
    <w:rsid w:val="00B3135E"/>
    <w:rsid w:val="00B313F6"/>
    <w:rsid w:val="00B3147F"/>
    <w:rsid w:val="00B314BB"/>
    <w:rsid w:val="00B31DC7"/>
    <w:rsid w:val="00B31E63"/>
    <w:rsid w:val="00B32506"/>
    <w:rsid w:val="00B32920"/>
    <w:rsid w:val="00B32CCD"/>
    <w:rsid w:val="00B32F66"/>
    <w:rsid w:val="00B33678"/>
    <w:rsid w:val="00B33B9B"/>
    <w:rsid w:val="00B33E58"/>
    <w:rsid w:val="00B33FD6"/>
    <w:rsid w:val="00B3407B"/>
    <w:rsid w:val="00B340B5"/>
    <w:rsid w:val="00B348D2"/>
    <w:rsid w:val="00B34AFD"/>
    <w:rsid w:val="00B34CAA"/>
    <w:rsid w:val="00B3512D"/>
    <w:rsid w:val="00B354E2"/>
    <w:rsid w:val="00B358C1"/>
    <w:rsid w:val="00B35C85"/>
    <w:rsid w:val="00B361AC"/>
    <w:rsid w:val="00B36224"/>
    <w:rsid w:val="00B36630"/>
    <w:rsid w:val="00B36705"/>
    <w:rsid w:val="00B36B2F"/>
    <w:rsid w:val="00B36F8C"/>
    <w:rsid w:val="00B37073"/>
    <w:rsid w:val="00B3708C"/>
    <w:rsid w:val="00B371B2"/>
    <w:rsid w:val="00B37391"/>
    <w:rsid w:val="00B3757C"/>
    <w:rsid w:val="00B37D98"/>
    <w:rsid w:val="00B40037"/>
    <w:rsid w:val="00B405F4"/>
    <w:rsid w:val="00B413F6"/>
    <w:rsid w:val="00B4141C"/>
    <w:rsid w:val="00B414E0"/>
    <w:rsid w:val="00B41861"/>
    <w:rsid w:val="00B41A1A"/>
    <w:rsid w:val="00B41D7E"/>
    <w:rsid w:val="00B42107"/>
    <w:rsid w:val="00B42704"/>
    <w:rsid w:val="00B427F8"/>
    <w:rsid w:val="00B439E2"/>
    <w:rsid w:val="00B43A1C"/>
    <w:rsid w:val="00B43F14"/>
    <w:rsid w:val="00B440D1"/>
    <w:rsid w:val="00B442CD"/>
    <w:rsid w:val="00B443DF"/>
    <w:rsid w:val="00B4492B"/>
    <w:rsid w:val="00B44A28"/>
    <w:rsid w:val="00B44CB0"/>
    <w:rsid w:val="00B45047"/>
    <w:rsid w:val="00B453BC"/>
    <w:rsid w:val="00B45538"/>
    <w:rsid w:val="00B457F9"/>
    <w:rsid w:val="00B45B91"/>
    <w:rsid w:val="00B45BA8"/>
    <w:rsid w:val="00B45BBA"/>
    <w:rsid w:val="00B462D8"/>
    <w:rsid w:val="00B46347"/>
    <w:rsid w:val="00B46444"/>
    <w:rsid w:val="00B46775"/>
    <w:rsid w:val="00B46C8E"/>
    <w:rsid w:val="00B47117"/>
    <w:rsid w:val="00B47236"/>
    <w:rsid w:val="00B475E1"/>
    <w:rsid w:val="00B4762E"/>
    <w:rsid w:val="00B47D1C"/>
    <w:rsid w:val="00B47D23"/>
    <w:rsid w:val="00B507E3"/>
    <w:rsid w:val="00B509ED"/>
    <w:rsid w:val="00B5155A"/>
    <w:rsid w:val="00B516EC"/>
    <w:rsid w:val="00B51800"/>
    <w:rsid w:val="00B51E22"/>
    <w:rsid w:val="00B51E5E"/>
    <w:rsid w:val="00B51F70"/>
    <w:rsid w:val="00B521AD"/>
    <w:rsid w:val="00B52425"/>
    <w:rsid w:val="00B52B7A"/>
    <w:rsid w:val="00B52E89"/>
    <w:rsid w:val="00B52EAD"/>
    <w:rsid w:val="00B52EEC"/>
    <w:rsid w:val="00B52F36"/>
    <w:rsid w:val="00B54093"/>
    <w:rsid w:val="00B542AE"/>
    <w:rsid w:val="00B5436B"/>
    <w:rsid w:val="00B543F1"/>
    <w:rsid w:val="00B546AB"/>
    <w:rsid w:val="00B5474A"/>
    <w:rsid w:val="00B54772"/>
    <w:rsid w:val="00B547C5"/>
    <w:rsid w:val="00B54851"/>
    <w:rsid w:val="00B54B97"/>
    <w:rsid w:val="00B54C7E"/>
    <w:rsid w:val="00B554B1"/>
    <w:rsid w:val="00B554EB"/>
    <w:rsid w:val="00B55825"/>
    <w:rsid w:val="00B55A00"/>
    <w:rsid w:val="00B55C56"/>
    <w:rsid w:val="00B55E02"/>
    <w:rsid w:val="00B55E9E"/>
    <w:rsid w:val="00B566ED"/>
    <w:rsid w:val="00B56B70"/>
    <w:rsid w:val="00B56CFF"/>
    <w:rsid w:val="00B56D62"/>
    <w:rsid w:val="00B56EB0"/>
    <w:rsid w:val="00B57168"/>
    <w:rsid w:val="00B57205"/>
    <w:rsid w:val="00B57320"/>
    <w:rsid w:val="00B574FC"/>
    <w:rsid w:val="00B57669"/>
    <w:rsid w:val="00B603D4"/>
    <w:rsid w:val="00B604C7"/>
    <w:rsid w:val="00B60CC4"/>
    <w:rsid w:val="00B60D02"/>
    <w:rsid w:val="00B60E24"/>
    <w:rsid w:val="00B61068"/>
    <w:rsid w:val="00B6118D"/>
    <w:rsid w:val="00B61F6B"/>
    <w:rsid w:val="00B62104"/>
    <w:rsid w:val="00B6233A"/>
    <w:rsid w:val="00B62AFD"/>
    <w:rsid w:val="00B62CD1"/>
    <w:rsid w:val="00B6312A"/>
    <w:rsid w:val="00B63594"/>
    <w:rsid w:val="00B63815"/>
    <w:rsid w:val="00B6385C"/>
    <w:rsid w:val="00B63CE9"/>
    <w:rsid w:val="00B6435F"/>
    <w:rsid w:val="00B64FF2"/>
    <w:rsid w:val="00B650FB"/>
    <w:rsid w:val="00B651B7"/>
    <w:rsid w:val="00B65553"/>
    <w:rsid w:val="00B65643"/>
    <w:rsid w:val="00B658B7"/>
    <w:rsid w:val="00B65B2F"/>
    <w:rsid w:val="00B65CD2"/>
    <w:rsid w:val="00B66381"/>
    <w:rsid w:val="00B668FE"/>
    <w:rsid w:val="00B66D46"/>
    <w:rsid w:val="00B66D63"/>
    <w:rsid w:val="00B66E77"/>
    <w:rsid w:val="00B6719B"/>
    <w:rsid w:val="00B674BE"/>
    <w:rsid w:val="00B6777E"/>
    <w:rsid w:val="00B677C5"/>
    <w:rsid w:val="00B67953"/>
    <w:rsid w:val="00B6799D"/>
    <w:rsid w:val="00B67A5D"/>
    <w:rsid w:val="00B67BF5"/>
    <w:rsid w:val="00B67FDE"/>
    <w:rsid w:val="00B70106"/>
    <w:rsid w:val="00B70240"/>
    <w:rsid w:val="00B702B7"/>
    <w:rsid w:val="00B7038A"/>
    <w:rsid w:val="00B706E0"/>
    <w:rsid w:val="00B70E68"/>
    <w:rsid w:val="00B71721"/>
    <w:rsid w:val="00B71BEA"/>
    <w:rsid w:val="00B71C5E"/>
    <w:rsid w:val="00B71D0E"/>
    <w:rsid w:val="00B71D57"/>
    <w:rsid w:val="00B71F43"/>
    <w:rsid w:val="00B7212F"/>
    <w:rsid w:val="00B7222F"/>
    <w:rsid w:val="00B72616"/>
    <w:rsid w:val="00B72695"/>
    <w:rsid w:val="00B726B9"/>
    <w:rsid w:val="00B72A69"/>
    <w:rsid w:val="00B72C21"/>
    <w:rsid w:val="00B730B7"/>
    <w:rsid w:val="00B7316F"/>
    <w:rsid w:val="00B73287"/>
    <w:rsid w:val="00B7338B"/>
    <w:rsid w:val="00B7351F"/>
    <w:rsid w:val="00B73814"/>
    <w:rsid w:val="00B7397F"/>
    <w:rsid w:val="00B73D20"/>
    <w:rsid w:val="00B73D5E"/>
    <w:rsid w:val="00B73F56"/>
    <w:rsid w:val="00B743DE"/>
    <w:rsid w:val="00B743DF"/>
    <w:rsid w:val="00B74B6F"/>
    <w:rsid w:val="00B74D21"/>
    <w:rsid w:val="00B752A3"/>
    <w:rsid w:val="00B752B1"/>
    <w:rsid w:val="00B7532F"/>
    <w:rsid w:val="00B75640"/>
    <w:rsid w:val="00B75690"/>
    <w:rsid w:val="00B759E3"/>
    <w:rsid w:val="00B75F97"/>
    <w:rsid w:val="00B76B9D"/>
    <w:rsid w:val="00B77355"/>
    <w:rsid w:val="00B776A8"/>
    <w:rsid w:val="00B77A84"/>
    <w:rsid w:val="00B77E94"/>
    <w:rsid w:val="00B80321"/>
    <w:rsid w:val="00B80573"/>
    <w:rsid w:val="00B8116E"/>
    <w:rsid w:val="00B8139C"/>
    <w:rsid w:val="00B815EB"/>
    <w:rsid w:val="00B81BCF"/>
    <w:rsid w:val="00B81C69"/>
    <w:rsid w:val="00B81ECB"/>
    <w:rsid w:val="00B821B7"/>
    <w:rsid w:val="00B82451"/>
    <w:rsid w:val="00B8298F"/>
    <w:rsid w:val="00B8299B"/>
    <w:rsid w:val="00B82B9A"/>
    <w:rsid w:val="00B82F98"/>
    <w:rsid w:val="00B83503"/>
    <w:rsid w:val="00B836B1"/>
    <w:rsid w:val="00B8389E"/>
    <w:rsid w:val="00B84095"/>
    <w:rsid w:val="00B84D02"/>
    <w:rsid w:val="00B84ED5"/>
    <w:rsid w:val="00B85018"/>
    <w:rsid w:val="00B858B4"/>
    <w:rsid w:val="00B8590E"/>
    <w:rsid w:val="00B8596D"/>
    <w:rsid w:val="00B863E7"/>
    <w:rsid w:val="00B86CD2"/>
    <w:rsid w:val="00B8702D"/>
    <w:rsid w:val="00B8778B"/>
    <w:rsid w:val="00B9031C"/>
    <w:rsid w:val="00B90348"/>
    <w:rsid w:val="00B903D1"/>
    <w:rsid w:val="00B90653"/>
    <w:rsid w:val="00B90FAF"/>
    <w:rsid w:val="00B912EE"/>
    <w:rsid w:val="00B91A75"/>
    <w:rsid w:val="00B925DB"/>
    <w:rsid w:val="00B928E5"/>
    <w:rsid w:val="00B92BDF"/>
    <w:rsid w:val="00B93163"/>
    <w:rsid w:val="00B93299"/>
    <w:rsid w:val="00B9333B"/>
    <w:rsid w:val="00B938E4"/>
    <w:rsid w:val="00B93D40"/>
    <w:rsid w:val="00B947BF"/>
    <w:rsid w:val="00B94811"/>
    <w:rsid w:val="00B94BC2"/>
    <w:rsid w:val="00B94E55"/>
    <w:rsid w:val="00B94F87"/>
    <w:rsid w:val="00B951C1"/>
    <w:rsid w:val="00B95414"/>
    <w:rsid w:val="00B9544A"/>
    <w:rsid w:val="00B9556E"/>
    <w:rsid w:val="00B95619"/>
    <w:rsid w:val="00B95DA7"/>
    <w:rsid w:val="00B95DC7"/>
    <w:rsid w:val="00B96335"/>
    <w:rsid w:val="00B96A63"/>
    <w:rsid w:val="00B96C53"/>
    <w:rsid w:val="00B975CF"/>
    <w:rsid w:val="00B97784"/>
    <w:rsid w:val="00B97EBA"/>
    <w:rsid w:val="00BA0103"/>
    <w:rsid w:val="00BA0587"/>
    <w:rsid w:val="00BA0DF2"/>
    <w:rsid w:val="00BA0E5B"/>
    <w:rsid w:val="00BA0F89"/>
    <w:rsid w:val="00BA1049"/>
    <w:rsid w:val="00BA108A"/>
    <w:rsid w:val="00BA179D"/>
    <w:rsid w:val="00BA181F"/>
    <w:rsid w:val="00BA1AFD"/>
    <w:rsid w:val="00BA217B"/>
    <w:rsid w:val="00BA2A85"/>
    <w:rsid w:val="00BA2DFD"/>
    <w:rsid w:val="00BA3074"/>
    <w:rsid w:val="00BA3094"/>
    <w:rsid w:val="00BA35C3"/>
    <w:rsid w:val="00BA37F0"/>
    <w:rsid w:val="00BA3CC9"/>
    <w:rsid w:val="00BA4214"/>
    <w:rsid w:val="00BA42EA"/>
    <w:rsid w:val="00BA43F3"/>
    <w:rsid w:val="00BA4418"/>
    <w:rsid w:val="00BA4525"/>
    <w:rsid w:val="00BA4AAE"/>
    <w:rsid w:val="00BA4BFB"/>
    <w:rsid w:val="00BA4D60"/>
    <w:rsid w:val="00BA4E2C"/>
    <w:rsid w:val="00BA4F03"/>
    <w:rsid w:val="00BA509D"/>
    <w:rsid w:val="00BA51F6"/>
    <w:rsid w:val="00BA5B47"/>
    <w:rsid w:val="00BA5E43"/>
    <w:rsid w:val="00BA5ED6"/>
    <w:rsid w:val="00BA63D5"/>
    <w:rsid w:val="00BA648B"/>
    <w:rsid w:val="00BA6818"/>
    <w:rsid w:val="00BA6E28"/>
    <w:rsid w:val="00BA74ED"/>
    <w:rsid w:val="00BA771E"/>
    <w:rsid w:val="00BA77DE"/>
    <w:rsid w:val="00BA782E"/>
    <w:rsid w:val="00BA7A25"/>
    <w:rsid w:val="00BA7C2F"/>
    <w:rsid w:val="00BB0599"/>
    <w:rsid w:val="00BB05F4"/>
    <w:rsid w:val="00BB0630"/>
    <w:rsid w:val="00BB064E"/>
    <w:rsid w:val="00BB0D17"/>
    <w:rsid w:val="00BB11B2"/>
    <w:rsid w:val="00BB12F6"/>
    <w:rsid w:val="00BB13AC"/>
    <w:rsid w:val="00BB14C3"/>
    <w:rsid w:val="00BB1CAB"/>
    <w:rsid w:val="00BB1DBF"/>
    <w:rsid w:val="00BB2322"/>
    <w:rsid w:val="00BB2333"/>
    <w:rsid w:val="00BB2405"/>
    <w:rsid w:val="00BB25E1"/>
    <w:rsid w:val="00BB2DFE"/>
    <w:rsid w:val="00BB3436"/>
    <w:rsid w:val="00BB34B7"/>
    <w:rsid w:val="00BB3828"/>
    <w:rsid w:val="00BB3A7C"/>
    <w:rsid w:val="00BB3D9E"/>
    <w:rsid w:val="00BB4199"/>
    <w:rsid w:val="00BB48F9"/>
    <w:rsid w:val="00BB4D2D"/>
    <w:rsid w:val="00BB4D97"/>
    <w:rsid w:val="00BB51DC"/>
    <w:rsid w:val="00BB53DF"/>
    <w:rsid w:val="00BB56C4"/>
    <w:rsid w:val="00BB5776"/>
    <w:rsid w:val="00BB5B56"/>
    <w:rsid w:val="00BB5E0F"/>
    <w:rsid w:val="00BB6030"/>
    <w:rsid w:val="00BB6067"/>
    <w:rsid w:val="00BB6172"/>
    <w:rsid w:val="00BB6853"/>
    <w:rsid w:val="00BB6B0B"/>
    <w:rsid w:val="00BB6C0B"/>
    <w:rsid w:val="00BB6DEB"/>
    <w:rsid w:val="00BB6E7F"/>
    <w:rsid w:val="00BB6F1C"/>
    <w:rsid w:val="00BB716B"/>
    <w:rsid w:val="00BB7651"/>
    <w:rsid w:val="00BB772D"/>
    <w:rsid w:val="00BB7826"/>
    <w:rsid w:val="00BB78B8"/>
    <w:rsid w:val="00BB7E75"/>
    <w:rsid w:val="00BC0321"/>
    <w:rsid w:val="00BC04A5"/>
    <w:rsid w:val="00BC0725"/>
    <w:rsid w:val="00BC07F6"/>
    <w:rsid w:val="00BC091B"/>
    <w:rsid w:val="00BC0967"/>
    <w:rsid w:val="00BC13E1"/>
    <w:rsid w:val="00BC1A7C"/>
    <w:rsid w:val="00BC1BF9"/>
    <w:rsid w:val="00BC23C0"/>
    <w:rsid w:val="00BC25A3"/>
    <w:rsid w:val="00BC265E"/>
    <w:rsid w:val="00BC2932"/>
    <w:rsid w:val="00BC2978"/>
    <w:rsid w:val="00BC2E1D"/>
    <w:rsid w:val="00BC3140"/>
    <w:rsid w:val="00BC3563"/>
    <w:rsid w:val="00BC3677"/>
    <w:rsid w:val="00BC38CC"/>
    <w:rsid w:val="00BC3CF5"/>
    <w:rsid w:val="00BC4118"/>
    <w:rsid w:val="00BC466E"/>
    <w:rsid w:val="00BC47B9"/>
    <w:rsid w:val="00BC484F"/>
    <w:rsid w:val="00BC4D34"/>
    <w:rsid w:val="00BC4E08"/>
    <w:rsid w:val="00BC6291"/>
    <w:rsid w:val="00BC6335"/>
    <w:rsid w:val="00BC6794"/>
    <w:rsid w:val="00BC6862"/>
    <w:rsid w:val="00BC71C9"/>
    <w:rsid w:val="00BC71F5"/>
    <w:rsid w:val="00BC730B"/>
    <w:rsid w:val="00BC7530"/>
    <w:rsid w:val="00BC77EA"/>
    <w:rsid w:val="00BC7B71"/>
    <w:rsid w:val="00BC7C23"/>
    <w:rsid w:val="00BD0264"/>
    <w:rsid w:val="00BD0297"/>
    <w:rsid w:val="00BD039C"/>
    <w:rsid w:val="00BD070A"/>
    <w:rsid w:val="00BD0750"/>
    <w:rsid w:val="00BD08AA"/>
    <w:rsid w:val="00BD0B7D"/>
    <w:rsid w:val="00BD0E33"/>
    <w:rsid w:val="00BD0F89"/>
    <w:rsid w:val="00BD14A8"/>
    <w:rsid w:val="00BD181E"/>
    <w:rsid w:val="00BD1D83"/>
    <w:rsid w:val="00BD21B8"/>
    <w:rsid w:val="00BD26A7"/>
    <w:rsid w:val="00BD35F1"/>
    <w:rsid w:val="00BD369A"/>
    <w:rsid w:val="00BD37BA"/>
    <w:rsid w:val="00BD383C"/>
    <w:rsid w:val="00BD3A57"/>
    <w:rsid w:val="00BD410E"/>
    <w:rsid w:val="00BD4CCC"/>
    <w:rsid w:val="00BD51DF"/>
    <w:rsid w:val="00BD5326"/>
    <w:rsid w:val="00BD577E"/>
    <w:rsid w:val="00BD578B"/>
    <w:rsid w:val="00BD58C0"/>
    <w:rsid w:val="00BD58CD"/>
    <w:rsid w:val="00BD59F6"/>
    <w:rsid w:val="00BD5FD1"/>
    <w:rsid w:val="00BD601C"/>
    <w:rsid w:val="00BD6B3A"/>
    <w:rsid w:val="00BD6E31"/>
    <w:rsid w:val="00BD70AE"/>
    <w:rsid w:val="00BD7110"/>
    <w:rsid w:val="00BD7A78"/>
    <w:rsid w:val="00BE024B"/>
    <w:rsid w:val="00BE0254"/>
    <w:rsid w:val="00BE05AF"/>
    <w:rsid w:val="00BE0693"/>
    <w:rsid w:val="00BE0B65"/>
    <w:rsid w:val="00BE0CB7"/>
    <w:rsid w:val="00BE0DCB"/>
    <w:rsid w:val="00BE14AB"/>
    <w:rsid w:val="00BE172B"/>
    <w:rsid w:val="00BE1859"/>
    <w:rsid w:val="00BE1C87"/>
    <w:rsid w:val="00BE24E9"/>
    <w:rsid w:val="00BE259F"/>
    <w:rsid w:val="00BE2BD5"/>
    <w:rsid w:val="00BE2D0C"/>
    <w:rsid w:val="00BE2E40"/>
    <w:rsid w:val="00BE2EA5"/>
    <w:rsid w:val="00BE2EBD"/>
    <w:rsid w:val="00BE2F37"/>
    <w:rsid w:val="00BE32A6"/>
    <w:rsid w:val="00BE3535"/>
    <w:rsid w:val="00BE368E"/>
    <w:rsid w:val="00BE39BD"/>
    <w:rsid w:val="00BE3A7B"/>
    <w:rsid w:val="00BE3BC8"/>
    <w:rsid w:val="00BE3D93"/>
    <w:rsid w:val="00BE3F30"/>
    <w:rsid w:val="00BE4090"/>
    <w:rsid w:val="00BE40B0"/>
    <w:rsid w:val="00BE428C"/>
    <w:rsid w:val="00BE4398"/>
    <w:rsid w:val="00BE4A81"/>
    <w:rsid w:val="00BE4C2F"/>
    <w:rsid w:val="00BE4CE9"/>
    <w:rsid w:val="00BE507B"/>
    <w:rsid w:val="00BE50AB"/>
    <w:rsid w:val="00BE538C"/>
    <w:rsid w:val="00BE55E1"/>
    <w:rsid w:val="00BE5711"/>
    <w:rsid w:val="00BE5B2D"/>
    <w:rsid w:val="00BE6556"/>
    <w:rsid w:val="00BE65FA"/>
    <w:rsid w:val="00BE6738"/>
    <w:rsid w:val="00BE6DD4"/>
    <w:rsid w:val="00BE72B2"/>
    <w:rsid w:val="00BE756C"/>
    <w:rsid w:val="00BE7822"/>
    <w:rsid w:val="00BE7888"/>
    <w:rsid w:val="00BE7934"/>
    <w:rsid w:val="00BE79B8"/>
    <w:rsid w:val="00BE7AC2"/>
    <w:rsid w:val="00BE7C43"/>
    <w:rsid w:val="00BF003B"/>
    <w:rsid w:val="00BF00B4"/>
    <w:rsid w:val="00BF0123"/>
    <w:rsid w:val="00BF01F1"/>
    <w:rsid w:val="00BF04AD"/>
    <w:rsid w:val="00BF05A0"/>
    <w:rsid w:val="00BF07D6"/>
    <w:rsid w:val="00BF0BDC"/>
    <w:rsid w:val="00BF10ED"/>
    <w:rsid w:val="00BF12DD"/>
    <w:rsid w:val="00BF1740"/>
    <w:rsid w:val="00BF19B3"/>
    <w:rsid w:val="00BF1E37"/>
    <w:rsid w:val="00BF2146"/>
    <w:rsid w:val="00BF2184"/>
    <w:rsid w:val="00BF2BBE"/>
    <w:rsid w:val="00BF2E19"/>
    <w:rsid w:val="00BF36F1"/>
    <w:rsid w:val="00BF381C"/>
    <w:rsid w:val="00BF3A74"/>
    <w:rsid w:val="00BF3C80"/>
    <w:rsid w:val="00BF3E7D"/>
    <w:rsid w:val="00BF3F81"/>
    <w:rsid w:val="00BF4606"/>
    <w:rsid w:val="00BF4733"/>
    <w:rsid w:val="00BF498B"/>
    <w:rsid w:val="00BF4ADB"/>
    <w:rsid w:val="00BF4E4A"/>
    <w:rsid w:val="00BF4EB8"/>
    <w:rsid w:val="00BF554A"/>
    <w:rsid w:val="00BF579B"/>
    <w:rsid w:val="00BF5D42"/>
    <w:rsid w:val="00BF6690"/>
    <w:rsid w:val="00BF6A28"/>
    <w:rsid w:val="00BF6D6E"/>
    <w:rsid w:val="00BF6E5D"/>
    <w:rsid w:val="00BF7107"/>
    <w:rsid w:val="00BF71A6"/>
    <w:rsid w:val="00BF7E99"/>
    <w:rsid w:val="00C0021D"/>
    <w:rsid w:val="00C00469"/>
    <w:rsid w:val="00C0047B"/>
    <w:rsid w:val="00C00B5E"/>
    <w:rsid w:val="00C00BA2"/>
    <w:rsid w:val="00C010FA"/>
    <w:rsid w:val="00C015EB"/>
    <w:rsid w:val="00C01A05"/>
    <w:rsid w:val="00C01AF6"/>
    <w:rsid w:val="00C01BB0"/>
    <w:rsid w:val="00C01C75"/>
    <w:rsid w:val="00C01E29"/>
    <w:rsid w:val="00C02121"/>
    <w:rsid w:val="00C02210"/>
    <w:rsid w:val="00C02714"/>
    <w:rsid w:val="00C027E2"/>
    <w:rsid w:val="00C0313A"/>
    <w:rsid w:val="00C034F4"/>
    <w:rsid w:val="00C037AE"/>
    <w:rsid w:val="00C037FC"/>
    <w:rsid w:val="00C03B7A"/>
    <w:rsid w:val="00C03BCA"/>
    <w:rsid w:val="00C03E34"/>
    <w:rsid w:val="00C03FC3"/>
    <w:rsid w:val="00C0428C"/>
    <w:rsid w:val="00C042FB"/>
    <w:rsid w:val="00C0440C"/>
    <w:rsid w:val="00C04568"/>
    <w:rsid w:val="00C04A9A"/>
    <w:rsid w:val="00C04B40"/>
    <w:rsid w:val="00C05057"/>
    <w:rsid w:val="00C05098"/>
    <w:rsid w:val="00C05267"/>
    <w:rsid w:val="00C05422"/>
    <w:rsid w:val="00C0546D"/>
    <w:rsid w:val="00C05541"/>
    <w:rsid w:val="00C05611"/>
    <w:rsid w:val="00C0564C"/>
    <w:rsid w:val="00C0591B"/>
    <w:rsid w:val="00C05CF7"/>
    <w:rsid w:val="00C0615B"/>
    <w:rsid w:val="00C0643E"/>
    <w:rsid w:val="00C06508"/>
    <w:rsid w:val="00C066F3"/>
    <w:rsid w:val="00C06A28"/>
    <w:rsid w:val="00C06BA7"/>
    <w:rsid w:val="00C06FD8"/>
    <w:rsid w:val="00C0728B"/>
    <w:rsid w:val="00C07889"/>
    <w:rsid w:val="00C07AE4"/>
    <w:rsid w:val="00C07DAF"/>
    <w:rsid w:val="00C07EE8"/>
    <w:rsid w:val="00C07FCA"/>
    <w:rsid w:val="00C1019C"/>
    <w:rsid w:val="00C1029D"/>
    <w:rsid w:val="00C10716"/>
    <w:rsid w:val="00C10DEE"/>
    <w:rsid w:val="00C10E4A"/>
    <w:rsid w:val="00C10F84"/>
    <w:rsid w:val="00C1106B"/>
    <w:rsid w:val="00C111C4"/>
    <w:rsid w:val="00C115D3"/>
    <w:rsid w:val="00C11958"/>
    <w:rsid w:val="00C11E2F"/>
    <w:rsid w:val="00C11E76"/>
    <w:rsid w:val="00C121C4"/>
    <w:rsid w:val="00C12233"/>
    <w:rsid w:val="00C1230A"/>
    <w:rsid w:val="00C1238B"/>
    <w:rsid w:val="00C12458"/>
    <w:rsid w:val="00C125A7"/>
    <w:rsid w:val="00C129C1"/>
    <w:rsid w:val="00C13ACD"/>
    <w:rsid w:val="00C13E3A"/>
    <w:rsid w:val="00C13EC6"/>
    <w:rsid w:val="00C13FF1"/>
    <w:rsid w:val="00C14145"/>
    <w:rsid w:val="00C14C67"/>
    <w:rsid w:val="00C14D49"/>
    <w:rsid w:val="00C15220"/>
    <w:rsid w:val="00C15346"/>
    <w:rsid w:val="00C15E18"/>
    <w:rsid w:val="00C161A7"/>
    <w:rsid w:val="00C163E9"/>
    <w:rsid w:val="00C168AC"/>
    <w:rsid w:val="00C16DA8"/>
    <w:rsid w:val="00C1739A"/>
    <w:rsid w:val="00C17D16"/>
    <w:rsid w:val="00C17FD9"/>
    <w:rsid w:val="00C202DC"/>
    <w:rsid w:val="00C20364"/>
    <w:rsid w:val="00C203F0"/>
    <w:rsid w:val="00C20431"/>
    <w:rsid w:val="00C20959"/>
    <w:rsid w:val="00C20977"/>
    <w:rsid w:val="00C20C2D"/>
    <w:rsid w:val="00C20D32"/>
    <w:rsid w:val="00C20DA8"/>
    <w:rsid w:val="00C20DF3"/>
    <w:rsid w:val="00C20E60"/>
    <w:rsid w:val="00C21022"/>
    <w:rsid w:val="00C21563"/>
    <w:rsid w:val="00C215CB"/>
    <w:rsid w:val="00C21792"/>
    <w:rsid w:val="00C217E6"/>
    <w:rsid w:val="00C21910"/>
    <w:rsid w:val="00C21DB6"/>
    <w:rsid w:val="00C21FED"/>
    <w:rsid w:val="00C2200C"/>
    <w:rsid w:val="00C221A6"/>
    <w:rsid w:val="00C224BA"/>
    <w:rsid w:val="00C224D0"/>
    <w:rsid w:val="00C22655"/>
    <w:rsid w:val="00C226DB"/>
    <w:rsid w:val="00C2285B"/>
    <w:rsid w:val="00C22E4B"/>
    <w:rsid w:val="00C22FD7"/>
    <w:rsid w:val="00C23397"/>
    <w:rsid w:val="00C233C0"/>
    <w:rsid w:val="00C23610"/>
    <w:rsid w:val="00C238FD"/>
    <w:rsid w:val="00C23ADC"/>
    <w:rsid w:val="00C23CB8"/>
    <w:rsid w:val="00C23E65"/>
    <w:rsid w:val="00C240D2"/>
    <w:rsid w:val="00C241C5"/>
    <w:rsid w:val="00C24368"/>
    <w:rsid w:val="00C2442D"/>
    <w:rsid w:val="00C24886"/>
    <w:rsid w:val="00C24A19"/>
    <w:rsid w:val="00C24A20"/>
    <w:rsid w:val="00C24D83"/>
    <w:rsid w:val="00C25361"/>
    <w:rsid w:val="00C25770"/>
    <w:rsid w:val="00C25931"/>
    <w:rsid w:val="00C25C60"/>
    <w:rsid w:val="00C260BC"/>
    <w:rsid w:val="00C2636E"/>
    <w:rsid w:val="00C268C6"/>
    <w:rsid w:val="00C26A2F"/>
    <w:rsid w:val="00C270A5"/>
    <w:rsid w:val="00C274F3"/>
    <w:rsid w:val="00C276CA"/>
    <w:rsid w:val="00C27871"/>
    <w:rsid w:val="00C27EAE"/>
    <w:rsid w:val="00C27F83"/>
    <w:rsid w:val="00C3074B"/>
    <w:rsid w:val="00C30757"/>
    <w:rsid w:val="00C30904"/>
    <w:rsid w:val="00C30957"/>
    <w:rsid w:val="00C30D5A"/>
    <w:rsid w:val="00C31608"/>
    <w:rsid w:val="00C3188D"/>
    <w:rsid w:val="00C318A2"/>
    <w:rsid w:val="00C318AF"/>
    <w:rsid w:val="00C31A94"/>
    <w:rsid w:val="00C321FC"/>
    <w:rsid w:val="00C324F0"/>
    <w:rsid w:val="00C3267E"/>
    <w:rsid w:val="00C327BC"/>
    <w:rsid w:val="00C32B6C"/>
    <w:rsid w:val="00C32D84"/>
    <w:rsid w:val="00C32E23"/>
    <w:rsid w:val="00C3327C"/>
    <w:rsid w:val="00C33498"/>
    <w:rsid w:val="00C336EC"/>
    <w:rsid w:val="00C3385B"/>
    <w:rsid w:val="00C33BE1"/>
    <w:rsid w:val="00C34193"/>
    <w:rsid w:val="00C342E8"/>
    <w:rsid w:val="00C34B20"/>
    <w:rsid w:val="00C35323"/>
    <w:rsid w:val="00C354FC"/>
    <w:rsid w:val="00C35747"/>
    <w:rsid w:val="00C35780"/>
    <w:rsid w:val="00C358CC"/>
    <w:rsid w:val="00C35A2D"/>
    <w:rsid w:val="00C35CE5"/>
    <w:rsid w:val="00C3607D"/>
    <w:rsid w:val="00C36157"/>
    <w:rsid w:val="00C361B5"/>
    <w:rsid w:val="00C36394"/>
    <w:rsid w:val="00C3671C"/>
    <w:rsid w:val="00C368B2"/>
    <w:rsid w:val="00C369C5"/>
    <w:rsid w:val="00C36C40"/>
    <w:rsid w:val="00C36E59"/>
    <w:rsid w:val="00C36FB7"/>
    <w:rsid w:val="00C37102"/>
    <w:rsid w:val="00C378BB"/>
    <w:rsid w:val="00C37A49"/>
    <w:rsid w:val="00C37C66"/>
    <w:rsid w:val="00C4004B"/>
    <w:rsid w:val="00C400D6"/>
    <w:rsid w:val="00C40326"/>
    <w:rsid w:val="00C40584"/>
    <w:rsid w:val="00C40C65"/>
    <w:rsid w:val="00C40D7A"/>
    <w:rsid w:val="00C411C6"/>
    <w:rsid w:val="00C411E8"/>
    <w:rsid w:val="00C41B47"/>
    <w:rsid w:val="00C42009"/>
    <w:rsid w:val="00C42028"/>
    <w:rsid w:val="00C42089"/>
    <w:rsid w:val="00C4208C"/>
    <w:rsid w:val="00C42278"/>
    <w:rsid w:val="00C4227F"/>
    <w:rsid w:val="00C425B1"/>
    <w:rsid w:val="00C435A8"/>
    <w:rsid w:val="00C43733"/>
    <w:rsid w:val="00C43770"/>
    <w:rsid w:val="00C43996"/>
    <w:rsid w:val="00C43D1B"/>
    <w:rsid w:val="00C43DB2"/>
    <w:rsid w:val="00C43F3C"/>
    <w:rsid w:val="00C448AE"/>
    <w:rsid w:val="00C44997"/>
    <w:rsid w:val="00C44AD1"/>
    <w:rsid w:val="00C44B2F"/>
    <w:rsid w:val="00C44B92"/>
    <w:rsid w:val="00C44D9B"/>
    <w:rsid w:val="00C44E74"/>
    <w:rsid w:val="00C44FF2"/>
    <w:rsid w:val="00C4508E"/>
    <w:rsid w:val="00C45CAE"/>
    <w:rsid w:val="00C45F1A"/>
    <w:rsid w:val="00C45FCA"/>
    <w:rsid w:val="00C46097"/>
    <w:rsid w:val="00C4632E"/>
    <w:rsid w:val="00C46358"/>
    <w:rsid w:val="00C46905"/>
    <w:rsid w:val="00C46E0F"/>
    <w:rsid w:val="00C46FC4"/>
    <w:rsid w:val="00C47598"/>
    <w:rsid w:val="00C4786D"/>
    <w:rsid w:val="00C47A35"/>
    <w:rsid w:val="00C47CB1"/>
    <w:rsid w:val="00C47D8F"/>
    <w:rsid w:val="00C47DE2"/>
    <w:rsid w:val="00C503D7"/>
    <w:rsid w:val="00C50543"/>
    <w:rsid w:val="00C505BA"/>
    <w:rsid w:val="00C508DA"/>
    <w:rsid w:val="00C50ADB"/>
    <w:rsid w:val="00C50B3A"/>
    <w:rsid w:val="00C51470"/>
    <w:rsid w:val="00C5157D"/>
    <w:rsid w:val="00C519DA"/>
    <w:rsid w:val="00C51A3B"/>
    <w:rsid w:val="00C51BEA"/>
    <w:rsid w:val="00C51C54"/>
    <w:rsid w:val="00C522FC"/>
    <w:rsid w:val="00C5236A"/>
    <w:rsid w:val="00C5257B"/>
    <w:rsid w:val="00C52CEE"/>
    <w:rsid w:val="00C530B7"/>
    <w:rsid w:val="00C5356A"/>
    <w:rsid w:val="00C53C97"/>
    <w:rsid w:val="00C54490"/>
    <w:rsid w:val="00C5472F"/>
    <w:rsid w:val="00C54D41"/>
    <w:rsid w:val="00C5514C"/>
    <w:rsid w:val="00C55988"/>
    <w:rsid w:val="00C5632C"/>
    <w:rsid w:val="00C56443"/>
    <w:rsid w:val="00C56DA3"/>
    <w:rsid w:val="00C56DA7"/>
    <w:rsid w:val="00C56EA1"/>
    <w:rsid w:val="00C5733B"/>
    <w:rsid w:val="00C575A5"/>
    <w:rsid w:val="00C57721"/>
    <w:rsid w:val="00C57A60"/>
    <w:rsid w:val="00C57C31"/>
    <w:rsid w:val="00C57D85"/>
    <w:rsid w:val="00C602E7"/>
    <w:rsid w:val="00C603F9"/>
    <w:rsid w:val="00C608DB"/>
    <w:rsid w:val="00C60AE1"/>
    <w:rsid w:val="00C60B88"/>
    <w:rsid w:val="00C61102"/>
    <w:rsid w:val="00C616FD"/>
    <w:rsid w:val="00C620C3"/>
    <w:rsid w:val="00C6241B"/>
    <w:rsid w:val="00C624A9"/>
    <w:rsid w:val="00C62B22"/>
    <w:rsid w:val="00C62C3F"/>
    <w:rsid w:val="00C62CCD"/>
    <w:rsid w:val="00C62DFF"/>
    <w:rsid w:val="00C63304"/>
    <w:rsid w:val="00C63305"/>
    <w:rsid w:val="00C635F9"/>
    <w:rsid w:val="00C63926"/>
    <w:rsid w:val="00C63BC0"/>
    <w:rsid w:val="00C63D7F"/>
    <w:rsid w:val="00C63FCC"/>
    <w:rsid w:val="00C63FEC"/>
    <w:rsid w:val="00C6410E"/>
    <w:rsid w:val="00C644DE"/>
    <w:rsid w:val="00C646D9"/>
    <w:rsid w:val="00C64AEF"/>
    <w:rsid w:val="00C64C69"/>
    <w:rsid w:val="00C64D09"/>
    <w:rsid w:val="00C65951"/>
    <w:rsid w:val="00C6597D"/>
    <w:rsid w:val="00C65A73"/>
    <w:rsid w:val="00C65AE0"/>
    <w:rsid w:val="00C65E33"/>
    <w:rsid w:val="00C661CD"/>
    <w:rsid w:val="00C66203"/>
    <w:rsid w:val="00C66409"/>
    <w:rsid w:val="00C66523"/>
    <w:rsid w:val="00C66925"/>
    <w:rsid w:val="00C66FFA"/>
    <w:rsid w:val="00C671E2"/>
    <w:rsid w:val="00C67745"/>
    <w:rsid w:val="00C6779C"/>
    <w:rsid w:val="00C67881"/>
    <w:rsid w:val="00C67ADB"/>
    <w:rsid w:val="00C67BA4"/>
    <w:rsid w:val="00C67C07"/>
    <w:rsid w:val="00C67EC4"/>
    <w:rsid w:val="00C700B4"/>
    <w:rsid w:val="00C703AA"/>
    <w:rsid w:val="00C70412"/>
    <w:rsid w:val="00C7112E"/>
    <w:rsid w:val="00C71A7E"/>
    <w:rsid w:val="00C71C06"/>
    <w:rsid w:val="00C7254D"/>
    <w:rsid w:val="00C7268E"/>
    <w:rsid w:val="00C72A44"/>
    <w:rsid w:val="00C72A72"/>
    <w:rsid w:val="00C72B54"/>
    <w:rsid w:val="00C72CA9"/>
    <w:rsid w:val="00C72CCE"/>
    <w:rsid w:val="00C72F5F"/>
    <w:rsid w:val="00C73184"/>
    <w:rsid w:val="00C7332A"/>
    <w:rsid w:val="00C733D9"/>
    <w:rsid w:val="00C73401"/>
    <w:rsid w:val="00C7346A"/>
    <w:rsid w:val="00C73543"/>
    <w:rsid w:val="00C736A6"/>
    <w:rsid w:val="00C73906"/>
    <w:rsid w:val="00C73BEB"/>
    <w:rsid w:val="00C73DFE"/>
    <w:rsid w:val="00C73E4B"/>
    <w:rsid w:val="00C73F09"/>
    <w:rsid w:val="00C744F3"/>
    <w:rsid w:val="00C74825"/>
    <w:rsid w:val="00C74AA4"/>
    <w:rsid w:val="00C7524C"/>
    <w:rsid w:val="00C76508"/>
    <w:rsid w:val="00C765DF"/>
    <w:rsid w:val="00C766FC"/>
    <w:rsid w:val="00C76735"/>
    <w:rsid w:val="00C76B4B"/>
    <w:rsid w:val="00C76BCA"/>
    <w:rsid w:val="00C76D6D"/>
    <w:rsid w:val="00C76F59"/>
    <w:rsid w:val="00C773AF"/>
    <w:rsid w:val="00C775FD"/>
    <w:rsid w:val="00C776FD"/>
    <w:rsid w:val="00C8020F"/>
    <w:rsid w:val="00C804E2"/>
    <w:rsid w:val="00C80562"/>
    <w:rsid w:val="00C808E2"/>
    <w:rsid w:val="00C80B8B"/>
    <w:rsid w:val="00C81705"/>
    <w:rsid w:val="00C81842"/>
    <w:rsid w:val="00C81CF0"/>
    <w:rsid w:val="00C82240"/>
    <w:rsid w:val="00C8225E"/>
    <w:rsid w:val="00C82B49"/>
    <w:rsid w:val="00C82BD2"/>
    <w:rsid w:val="00C82D8D"/>
    <w:rsid w:val="00C836FC"/>
    <w:rsid w:val="00C8376C"/>
    <w:rsid w:val="00C83948"/>
    <w:rsid w:val="00C83AF5"/>
    <w:rsid w:val="00C83C4A"/>
    <w:rsid w:val="00C83E7A"/>
    <w:rsid w:val="00C83FC0"/>
    <w:rsid w:val="00C84351"/>
    <w:rsid w:val="00C844D7"/>
    <w:rsid w:val="00C848BA"/>
    <w:rsid w:val="00C84F98"/>
    <w:rsid w:val="00C852CD"/>
    <w:rsid w:val="00C856EC"/>
    <w:rsid w:val="00C85810"/>
    <w:rsid w:val="00C85969"/>
    <w:rsid w:val="00C85CA7"/>
    <w:rsid w:val="00C85E14"/>
    <w:rsid w:val="00C8627D"/>
    <w:rsid w:val="00C865E4"/>
    <w:rsid w:val="00C86643"/>
    <w:rsid w:val="00C86A07"/>
    <w:rsid w:val="00C86B6F"/>
    <w:rsid w:val="00C86BB4"/>
    <w:rsid w:val="00C8799A"/>
    <w:rsid w:val="00C900E3"/>
    <w:rsid w:val="00C9029B"/>
    <w:rsid w:val="00C903B9"/>
    <w:rsid w:val="00C909E3"/>
    <w:rsid w:val="00C90CD8"/>
    <w:rsid w:val="00C90DC8"/>
    <w:rsid w:val="00C90DD2"/>
    <w:rsid w:val="00C91C46"/>
    <w:rsid w:val="00C92237"/>
    <w:rsid w:val="00C92418"/>
    <w:rsid w:val="00C9269F"/>
    <w:rsid w:val="00C93087"/>
    <w:rsid w:val="00C93512"/>
    <w:rsid w:val="00C935FF"/>
    <w:rsid w:val="00C93944"/>
    <w:rsid w:val="00C93964"/>
    <w:rsid w:val="00C93BBF"/>
    <w:rsid w:val="00C94149"/>
    <w:rsid w:val="00C9424C"/>
    <w:rsid w:val="00C944E6"/>
    <w:rsid w:val="00C945FB"/>
    <w:rsid w:val="00C94660"/>
    <w:rsid w:val="00C94796"/>
    <w:rsid w:val="00C94C8D"/>
    <w:rsid w:val="00C9516A"/>
    <w:rsid w:val="00C9545B"/>
    <w:rsid w:val="00C955D7"/>
    <w:rsid w:val="00C95D0E"/>
    <w:rsid w:val="00C95F4E"/>
    <w:rsid w:val="00C964A6"/>
    <w:rsid w:val="00C96502"/>
    <w:rsid w:val="00C965F0"/>
    <w:rsid w:val="00C9681F"/>
    <w:rsid w:val="00C96C61"/>
    <w:rsid w:val="00C96D5B"/>
    <w:rsid w:val="00C971AB"/>
    <w:rsid w:val="00C9755E"/>
    <w:rsid w:val="00C97617"/>
    <w:rsid w:val="00C97D7C"/>
    <w:rsid w:val="00C97DCE"/>
    <w:rsid w:val="00C97E18"/>
    <w:rsid w:val="00CA00A8"/>
    <w:rsid w:val="00CA0274"/>
    <w:rsid w:val="00CA043B"/>
    <w:rsid w:val="00CA0503"/>
    <w:rsid w:val="00CA062B"/>
    <w:rsid w:val="00CA0CAC"/>
    <w:rsid w:val="00CA0CF1"/>
    <w:rsid w:val="00CA0CFC"/>
    <w:rsid w:val="00CA121B"/>
    <w:rsid w:val="00CA1283"/>
    <w:rsid w:val="00CA1510"/>
    <w:rsid w:val="00CA19A4"/>
    <w:rsid w:val="00CA1D40"/>
    <w:rsid w:val="00CA1E6F"/>
    <w:rsid w:val="00CA1EDA"/>
    <w:rsid w:val="00CA2076"/>
    <w:rsid w:val="00CA2D72"/>
    <w:rsid w:val="00CA2D77"/>
    <w:rsid w:val="00CA2E6A"/>
    <w:rsid w:val="00CA301A"/>
    <w:rsid w:val="00CA31EF"/>
    <w:rsid w:val="00CA3771"/>
    <w:rsid w:val="00CA3981"/>
    <w:rsid w:val="00CA3BE4"/>
    <w:rsid w:val="00CA429C"/>
    <w:rsid w:val="00CA461D"/>
    <w:rsid w:val="00CA46A4"/>
    <w:rsid w:val="00CA487F"/>
    <w:rsid w:val="00CA4B8E"/>
    <w:rsid w:val="00CA4CB1"/>
    <w:rsid w:val="00CA4EB4"/>
    <w:rsid w:val="00CA5644"/>
    <w:rsid w:val="00CA5A78"/>
    <w:rsid w:val="00CA5B84"/>
    <w:rsid w:val="00CA5F9E"/>
    <w:rsid w:val="00CA5FEC"/>
    <w:rsid w:val="00CA62AE"/>
    <w:rsid w:val="00CA6830"/>
    <w:rsid w:val="00CA68B3"/>
    <w:rsid w:val="00CA68D4"/>
    <w:rsid w:val="00CA698A"/>
    <w:rsid w:val="00CA698E"/>
    <w:rsid w:val="00CA75EB"/>
    <w:rsid w:val="00CA7645"/>
    <w:rsid w:val="00CA776F"/>
    <w:rsid w:val="00CA7775"/>
    <w:rsid w:val="00CA7CF2"/>
    <w:rsid w:val="00CB0479"/>
    <w:rsid w:val="00CB0A16"/>
    <w:rsid w:val="00CB0A84"/>
    <w:rsid w:val="00CB0F0C"/>
    <w:rsid w:val="00CB10F5"/>
    <w:rsid w:val="00CB1696"/>
    <w:rsid w:val="00CB1C09"/>
    <w:rsid w:val="00CB1DCD"/>
    <w:rsid w:val="00CB1E3C"/>
    <w:rsid w:val="00CB2363"/>
    <w:rsid w:val="00CB2434"/>
    <w:rsid w:val="00CB2469"/>
    <w:rsid w:val="00CB2774"/>
    <w:rsid w:val="00CB2A32"/>
    <w:rsid w:val="00CB2A50"/>
    <w:rsid w:val="00CB2E1D"/>
    <w:rsid w:val="00CB2F05"/>
    <w:rsid w:val="00CB2FC2"/>
    <w:rsid w:val="00CB30CA"/>
    <w:rsid w:val="00CB3118"/>
    <w:rsid w:val="00CB3172"/>
    <w:rsid w:val="00CB4022"/>
    <w:rsid w:val="00CB4562"/>
    <w:rsid w:val="00CB471F"/>
    <w:rsid w:val="00CB47F9"/>
    <w:rsid w:val="00CB4FA0"/>
    <w:rsid w:val="00CB5679"/>
    <w:rsid w:val="00CB5713"/>
    <w:rsid w:val="00CB5AAB"/>
    <w:rsid w:val="00CB6792"/>
    <w:rsid w:val="00CB68A2"/>
    <w:rsid w:val="00CB6E4F"/>
    <w:rsid w:val="00CB7040"/>
    <w:rsid w:val="00CB70E1"/>
    <w:rsid w:val="00CB72B4"/>
    <w:rsid w:val="00CB731B"/>
    <w:rsid w:val="00CB73E5"/>
    <w:rsid w:val="00CB7F3B"/>
    <w:rsid w:val="00CC01EB"/>
    <w:rsid w:val="00CC0A7F"/>
    <w:rsid w:val="00CC0FCF"/>
    <w:rsid w:val="00CC10DE"/>
    <w:rsid w:val="00CC1147"/>
    <w:rsid w:val="00CC150E"/>
    <w:rsid w:val="00CC1768"/>
    <w:rsid w:val="00CC18AD"/>
    <w:rsid w:val="00CC1F89"/>
    <w:rsid w:val="00CC2314"/>
    <w:rsid w:val="00CC23A6"/>
    <w:rsid w:val="00CC2408"/>
    <w:rsid w:val="00CC258C"/>
    <w:rsid w:val="00CC25FD"/>
    <w:rsid w:val="00CC2CA2"/>
    <w:rsid w:val="00CC327F"/>
    <w:rsid w:val="00CC333C"/>
    <w:rsid w:val="00CC34CB"/>
    <w:rsid w:val="00CC385A"/>
    <w:rsid w:val="00CC3A15"/>
    <w:rsid w:val="00CC3EF1"/>
    <w:rsid w:val="00CC474A"/>
    <w:rsid w:val="00CC47D7"/>
    <w:rsid w:val="00CC4905"/>
    <w:rsid w:val="00CC49B9"/>
    <w:rsid w:val="00CC4C03"/>
    <w:rsid w:val="00CC60F5"/>
    <w:rsid w:val="00CC6145"/>
    <w:rsid w:val="00CC61AA"/>
    <w:rsid w:val="00CC6515"/>
    <w:rsid w:val="00CC6E85"/>
    <w:rsid w:val="00CC71A0"/>
    <w:rsid w:val="00CC7238"/>
    <w:rsid w:val="00CC75C2"/>
    <w:rsid w:val="00CC778A"/>
    <w:rsid w:val="00CC7E8F"/>
    <w:rsid w:val="00CC7F04"/>
    <w:rsid w:val="00CC7F41"/>
    <w:rsid w:val="00CD000D"/>
    <w:rsid w:val="00CD016C"/>
    <w:rsid w:val="00CD0246"/>
    <w:rsid w:val="00CD0253"/>
    <w:rsid w:val="00CD0842"/>
    <w:rsid w:val="00CD08DE"/>
    <w:rsid w:val="00CD1074"/>
    <w:rsid w:val="00CD14F0"/>
    <w:rsid w:val="00CD157B"/>
    <w:rsid w:val="00CD173D"/>
    <w:rsid w:val="00CD1A0D"/>
    <w:rsid w:val="00CD23D6"/>
    <w:rsid w:val="00CD2656"/>
    <w:rsid w:val="00CD2E0A"/>
    <w:rsid w:val="00CD3078"/>
    <w:rsid w:val="00CD3318"/>
    <w:rsid w:val="00CD365A"/>
    <w:rsid w:val="00CD3A18"/>
    <w:rsid w:val="00CD3B31"/>
    <w:rsid w:val="00CD3F18"/>
    <w:rsid w:val="00CD3FFB"/>
    <w:rsid w:val="00CD43B1"/>
    <w:rsid w:val="00CD45E3"/>
    <w:rsid w:val="00CD483F"/>
    <w:rsid w:val="00CD48E4"/>
    <w:rsid w:val="00CD49CC"/>
    <w:rsid w:val="00CD4A1D"/>
    <w:rsid w:val="00CD4B8D"/>
    <w:rsid w:val="00CD4FBF"/>
    <w:rsid w:val="00CD55A2"/>
    <w:rsid w:val="00CD55AF"/>
    <w:rsid w:val="00CD5857"/>
    <w:rsid w:val="00CD58E5"/>
    <w:rsid w:val="00CD5B2D"/>
    <w:rsid w:val="00CD5E1F"/>
    <w:rsid w:val="00CD5FFD"/>
    <w:rsid w:val="00CD6874"/>
    <w:rsid w:val="00CD688F"/>
    <w:rsid w:val="00CD6E3B"/>
    <w:rsid w:val="00CD7002"/>
    <w:rsid w:val="00CD7104"/>
    <w:rsid w:val="00CD72EA"/>
    <w:rsid w:val="00CD73A3"/>
    <w:rsid w:val="00CD73BC"/>
    <w:rsid w:val="00CD7FB3"/>
    <w:rsid w:val="00CE0055"/>
    <w:rsid w:val="00CE00EB"/>
    <w:rsid w:val="00CE02A8"/>
    <w:rsid w:val="00CE02E6"/>
    <w:rsid w:val="00CE0622"/>
    <w:rsid w:val="00CE088E"/>
    <w:rsid w:val="00CE0912"/>
    <w:rsid w:val="00CE0B32"/>
    <w:rsid w:val="00CE0C8D"/>
    <w:rsid w:val="00CE1043"/>
    <w:rsid w:val="00CE1570"/>
    <w:rsid w:val="00CE1B40"/>
    <w:rsid w:val="00CE1CE6"/>
    <w:rsid w:val="00CE1DEC"/>
    <w:rsid w:val="00CE1F54"/>
    <w:rsid w:val="00CE22BC"/>
    <w:rsid w:val="00CE25E7"/>
    <w:rsid w:val="00CE270A"/>
    <w:rsid w:val="00CE29BD"/>
    <w:rsid w:val="00CE2B49"/>
    <w:rsid w:val="00CE2BED"/>
    <w:rsid w:val="00CE2E1B"/>
    <w:rsid w:val="00CE301A"/>
    <w:rsid w:val="00CE31E5"/>
    <w:rsid w:val="00CE3234"/>
    <w:rsid w:val="00CE3428"/>
    <w:rsid w:val="00CE3564"/>
    <w:rsid w:val="00CE37F8"/>
    <w:rsid w:val="00CE39A7"/>
    <w:rsid w:val="00CE4204"/>
    <w:rsid w:val="00CE42F6"/>
    <w:rsid w:val="00CE48FB"/>
    <w:rsid w:val="00CE4E97"/>
    <w:rsid w:val="00CE5085"/>
    <w:rsid w:val="00CE5186"/>
    <w:rsid w:val="00CE53AD"/>
    <w:rsid w:val="00CE5760"/>
    <w:rsid w:val="00CE5A59"/>
    <w:rsid w:val="00CE60F0"/>
    <w:rsid w:val="00CE616B"/>
    <w:rsid w:val="00CE629E"/>
    <w:rsid w:val="00CE62B8"/>
    <w:rsid w:val="00CE63A8"/>
    <w:rsid w:val="00CE6528"/>
    <w:rsid w:val="00CE6B16"/>
    <w:rsid w:val="00CE6BB0"/>
    <w:rsid w:val="00CE6F27"/>
    <w:rsid w:val="00CE6F96"/>
    <w:rsid w:val="00CE7672"/>
    <w:rsid w:val="00CE7687"/>
    <w:rsid w:val="00CE76B5"/>
    <w:rsid w:val="00CE79FE"/>
    <w:rsid w:val="00CE7A31"/>
    <w:rsid w:val="00CE7DD6"/>
    <w:rsid w:val="00CE7E16"/>
    <w:rsid w:val="00CF010F"/>
    <w:rsid w:val="00CF0423"/>
    <w:rsid w:val="00CF072B"/>
    <w:rsid w:val="00CF08F6"/>
    <w:rsid w:val="00CF0ADD"/>
    <w:rsid w:val="00CF0AFE"/>
    <w:rsid w:val="00CF0D20"/>
    <w:rsid w:val="00CF19EB"/>
    <w:rsid w:val="00CF19EE"/>
    <w:rsid w:val="00CF2753"/>
    <w:rsid w:val="00CF28EE"/>
    <w:rsid w:val="00CF2CAC"/>
    <w:rsid w:val="00CF2FA8"/>
    <w:rsid w:val="00CF3159"/>
    <w:rsid w:val="00CF3885"/>
    <w:rsid w:val="00CF3B92"/>
    <w:rsid w:val="00CF402D"/>
    <w:rsid w:val="00CF431B"/>
    <w:rsid w:val="00CF4333"/>
    <w:rsid w:val="00CF5577"/>
    <w:rsid w:val="00CF5BE3"/>
    <w:rsid w:val="00CF6150"/>
    <w:rsid w:val="00CF620E"/>
    <w:rsid w:val="00CF62A8"/>
    <w:rsid w:val="00CF6CD1"/>
    <w:rsid w:val="00CF6DDA"/>
    <w:rsid w:val="00CF6DF4"/>
    <w:rsid w:val="00CF6EA7"/>
    <w:rsid w:val="00CF706A"/>
    <w:rsid w:val="00CF7684"/>
    <w:rsid w:val="00CF7A07"/>
    <w:rsid w:val="00CF7AF7"/>
    <w:rsid w:val="00D00171"/>
    <w:rsid w:val="00D0063E"/>
    <w:rsid w:val="00D00680"/>
    <w:rsid w:val="00D006FE"/>
    <w:rsid w:val="00D00A23"/>
    <w:rsid w:val="00D00AB2"/>
    <w:rsid w:val="00D011FE"/>
    <w:rsid w:val="00D016AB"/>
    <w:rsid w:val="00D016E6"/>
    <w:rsid w:val="00D019FA"/>
    <w:rsid w:val="00D01CCF"/>
    <w:rsid w:val="00D0212E"/>
    <w:rsid w:val="00D0214A"/>
    <w:rsid w:val="00D026CD"/>
    <w:rsid w:val="00D029FE"/>
    <w:rsid w:val="00D02A25"/>
    <w:rsid w:val="00D03363"/>
    <w:rsid w:val="00D041D8"/>
    <w:rsid w:val="00D0442E"/>
    <w:rsid w:val="00D0455A"/>
    <w:rsid w:val="00D04C15"/>
    <w:rsid w:val="00D04F7B"/>
    <w:rsid w:val="00D0512C"/>
    <w:rsid w:val="00D053C2"/>
    <w:rsid w:val="00D05FA5"/>
    <w:rsid w:val="00D06211"/>
    <w:rsid w:val="00D0690A"/>
    <w:rsid w:val="00D069A9"/>
    <w:rsid w:val="00D06E9F"/>
    <w:rsid w:val="00D06FFF"/>
    <w:rsid w:val="00D07871"/>
    <w:rsid w:val="00D07B7D"/>
    <w:rsid w:val="00D07D7B"/>
    <w:rsid w:val="00D07F74"/>
    <w:rsid w:val="00D105FD"/>
    <w:rsid w:val="00D10C29"/>
    <w:rsid w:val="00D10DD2"/>
    <w:rsid w:val="00D113E7"/>
    <w:rsid w:val="00D116BB"/>
    <w:rsid w:val="00D116F0"/>
    <w:rsid w:val="00D11724"/>
    <w:rsid w:val="00D119B8"/>
    <w:rsid w:val="00D11A72"/>
    <w:rsid w:val="00D11B26"/>
    <w:rsid w:val="00D11B66"/>
    <w:rsid w:val="00D122BD"/>
    <w:rsid w:val="00D123EA"/>
    <w:rsid w:val="00D124C5"/>
    <w:rsid w:val="00D126F2"/>
    <w:rsid w:val="00D12A77"/>
    <w:rsid w:val="00D12C8C"/>
    <w:rsid w:val="00D12E24"/>
    <w:rsid w:val="00D134C5"/>
    <w:rsid w:val="00D135C9"/>
    <w:rsid w:val="00D13CD4"/>
    <w:rsid w:val="00D14332"/>
    <w:rsid w:val="00D144C6"/>
    <w:rsid w:val="00D1455C"/>
    <w:rsid w:val="00D14C3A"/>
    <w:rsid w:val="00D14D0D"/>
    <w:rsid w:val="00D15178"/>
    <w:rsid w:val="00D151AE"/>
    <w:rsid w:val="00D15979"/>
    <w:rsid w:val="00D159A3"/>
    <w:rsid w:val="00D15B0C"/>
    <w:rsid w:val="00D15F88"/>
    <w:rsid w:val="00D167E6"/>
    <w:rsid w:val="00D16C97"/>
    <w:rsid w:val="00D16F9B"/>
    <w:rsid w:val="00D174D0"/>
    <w:rsid w:val="00D17611"/>
    <w:rsid w:val="00D17A0C"/>
    <w:rsid w:val="00D17E0F"/>
    <w:rsid w:val="00D17E1D"/>
    <w:rsid w:val="00D17E36"/>
    <w:rsid w:val="00D203EE"/>
    <w:rsid w:val="00D20AA8"/>
    <w:rsid w:val="00D211A0"/>
    <w:rsid w:val="00D21366"/>
    <w:rsid w:val="00D21A5A"/>
    <w:rsid w:val="00D21ADF"/>
    <w:rsid w:val="00D21E2C"/>
    <w:rsid w:val="00D21F33"/>
    <w:rsid w:val="00D22039"/>
    <w:rsid w:val="00D22381"/>
    <w:rsid w:val="00D22863"/>
    <w:rsid w:val="00D22A36"/>
    <w:rsid w:val="00D22D74"/>
    <w:rsid w:val="00D231EA"/>
    <w:rsid w:val="00D23502"/>
    <w:rsid w:val="00D23769"/>
    <w:rsid w:val="00D239B8"/>
    <w:rsid w:val="00D23D32"/>
    <w:rsid w:val="00D23D51"/>
    <w:rsid w:val="00D23FA1"/>
    <w:rsid w:val="00D24778"/>
    <w:rsid w:val="00D25409"/>
    <w:rsid w:val="00D259F3"/>
    <w:rsid w:val="00D25ADF"/>
    <w:rsid w:val="00D25BE6"/>
    <w:rsid w:val="00D25C2E"/>
    <w:rsid w:val="00D25FFA"/>
    <w:rsid w:val="00D264A4"/>
    <w:rsid w:val="00D268E0"/>
    <w:rsid w:val="00D26CEC"/>
    <w:rsid w:val="00D26E87"/>
    <w:rsid w:val="00D27086"/>
    <w:rsid w:val="00D274D5"/>
    <w:rsid w:val="00D274E2"/>
    <w:rsid w:val="00D27609"/>
    <w:rsid w:val="00D279F9"/>
    <w:rsid w:val="00D27BB8"/>
    <w:rsid w:val="00D27CDB"/>
    <w:rsid w:val="00D27D1C"/>
    <w:rsid w:val="00D27E92"/>
    <w:rsid w:val="00D30112"/>
    <w:rsid w:val="00D3018C"/>
    <w:rsid w:val="00D30458"/>
    <w:rsid w:val="00D30B67"/>
    <w:rsid w:val="00D30D2F"/>
    <w:rsid w:val="00D30E04"/>
    <w:rsid w:val="00D31138"/>
    <w:rsid w:val="00D31529"/>
    <w:rsid w:val="00D31648"/>
    <w:rsid w:val="00D3190D"/>
    <w:rsid w:val="00D3192B"/>
    <w:rsid w:val="00D31C33"/>
    <w:rsid w:val="00D32416"/>
    <w:rsid w:val="00D326A2"/>
    <w:rsid w:val="00D32B9F"/>
    <w:rsid w:val="00D3345B"/>
    <w:rsid w:val="00D33974"/>
    <w:rsid w:val="00D33BA6"/>
    <w:rsid w:val="00D34629"/>
    <w:rsid w:val="00D346EB"/>
    <w:rsid w:val="00D34B45"/>
    <w:rsid w:val="00D35190"/>
    <w:rsid w:val="00D35A16"/>
    <w:rsid w:val="00D35DEF"/>
    <w:rsid w:val="00D36000"/>
    <w:rsid w:val="00D362D1"/>
    <w:rsid w:val="00D3648B"/>
    <w:rsid w:val="00D36D7D"/>
    <w:rsid w:val="00D36FEC"/>
    <w:rsid w:val="00D3723B"/>
    <w:rsid w:val="00D377B1"/>
    <w:rsid w:val="00D37996"/>
    <w:rsid w:val="00D37C81"/>
    <w:rsid w:val="00D37DF7"/>
    <w:rsid w:val="00D405B2"/>
    <w:rsid w:val="00D40BBB"/>
    <w:rsid w:val="00D4101C"/>
    <w:rsid w:val="00D411AB"/>
    <w:rsid w:val="00D41778"/>
    <w:rsid w:val="00D41B32"/>
    <w:rsid w:val="00D41BD7"/>
    <w:rsid w:val="00D41E32"/>
    <w:rsid w:val="00D42078"/>
    <w:rsid w:val="00D42CC1"/>
    <w:rsid w:val="00D42D59"/>
    <w:rsid w:val="00D42F6C"/>
    <w:rsid w:val="00D43663"/>
    <w:rsid w:val="00D43A1F"/>
    <w:rsid w:val="00D44755"/>
    <w:rsid w:val="00D4477C"/>
    <w:rsid w:val="00D44AA2"/>
    <w:rsid w:val="00D45524"/>
    <w:rsid w:val="00D45EDA"/>
    <w:rsid w:val="00D46126"/>
    <w:rsid w:val="00D461B7"/>
    <w:rsid w:val="00D46750"/>
    <w:rsid w:val="00D4788B"/>
    <w:rsid w:val="00D47CB3"/>
    <w:rsid w:val="00D47F43"/>
    <w:rsid w:val="00D47FC6"/>
    <w:rsid w:val="00D5004E"/>
    <w:rsid w:val="00D506A4"/>
    <w:rsid w:val="00D50D8F"/>
    <w:rsid w:val="00D50DFF"/>
    <w:rsid w:val="00D50F88"/>
    <w:rsid w:val="00D512A4"/>
    <w:rsid w:val="00D5135C"/>
    <w:rsid w:val="00D5138A"/>
    <w:rsid w:val="00D517A9"/>
    <w:rsid w:val="00D5195A"/>
    <w:rsid w:val="00D51A5D"/>
    <w:rsid w:val="00D51A7A"/>
    <w:rsid w:val="00D51B6D"/>
    <w:rsid w:val="00D51C63"/>
    <w:rsid w:val="00D521C2"/>
    <w:rsid w:val="00D52785"/>
    <w:rsid w:val="00D52B04"/>
    <w:rsid w:val="00D5315D"/>
    <w:rsid w:val="00D53401"/>
    <w:rsid w:val="00D5370C"/>
    <w:rsid w:val="00D537D1"/>
    <w:rsid w:val="00D539EF"/>
    <w:rsid w:val="00D53A72"/>
    <w:rsid w:val="00D54038"/>
    <w:rsid w:val="00D54213"/>
    <w:rsid w:val="00D542E7"/>
    <w:rsid w:val="00D544E4"/>
    <w:rsid w:val="00D5490B"/>
    <w:rsid w:val="00D54F96"/>
    <w:rsid w:val="00D54FF3"/>
    <w:rsid w:val="00D5509A"/>
    <w:rsid w:val="00D550A4"/>
    <w:rsid w:val="00D5556F"/>
    <w:rsid w:val="00D55656"/>
    <w:rsid w:val="00D55A61"/>
    <w:rsid w:val="00D55E63"/>
    <w:rsid w:val="00D5610F"/>
    <w:rsid w:val="00D5676F"/>
    <w:rsid w:val="00D567D7"/>
    <w:rsid w:val="00D569BD"/>
    <w:rsid w:val="00D56AE7"/>
    <w:rsid w:val="00D57027"/>
    <w:rsid w:val="00D573B0"/>
    <w:rsid w:val="00D57521"/>
    <w:rsid w:val="00D576B6"/>
    <w:rsid w:val="00D578DF"/>
    <w:rsid w:val="00D5792F"/>
    <w:rsid w:val="00D57967"/>
    <w:rsid w:val="00D579E1"/>
    <w:rsid w:val="00D600EC"/>
    <w:rsid w:val="00D60147"/>
    <w:rsid w:val="00D6036C"/>
    <w:rsid w:val="00D60747"/>
    <w:rsid w:val="00D60CB8"/>
    <w:rsid w:val="00D60DEF"/>
    <w:rsid w:val="00D6110E"/>
    <w:rsid w:val="00D61D9D"/>
    <w:rsid w:val="00D61E8B"/>
    <w:rsid w:val="00D6217D"/>
    <w:rsid w:val="00D6231B"/>
    <w:rsid w:val="00D62439"/>
    <w:rsid w:val="00D62C17"/>
    <w:rsid w:val="00D62DFA"/>
    <w:rsid w:val="00D62FE3"/>
    <w:rsid w:val="00D63ACC"/>
    <w:rsid w:val="00D63D29"/>
    <w:rsid w:val="00D63EDB"/>
    <w:rsid w:val="00D6519E"/>
    <w:rsid w:val="00D65C79"/>
    <w:rsid w:val="00D6601C"/>
    <w:rsid w:val="00D66421"/>
    <w:rsid w:val="00D66949"/>
    <w:rsid w:val="00D674AD"/>
    <w:rsid w:val="00D67A38"/>
    <w:rsid w:val="00D67A60"/>
    <w:rsid w:val="00D67A77"/>
    <w:rsid w:val="00D67AAC"/>
    <w:rsid w:val="00D67E77"/>
    <w:rsid w:val="00D70016"/>
    <w:rsid w:val="00D70178"/>
    <w:rsid w:val="00D70194"/>
    <w:rsid w:val="00D701CE"/>
    <w:rsid w:val="00D701D4"/>
    <w:rsid w:val="00D701D7"/>
    <w:rsid w:val="00D704D7"/>
    <w:rsid w:val="00D7069F"/>
    <w:rsid w:val="00D7083D"/>
    <w:rsid w:val="00D708A9"/>
    <w:rsid w:val="00D7100B"/>
    <w:rsid w:val="00D71188"/>
    <w:rsid w:val="00D7121B"/>
    <w:rsid w:val="00D71336"/>
    <w:rsid w:val="00D713A4"/>
    <w:rsid w:val="00D71461"/>
    <w:rsid w:val="00D71471"/>
    <w:rsid w:val="00D71B67"/>
    <w:rsid w:val="00D71BF6"/>
    <w:rsid w:val="00D71C56"/>
    <w:rsid w:val="00D71F09"/>
    <w:rsid w:val="00D72368"/>
    <w:rsid w:val="00D72BE6"/>
    <w:rsid w:val="00D72F25"/>
    <w:rsid w:val="00D73B2C"/>
    <w:rsid w:val="00D73C72"/>
    <w:rsid w:val="00D73DDB"/>
    <w:rsid w:val="00D7429D"/>
    <w:rsid w:val="00D745D7"/>
    <w:rsid w:val="00D75080"/>
    <w:rsid w:val="00D7519D"/>
    <w:rsid w:val="00D75281"/>
    <w:rsid w:val="00D75378"/>
    <w:rsid w:val="00D75A53"/>
    <w:rsid w:val="00D75B25"/>
    <w:rsid w:val="00D75DC9"/>
    <w:rsid w:val="00D76004"/>
    <w:rsid w:val="00D760B7"/>
    <w:rsid w:val="00D763AA"/>
    <w:rsid w:val="00D7657C"/>
    <w:rsid w:val="00D765FD"/>
    <w:rsid w:val="00D76616"/>
    <w:rsid w:val="00D76BAD"/>
    <w:rsid w:val="00D76C97"/>
    <w:rsid w:val="00D76D95"/>
    <w:rsid w:val="00D76E8B"/>
    <w:rsid w:val="00D7706C"/>
    <w:rsid w:val="00D77433"/>
    <w:rsid w:val="00D779A5"/>
    <w:rsid w:val="00D77DAD"/>
    <w:rsid w:val="00D77F24"/>
    <w:rsid w:val="00D80C6B"/>
    <w:rsid w:val="00D80CCC"/>
    <w:rsid w:val="00D80F0E"/>
    <w:rsid w:val="00D810BB"/>
    <w:rsid w:val="00D812DC"/>
    <w:rsid w:val="00D81524"/>
    <w:rsid w:val="00D81801"/>
    <w:rsid w:val="00D81807"/>
    <w:rsid w:val="00D81ADA"/>
    <w:rsid w:val="00D81FBB"/>
    <w:rsid w:val="00D8205D"/>
    <w:rsid w:val="00D8222E"/>
    <w:rsid w:val="00D82A69"/>
    <w:rsid w:val="00D82E34"/>
    <w:rsid w:val="00D8352F"/>
    <w:rsid w:val="00D836E9"/>
    <w:rsid w:val="00D83760"/>
    <w:rsid w:val="00D8395B"/>
    <w:rsid w:val="00D83D93"/>
    <w:rsid w:val="00D83FBF"/>
    <w:rsid w:val="00D844C1"/>
    <w:rsid w:val="00D8456E"/>
    <w:rsid w:val="00D8462F"/>
    <w:rsid w:val="00D846FB"/>
    <w:rsid w:val="00D849D6"/>
    <w:rsid w:val="00D84E58"/>
    <w:rsid w:val="00D85504"/>
    <w:rsid w:val="00D8567A"/>
    <w:rsid w:val="00D86512"/>
    <w:rsid w:val="00D86695"/>
    <w:rsid w:val="00D867A8"/>
    <w:rsid w:val="00D86A06"/>
    <w:rsid w:val="00D86ABB"/>
    <w:rsid w:val="00D86AD8"/>
    <w:rsid w:val="00D87080"/>
    <w:rsid w:val="00D87115"/>
    <w:rsid w:val="00D8714F"/>
    <w:rsid w:val="00D8715C"/>
    <w:rsid w:val="00D8744F"/>
    <w:rsid w:val="00D879C1"/>
    <w:rsid w:val="00D87B29"/>
    <w:rsid w:val="00D87D0E"/>
    <w:rsid w:val="00D87D72"/>
    <w:rsid w:val="00D9035B"/>
    <w:rsid w:val="00D90444"/>
    <w:rsid w:val="00D90A77"/>
    <w:rsid w:val="00D90BA1"/>
    <w:rsid w:val="00D91492"/>
    <w:rsid w:val="00D9177C"/>
    <w:rsid w:val="00D917C8"/>
    <w:rsid w:val="00D91911"/>
    <w:rsid w:val="00D91A0A"/>
    <w:rsid w:val="00D91A82"/>
    <w:rsid w:val="00D91B5D"/>
    <w:rsid w:val="00D91B8A"/>
    <w:rsid w:val="00D91CB8"/>
    <w:rsid w:val="00D92EED"/>
    <w:rsid w:val="00D92F25"/>
    <w:rsid w:val="00D932E6"/>
    <w:rsid w:val="00D9376B"/>
    <w:rsid w:val="00D93878"/>
    <w:rsid w:val="00D93E53"/>
    <w:rsid w:val="00D9449B"/>
    <w:rsid w:val="00D94A33"/>
    <w:rsid w:val="00D94AD1"/>
    <w:rsid w:val="00D94B35"/>
    <w:rsid w:val="00D95A14"/>
    <w:rsid w:val="00D95E5C"/>
    <w:rsid w:val="00D96232"/>
    <w:rsid w:val="00D96787"/>
    <w:rsid w:val="00D967A5"/>
    <w:rsid w:val="00D96B99"/>
    <w:rsid w:val="00D96D89"/>
    <w:rsid w:val="00D9732F"/>
    <w:rsid w:val="00D97CB3"/>
    <w:rsid w:val="00D97F7F"/>
    <w:rsid w:val="00DA00C4"/>
    <w:rsid w:val="00DA00E5"/>
    <w:rsid w:val="00DA032B"/>
    <w:rsid w:val="00DA037D"/>
    <w:rsid w:val="00DA0430"/>
    <w:rsid w:val="00DA0735"/>
    <w:rsid w:val="00DA114E"/>
    <w:rsid w:val="00DA1306"/>
    <w:rsid w:val="00DA1461"/>
    <w:rsid w:val="00DA182E"/>
    <w:rsid w:val="00DA1E23"/>
    <w:rsid w:val="00DA31BB"/>
    <w:rsid w:val="00DA32AF"/>
    <w:rsid w:val="00DA33EF"/>
    <w:rsid w:val="00DA35AD"/>
    <w:rsid w:val="00DA374B"/>
    <w:rsid w:val="00DA3A26"/>
    <w:rsid w:val="00DA3EAD"/>
    <w:rsid w:val="00DA3EC2"/>
    <w:rsid w:val="00DA4370"/>
    <w:rsid w:val="00DA4479"/>
    <w:rsid w:val="00DA4694"/>
    <w:rsid w:val="00DA477A"/>
    <w:rsid w:val="00DA4820"/>
    <w:rsid w:val="00DA4973"/>
    <w:rsid w:val="00DA4F32"/>
    <w:rsid w:val="00DA5172"/>
    <w:rsid w:val="00DA5259"/>
    <w:rsid w:val="00DA545B"/>
    <w:rsid w:val="00DA585B"/>
    <w:rsid w:val="00DA5A3E"/>
    <w:rsid w:val="00DA5E69"/>
    <w:rsid w:val="00DA62C9"/>
    <w:rsid w:val="00DA67B4"/>
    <w:rsid w:val="00DA68A5"/>
    <w:rsid w:val="00DA6B61"/>
    <w:rsid w:val="00DA6CF4"/>
    <w:rsid w:val="00DA70E8"/>
    <w:rsid w:val="00DA73AF"/>
    <w:rsid w:val="00DA7CFE"/>
    <w:rsid w:val="00DA7EE5"/>
    <w:rsid w:val="00DB0056"/>
    <w:rsid w:val="00DB016D"/>
    <w:rsid w:val="00DB0236"/>
    <w:rsid w:val="00DB09C0"/>
    <w:rsid w:val="00DB0DD9"/>
    <w:rsid w:val="00DB10A8"/>
    <w:rsid w:val="00DB111B"/>
    <w:rsid w:val="00DB11DF"/>
    <w:rsid w:val="00DB1431"/>
    <w:rsid w:val="00DB19CC"/>
    <w:rsid w:val="00DB1E5D"/>
    <w:rsid w:val="00DB25E3"/>
    <w:rsid w:val="00DB2C19"/>
    <w:rsid w:val="00DB30F4"/>
    <w:rsid w:val="00DB31E4"/>
    <w:rsid w:val="00DB37A3"/>
    <w:rsid w:val="00DB3A12"/>
    <w:rsid w:val="00DB3C55"/>
    <w:rsid w:val="00DB3D95"/>
    <w:rsid w:val="00DB3D9F"/>
    <w:rsid w:val="00DB436C"/>
    <w:rsid w:val="00DB4863"/>
    <w:rsid w:val="00DB49CD"/>
    <w:rsid w:val="00DB4EF9"/>
    <w:rsid w:val="00DB5435"/>
    <w:rsid w:val="00DB5698"/>
    <w:rsid w:val="00DB575F"/>
    <w:rsid w:val="00DB59FC"/>
    <w:rsid w:val="00DB5F7B"/>
    <w:rsid w:val="00DB63F0"/>
    <w:rsid w:val="00DB66AC"/>
    <w:rsid w:val="00DB6947"/>
    <w:rsid w:val="00DB6B48"/>
    <w:rsid w:val="00DB6D8A"/>
    <w:rsid w:val="00DB6E07"/>
    <w:rsid w:val="00DB7131"/>
    <w:rsid w:val="00DB7344"/>
    <w:rsid w:val="00DB73D7"/>
    <w:rsid w:val="00DB761A"/>
    <w:rsid w:val="00DB768C"/>
    <w:rsid w:val="00DB7748"/>
    <w:rsid w:val="00DB77CD"/>
    <w:rsid w:val="00DB7916"/>
    <w:rsid w:val="00DB7E20"/>
    <w:rsid w:val="00DB7E8D"/>
    <w:rsid w:val="00DB7ED2"/>
    <w:rsid w:val="00DB7FA2"/>
    <w:rsid w:val="00DC0050"/>
    <w:rsid w:val="00DC04B5"/>
    <w:rsid w:val="00DC08BF"/>
    <w:rsid w:val="00DC08D5"/>
    <w:rsid w:val="00DC0D2B"/>
    <w:rsid w:val="00DC0EA9"/>
    <w:rsid w:val="00DC1061"/>
    <w:rsid w:val="00DC10C3"/>
    <w:rsid w:val="00DC10F2"/>
    <w:rsid w:val="00DC1326"/>
    <w:rsid w:val="00DC143B"/>
    <w:rsid w:val="00DC1926"/>
    <w:rsid w:val="00DC1C01"/>
    <w:rsid w:val="00DC1E36"/>
    <w:rsid w:val="00DC2244"/>
    <w:rsid w:val="00DC22A2"/>
    <w:rsid w:val="00DC2860"/>
    <w:rsid w:val="00DC2886"/>
    <w:rsid w:val="00DC28B0"/>
    <w:rsid w:val="00DC2B13"/>
    <w:rsid w:val="00DC2C91"/>
    <w:rsid w:val="00DC390F"/>
    <w:rsid w:val="00DC3A85"/>
    <w:rsid w:val="00DC3C5E"/>
    <w:rsid w:val="00DC3E4A"/>
    <w:rsid w:val="00DC4CD9"/>
    <w:rsid w:val="00DC56E3"/>
    <w:rsid w:val="00DC5DB6"/>
    <w:rsid w:val="00DC5EC0"/>
    <w:rsid w:val="00DC6192"/>
    <w:rsid w:val="00DC6EC3"/>
    <w:rsid w:val="00DC737F"/>
    <w:rsid w:val="00DC77BD"/>
    <w:rsid w:val="00DC7ADB"/>
    <w:rsid w:val="00DC7B45"/>
    <w:rsid w:val="00DC7B88"/>
    <w:rsid w:val="00DC7C54"/>
    <w:rsid w:val="00DC7F49"/>
    <w:rsid w:val="00DD0179"/>
    <w:rsid w:val="00DD05D4"/>
    <w:rsid w:val="00DD09EB"/>
    <w:rsid w:val="00DD0BEA"/>
    <w:rsid w:val="00DD0C04"/>
    <w:rsid w:val="00DD0CED"/>
    <w:rsid w:val="00DD15F1"/>
    <w:rsid w:val="00DD1A9E"/>
    <w:rsid w:val="00DD2301"/>
    <w:rsid w:val="00DD2520"/>
    <w:rsid w:val="00DD28FB"/>
    <w:rsid w:val="00DD30CB"/>
    <w:rsid w:val="00DD323E"/>
    <w:rsid w:val="00DD32CC"/>
    <w:rsid w:val="00DD357B"/>
    <w:rsid w:val="00DD3791"/>
    <w:rsid w:val="00DD3A1E"/>
    <w:rsid w:val="00DD3AFE"/>
    <w:rsid w:val="00DD3D22"/>
    <w:rsid w:val="00DD3E41"/>
    <w:rsid w:val="00DD417C"/>
    <w:rsid w:val="00DD426D"/>
    <w:rsid w:val="00DD436B"/>
    <w:rsid w:val="00DD4752"/>
    <w:rsid w:val="00DD47E4"/>
    <w:rsid w:val="00DD488F"/>
    <w:rsid w:val="00DD4AFB"/>
    <w:rsid w:val="00DD4D46"/>
    <w:rsid w:val="00DD4DAF"/>
    <w:rsid w:val="00DD50A3"/>
    <w:rsid w:val="00DD5130"/>
    <w:rsid w:val="00DD5349"/>
    <w:rsid w:val="00DD5420"/>
    <w:rsid w:val="00DD5595"/>
    <w:rsid w:val="00DD56DD"/>
    <w:rsid w:val="00DD584B"/>
    <w:rsid w:val="00DD5928"/>
    <w:rsid w:val="00DD5948"/>
    <w:rsid w:val="00DD6030"/>
    <w:rsid w:val="00DD616C"/>
    <w:rsid w:val="00DD6294"/>
    <w:rsid w:val="00DD67E5"/>
    <w:rsid w:val="00DD6A57"/>
    <w:rsid w:val="00DD6DAA"/>
    <w:rsid w:val="00DD6DE4"/>
    <w:rsid w:val="00DD7848"/>
    <w:rsid w:val="00DD7EAF"/>
    <w:rsid w:val="00DE01F6"/>
    <w:rsid w:val="00DE0520"/>
    <w:rsid w:val="00DE0CD5"/>
    <w:rsid w:val="00DE0D3F"/>
    <w:rsid w:val="00DE0FBE"/>
    <w:rsid w:val="00DE1031"/>
    <w:rsid w:val="00DE13A3"/>
    <w:rsid w:val="00DE1B18"/>
    <w:rsid w:val="00DE1BF6"/>
    <w:rsid w:val="00DE1D5F"/>
    <w:rsid w:val="00DE1E8F"/>
    <w:rsid w:val="00DE1FD6"/>
    <w:rsid w:val="00DE1FDE"/>
    <w:rsid w:val="00DE20F1"/>
    <w:rsid w:val="00DE21F5"/>
    <w:rsid w:val="00DE2411"/>
    <w:rsid w:val="00DE2445"/>
    <w:rsid w:val="00DE2792"/>
    <w:rsid w:val="00DE2C16"/>
    <w:rsid w:val="00DE2EB4"/>
    <w:rsid w:val="00DE34E7"/>
    <w:rsid w:val="00DE357C"/>
    <w:rsid w:val="00DE375E"/>
    <w:rsid w:val="00DE38E9"/>
    <w:rsid w:val="00DE390B"/>
    <w:rsid w:val="00DE3A21"/>
    <w:rsid w:val="00DE3A6C"/>
    <w:rsid w:val="00DE3CE5"/>
    <w:rsid w:val="00DE3DDD"/>
    <w:rsid w:val="00DE4063"/>
    <w:rsid w:val="00DE4144"/>
    <w:rsid w:val="00DE42F3"/>
    <w:rsid w:val="00DE472C"/>
    <w:rsid w:val="00DE4778"/>
    <w:rsid w:val="00DE4B1A"/>
    <w:rsid w:val="00DE56AD"/>
    <w:rsid w:val="00DE56E8"/>
    <w:rsid w:val="00DE5851"/>
    <w:rsid w:val="00DE5853"/>
    <w:rsid w:val="00DE5A62"/>
    <w:rsid w:val="00DE6788"/>
    <w:rsid w:val="00DE686E"/>
    <w:rsid w:val="00DE6EB9"/>
    <w:rsid w:val="00DE722E"/>
    <w:rsid w:val="00DE76A7"/>
    <w:rsid w:val="00DE78CE"/>
    <w:rsid w:val="00DE7B6E"/>
    <w:rsid w:val="00DE7CCD"/>
    <w:rsid w:val="00DF021A"/>
    <w:rsid w:val="00DF027A"/>
    <w:rsid w:val="00DF02D6"/>
    <w:rsid w:val="00DF074F"/>
    <w:rsid w:val="00DF0B23"/>
    <w:rsid w:val="00DF0BD6"/>
    <w:rsid w:val="00DF0D67"/>
    <w:rsid w:val="00DF0EA2"/>
    <w:rsid w:val="00DF0ED5"/>
    <w:rsid w:val="00DF0ED7"/>
    <w:rsid w:val="00DF123F"/>
    <w:rsid w:val="00DF12B3"/>
    <w:rsid w:val="00DF17D8"/>
    <w:rsid w:val="00DF1A16"/>
    <w:rsid w:val="00DF1C08"/>
    <w:rsid w:val="00DF1CF9"/>
    <w:rsid w:val="00DF201F"/>
    <w:rsid w:val="00DF21F4"/>
    <w:rsid w:val="00DF2409"/>
    <w:rsid w:val="00DF2583"/>
    <w:rsid w:val="00DF26B1"/>
    <w:rsid w:val="00DF2865"/>
    <w:rsid w:val="00DF2CE5"/>
    <w:rsid w:val="00DF2E7F"/>
    <w:rsid w:val="00DF3158"/>
    <w:rsid w:val="00DF3219"/>
    <w:rsid w:val="00DF3814"/>
    <w:rsid w:val="00DF3BF6"/>
    <w:rsid w:val="00DF3DA5"/>
    <w:rsid w:val="00DF43D4"/>
    <w:rsid w:val="00DF4400"/>
    <w:rsid w:val="00DF480A"/>
    <w:rsid w:val="00DF4AC4"/>
    <w:rsid w:val="00DF4CAF"/>
    <w:rsid w:val="00DF4FB9"/>
    <w:rsid w:val="00DF52AB"/>
    <w:rsid w:val="00DF52D1"/>
    <w:rsid w:val="00DF56A1"/>
    <w:rsid w:val="00DF5789"/>
    <w:rsid w:val="00DF5984"/>
    <w:rsid w:val="00DF5A45"/>
    <w:rsid w:val="00DF6037"/>
    <w:rsid w:val="00DF630F"/>
    <w:rsid w:val="00DF663B"/>
    <w:rsid w:val="00DF6AC9"/>
    <w:rsid w:val="00DF6BBE"/>
    <w:rsid w:val="00DF6E21"/>
    <w:rsid w:val="00DF70FF"/>
    <w:rsid w:val="00DF71D8"/>
    <w:rsid w:val="00DF7366"/>
    <w:rsid w:val="00E006FB"/>
    <w:rsid w:val="00E00719"/>
    <w:rsid w:val="00E0085F"/>
    <w:rsid w:val="00E00B43"/>
    <w:rsid w:val="00E0109D"/>
    <w:rsid w:val="00E0188B"/>
    <w:rsid w:val="00E0196D"/>
    <w:rsid w:val="00E01CA7"/>
    <w:rsid w:val="00E01DFE"/>
    <w:rsid w:val="00E020CB"/>
    <w:rsid w:val="00E02CDD"/>
    <w:rsid w:val="00E02D07"/>
    <w:rsid w:val="00E02E95"/>
    <w:rsid w:val="00E02F1B"/>
    <w:rsid w:val="00E03326"/>
    <w:rsid w:val="00E033BA"/>
    <w:rsid w:val="00E03504"/>
    <w:rsid w:val="00E03692"/>
    <w:rsid w:val="00E037B3"/>
    <w:rsid w:val="00E037C1"/>
    <w:rsid w:val="00E0382F"/>
    <w:rsid w:val="00E03846"/>
    <w:rsid w:val="00E03980"/>
    <w:rsid w:val="00E03DA9"/>
    <w:rsid w:val="00E041EC"/>
    <w:rsid w:val="00E047AD"/>
    <w:rsid w:val="00E0489F"/>
    <w:rsid w:val="00E058EE"/>
    <w:rsid w:val="00E05B26"/>
    <w:rsid w:val="00E05C35"/>
    <w:rsid w:val="00E05F83"/>
    <w:rsid w:val="00E06676"/>
    <w:rsid w:val="00E0669F"/>
    <w:rsid w:val="00E066D2"/>
    <w:rsid w:val="00E066F5"/>
    <w:rsid w:val="00E06A0D"/>
    <w:rsid w:val="00E07009"/>
    <w:rsid w:val="00E0716E"/>
    <w:rsid w:val="00E073BA"/>
    <w:rsid w:val="00E075DE"/>
    <w:rsid w:val="00E0775F"/>
    <w:rsid w:val="00E07AA3"/>
    <w:rsid w:val="00E07AB5"/>
    <w:rsid w:val="00E07DCD"/>
    <w:rsid w:val="00E10A5A"/>
    <w:rsid w:val="00E10E1B"/>
    <w:rsid w:val="00E10EC8"/>
    <w:rsid w:val="00E1117B"/>
    <w:rsid w:val="00E1135E"/>
    <w:rsid w:val="00E1171C"/>
    <w:rsid w:val="00E11D68"/>
    <w:rsid w:val="00E11DB0"/>
    <w:rsid w:val="00E11E45"/>
    <w:rsid w:val="00E120FC"/>
    <w:rsid w:val="00E1213E"/>
    <w:rsid w:val="00E1219F"/>
    <w:rsid w:val="00E1228B"/>
    <w:rsid w:val="00E12742"/>
    <w:rsid w:val="00E12A7B"/>
    <w:rsid w:val="00E12CBB"/>
    <w:rsid w:val="00E12D6C"/>
    <w:rsid w:val="00E12EDF"/>
    <w:rsid w:val="00E13408"/>
    <w:rsid w:val="00E1363C"/>
    <w:rsid w:val="00E1448C"/>
    <w:rsid w:val="00E14B7B"/>
    <w:rsid w:val="00E14CA0"/>
    <w:rsid w:val="00E14D04"/>
    <w:rsid w:val="00E14D30"/>
    <w:rsid w:val="00E14DD1"/>
    <w:rsid w:val="00E15B76"/>
    <w:rsid w:val="00E15DA7"/>
    <w:rsid w:val="00E16431"/>
    <w:rsid w:val="00E16805"/>
    <w:rsid w:val="00E16910"/>
    <w:rsid w:val="00E1695A"/>
    <w:rsid w:val="00E16B28"/>
    <w:rsid w:val="00E16CA5"/>
    <w:rsid w:val="00E16D2F"/>
    <w:rsid w:val="00E171C1"/>
    <w:rsid w:val="00E17961"/>
    <w:rsid w:val="00E17B40"/>
    <w:rsid w:val="00E17D3A"/>
    <w:rsid w:val="00E17D6E"/>
    <w:rsid w:val="00E17F71"/>
    <w:rsid w:val="00E2094D"/>
    <w:rsid w:val="00E20DD3"/>
    <w:rsid w:val="00E2102D"/>
    <w:rsid w:val="00E21224"/>
    <w:rsid w:val="00E2148C"/>
    <w:rsid w:val="00E21834"/>
    <w:rsid w:val="00E21A10"/>
    <w:rsid w:val="00E21BFF"/>
    <w:rsid w:val="00E21C86"/>
    <w:rsid w:val="00E21CE8"/>
    <w:rsid w:val="00E21EAD"/>
    <w:rsid w:val="00E21F8A"/>
    <w:rsid w:val="00E223B3"/>
    <w:rsid w:val="00E22541"/>
    <w:rsid w:val="00E22D6F"/>
    <w:rsid w:val="00E22E87"/>
    <w:rsid w:val="00E2360B"/>
    <w:rsid w:val="00E23C52"/>
    <w:rsid w:val="00E23C67"/>
    <w:rsid w:val="00E23CEF"/>
    <w:rsid w:val="00E23D0D"/>
    <w:rsid w:val="00E23FAE"/>
    <w:rsid w:val="00E24064"/>
    <w:rsid w:val="00E245C3"/>
    <w:rsid w:val="00E246BA"/>
    <w:rsid w:val="00E247DE"/>
    <w:rsid w:val="00E24BC4"/>
    <w:rsid w:val="00E24D7A"/>
    <w:rsid w:val="00E24F76"/>
    <w:rsid w:val="00E2631F"/>
    <w:rsid w:val="00E263EE"/>
    <w:rsid w:val="00E2648C"/>
    <w:rsid w:val="00E2675C"/>
    <w:rsid w:val="00E26A6B"/>
    <w:rsid w:val="00E26D12"/>
    <w:rsid w:val="00E26F6B"/>
    <w:rsid w:val="00E273C1"/>
    <w:rsid w:val="00E275B2"/>
    <w:rsid w:val="00E27665"/>
    <w:rsid w:val="00E278AC"/>
    <w:rsid w:val="00E27BEE"/>
    <w:rsid w:val="00E27CED"/>
    <w:rsid w:val="00E301CA"/>
    <w:rsid w:val="00E301F3"/>
    <w:rsid w:val="00E3052B"/>
    <w:rsid w:val="00E30EEA"/>
    <w:rsid w:val="00E31471"/>
    <w:rsid w:val="00E316BA"/>
    <w:rsid w:val="00E31710"/>
    <w:rsid w:val="00E31F3E"/>
    <w:rsid w:val="00E32188"/>
    <w:rsid w:val="00E328AB"/>
    <w:rsid w:val="00E328D8"/>
    <w:rsid w:val="00E32B5E"/>
    <w:rsid w:val="00E32CE2"/>
    <w:rsid w:val="00E32CE6"/>
    <w:rsid w:val="00E32D37"/>
    <w:rsid w:val="00E32F10"/>
    <w:rsid w:val="00E33316"/>
    <w:rsid w:val="00E33B59"/>
    <w:rsid w:val="00E33C12"/>
    <w:rsid w:val="00E33F65"/>
    <w:rsid w:val="00E340C1"/>
    <w:rsid w:val="00E34142"/>
    <w:rsid w:val="00E3441A"/>
    <w:rsid w:val="00E34583"/>
    <w:rsid w:val="00E3460C"/>
    <w:rsid w:val="00E3489A"/>
    <w:rsid w:val="00E3495E"/>
    <w:rsid w:val="00E349E8"/>
    <w:rsid w:val="00E34C62"/>
    <w:rsid w:val="00E34E32"/>
    <w:rsid w:val="00E359B8"/>
    <w:rsid w:val="00E35C41"/>
    <w:rsid w:val="00E35CB7"/>
    <w:rsid w:val="00E35F01"/>
    <w:rsid w:val="00E35F92"/>
    <w:rsid w:val="00E3617F"/>
    <w:rsid w:val="00E3638F"/>
    <w:rsid w:val="00E368F9"/>
    <w:rsid w:val="00E36CE6"/>
    <w:rsid w:val="00E37094"/>
    <w:rsid w:val="00E37667"/>
    <w:rsid w:val="00E37DF4"/>
    <w:rsid w:val="00E4024F"/>
    <w:rsid w:val="00E40398"/>
    <w:rsid w:val="00E406DA"/>
    <w:rsid w:val="00E40ADA"/>
    <w:rsid w:val="00E40B1E"/>
    <w:rsid w:val="00E415FC"/>
    <w:rsid w:val="00E4170E"/>
    <w:rsid w:val="00E41CB6"/>
    <w:rsid w:val="00E42315"/>
    <w:rsid w:val="00E4246E"/>
    <w:rsid w:val="00E43398"/>
    <w:rsid w:val="00E43AA3"/>
    <w:rsid w:val="00E43EB0"/>
    <w:rsid w:val="00E43FB8"/>
    <w:rsid w:val="00E44214"/>
    <w:rsid w:val="00E44A83"/>
    <w:rsid w:val="00E44BFF"/>
    <w:rsid w:val="00E44C59"/>
    <w:rsid w:val="00E453AF"/>
    <w:rsid w:val="00E45478"/>
    <w:rsid w:val="00E4549D"/>
    <w:rsid w:val="00E45BF2"/>
    <w:rsid w:val="00E45DEA"/>
    <w:rsid w:val="00E4677E"/>
    <w:rsid w:val="00E46935"/>
    <w:rsid w:val="00E46AA1"/>
    <w:rsid w:val="00E471D6"/>
    <w:rsid w:val="00E471FF"/>
    <w:rsid w:val="00E47684"/>
    <w:rsid w:val="00E47A76"/>
    <w:rsid w:val="00E500ED"/>
    <w:rsid w:val="00E50366"/>
    <w:rsid w:val="00E50757"/>
    <w:rsid w:val="00E50C4C"/>
    <w:rsid w:val="00E51829"/>
    <w:rsid w:val="00E51A57"/>
    <w:rsid w:val="00E52AE1"/>
    <w:rsid w:val="00E52D7D"/>
    <w:rsid w:val="00E52E0B"/>
    <w:rsid w:val="00E535AA"/>
    <w:rsid w:val="00E53651"/>
    <w:rsid w:val="00E5382B"/>
    <w:rsid w:val="00E53DCD"/>
    <w:rsid w:val="00E54066"/>
    <w:rsid w:val="00E540C1"/>
    <w:rsid w:val="00E54291"/>
    <w:rsid w:val="00E54585"/>
    <w:rsid w:val="00E5459C"/>
    <w:rsid w:val="00E545DA"/>
    <w:rsid w:val="00E5475E"/>
    <w:rsid w:val="00E549C2"/>
    <w:rsid w:val="00E54AB5"/>
    <w:rsid w:val="00E55266"/>
    <w:rsid w:val="00E55537"/>
    <w:rsid w:val="00E557B5"/>
    <w:rsid w:val="00E55814"/>
    <w:rsid w:val="00E55E1B"/>
    <w:rsid w:val="00E55FB3"/>
    <w:rsid w:val="00E56BD8"/>
    <w:rsid w:val="00E56F3C"/>
    <w:rsid w:val="00E574B1"/>
    <w:rsid w:val="00E57AB4"/>
    <w:rsid w:val="00E57B6A"/>
    <w:rsid w:val="00E57D28"/>
    <w:rsid w:val="00E600B9"/>
    <w:rsid w:val="00E602BA"/>
    <w:rsid w:val="00E60952"/>
    <w:rsid w:val="00E60A3B"/>
    <w:rsid w:val="00E614A2"/>
    <w:rsid w:val="00E61819"/>
    <w:rsid w:val="00E61A81"/>
    <w:rsid w:val="00E61E23"/>
    <w:rsid w:val="00E61EA3"/>
    <w:rsid w:val="00E620A6"/>
    <w:rsid w:val="00E6210D"/>
    <w:rsid w:val="00E62171"/>
    <w:rsid w:val="00E62545"/>
    <w:rsid w:val="00E62656"/>
    <w:rsid w:val="00E62768"/>
    <w:rsid w:val="00E62781"/>
    <w:rsid w:val="00E62E62"/>
    <w:rsid w:val="00E62F0B"/>
    <w:rsid w:val="00E635B9"/>
    <w:rsid w:val="00E6448D"/>
    <w:rsid w:val="00E644E9"/>
    <w:rsid w:val="00E6462C"/>
    <w:rsid w:val="00E64745"/>
    <w:rsid w:val="00E64781"/>
    <w:rsid w:val="00E64A14"/>
    <w:rsid w:val="00E64ED7"/>
    <w:rsid w:val="00E6593A"/>
    <w:rsid w:val="00E65BCA"/>
    <w:rsid w:val="00E65F73"/>
    <w:rsid w:val="00E65F80"/>
    <w:rsid w:val="00E660E4"/>
    <w:rsid w:val="00E66309"/>
    <w:rsid w:val="00E66365"/>
    <w:rsid w:val="00E664B9"/>
    <w:rsid w:val="00E66A92"/>
    <w:rsid w:val="00E66B33"/>
    <w:rsid w:val="00E66FF1"/>
    <w:rsid w:val="00E672A9"/>
    <w:rsid w:val="00E672DE"/>
    <w:rsid w:val="00E67380"/>
    <w:rsid w:val="00E67F46"/>
    <w:rsid w:val="00E70029"/>
    <w:rsid w:val="00E700B0"/>
    <w:rsid w:val="00E700C2"/>
    <w:rsid w:val="00E71702"/>
    <w:rsid w:val="00E7174F"/>
    <w:rsid w:val="00E718FA"/>
    <w:rsid w:val="00E719D3"/>
    <w:rsid w:val="00E71AE3"/>
    <w:rsid w:val="00E720FE"/>
    <w:rsid w:val="00E7210E"/>
    <w:rsid w:val="00E72339"/>
    <w:rsid w:val="00E72A3A"/>
    <w:rsid w:val="00E72A86"/>
    <w:rsid w:val="00E72C29"/>
    <w:rsid w:val="00E72D83"/>
    <w:rsid w:val="00E72DAB"/>
    <w:rsid w:val="00E73270"/>
    <w:rsid w:val="00E73583"/>
    <w:rsid w:val="00E73A50"/>
    <w:rsid w:val="00E73E05"/>
    <w:rsid w:val="00E740F1"/>
    <w:rsid w:val="00E7442B"/>
    <w:rsid w:val="00E748F5"/>
    <w:rsid w:val="00E74BD9"/>
    <w:rsid w:val="00E74CD1"/>
    <w:rsid w:val="00E74DB2"/>
    <w:rsid w:val="00E74EE7"/>
    <w:rsid w:val="00E75023"/>
    <w:rsid w:val="00E75233"/>
    <w:rsid w:val="00E75236"/>
    <w:rsid w:val="00E757D1"/>
    <w:rsid w:val="00E75D1A"/>
    <w:rsid w:val="00E764CF"/>
    <w:rsid w:val="00E76782"/>
    <w:rsid w:val="00E76956"/>
    <w:rsid w:val="00E76A83"/>
    <w:rsid w:val="00E76AE4"/>
    <w:rsid w:val="00E76B6E"/>
    <w:rsid w:val="00E76DB9"/>
    <w:rsid w:val="00E77030"/>
    <w:rsid w:val="00E7723B"/>
    <w:rsid w:val="00E773C5"/>
    <w:rsid w:val="00E776A1"/>
    <w:rsid w:val="00E77744"/>
    <w:rsid w:val="00E777AD"/>
    <w:rsid w:val="00E777D8"/>
    <w:rsid w:val="00E779CB"/>
    <w:rsid w:val="00E80036"/>
    <w:rsid w:val="00E800DF"/>
    <w:rsid w:val="00E808CB"/>
    <w:rsid w:val="00E80B80"/>
    <w:rsid w:val="00E81445"/>
    <w:rsid w:val="00E814BC"/>
    <w:rsid w:val="00E81603"/>
    <w:rsid w:val="00E81756"/>
    <w:rsid w:val="00E818D6"/>
    <w:rsid w:val="00E81A4E"/>
    <w:rsid w:val="00E81A79"/>
    <w:rsid w:val="00E81FF0"/>
    <w:rsid w:val="00E82C70"/>
    <w:rsid w:val="00E82DC8"/>
    <w:rsid w:val="00E8320F"/>
    <w:rsid w:val="00E83541"/>
    <w:rsid w:val="00E8398D"/>
    <w:rsid w:val="00E83C2D"/>
    <w:rsid w:val="00E83D1B"/>
    <w:rsid w:val="00E84AB4"/>
    <w:rsid w:val="00E84B48"/>
    <w:rsid w:val="00E84CC9"/>
    <w:rsid w:val="00E84EBF"/>
    <w:rsid w:val="00E85268"/>
    <w:rsid w:val="00E85432"/>
    <w:rsid w:val="00E8590A"/>
    <w:rsid w:val="00E85931"/>
    <w:rsid w:val="00E85A29"/>
    <w:rsid w:val="00E85BD3"/>
    <w:rsid w:val="00E85F38"/>
    <w:rsid w:val="00E86062"/>
    <w:rsid w:val="00E861A8"/>
    <w:rsid w:val="00E8664F"/>
    <w:rsid w:val="00E86835"/>
    <w:rsid w:val="00E86E71"/>
    <w:rsid w:val="00E86ED2"/>
    <w:rsid w:val="00E87080"/>
    <w:rsid w:val="00E871DB"/>
    <w:rsid w:val="00E87629"/>
    <w:rsid w:val="00E87846"/>
    <w:rsid w:val="00E87853"/>
    <w:rsid w:val="00E90075"/>
    <w:rsid w:val="00E90423"/>
    <w:rsid w:val="00E9047F"/>
    <w:rsid w:val="00E90630"/>
    <w:rsid w:val="00E90AA3"/>
    <w:rsid w:val="00E90C12"/>
    <w:rsid w:val="00E90F1F"/>
    <w:rsid w:val="00E91621"/>
    <w:rsid w:val="00E9187D"/>
    <w:rsid w:val="00E91C47"/>
    <w:rsid w:val="00E91D47"/>
    <w:rsid w:val="00E91FEE"/>
    <w:rsid w:val="00E92935"/>
    <w:rsid w:val="00E93810"/>
    <w:rsid w:val="00E93E04"/>
    <w:rsid w:val="00E94121"/>
    <w:rsid w:val="00E9426C"/>
    <w:rsid w:val="00E94784"/>
    <w:rsid w:val="00E949D3"/>
    <w:rsid w:val="00E94A10"/>
    <w:rsid w:val="00E957FC"/>
    <w:rsid w:val="00E95D01"/>
    <w:rsid w:val="00E95F11"/>
    <w:rsid w:val="00E95F82"/>
    <w:rsid w:val="00E96141"/>
    <w:rsid w:val="00E96473"/>
    <w:rsid w:val="00E96829"/>
    <w:rsid w:val="00E9686D"/>
    <w:rsid w:val="00E96A85"/>
    <w:rsid w:val="00E96D0C"/>
    <w:rsid w:val="00E97172"/>
    <w:rsid w:val="00E9720F"/>
    <w:rsid w:val="00E974DB"/>
    <w:rsid w:val="00E9757C"/>
    <w:rsid w:val="00E9760E"/>
    <w:rsid w:val="00E97928"/>
    <w:rsid w:val="00E979A4"/>
    <w:rsid w:val="00E97A5E"/>
    <w:rsid w:val="00EA0071"/>
    <w:rsid w:val="00EA084B"/>
    <w:rsid w:val="00EA0D57"/>
    <w:rsid w:val="00EA0E45"/>
    <w:rsid w:val="00EA15DF"/>
    <w:rsid w:val="00EA1EAD"/>
    <w:rsid w:val="00EA205B"/>
    <w:rsid w:val="00EA2279"/>
    <w:rsid w:val="00EA2E86"/>
    <w:rsid w:val="00EA3628"/>
    <w:rsid w:val="00EA36AF"/>
    <w:rsid w:val="00EA36D3"/>
    <w:rsid w:val="00EA3702"/>
    <w:rsid w:val="00EA38FA"/>
    <w:rsid w:val="00EA3A96"/>
    <w:rsid w:val="00EA3C89"/>
    <w:rsid w:val="00EA3E9B"/>
    <w:rsid w:val="00EA446D"/>
    <w:rsid w:val="00EA460C"/>
    <w:rsid w:val="00EA4907"/>
    <w:rsid w:val="00EA4974"/>
    <w:rsid w:val="00EA4A2E"/>
    <w:rsid w:val="00EA4BB4"/>
    <w:rsid w:val="00EA4BCD"/>
    <w:rsid w:val="00EA4CE0"/>
    <w:rsid w:val="00EA4EE3"/>
    <w:rsid w:val="00EA52B7"/>
    <w:rsid w:val="00EA5618"/>
    <w:rsid w:val="00EA5AC7"/>
    <w:rsid w:val="00EA6303"/>
    <w:rsid w:val="00EA63E7"/>
    <w:rsid w:val="00EA66CA"/>
    <w:rsid w:val="00EA6795"/>
    <w:rsid w:val="00EA67FD"/>
    <w:rsid w:val="00EA6872"/>
    <w:rsid w:val="00EA69A8"/>
    <w:rsid w:val="00EA6B29"/>
    <w:rsid w:val="00EA6B90"/>
    <w:rsid w:val="00EA6DE9"/>
    <w:rsid w:val="00EA6EA1"/>
    <w:rsid w:val="00EA740F"/>
    <w:rsid w:val="00EA7587"/>
    <w:rsid w:val="00EA7A0F"/>
    <w:rsid w:val="00EB0310"/>
    <w:rsid w:val="00EB04B5"/>
    <w:rsid w:val="00EB06AF"/>
    <w:rsid w:val="00EB07D3"/>
    <w:rsid w:val="00EB1023"/>
    <w:rsid w:val="00EB1073"/>
    <w:rsid w:val="00EB118A"/>
    <w:rsid w:val="00EB14B2"/>
    <w:rsid w:val="00EB17BD"/>
    <w:rsid w:val="00EB199B"/>
    <w:rsid w:val="00EB1BC0"/>
    <w:rsid w:val="00EB210B"/>
    <w:rsid w:val="00EB2248"/>
    <w:rsid w:val="00EB2453"/>
    <w:rsid w:val="00EB269D"/>
    <w:rsid w:val="00EB26A0"/>
    <w:rsid w:val="00EB2979"/>
    <w:rsid w:val="00EB2A4D"/>
    <w:rsid w:val="00EB3434"/>
    <w:rsid w:val="00EB36CB"/>
    <w:rsid w:val="00EB37B0"/>
    <w:rsid w:val="00EB39B4"/>
    <w:rsid w:val="00EB39F5"/>
    <w:rsid w:val="00EB39F9"/>
    <w:rsid w:val="00EB3BCE"/>
    <w:rsid w:val="00EB3FD7"/>
    <w:rsid w:val="00EB47E5"/>
    <w:rsid w:val="00EB5877"/>
    <w:rsid w:val="00EB5A86"/>
    <w:rsid w:val="00EB5CAD"/>
    <w:rsid w:val="00EB61ED"/>
    <w:rsid w:val="00EB621E"/>
    <w:rsid w:val="00EB65A1"/>
    <w:rsid w:val="00EB6633"/>
    <w:rsid w:val="00EB684B"/>
    <w:rsid w:val="00EB6F79"/>
    <w:rsid w:val="00EB70AC"/>
    <w:rsid w:val="00EB730C"/>
    <w:rsid w:val="00EB7561"/>
    <w:rsid w:val="00EB7939"/>
    <w:rsid w:val="00EB7B45"/>
    <w:rsid w:val="00EB7B73"/>
    <w:rsid w:val="00EB7C89"/>
    <w:rsid w:val="00EC01B1"/>
    <w:rsid w:val="00EC02CC"/>
    <w:rsid w:val="00EC0324"/>
    <w:rsid w:val="00EC03BF"/>
    <w:rsid w:val="00EC076C"/>
    <w:rsid w:val="00EC0DD2"/>
    <w:rsid w:val="00EC0E73"/>
    <w:rsid w:val="00EC13B2"/>
    <w:rsid w:val="00EC14B6"/>
    <w:rsid w:val="00EC1543"/>
    <w:rsid w:val="00EC23B5"/>
    <w:rsid w:val="00EC2BC2"/>
    <w:rsid w:val="00EC2C2F"/>
    <w:rsid w:val="00EC2CF2"/>
    <w:rsid w:val="00EC2D72"/>
    <w:rsid w:val="00EC2DE4"/>
    <w:rsid w:val="00EC3092"/>
    <w:rsid w:val="00EC3159"/>
    <w:rsid w:val="00EC323A"/>
    <w:rsid w:val="00EC34E3"/>
    <w:rsid w:val="00EC3700"/>
    <w:rsid w:val="00EC37CE"/>
    <w:rsid w:val="00EC3C14"/>
    <w:rsid w:val="00EC3D4A"/>
    <w:rsid w:val="00EC3FFF"/>
    <w:rsid w:val="00EC445B"/>
    <w:rsid w:val="00EC4820"/>
    <w:rsid w:val="00EC4CB5"/>
    <w:rsid w:val="00EC4E83"/>
    <w:rsid w:val="00EC4F05"/>
    <w:rsid w:val="00EC5062"/>
    <w:rsid w:val="00EC53F0"/>
    <w:rsid w:val="00EC581C"/>
    <w:rsid w:val="00EC5DD1"/>
    <w:rsid w:val="00EC6927"/>
    <w:rsid w:val="00EC70F7"/>
    <w:rsid w:val="00EC71C7"/>
    <w:rsid w:val="00EC7EB7"/>
    <w:rsid w:val="00EC7F4A"/>
    <w:rsid w:val="00ED0291"/>
    <w:rsid w:val="00ED0516"/>
    <w:rsid w:val="00ED053F"/>
    <w:rsid w:val="00ED0799"/>
    <w:rsid w:val="00ED0BC4"/>
    <w:rsid w:val="00ED163A"/>
    <w:rsid w:val="00ED170D"/>
    <w:rsid w:val="00ED198F"/>
    <w:rsid w:val="00ED1A2D"/>
    <w:rsid w:val="00ED1A3D"/>
    <w:rsid w:val="00ED1BFF"/>
    <w:rsid w:val="00ED241C"/>
    <w:rsid w:val="00ED26AE"/>
    <w:rsid w:val="00ED28D4"/>
    <w:rsid w:val="00ED296D"/>
    <w:rsid w:val="00ED2B38"/>
    <w:rsid w:val="00ED2B49"/>
    <w:rsid w:val="00ED2CDF"/>
    <w:rsid w:val="00ED2F2E"/>
    <w:rsid w:val="00ED3A50"/>
    <w:rsid w:val="00ED4090"/>
    <w:rsid w:val="00ED4348"/>
    <w:rsid w:val="00ED43DA"/>
    <w:rsid w:val="00ED44E1"/>
    <w:rsid w:val="00ED46D7"/>
    <w:rsid w:val="00ED4C1B"/>
    <w:rsid w:val="00ED4FAC"/>
    <w:rsid w:val="00ED529E"/>
    <w:rsid w:val="00ED542F"/>
    <w:rsid w:val="00ED557C"/>
    <w:rsid w:val="00ED60BB"/>
    <w:rsid w:val="00ED66C5"/>
    <w:rsid w:val="00ED687C"/>
    <w:rsid w:val="00ED68AC"/>
    <w:rsid w:val="00ED6A8D"/>
    <w:rsid w:val="00ED6B2E"/>
    <w:rsid w:val="00ED6EBD"/>
    <w:rsid w:val="00ED710B"/>
    <w:rsid w:val="00ED7133"/>
    <w:rsid w:val="00ED746B"/>
    <w:rsid w:val="00ED7515"/>
    <w:rsid w:val="00ED7788"/>
    <w:rsid w:val="00ED7AA4"/>
    <w:rsid w:val="00ED7BF0"/>
    <w:rsid w:val="00ED7ED0"/>
    <w:rsid w:val="00EE0007"/>
    <w:rsid w:val="00EE11F8"/>
    <w:rsid w:val="00EE14A7"/>
    <w:rsid w:val="00EE190E"/>
    <w:rsid w:val="00EE1BEB"/>
    <w:rsid w:val="00EE1DB9"/>
    <w:rsid w:val="00EE1E35"/>
    <w:rsid w:val="00EE2033"/>
    <w:rsid w:val="00EE25B9"/>
    <w:rsid w:val="00EE27E2"/>
    <w:rsid w:val="00EE2819"/>
    <w:rsid w:val="00EE2EC4"/>
    <w:rsid w:val="00EE309F"/>
    <w:rsid w:val="00EE3204"/>
    <w:rsid w:val="00EE38B4"/>
    <w:rsid w:val="00EE392A"/>
    <w:rsid w:val="00EE3A60"/>
    <w:rsid w:val="00EE3B06"/>
    <w:rsid w:val="00EE3B46"/>
    <w:rsid w:val="00EE3EC6"/>
    <w:rsid w:val="00EE3F23"/>
    <w:rsid w:val="00EE4BD4"/>
    <w:rsid w:val="00EE59ED"/>
    <w:rsid w:val="00EE6081"/>
    <w:rsid w:val="00EE60A1"/>
    <w:rsid w:val="00EE6168"/>
    <w:rsid w:val="00EE6853"/>
    <w:rsid w:val="00EE6C9F"/>
    <w:rsid w:val="00EE772B"/>
    <w:rsid w:val="00EE7E5F"/>
    <w:rsid w:val="00EE7FA6"/>
    <w:rsid w:val="00EF01F1"/>
    <w:rsid w:val="00EF0345"/>
    <w:rsid w:val="00EF04B9"/>
    <w:rsid w:val="00EF067D"/>
    <w:rsid w:val="00EF0CF9"/>
    <w:rsid w:val="00EF0FFB"/>
    <w:rsid w:val="00EF105D"/>
    <w:rsid w:val="00EF1537"/>
    <w:rsid w:val="00EF16C6"/>
    <w:rsid w:val="00EF19FD"/>
    <w:rsid w:val="00EF1A9B"/>
    <w:rsid w:val="00EF1CF5"/>
    <w:rsid w:val="00EF2262"/>
    <w:rsid w:val="00EF2380"/>
    <w:rsid w:val="00EF2440"/>
    <w:rsid w:val="00EF24AA"/>
    <w:rsid w:val="00EF24F5"/>
    <w:rsid w:val="00EF2565"/>
    <w:rsid w:val="00EF270D"/>
    <w:rsid w:val="00EF2765"/>
    <w:rsid w:val="00EF27D0"/>
    <w:rsid w:val="00EF28B1"/>
    <w:rsid w:val="00EF2DE8"/>
    <w:rsid w:val="00EF32CD"/>
    <w:rsid w:val="00EF32F6"/>
    <w:rsid w:val="00EF3456"/>
    <w:rsid w:val="00EF4226"/>
    <w:rsid w:val="00EF42A4"/>
    <w:rsid w:val="00EF4580"/>
    <w:rsid w:val="00EF490B"/>
    <w:rsid w:val="00EF4A0D"/>
    <w:rsid w:val="00EF4D4A"/>
    <w:rsid w:val="00EF4E98"/>
    <w:rsid w:val="00EF4EF1"/>
    <w:rsid w:val="00EF539F"/>
    <w:rsid w:val="00EF5925"/>
    <w:rsid w:val="00EF5D71"/>
    <w:rsid w:val="00EF662C"/>
    <w:rsid w:val="00EF6861"/>
    <w:rsid w:val="00EF6928"/>
    <w:rsid w:val="00EF69CD"/>
    <w:rsid w:val="00EF6DB5"/>
    <w:rsid w:val="00EF6FA9"/>
    <w:rsid w:val="00EF7405"/>
    <w:rsid w:val="00EF78EA"/>
    <w:rsid w:val="00EF7ED5"/>
    <w:rsid w:val="00F00112"/>
    <w:rsid w:val="00F010A4"/>
    <w:rsid w:val="00F016E4"/>
    <w:rsid w:val="00F017DC"/>
    <w:rsid w:val="00F01CB5"/>
    <w:rsid w:val="00F01E6C"/>
    <w:rsid w:val="00F02075"/>
    <w:rsid w:val="00F02159"/>
    <w:rsid w:val="00F031B6"/>
    <w:rsid w:val="00F03219"/>
    <w:rsid w:val="00F03702"/>
    <w:rsid w:val="00F03A67"/>
    <w:rsid w:val="00F03C06"/>
    <w:rsid w:val="00F03CE6"/>
    <w:rsid w:val="00F04097"/>
    <w:rsid w:val="00F045E2"/>
    <w:rsid w:val="00F04CAD"/>
    <w:rsid w:val="00F04EA7"/>
    <w:rsid w:val="00F051B0"/>
    <w:rsid w:val="00F051B6"/>
    <w:rsid w:val="00F05409"/>
    <w:rsid w:val="00F06034"/>
    <w:rsid w:val="00F06448"/>
    <w:rsid w:val="00F0689B"/>
    <w:rsid w:val="00F068E3"/>
    <w:rsid w:val="00F068FE"/>
    <w:rsid w:val="00F06B2F"/>
    <w:rsid w:val="00F06E52"/>
    <w:rsid w:val="00F06F62"/>
    <w:rsid w:val="00F077E9"/>
    <w:rsid w:val="00F078AE"/>
    <w:rsid w:val="00F07EC3"/>
    <w:rsid w:val="00F07FE8"/>
    <w:rsid w:val="00F100E0"/>
    <w:rsid w:val="00F10625"/>
    <w:rsid w:val="00F1079D"/>
    <w:rsid w:val="00F11081"/>
    <w:rsid w:val="00F11209"/>
    <w:rsid w:val="00F11547"/>
    <w:rsid w:val="00F11A95"/>
    <w:rsid w:val="00F11C15"/>
    <w:rsid w:val="00F11C39"/>
    <w:rsid w:val="00F11CEB"/>
    <w:rsid w:val="00F1248F"/>
    <w:rsid w:val="00F1264C"/>
    <w:rsid w:val="00F126D2"/>
    <w:rsid w:val="00F12C6A"/>
    <w:rsid w:val="00F12EF2"/>
    <w:rsid w:val="00F130A4"/>
    <w:rsid w:val="00F13263"/>
    <w:rsid w:val="00F13573"/>
    <w:rsid w:val="00F1398B"/>
    <w:rsid w:val="00F139E1"/>
    <w:rsid w:val="00F13A4A"/>
    <w:rsid w:val="00F13EA0"/>
    <w:rsid w:val="00F140E4"/>
    <w:rsid w:val="00F14107"/>
    <w:rsid w:val="00F14388"/>
    <w:rsid w:val="00F1457D"/>
    <w:rsid w:val="00F14673"/>
    <w:rsid w:val="00F1469A"/>
    <w:rsid w:val="00F1480E"/>
    <w:rsid w:val="00F149A3"/>
    <w:rsid w:val="00F1501B"/>
    <w:rsid w:val="00F15443"/>
    <w:rsid w:val="00F1550B"/>
    <w:rsid w:val="00F15856"/>
    <w:rsid w:val="00F15866"/>
    <w:rsid w:val="00F15BD1"/>
    <w:rsid w:val="00F1643A"/>
    <w:rsid w:val="00F16440"/>
    <w:rsid w:val="00F16469"/>
    <w:rsid w:val="00F16554"/>
    <w:rsid w:val="00F1677E"/>
    <w:rsid w:val="00F16AC1"/>
    <w:rsid w:val="00F16ED0"/>
    <w:rsid w:val="00F172BD"/>
    <w:rsid w:val="00F174DB"/>
    <w:rsid w:val="00F1767B"/>
    <w:rsid w:val="00F17B2F"/>
    <w:rsid w:val="00F17DEB"/>
    <w:rsid w:val="00F20583"/>
    <w:rsid w:val="00F20797"/>
    <w:rsid w:val="00F20976"/>
    <w:rsid w:val="00F20B59"/>
    <w:rsid w:val="00F20E6E"/>
    <w:rsid w:val="00F20E97"/>
    <w:rsid w:val="00F21185"/>
    <w:rsid w:val="00F211C1"/>
    <w:rsid w:val="00F21539"/>
    <w:rsid w:val="00F217CB"/>
    <w:rsid w:val="00F21874"/>
    <w:rsid w:val="00F2199E"/>
    <w:rsid w:val="00F21B43"/>
    <w:rsid w:val="00F21D1A"/>
    <w:rsid w:val="00F21E65"/>
    <w:rsid w:val="00F21EEB"/>
    <w:rsid w:val="00F22268"/>
    <w:rsid w:val="00F2231E"/>
    <w:rsid w:val="00F2259E"/>
    <w:rsid w:val="00F22877"/>
    <w:rsid w:val="00F23077"/>
    <w:rsid w:val="00F234F2"/>
    <w:rsid w:val="00F236E1"/>
    <w:rsid w:val="00F23B1B"/>
    <w:rsid w:val="00F23BD9"/>
    <w:rsid w:val="00F240CE"/>
    <w:rsid w:val="00F240F6"/>
    <w:rsid w:val="00F24486"/>
    <w:rsid w:val="00F24755"/>
    <w:rsid w:val="00F255AC"/>
    <w:rsid w:val="00F25875"/>
    <w:rsid w:val="00F25DBB"/>
    <w:rsid w:val="00F25E7A"/>
    <w:rsid w:val="00F25F15"/>
    <w:rsid w:val="00F25FDD"/>
    <w:rsid w:val="00F266D9"/>
    <w:rsid w:val="00F26877"/>
    <w:rsid w:val="00F268BA"/>
    <w:rsid w:val="00F26E93"/>
    <w:rsid w:val="00F26F42"/>
    <w:rsid w:val="00F272E0"/>
    <w:rsid w:val="00F273BB"/>
    <w:rsid w:val="00F275D4"/>
    <w:rsid w:val="00F30302"/>
    <w:rsid w:val="00F30562"/>
    <w:rsid w:val="00F30952"/>
    <w:rsid w:val="00F30CB3"/>
    <w:rsid w:val="00F30CBE"/>
    <w:rsid w:val="00F30F97"/>
    <w:rsid w:val="00F3163A"/>
    <w:rsid w:val="00F316E3"/>
    <w:rsid w:val="00F317C9"/>
    <w:rsid w:val="00F31A97"/>
    <w:rsid w:val="00F31BB5"/>
    <w:rsid w:val="00F31DDB"/>
    <w:rsid w:val="00F3200C"/>
    <w:rsid w:val="00F3204F"/>
    <w:rsid w:val="00F320EB"/>
    <w:rsid w:val="00F32125"/>
    <w:rsid w:val="00F321E3"/>
    <w:rsid w:val="00F323D2"/>
    <w:rsid w:val="00F32665"/>
    <w:rsid w:val="00F32E30"/>
    <w:rsid w:val="00F32EE7"/>
    <w:rsid w:val="00F330A5"/>
    <w:rsid w:val="00F3344A"/>
    <w:rsid w:val="00F3372C"/>
    <w:rsid w:val="00F33FEC"/>
    <w:rsid w:val="00F3411B"/>
    <w:rsid w:val="00F34636"/>
    <w:rsid w:val="00F35842"/>
    <w:rsid w:val="00F359EB"/>
    <w:rsid w:val="00F36501"/>
    <w:rsid w:val="00F36694"/>
    <w:rsid w:val="00F3684D"/>
    <w:rsid w:val="00F36943"/>
    <w:rsid w:val="00F36CD4"/>
    <w:rsid w:val="00F3703F"/>
    <w:rsid w:val="00F3767D"/>
    <w:rsid w:val="00F37743"/>
    <w:rsid w:val="00F37BA2"/>
    <w:rsid w:val="00F4012C"/>
    <w:rsid w:val="00F4063A"/>
    <w:rsid w:val="00F4093E"/>
    <w:rsid w:val="00F40A54"/>
    <w:rsid w:val="00F4170C"/>
    <w:rsid w:val="00F41879"/>
    <w:rsid w:val="00F41AD5"/>
    <w:rsid w:val="00F41CFF"/>
    <w:rsid w:val="00F41F8F"/>
    <w:rsid w:val="00F42129"/>
    <w:rsid w:val="00F42280"/>
    <w:rsid w:val="00F422EB"/>
    <w:rsid w:val="00F4243B"/>
    <w:rsid w:val="00F42646"/>
    <w:rsid w:val="00F42AC1"/>
    <w:rsid w:val="00F42EA6"/>
    <w:rsid w:val="00F42FD1"/>
    <w:rsid w:val="00F43598"/>
    <w:rsid w:val="00F43626"/>
    <w:rsid w:val="00F436D2"/>
    <w:rsid w:val="00F43757"/>
    <w:rsid w:val="00F43A0D"/>
    <w:rsid w:val="00F43BF4"/>
    <w:rsid w:val="00F43C6F"/>
    <w:rsid w:val="00F43DAD"/>
    <w:rsid w:val="00F44001"/>
    <w:rsid w:val="00F4413B"/>
    <w:rsid w:val="00F44464"/>
    <w:rsid w:val="00F44E67"/>
    <w:rsid w:val="00F45032"/>
    <w:rsid w:val="00F45722"/>
    <w:rsid w:val="00F45F56"/>
    <w:rsid w:val="00F4606E"/>
    <w:rsid w:val="00F461EB"/>
    <w:rsid w:val="00F4667C"/>
    <w:rsid w:val="00F46963"/>
    <w:rsid w:val="00F47047"/>
    <w:rsid w:val="00F4761B"/>
    <w:rsid w:val="00F4786F"/>
    <w:rsid w:val="00F4792C"/>
    <w:rsid w:val="00F47B34"/>
    <w:rsid w:val="00F47B98"/>
    <w:rsid w:val="00F47C30"/>
    <w:rsid w:val="00F47F9B"/>
    <w:rsid w:val="00F50392"/>
    <w:rsid w:val="00F5044B"/>
    <w:rsid w:val="00F50828"/>
    <w:rsid w:val="00F50906"/>
    <w:rsid w:val="00F50AA7"/>
    <w:rsid w:val="00F50C49"/>
    <w:rsid w:val="00F51141"/>
    <w:rsid w:val="00F515AB"/>
    <w:rsid w:val="00F517D6"/>
    <w:rsid w:val="00F51F1A"/>
    <w:rsid w:val="00F51FF7"/>
    <w:rsid w:val="00F520A7"/>
    <w:rsid w:val="00F5211D"/>
    <w:rsid w:val="00F521F2"/>
    <w:rsid w:val="00F5288F"/>
    <w:rsid w:val="00F52C19"/>
    <w:rsid w:val="00F52CC2"/>
    <w:rsid w:val="00F53002"/>
    <w:rsid w:val="00F5365A"/>
    <w:rsid w:val="00F53743"/>
    <w:rsid w:val="00F538C3"/>
    <w:rsid w:val="00F53A09"/>
    <w:rsid w:val="00F53A33"/>
    <w:rsid w:val="00F53B8B"/>
    <w:rsid w:val="00F53C98"/>
    <w:rsid w:val="00F53FA4"/>
    <w:rsid w:val="00F54714"/>
    <w:rsid w:val="00F54BA2"/>
    <w:rsid w:val="00F54C9C"/>
    <w:rsid w:val="00F54F6E"/>
    <w:rsid w:val="00F554CF"/>
    <w:rsid w:val="00F558D4"/>
    <w:rsid w:val="00F55FFC"/>
    <w:rsid w:val="00F56108"/>
    <w:rsid w:val="00F5612C"/>
    <w:rsid w:val="00F569DE"/>
    <w:rsid w:val="00F56BF3"/>
    <w:rsid w:val="00F56F60"/>
    <w:rsid w:val="00F571C3"/>
    <w:rsid w:val="00F576B5"/>
    <w:rsid w:val="00F577C6"/>
    <w:rsid w:val="00F57800"/>
    <w:rsid w:val="00F57A4E"/>
    <w:rsid w:val="00F57D96"/>
    <w:rsid w:val="00F57F76"/>
    <w:rsid w:val="00F603F5"/>
    <w:rsid w:val="00F6083E"/>
    <w:rsid w:val="00F60B70"/>
    <w:rsid w:val="00F61372"/>
    <w:rsid w:val="00F616A6"/>
    <w:rsid w:val="00F6185D"/>
    <w:rsid w:val="00F61D18"/>
    <w:rsid w:val="00F61E8E"/>
    <w:rsid w:val="00F61FC9"/>
    <w:rsid w:val="00F62238"/>
    <w:rsid w:val="00F6223E"/>
    <w:rsid w:val="00F622FD"/>
    <w:rsid w:val="00F62391"/>
    <w:rsid w:val="00F62A2D"/>
    <w:rsid w:val="00F62AC7"/>
    <w:rsid w:val="00F63929"/>
    <w:rsid w:val="00F63A0E"/>
    <w:rsid w:val="00F63B07"/>
    <w:rsid w:val="00F63CED"/>
    <w:rsid w:val="00F63D62"/>
    <w:rsid w:val="00F6416D"/>
    <w:rsid w:val="00F641E6"/>
    <w:rsid w:val="00F642E8"/>
    <w:rsid w:val="00F64AD0"/>
    <w:rsid w:val="00F64B72"/>
    <w:rsid w:val="00F64FC3"/>
    <w:rsid w:val="00F64FE7"/>
    <w:rsid w:val="00F655DB"/>
    <w:rsid w:val="00F658DA"/>
    <w:rsid w:val="00F6592F"/>
    <w:rsid w:val="00F65A96"/>
    <w:rsid w:val="00F65B4B"/>
    <w:rsid w:val="00F65B8A"/>
    <w:rsid w:val="00F65E8C"/>
    <w:rsid w:val="00F663A0"/>
    <w:rsid w:val="00F66455"/>
    <w:rsid w:val="00F664AF"/>
    <w:rsid w:val="00F66F43"/>
    <w:rsid w:val="00F67765"/>
    <w:rsid w:val="00F678E8"/>
    <w:rsid w:val="00F706DC"/>
    <w:rsid w:val="00F70D4F"/>
    <w:rsid w:val="00F70F4A"/>
    <w:rsid w:val="00F70FD0"/>
    <w:rsid w:val="00F7113A"/>
    <w:rsid w:val="00F71278"/>
    <w:rsid w:val="00F712F4"/>
    <w:rsid w:val="00F7132A"/>
    <w:rsid w:val="00F71708"/>
    <w:rsid w:val="00F721EA"/>
    <w:rsid w:val="00F723C0"/>
    <w:rsid w:val="00F7257B"/>
    <w:rsid w:val="00F72B0E"/>
    <w:rsid w:val="00F72BF8"/>
    <w:rsid w:val="00F72D40"/>
    <w:rsid w:val="00F72D4F"/>
    <w:rsid w:val="00F72F42"/>
    <w:rsid w:val="00F731D2"/>
    <w:rsid w:val="00F735B5"/>
    <w:rsid w:val="00F73A5D"/>
    <w:rsid w:val="00F73AC5"/>
    <w:rsid w:val="00F73C9D"/>
    <w:rsid w:val="00F73E94"/>
    <w:rsid w:val="00F73F5D"/>
    <w:rsid w:val="00F73FA1"/>
    <w:rsid w:val="00F74121"/>
    <w:rsid w:val="00F74296"/>
    <w:rsid w:val="00F747B6"/>
    <w:rsid w:val="00F747F7"/>
    <w:rsid w:val="00F74E7A"/>
    <w:rsid w:val="00F74FA0"/>
    <w:rsid w:val="00F750BF"/>
    <w:rsid w:val="00F75181"/>
    <w:rsid w:val="00F75320"/>
    <w:rsid w:val="00F753CF"/>
    <w:rsid w:val="00F757DD"/>
    <w:rsid w:val="00F75913"/>
    <w:rsid w:val="00F75E1F"/>
    <w:rsid w:val="00F76222"/>
    <w:rsid w:val="00F763D2"/>
    <w:rsid w:val="00F767F2"/>
    <w:rsid w:val="00F76D63"/>
    <w:rsid w:val="00F76EF1"/>
    <w:rsid w:val="00F77075"/>
    <w:rsid w:val="00F772BD"/>
    <w:rsid w:val="00F77566"/>
    <w:rsid w:val="00F77748"/>
    <w:rsid w:val="00F77E2A"/>
    <w:rsid w:val="00F80062"/>
    <w:rsid w:val="00F800C5"/>
    <w:rsid w:val="00F804B2"/>
    <w:rsid w:val="00F8050A"/>
    <w:rsid w:val="00F80C8A"/>
    <w:rsid w:val="00F81169"/>
    <w:rsid w:val="00F8119C"/>
    <w:rsid w:val="00F813AF"/>
    <w:rsid w:val="00F813E5"/>
    <w:rsid w:val="00F81CFA"/>
    <w:rsid w:val="00F82251"/>
    <w:rsid w:val="00F82403"/>
    <w:rsid w:val="00F82B0C"/>
    <w:rsid w:val="00F83339"/>
    <w:rsid w:val="00F83651"/>
    <w:rsid w:val="00F839FE"/>
    <w:rsid w:val="00F83D4F"/>
    <w:rsid w:val="00F8427A"/>
    <w:rsid w:val="00F84674"/>
    <w:rsid w:val="00F847FF"/>
    <w:rsid w:val="00F84A38"/>
    <w:rsid w:val="00F84A99"/>
    <w:rsid w:val="00F84CA9"/>
    <w:rsid w:val="00F84CDD"/>
    <w:rsid w:val="00F84E5D"/>
    <w:rsid w:val="00F85338"/>
    <w:rsid w:val="00F855E0"/>
    <w:rsid w:val="00F85A8A"/>
    <w:rsid w:val="00F85E5F"/>
    <w:rsid w:val="00F85FD0"/>
    <w:rsid w:val="00F86505"/>
    <w:rsid w:val="00F866D0"/>
    <w:rsid w:val="00F8681C"/>
    <w:rsid w:val="00F86C07"/>
    <w:rsid w:val="00F87A7C"/>
    <w:rsid w:val="00F87D2B"/>
    <w:rsid w:val="00F87D58"/>
    <w:rsid w:val="00F90500"/>
    <w:rsid w:val="00F909B8"/>
    <w:rsid w:val="00F90ACA"/>
    <w:rsid w:val="00F912CD"/>
    <w:rsid w:val="00F912FF"/>
    <w:rsid w:val="00F913F4"/>
    <w:rsid w:val="00F91578"/>
    <w:rsid w:val="00F919A5"/>
    <w:rsid w:val="00F91C99"/>
    <w:rsid w:val="00F91FBA"/>
    <w:rsid w:val="00F920DF"/>
    <w:rsid w:val="00F92166"/>
    <w:rsid w:val="00F9266C"/>
    <w:rsid w:val="00F92C5C"/>
    <w:rsid w:val="00F93175"/>
    <w:rsid w:val="00F937BA"/>
    <w:rsid w:val="00F94078"/>
    <w:rsid w:val="00F9431A"/>
    <w:rsid w:val="00F943C1"/>
    <w:rsid w:val="00F94493"/>
    <w:rsid w:val="00F94CF3"/>
    <w:rsid w:val="00F9509D"/>
    <w:rsid w:val="00F952D4"/>
    <w:rsid w:val="00F952DE"/>
    <w:rsid w:val="00F957C9"/>
    <w:rsid w:val="00F95A85"/>
    <w:rsid w:val="00F95E86"/>
    <w:rsid w:val="00F95F8D"/>
    <w:rsid w:val="00F96182"/>
    <w:rsid w:val="00F9639F"/>
    <w:rsid w:val="00F963DA"/>
    <w:rsid w:val="00F96403"/>
    <w:rsid w:val="00F9643D"/>
    <w:rsid w:val="00F967F7"/>
    <w:rsid w:val="00F96ACB"/>
    <w:rsid w:val="00F96C9A"/>
    <w:rsid w:val="00F972F3"/>
    <w:rsid w:val="00F9735E"/>
    <w:rsid w:val="00F973AF"/>
    <w:rsid w:val="00F973C6"/>
    <w:rsid w:val="00F97919"/>
    <w:rsid w:val="00F97C27"/>
    <w:rsid w:val="00FA09B0"/>
    <w:rsid w:val="00FA09B4"/>
    <w:rsid w:val="00FA0C7A"/>
    <w:rsid w:val="00FA106A"/>
    <w:rsid w:val="00FA1166"/>
    <w:rsid w:val="00FA1DCD"/>
    <w:rsid w:val="00FA2240"/>
    <w:rsid w:val="00FA27B3"/>
    <w:rsid w:val="00FA2FF6"/>
    <w:rsid w:val="00FA3120"/>
    <w:rsid w:val="00FA3396"/>
    <w:rsid w:val="00FA343C"/>
    <w:rsid w:val="00FA350E"/>
    <w:rsid w:val="00FA4023"/>
    <w:rsid w:val="00FA43A7"/>
    <w:rsid w:val="00FA44D9"/>
    <w:rsid w:val="00FA46C1"/>
    <w:rsid w:val="00FA49C3"/>
    <w:rsid w:val="00FA5B44"/>
    <w:rsid w:val="00FA623C"/>
    <w:rsid w:val="00FA68B5"/>
    <w:rsid w:val="00FA6B63"/>
    <w:rsid w:val="00FA6C5C"/>
    <w:rsid w:val="00FA6CF1"/>
    <w:rsid w:val="00FA75EF"/>
    <w:rsid w:val="00FA7753"/>
    <w:rsid w:val="00FA77BD"/>
    <w:rsid w:val="00FA7E3F"/>
    <w:rsid w:val="00FA7FCA"/>
    <w:rsid w:val="00FB01EC"/>
    <w:rsid w:val="00FB0985"/>
    <w:rsid w:val="00FB0AE6"/>
    <w:rsid w:val="00FB0CC7"/>
    <w:rsid w:val="00FB0CCE"/>
    <w:rsid w:val="00FB117B"/>
    <w:rsid w:val="00FB12A8"/>
    <w:rsid w:val="00FB14D4"/>
    <w:rsid w:val="00FB188E"/>
    <w:rsid w:val="00FB192B"/>
    <w:rsid w:val="00FB1935"/>
    <w:rsid w:val="00FB1A6B"/>
    <w:rsid w:val="00FB1D70"/>
    <w:rsid w:val="00FB1EF6"/>
    <w:rsid w:val="00FB20FB"/>
    <w:rsid w:val="00FB21C9"/>
    <w:rsid w:val="00FB240E"/>
    <w:rsid w:val="00FB246A"/>
    <w:rsid w:val="00FB280F"/>
    <w:rsid w:val="00FB2A0D"/>
    <w:rsid w:val="00FB2BE6"/>
    <w:rsid w:val="00FB2CA5"/>
    <w:rsid w:val="00FB2FF6"/>
    <w:rsid w:val="00FB3318"/>
    <w:rsid w:val="00FB3415"/>
    <w:rsid w:val="00FB35FD"/>
    <w:rsid w:val="00FB3A0C"/>
    <w:rsid w:val="00FB44B4"/>
    <w:rsid w:val="00FB463B"/>
    <w:rsid w:val="00FB4EAA"/>
    <w:rsid w:val="00FB529F"/>
    <w:rsid w:val="00FB5A06"/>
    <w:rsid w:val="00FB754F"/>
    <w:rsid w:val="00FB791F"/>
    <w:rsid w:val="00FB7943"/>
    <w:rsid w:val="00FB7C6D"/>
    <w:rsid w:val="00FB7F47"/>
    <w:rsid w:val="00FC04E5"/>
    <w:rsid w:val="00FC0734"/>
    <w:rsid w:val="00FC0957"/>
    <w:rsid w:val="00FC0FE0"/>
    <w:rsid w:val="00FC118B"/>
    <w:rsid w:val="00FC1B2C"/>
    <w:rsid w:val="00FC1CB7"/>
    <w:rsid w:val="00FC1FCE"/>
    <w:rsid w:val="00FC2034"/>
    <w:rsid w:val="00FC247E"/>
    <w:rsid w:val="00FC26AD"/>
    <w:rsid w:val="00FC2DF9"/>
    <w:rsid w:val="00FC2EF3"/>
    <w:rsid w:val="00FC317E"/>
    <w:rsid w:val="00FC328B"/>
    <w:rsid w:val="00FC3BF1"/>
    <w:rsid w:val="00FC3FA0"/>
    <w:rsid w:val="00FC43AF"/>
    <w:rsid w:val="00FC4717"/>
    <w:rsid w:val="00FC49E2"/>
    <w:rsid w:val="00FC4B61"/>
    <w:rsid w:val="00FC503A"/>
    <w:rsid w:val="00FC5254"/>
    <w:rsid w:val="00FC56FB"/>
    <w:rsid w:val="00FC58F4"/>
    <w:rsid w:val="00FC5A8E"/>
    <w:rsid w:val="00FC625A"/>
    <w:rsid w:val="00FC62C3"/>
    <w:rsid w:val="00FC6949"/>
    <w:rsid w:val="00FC6D9B"/>
    <w:rsid w:val="00FC72FD"/>
    <w:rsid w:val="00FC7517"/>
    <w:rsid w:val="00FC799F"/>
    <w:rsid w:val="00FC7DDE"/>
    <w:rsid w:val="00FD0020"/>
    <w:rsid w:val="00FD005B"/>
    <w:rsid w:val="00FD04EE"/>
    <w:rsid w:val="00FD0DC4"/>
    <w:rsid w:val="00FD11D9"/>
    <w:rsid w:val="00FD11F8"/>
    <w:rsid w:val="00FD1613"/>
    <w:rsid w:val="00FD1638"/>
    <w:rsid w:val="00FD1ECC"/>
    <w:rsid w:val="00FD1F92"/>
    <w:rsid w:val="00FD2086"/>
    <w:rsid w:val="00FD2291"/>
    <w:rsid w:val="00FD251B"/>
    <w:rsid w:val="00FD2722"/>
    <w:rsid w:val="00FD272A"/>
    <w:rsid w:val="00FD36F8"/>
    <w:rsid w:val="00FD3A2A"/>
    <w:rsid w:val="00FD3C05"/>
    <w:rsid w:val="00FD3FB9"/>
    <w:rsid w:val="00FD4326"/>
    <w:rsid w:val="00FD4BC6"/>
    <w:rsid w:val="00FD5061"/>
    <w:rsid w:val="00FD50F3"/>
    <w:rsid w:val="00FD5135"/>
    <w:rsid w:val="00FD568D"/>
    <w:rsid w:val="00FD59E3"/>
    <w:rsid w:val="00FD5C7D"/>
    <w:rsid w:val="00FD5FF7"/>
    <w:rsid w:val="00FD61CF"/>
    <w:rsid w:val="00FD63C4"/>
    <w:rsid w:val="00FD69F4"/>
    <w:rsid w:val="00FD6A99"/>
    <w:rsid w:val="00FD6AEA"/>
    <w:rsid w:val="00FD6F47"/>
    <w:rsid w:val="00FD6FB2"/>
    <w:rsid w:val="00FD7C2E"/>
    <w:rsid w:val="00FD7D5C"/>
    <w:rsid w:val="00FD7DB4"/>
    <w:rsid w:val="00FD7EB6"/>
    <w:rsid w:val="00FE0963"/>
    <w:rsid w:val="00FE098C"/>
    <w:rsid w:val="00FE0AF5"/>
    <w:rsid w:val="00FE0CB9"/>
    <w:rsid w:val="00FE0D21"/>
    <w:rsid w:val="00FE10A9"/>
    <w:rsid w:val="00FE1199"/>
    <w:rsid w:val="00FE1425"/>
    <w:rsid w:val="00FE1470"/>
    <w:rsid w:val="00FE14ED"/>
    <w:rsid w:val="00FE162B"/>
    <w:rsid w:val="00FE18D8"/>
    <w:rsid w:val="00FE1E72"/>
    <w:rsid w:val="00FE21C9"/>
    <w:rsid w:val="00FE21E9"/>
    <w:rsid w:val="00FE2966"/>
    <w:rsid w:val="00FE2D16"/>
    <w:rsid w:val="00FE31B2"/>
    <w:rsid w:val="00FE3716"/>
    <w:rsid w:val="00FE37B3"/>
    <w:rsid w:val="00FE3C02"/>
    <w:rsid w:val="00FE3D19"/>
    <w:rsid w:val="00FE3DAA"/>
    <w:rsid w:val="00FE3E0F"/>
    <w:rsid w:val="00FE40EE"/>
    <w:rsid w:val="00FE4192"/>
    <w:rsid w:val="00FE4D74"/>
    <w:rsid w:val="00FE4EBE"/>
    <w:rsid w:val="00FE559F"/>
    <w:rsid w:val="00FE5675"/>
    <w:rsid w:val="00FE591E"/>
    <w:rsid w:val="00FE5DDE"/>
    <w:rsid w:val="00FE6058"/>
    <w:rsid w:val="00FE6127"/>
    <w:rsid w:val="00FE6281"/>
    <w:rsid w:val="00FE667E"/>
    <w:rsid w:val="00FE6865"/>
    <w:rsid w:val="00FE6B45"/>
    <w:rsid w:val="00FE6BDE"/>
    <w:rsid w:val="00FE6F3C"/>
    <w:rsid w:val="00FE7473"/>
    <w:rsid w:val="00FE74AB"/>
    <w:rsid w:val="00FE766E"/>
    <w:rsid w:val="00FE771D"/>
    <w:rsid w:val="00FE7783"/>
    <w:rsid w:val="00FE790B"/>
    <w:rsid w:val="00FE7AF1"/>
    <w:rsid w:val="00FF0007"/>
    <w:rsid w:val="00FF03A2"/>
    <w:rsid w:val="00FF0A01"/>
    <w:rsid w:val="00FF0CD1"/>
    <w:rsid w:val="00FF161B"/>
    <w:rsid w:val="00FF1653"/>
    <w:rsid w:val="00FF176C"/>
    <w:rsid w:val="00FF1812"/>
    <w:rsid w:val="00FF231D"/>
    <w:rsid w:val="00FF28FE"/>
    <w:rsid w:val="00FF2BC0"/>
    <w:rsid w:val="00FF2CBA"/>
    <w:rsid w:val="00FF2F39"/>
    <w:rsid w:val="00FF32A9"/>
    <w:rsid w:val="00FF33A2"/>
    <w:rsid w:val="00FF33A9"/>
    <w:rsid w:val="00FF3582"/>
    <w:rsid w:val="00FF3907"/>
    <w:rsid w:val="00FF3BC9"/>
    <w:rsid w:val="00FF3CAC"/>
    <w:rsid w:val="00FF3FAC"/>
    <w:rsid w:val="00FF4016"/>
    <w:rsid w:val="00FF421B"/>
    <w:rsid w:val="00FF4368"/>
    <w:rsid w:val="00FF4478"/>
    <w:rsid w:val="00FF4508"/>
    <w:rsid w:val="00FF4F68"/>
    <w:rsid w:val="00FF503C"/>
    <w:rsid w:val="00FF5044"/>
    <w:rsid w:val="00FF5119"/>
    <w:rsid w:val="00FF52DE"/>
    <w:rsid w:val="00FF55D8"/>
    <w:rsid w:val="00FF565C"/>
    <w:rsid w:val="00FF5A1D"/>
    <w:rsid w:val="00FF5F0C"/>
    <w:rsid w:val="00FF6002"/>
    <w:rsid w:val="00FF601C"/>
    <w:rsid w:val="00FF6341"/>
    <w:rsid w:val="00FF64BE"/>
    <w:rsid w:val="00FF66D1"/>
    <w:rsid w:val="00FF68EF"/>
    <w:rsid w:val="00FF70B5"/>
    <w:rsid w:val="00FF7189"/>
    <w:rsid w:val="00FF7721"/>
    <w:rsid w:val="00FF7E98"/>
    <w:rsid w:val="00FF7F30"/>
    <w:rsid w:val="011A11A4"/>
    <w:rsid w:val="01405559"/>
    <w:rsid w:val="014B5B44"/>
    <w:rsid w:val="0182219D"/>
    <w:rsid w:val="018C5F7F"/>
    <w:rsid w:val="01BE4069"/>
    <w:rsid w:val="01BE5800"/>
    <w:rsid w:val="01E166F0"/>
    <w:rsid w:val="01E46F65"/>
    <w:rsid w:val="02E536DD"/>
    <w:rsid w:val="035E737B"/>
    <w:rsid w:val="03702323"/>
    <w:rsid w:val="037D3DF5"/>
    <w:rsid w:val="03F06C42"/>
    <w:rsid w:val="041B3357"/>
    <w:rsid w:val="04C34346"/>
    <w:rsid w:val="04E30437"/>
    <w:rsid w:val="05425B93"/>
    <w:rsid w:val="05465FD3"/>
    <w:rsid w:val="05D640FE"/>
    <w:rsid w:val="05F41FAA"/>
    <w:rsid w:val="05F45E3B"/>
    <w:rsid w:val="063B78DC"/>
    <w:rsid w:val="06971FEE"/>
    <w:rsid w:val="06C123D8"/>
    <w:rsid w:val="07657468"/>
    <w:rsid w:val="076E0F6D"/>
    <w:rsid w:val="07702E6D"/>
    <w:rsid w:val="07E84F31"/>
    <w:rsid w:val="083772CA"/>
    <w:rsid w:val="0839529D"/>
    <w:rsid w:val="08CA13FE"/>
    <w:rsid w:val="08F374F5"/>
    <w:rsid w:val="09974C33"/>
    <w:rsid w:val="09B82947"/>
    <w:rsid w:val="0A8C5FC6"/>
    <w:rsid w:val="0BD45F51"/>
    <w:rsid w:val="0BF958C7"/>
    <w:rsid w:val="0C2561A2"/>
    <w:rsid w:val="0C3F3332"/>
    <w:rsid w:val="0C5A09A9"/>
    <w:rsid w:val="0C9555A6"/>
    <w:rsid w:val="0CDB719E"/>
    <w:rsid w:val="0CDC6022"/>
    <w:rsid w:val="0D2A0667"/>
    <w:rsid w:val="0D56019D"/>
    <w:rsid w:val="0E0812B7"/>
    <w:rsid w:val="0E407559"/>
    <w:rsid w:val="0EAB6A73"/>
    <w:rsid w:val="0F3155D8"/>
    <w:rsid w:val="0F4D0707"/>
    <w:rsid w:val="0FBA2A45"/>
    <w:rsid w:val="0FC41654"/>
    <w:rsid w:val="0FDE7285"/>
    <w:rsid w:val="1042721E"/>
    <w:rsid w:val="104C05B8"/>
    <w:rsid w:val="1147532F"/>
    <w:rsid w:val="118C2ED5"/>
    <w:rsid w:val="11B83D31"/>
    <w:rsid w:val="126F5DEF"/>
    <w:rsid w:val="12795B29"/>
    <w:rsid w:val="12F62B63"/>
    <w:rsid w:val="132C2B6C"/>
    <w:rsid w:val="133F16EC"/>
    <w:rsid w:val="135C656E"/>
    <w:rsid w:val="13696837"/>
    <w:rsid w:val="13AA30FE"/>
    <w:rsid w:val="13B31AEC"/>
    <w:rsid w:val="13FB45D6"/>
    <w:rsid w:val="13FE3FBA"/>
    <w:rsid w:val="140E1568"/>
    <w:rsid w:val="14404369"/>
    <w:rsid w:val="14BE50B0"/>
    <w:rsid w:val="171F134E"/>
    <w:rsid w:val="175D674F"/>
    <w:rsid w:val="179055A0"/>
    <w:rsid w:val="17B53534"/>
    <w:rsid w:val="17CD2550"/>
    <w:rsid w:val="18114189"/>
    <w:rsid w:val="18F06F2D"/>
    <w:rsid w:val="19117739"/>
    <w:rsid w:val="19403824"/>
    <w:rsid w:val="19AD7F51"/>
    <w:rsid w:val="19C448D0"/>
    <w:rsid w:val="1A5666E0"/>
    <w:rsid w:val="1A9E3747"/>
    <w:rsid w:val="1BA50D14"/>
    <w:rsid w:val="1BA677E7"/>
    <w:rsid w:val="1C157D87"/>
    <w:rsid w:val="1C352CA3"/>
    <w:rsid w:val="1C625D30"/>
    <w:rsid w:val="1C7671E3"/>
    <w:rsid w:val="1C777601"/>
    <w:rsid w:val="1C7B6556"/>
    <w:rsid w:val="1C8A493E"/>
    <w:rsid w:val="1CCB6998"/>
    <w:rsid w:val="1CD6623F"/>
    <w:rsid w:val="1CF90898"/>
    <w:rsid w:val="1CFA0FE7"/>
    <w:rsid w:val="1D4824C2"/>
    <w:rsid w:val="1D8C69C4"/>
    <w:rsid w:val="1E1C7C6C"/>
    <w:rsid w:val="1E786F00"/>
    <w:rsid w:val="1E7C1E81"/>
    <w:rsid w:val="1EA90CE7"/>
    <w:rsid w:val="1EE26B01"/>
    <w:rsid w:val="1F147CCD"/>
    <w:rsid w:val="1F1F65F5"/>
    <w:rsid w:val="1F227F17"/>
    <w:rsid w:val="1F343C02"/>
    <w:rsid w:val="1FAC7E53"/>
    <w:rsid w:val="200008B3"/>
    <w:rsid w:val="201F01E6"/>
    <w:rsid w:val="20517FE3"/>
    <w:rsid w:val="20597707"/>
    <w:rsid w:val="2074609A"/>
    <w:rsid w:val="20CE2C18"/>
    <w:rsid w:val="21577705"/>
    <w:rsid w:val="217C1DAF"/>
    <w:rsid w:val="218220DE"/>
    <w:rsid w:val="21FE096D"/>
    <w:rsid w:val="222C76C6"/>
    <w:rsid w:val="22466CF3"/>
    <w:rsid w:val="2253067F"/>
    <w:rsid w:val="22A344E7"/>
    <w:rsid w:val="22C9107A"/>
    <w:rsid w:val="22DE3197"/>
    <w:rsid w:val="230E0741"/>
    <w:rsid w:val="2332578D"/>
    <w:rsid w:val="234C4337"/>
    <w:rsid w:val="23B459CF"/>
    <w:rsid w:val="23F63E16"/>
    <w:rsid w:val="243A32C2"/>
    <w:rsid w:val="243F71F1"/>
    <w:rsid w:val="2507035F"/>
    <w:rsid w:val="25093A3B"/>
    <w:rsid w:val="25236D0D"/>
    <w:rsid w:val="252F645D"/>
    <w:rsid w:val="255E2F6B"/>
    <w:rsid w:val="258858A9"/>
    <w:rsid w:val="25E21C3F"/>
    <w:rsid w:val="25F64D5E"/>
    <w:rsid w:val="26757E2C"/>
    <w:rsid w:val="26790701"/>
    <w:rsid w:val="273508EE"/>
    <w:rsid w:val="27483692"/>
    <w:rsid w:val="276F6E45"/>
    <w:rsid w:val="278066D7"/>
    <w:rsid w:val="27827B0F"/>
    <w:rsid w:val="27886287"/>
    <w:rsid w:val="27F53526"/>
    <w:rsid w:val="27FA5E76"/>
    <w:rsid w:val="28510862"/>
    <w:rsid w:val="28690FE5"/>
    <w:rsid w:val="288E2BD2"/>
    <w:rsid w:val="28DC50AB"/>
    <w:rsid w:val="28E55271"/>
    <w:rsid w:val="28E7739E"/>
    <w:rsid w:val="2923374B"/>
    <w:rsid w:val="29BD796F"/>
    <w:rsid w:val="2A732CE2"/>
    <w:rsid w:val="2AAC3644"/>
    <w:rsid w:val="2B432AA5"/>
    <w:rsid w:val="2B7C0602"/>
    <w:rsid w:val="2B8946FF"/>
    <w:rsid w:val="2C0A4741"/>
    <w:rsid w:val="2CF86E08"/>
    <w:rsid w:val="2D9B15EF"/>
    <w:rsid w:val="2E304308"/>
    <w:rsid w:val="2E336D9D"/>
    <w:rsid w:val="2EB26D79"/>
    <w:rsid w:val="2EBB2B5D"/>
    <w:rsid w:val="2F16026E"/>
    <w:rsid w:val="2F7145F4"/>
    <w:rsid w:val="2F7D5543"/>
    <w:rsid w:val="301C1F55"/>
    <w:rsid w:val="302204C8"/>
    <w:rsid w:val="30580298"/>
    <w:rsid w:val="30646F90"/>
    <w:rsid w:val="30CB0402"/>
    <w:rsid w:val="30CC433C"/>
    <w:rsid w:val="310955F2"/>
    <w:rsid w:val="31197E88"/>
    <w:rsid w:val="31402388"/>
    <w:rsid w:val="31BB788B"/>
    <w:rsid w:val="31CB2FF3"/>
    <w:rsid w:val="31FC240D"/>
    <w:rsid w:val="321E42BD"/>
    <w:rsid w:val="324004E7"/>
    <w:rsid w:val="324D2681"/>
    <w:rsid w:val="32F440FF"/>
    <w:rsid w:val="33075788"/>
    <w:rsid w:val="337C771B"/>
    <w:rsid w:val="33A12EBF"/>
    <w:rsid w:val="33A81F62"/>
    <w:rsid w:val="33D81659"/>
    <w:rsid w:val="341344FC"/>
    <w:rsid w:val="34457450"/>
    <w:rsid w:val="34610322"/>
    <w:rsid w:val="34BC749F"/>
    <w:rsid w:val="350E185E"/>
    <w:rsid w:val="35373F98"/>
    <w:rsid w:val="35871ED9"/>
    <w:rsid w:val="36246068"/>
    <w:rsid w:val="363B7932"/>
    <w:rsid w:val="36D15C2A"/>
    <w:rsid w:val="36FA4BBC"/>
    <w:rsid w:val="371D61FE"/>
    <w:rsid w:val="374B5AC3"/>
    <w:rsid w:val="37753A04"/>
    <w:rsid w:val="38187E4F"/>
    <w:rsid w:val="3820445B"/>
    <w:rsid w:val="38210467"/>
    <w:rsid w:val="38401B73"/>
    <w:rsid w:val="384B1D2A"/>
    <w:rsid w:val="3886439B"/>
    <w:rsid w:val="389B7B13"/>
    <w:rsid w:val="38F24247"/>
    <w:rsid w:val="39780BBB"/>
    <w:rsid w:val="399267A7"/>
    <w:rsid w:val="39D617F2"/>
    <w:rsid w:val="3A881EEA"/>
    <w:rsid w:val="3A9974DB"/>
    <w:rsid w:val="3B4E6F37"/>
    <w:rsid w:val="3B731AB5"/>
    <w:rsid w:val="3B833738"/>
    <w:rsid w:val="3B837B99"/>
    <w:rsid w:val="3B874762"/>
    <w:rsid w:val="3C2527C5"/>
    <w:rsid w:val="3C84642E"/>
    <w:rsid w:val="3D6F75C9"/>
    <w:rsid w:val="3DD63F7B"/>
    <w:rsid w:val="3DE90F01"/>
    <w:rsid w:val="3E266E35"/>
    <w:rsid w:val="3EEC27F5"/>
    <w:rsid w:val="3F023F87"/>
    <w:rsid w:val="3F4829A1"/>
    <w:rsid w:val="3F7F04D5"/>
    <w:rsid w:val="402B79C3"/>
    <w:rsid w:val="403E4C3A"/>
    <w:rsid w:val="40A005F0"/>
    <w:rsid w:val="40E90FBF"/>
    <w:rsid w:val="41255F3B"/>
    <w:rsid w:val="417D76A0"/>
    <w:rsid w:val="417E1386"/>
    <w:rsid w:val="418C1170"/>
    <w:rsid w:val="42007BD8"/>
    <w:rsid w:val="422703E2"/>
    <w:rsid w:val="422B6BF4"/>
    <w:rsid w:val="42347713"/>
    <w:rsid w:val="435636B8"/>
    <w:rsid w:val="43B00A8F"/>
    <w:rsid w:val="43E1513F"/>
    <w:rsid w:val="441948BE"/>
    <w:rsid w:val="44256E3E"/>
    <w:rsid w:val="44AE0556"/>
    <w:rsid w:val="452545FE"/>
    <w:rsid w:val="454B391C"/>
    <w:rsid w:val="45511B47"/>
    <w:rsid w:val="45625BD3"/>
    <w:rsid w:val="459557D9"/>
    <w:rsid w:val="45A15DDB"/>
    <w:rsid w:val="45A3513D"/>
    <w:rsid w:val="45B22926"/>
    <w:rsid w:val="46405854"/>
    <w:rsid w:val="46665832"/>
    <w:rsid w:val="4681712C"/>
    <w:rsid w:val="468B6718"/>
    <w:rsid w:val="46A448A3"/>
    <w:rsid w:val="473B23EB"/>
    <w:rsid w:val="476250CF"/>
    <w:rsid w:val="47B32EAB"/>
    <w:rsid w:val="47C40E8C"/>
    <w:rsid w:val="48B1218F"/>
    <w:rsid w:val="48B14AB0"/>
    <w:rsid w:val="48BB286C"/>
    <w:rsid w:val="48D6123C"/>
    <w:rsid w:val="49150F51"/>
    <w:rsid w:val="49480BD4"/>
    <w:rsid w:val="496E11C3"/>
    <w:rsid w:val="499F04DF"/>
    <w:rsid w:val="49CB3BFF"/>
    <w:rsid w:val="4AA4619B"/>
    <w:rsid w:val="4AAE7A16"/>
    <w:rsid w:val="4AC62161"/>
    <w:rsid w:val="4B284D77"/>
    <w:rsid w:val="4B825BE2"/>
    <w:rsid w:val="4BEC1507"/>
    <w:rsid w:val="4CC023DD"/>
    <w:rsid w:val="4CD363C9"/>
    <w:rsid w:val="4CE215E5"/>
    <w:rsid w:val="4D7F313C"/>
    <w:rsid w:val="4D7F6702"/>
    <w:rsid w:val="4DD27ACF"/>
    <w:rsid w:val="4DD314A8"/>
    <w:rsid w:val="4E1A7ECD"/>
    <w:rsid w:val="4EF04C0A"/>
    <w:rsid w:val="4F123950"/>
    <w:rsid w:val="4F134C73"/>
    <w:rsid w:val="4FFA5F25"/>
    <w:rsid w:val="507519D9"/>
    <w:rsid w:val="50834E9C"/>
    <w:rsid w:val="50D80151"/>
    <w:rsid w:val="50EC442B"/>
    <w:rsid w:val="517C422B"/>
    <w:rsid w:val="51824CF6"/>
    <w:rsid w:val="519D045B"/>
    <w:rsid w:val="51F71DB1"/>
    <w:rsid w:val="52013E99"/>
    <w:rsid w:val="52127D7D"/>
    <w:rsid w:val="52412A63"/>
    <w:rsid w:val="525672F6"/>
    <w:rsid w:val="534179D1"/>
    <w:rsid w:val="53763D4D"/>
    <w:rsid w:val="53B86988"/>
    <w:rsid w:val="54135280"/>
    <w:rsid w:val="548D4DA4"/>
    <w:rsid w:val="5526139C"/>
    <w:rsid w:val="552B2D26"/>
    <w:rsid w:val="554E1470"/>
    <w:rsid w:val="55986D51"/>
    <w:rsid w:val="55D42624"/>
    <w:rsid w:val="56133CA0"/>
    <w:rsid w:val="56DD4ABD"/>
    <w:rsid w:val="5703231E"/>
    <w:rsid w:val="57116442"/>
    <w:rsid w:val="572E78D7"/>
    <w:rsid w:val="57416F33"/>
    <w:rsid w:val="578D3493"/>
    <w:rsid w:val="586A7A45"/>
    <w:rsid w:val="58914C8B"/>
    <w:rsid w:val="58A40BB5"/>
    <w:rsid w:val="58E3423E"/>
    <w:rsid w:val="58F23ED5"/>
    <w:rsid w:val="5956205C"/>
    <w:rsid w:val="599E6CB8"/>
    <w:rsid w:val="59CB0881"/>
    <w:rsid w:val="59E031E2"/>
    <w:rsid w:val="5A3167AF"/>
    <w:rsid w:val="5A5B5FB9"/>
    <w:rsid w:val="5AA974E8"/>
    <w:rsid w:val="5AD0387F"/>
    <w:rsid w:val="5B0409E7"/>
    <w:rsid w:val="5B8340E7"/>
    <w:rsid w:val="5B8D0599"/>
    <w:rsid w:val="5B937814"/>
    <w:rsid w:val="5B9F4BBA"/>
    <w:rsid w:val="5BA627EA"/>
    <w:rsid w:val="5BAA125C"/>
    <w:rsid w:val="5BF727AE"/>
    <w:rsid w:val="5BFE6522"/>
    <w:rsid w:val="5C254E10"/>
    <w:rsid w:val="5C67315B"/>
    <w:rsid w:val="5C6E79F1"/>
    <w:rsid w:val="5C8657B1"/>
    <w:rsid w:val="5CA73484"/>
    <w:rsid w:val="5CB66DDB"/>
    <w:rsid w:val="5CC11316"/>
    <w:rsid w:val="5CC72EF9"/>
    <w:rsid w:val="5CE5499C"/>
    <w:rsid w:val="5D77243C"/>
    <w:rsid w:val="5DD60CDA"/>
    <w:rsid w:val="5E2F13E4"/>
    <w:rsid w:val="5EC546B7"/>
    <w:rsid w:val="5EE01513"/>
    <w:rsid w:val="5F515511"/>
    <w:rsid w:val="5FA9036D"/>
    <w:rsid w:val="5FB20CF3"/>
    <w:rsid w:val="5FE20A6A"/>
    <w:rsid w:val="5FE80DF1"/>
    <w:rsid w:val="5FED079B"/>
    <w:rsid w:val="60394F33"/>
    <w:rsid w:val="607A028C"/>
    <w:rsid w:val="613475A1"/>
    <w:rsid w:val="61623C20"/>
    <w:rsid w:val="61904268"/>
    <w:rsid w:val="61922827"/>
    <w:rsid w:val="61985AAE"/>
    <w:rsid w:val="619B21A0"/>
    <w:rsid w:val="61A24375"/>
    <w:rsid w:val="61A327A8"/>
    <w:rsid w:val="61C95215"/>
    <w:rsid w:val="61CF4043"/>
    <w:rsid w:val="620863D2"/>
    <w:rsid w:val="62197E84"/>
    <w:rsid w:val="626058BD"/>
    <w:rsid w:val="62D70238"/>
    <w:rsid w:val="630014F2"/>
    <w:rsid w:val="63197F47"/>
    <w:rsid w:val="634E5810"/>
    <w:rsid w:val="636310DD"/>
    <w:rsid w:val="63A81226"/>
    <w:rsid w:val="643B3190"/>
    <w:rsid w:val="64ED30F3"/>
    <w:rsid w:val="650A079C"/>
    <w:rsid w:val="6538079A"/>
    <w:rsid w:val="65E5355A"/>
    <w:rsid w:val="66F17DA4"/>
    <w:rsid w:val="67111CFC"/>
    <w:rsid w:val="673C65F0"/>
    <w:rsid w:val="674A3D4F"/>
    <w:rsid w:val="679006E0"/>
    <w:rsid w:val="6864772D"/>
    <w:rsid w:val="689C09DF"/>
    <w:rsid w:val="68BC6A3B"/>
    <w:rsid w:val="68F3169F"/>
    <w:rsid w:val="69290CE5"/>
    <w:rsid w:val="698537D1"/>
    <w:rsid w:val="69E65C47"/>
    <w:rsid w:val="6A121AD7"/>
    <w:rsid w:val="6A3C248C"/>
    <w:rsid w:val="6A842A4E"/>
    <w:rsid w:val="6ABA024E"/>
    <w:rsid w:val="6AD23B35"/>
    <w:rsid w:val="6B6B378B"/>
    <w:rsid w:val="6B9F2029"/>
    <w:rsid w:val="6BF71E1C"/>
    <w:rsid w:val="6C3226C6"/>
    <w:rsid w:val="6C545FF5"/>
    <w:rsid w:val="6C591BE2"/>
    <w:rsid w:val="6C5D623A"/>
    <w:rsid w:val="6C97063E"/>
    <w:rsid w:val="6D173900"/>
    <w:rsid w:val="6D554232"/>
    <w:rsid w:val="6D816B46"/>
    <w:rsid w:val="6E0A4A26"/>
    <w:rsid w:val="6E5A4385"/>
    <w:rsid w:val="6E5E1B6C"/>
    <w:rsid w:val="6EEF71D1"/>
    <w:rsid w:val="6EF04F82"/>
    <w:rsid w:val="6F021A16"/>
    <w:rsid w:val="6F1D40CE"/>
    <w:rsid w:val="7051517A"/>
    <w:rsid w:val="70A647A4"/>
    <w:rsid w:val="70D85BD1"/>
    <w:rsid w:val="715B338A"/>
    <w:rsid w:val="71695F18"/>
    <w:rsid w:val="716A7ADC"/>
    <w:rsid w:val="71A54F72"/>
    <w:rsid w:val="71DE2E53"/>
    <w:rsid w:val="721F39FF"/>
    <w:rsid w:val="729E121E"/>
    <w:rsid w:val="72DA733E"/>
    <w:rsid w:val="72E23A7A"/>
    <w:rsid w:val="72F6179B"/>
    <w:rsid w:val="733252F0"/>
    <w:rsid w:val="735B2E64"/>
    <w:rsid w:val="738003CA"/>
    <w:rsid w:val="73C56EED"/>
    <w:rsid w:val="74180D50"/>
    <w:rsid w:val="741E3A74"/>
    <w:rsid w:val="74CC56DC"/>
    <w:rsid w:val="758D4AB4"/>
    <w:rsid w:val="75D12961"/>
    <w:rsid w:val="765941C5"/>
    <w:rsid w:val="76DA4749"/>
    <w:rsid w:val="773B6CD4"/>
    <w:rsid w:val="77E30949"/>
    <w:rsid w:val="77F16A53"/>
    <w:rsid w:val="783525A0"/>
    <w:rsid w:val="78414C61"/>
    <w:rsid w:val="786F12BD"/>
    <w:rsid w:val="786F1AA9"/>
    <w:rsid w:val="7872551D"/>
    <w:rsid w:val="78B86EE8"/>
    <w:rsid w:val="790642E0"/>
    <w:rsid w:val="7920071D"/>
    <w:rsid w:val="79B56BC5"/>
    <w:rsid w:val="79C52BC7"/>
    <w:rsid w:val="79C747F6"/>
    <w:rsid w:val="79F61693"/>
    <w:rsid w:val="7A2861E8"/>
    <w:rsid w:val="7A36659D"/>
    <w:rsid w:val="7A6027C1"/>
    <w:rsid w:val="7A854A12"/>
    <w:rsid w:val="7AD32CDE"/>
    <w:rsid w:val="7B237820"/>
    <w:rsid w:val="7B974622"/>
    <w:rsid w:val="7BA60FD3"/>
    <w:rsid w:val="7C3C1587"/>
    <w:rsid w:val="7C6B3F7A"/>
    <w:rsid w:val="7CA52AE4"/>
    <w:rsid w:val="7D4E72F0"/>
    <w:rsid w:val="7D860B69"/>
    <w:rsid w:val="7DD15417"/>
    <w:rsid w:val="7DED1691"/>
    <w:rsid w:val="7E5E3FA9"/>
    <w:rsid w:val="7E662EAD"/>
    <w:rsid w:val="7E9219F9"/>
    <w:rsid w:val="7EC14C30"/>
    <w:rsid w:val="7EF87B3E"/>
    <w:rsid w:val="7F474277"/>
    <w:rsid w:val="7F52348C"/>
    <w:rsid w:val="7F924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2"/>
    <w:qFormat/>
    <w:uiPriority w:val="9"/>
    <w:pPr>
      <w:keepNext/>
      <w:keepLines/>
      <w:spacing w:before="340" w:after="330" w:line="576" w:lineRule="auto"/>
      <w:outlineLvl w:val="0"/>
    </w:pPr>
    <w:rPr>
      <w:b/>
      <w:bCs/>
      <w:kern w:val="44"/>
      <w:sz w:val="44"/>
      <w:szCs w:val="44"/>
    </w:rPr>
  </w:style>
  <w:style w:type="paragraph" w:styleId="3">
    <w:name w:val="heading 2"/>
    <w:basedOn w:val="1"/>
    <w:next w:val="1"/>
    <w:link w:val="113"/>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link w:val="61"/>
    <w:qFormat/>
    <w:uiPriority w:val="0"/>
    <w:pPr>
      <w:keepNext/>
      <w:keepLines/>
      <w:spacing w:before="260" w:after="260" w:line="413" w:lineRule="auto"/>
      <w:outlineLvl w:val="2"/>
    </w:pPr>
    <w:rPr>
      <w:b/>
      <w:bCs/>
      <w:sz w:val="32"/>
      <w:szCs w:val="32"/>
    </w:rPr>
  </w:style>
  <w:style w:type="paragraph" w:styleId="5">
    <w:name w:val="heading 4"/>
    <w:basedOn w:val="1"/>
    <w:next w:val="1"/>
    <w:link w:val="77"/>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7"/>
    <w:link w:val="112"/>
    <w:qFormat/>
    <w:uiPriority w:val="0"/>
    <w:pPr>
      <w:keepNext/>
      <w:keepLines/>
      <w:spacing w:before="280" w:after="290" w:line="372" w:lineRule="auto"/>
      <w:outlineLvl w:val="4"/>
    </w:pPr>
    <w:rPr>
      <w:b/>
      <w:sz w:val="28"/>
    </w:rPr>
  </w:style>
  <w:style w:type="paragraph" w:styleId="8">
    <w:name w:val="heading 6"/>
    <w:basedOn w:val="1"/>
    <w:next w:val="7"/>
    <w:link w:val="116"/>
    <w:qFormat/>
    <w:uiPriority w:val="0"/>
    <w:pPr>
      <w:keepNext/>
      <w:keepLines/>
      <w:spacing w:before="240" w:after="64" w:line="317" w:lineRule="auto"/>
      <w:outlineLvl w:val="5"/>
    </w:pPr>
    <w:rPr>
      <w:rFonts w:ascii="Arial" w:hAnsi="Arial" w:eastAsia="黑体"/>
      <w:b/>
      <w:sz w:val="24"/>
    </w:rPr>
  </w:style>
  <w:style w:type="paragraph" w:styleId="9">
    <w:name w:val="heading 7"/>
    <w:basedOn w:val="1"/>
    <w:next w:val="7"/>
    <w:link w:val="73"/>
    <w:qFormat/>
    <w:uiPriority w:val="0"/>
    <w:pPr>
      <w:keepNext/>
      <w:keepLines/>
      <w:spacing w:before="240" w:after="64" w:line="317" w:lineRule="auto"/>
      <w:outlineLvl w:val="6"/>
    </w:pPr>
    <w:rPr>
      <w:b/>
      <w:sz w:val="24"/>
    </w:rPr>
  </w:style>
  <w:style w:type="paragraph" w:styleId="10">
    <w:name w:val="heading 8"/>
    <w:basedOn w:val="1"/>
    <w:next w:val="7"/>
    <w:link w:val="68"/>
    <w:qFormat/>
    <w:uiPriority w:val="0"/>
    <w:pPr>
      <w:keepNext/>
      <w:keepLines/>
      <w:spacing w:before="240" w:after="64" w:line="317" w:lineRule="auto"/>
      <w:outlineLvl w:val="7"/>
    </w:pPr>
    <w:rPr>
      <w:rFonts w:ascii="Arial" w:hAnsi="Arial" w:eastAsia="黑体"/>
      <w:sz w:val="24"/>
    </w:rPr>
  </w:style>
  <w:style w:type="paragraph" w:styleId="11">
    <w:name w:val="heading 9"/>
    <w:basedOn w:val="1"/>
    <w:next w:val="7"/>
    <w:link w:val="134"/>
    <w:qFormat/>
    <w:uiPriority w:val="0"/>
    <w:pPr>
      <w:keepNext/>
      <w:keepLines/>
      <w:spacing w:before="240" w:after="64" w:line="317" w:lineRule="auto"/>
      <w:outlineLvl w:val="8"/>
    </w:pPr>
    <w:rPr>
      <w:rFonts w:ascii="Arial" w:hAnsi="Arial" w:eastAsia="黑体"/>
    </w:rPr>
  </w:style>
  <w:style w:type="character" w:default="1" w:styleId="53">
    <w:name w:val="Default Paragraph Font"/>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2">
    <w:name w:val="List 3"/>
    <w:basedOn w:val="1"/>
    <w:qFormat/>
    <w:uiPriority w:val="0"/>
    <w:pPr>
      <w:ind w:left="100" w:leftChars="400" w:hanging="200" w:hangingChars="200"/>
    </w:pPr>
  </w:style>
  <w:style w:type="paragraph" w:styleId="13">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Document Map"/>
    <w:basedOn w:val="1"/>
    <w:link w:val="125"/>
    <w:qFormat/>
    <w:uiPriority w:val="0"/>
    <w:pPr>
      <w:shd w:val="clear" w:color="auto" w:fill="000080"/>
      <w:adjustRightInd w:val="0"/>
      <w:spacing w:line="312" w:lineRule="atLeast"/>
      <w:textAlignment w:val="baseline"/>
    </w:pPr>
    <w:rPr>
      <w:kern w:val="0"/>
      <w:szCs w:val="20"/>
    </w:rPr>
  </w:style>
  <w:style w:type="paragraph" w:styleId="17">
    <w:name w:val="annotation text"/>
    <w:basedOn w:val="1"/>
    <w:link w:val="128"/>
    <w:qFormat/>
    <w:uiPriority w:val="0"/>
    <w:pPr>
      <w:jc w:val="left"/>
    </w:pPr>
  </w:style>
  <w:style w:type="paragraph" w:styleId="18">
    <w:name w:val="Body Text 3"/>
    <w:basedOn w:val="1"/>
    <w:link w:val="62"/>
    <w:qFormat/>
    <w:uiPriority w:val="0"/>
    <w:pPr>
      <w:spacing w:line="500" w:lineRule="exact"/>
    </w:pPr>
    <w:rPr>
      <w:b/>
      <w:bCs/>
      <w:sz w:val="24"/>
    </w:rPr>
  </w:style>
  <w:style w:type="paragraph" w:styleId="19">
    <w:name w:val="Body Text"/>
    <w:basedOn w:val="1"/>
    <w:next w:val="1"/>
    <w:link w:val="130"/>
    <w:qFormat/>
    <w:uiPriority w:val="99"/>
    <w:pPr>
      <w:spacing w:line="380" w:lineRule="exact"/>
    </w:pPr>
    <w:rPr>
      <w:sz w:val="24"/>
    </w:rPr>
  </w:style>
  <w:style w:type="paragraph" w:styleId="20">
    <w:name w:val="Body Text Indent"/>
    <w:basedOn w:val="1"/>
    <w:link w:val="63"/>
    <w:qFormat/>
    <w:uiPriority w:val="99"/>
    <w:pPr>
      <w:ind w:firstLine="830" w:firstLineChars="352"/>
    </w:pPr>
    <w:rPr>
      <w:rFonts w:ascii="仿宋_GB2312" w:eastAsia="仿宋_GB2312"/>
      <w:sz w:val="32"/>
      <w:szCs w:val="20"/>
    </w:rPr>
  </w:style>
  <w:style w:type="paragraph" w:styleId="21">
    <w:name w:val="List Number 3"/>
    <w:basedOn w:val="1"/>
    <w:qFormat/>
    <w:uiPriority w:val="0"/>
    <w:pPr>
      <w:tabs>
        <w:tab w:val="left" w:pos="1200"/>
      </w:tabs>
      <w:ind w:left="1200" w:leftChars="400" w:hanging="360" w:hangingChars="20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5">
    <w:name w:val="toc 3"/>
    <w:basedOn w:val="1"/>
    <w:next w:val="1"/>
    <w:qFormat/>
    <w:uiPriority w:val="39"/>
    <w:pPr>
      <w:ind w:left="840" w:leftChars="400"/>
    </w:pPr>
  </w:style>
  <w:style w:type="paragraph" w:styleId="26">
    <w:name w:val="Plain Text"/>
    <w:basedOn w:val="1"/>
    <w:next w:val="5"/>
    <w:link w:val="129"/>
    <w:qFormat/>
    <w:uiPriority w:val="0"/>
    <w:rPr>
      <w:rFonts w:ascii="宋体" w:hAnsi="Courier New" w:cs="Courier New"/>
      <w:szCs w:val="21"/>
    </w:rPr>
  </w:style>
  <w:style w:type="paragraph" w:styleId="27">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28">
    <w:name w:val="Date"/>
    <w:basedOn w:val="1"/>
    <w:next w:val="1"/>
    <w:link w:val="67"/>
    <w:qFormat/>
    <w:uiPriority w:val="0"/>
    <w:pPr>
      <w:ind w:left="100" w:leftChars="2500"/>
    </w:pPr>
    <w:rPr>
      <w:rFonts w:ascii="宋体" w:hAnsi="Courier New"/>
      <w:szCs w:val="21"/>
    </w:rPr>
  </w:style>
  <w:style w:type="paragraph" w:styleId="29">
    <w:name w:val="Body Text Indent 2"/>
    <w:basedOn w:val="1"/>
    <w:link w:val="133"/>
    <w:qFormat/>
    <w:uiPriority w:val="0"/>
    <w:pPr>
      <w:ind w:firstLine="630"/>
    </w:pPr>
    <w:rPr>
      <w:sz w:val="32"/>
      <w:szCs w:val="20"/>
    </w:rPr>
  </w:style>
  <w:style w:type="paragraph" w:styleId="30">
    <w:name w:val="Balloon Text"/>
    <w:basedOn w:val="1"/>
    <w:link w:val="94"/>
    <w:qFormat/>
    <w:uiPriority w:val="0"/>
    <w:rPr>
      <w:sz w:val="18"/>
      <w:szCs w:val="18"/>
    </w:rPr>
  </w:style>
  <w:style w:type="paragraph" w:styleId="31">
    <w:name w:val="footer"/>
    <w:basedOn w:val="1"/>
    <w:next w:val="1"/>
    <w:link w:val="95"/>
    <w:qFormat/>
    <w:uiPriority w:val="99"/>
    <w:pPr>
      <w:tabs>
        <w:tab w:val="center" w:pos="4153"/>
        <w:tab w:val="right" w:pos="8306"/>
      </w:tabs>
      <w:snapToGrid w:val="0"/>
      <w:jc w:val="left"/>
    </w:pPr>
    <w:rPr>
      <w:sz w:val="18"/>
      <w:szCs w:val="18"/>
    </w:rPr>
  </w:style>
  <w:style w:type="paragraph" w:styleId="32">
    <w:name w:val="header"/>
    <w:basedOn w:val="1"/>
    <w:link w:val="136"/>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4">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37">
    <w:name w:val="List 5"/>
    <w:basedOn w:val="1"/>
    <w:qFormat/>
    <w:uiPriority w:val="0"/>
    <w:pPr>
      <w:ind w:left="2100" w:hanging="420"/>
    </w:pPr>
    <w:rPr>
      <w:szCs w:val="20"/>
    </w:rPr>
  </w:style>
  <w:style w:type="paragraph" w:styleId="38">
    <w:name w:val="Body Text Indent 3"/>
    <w:basedOn w:val="1"/>
    <w:link w:val="108"/>
    <w:qFormat/>
    <w:uiPriority w:val="0"/>
    <w:pPr>
      <w:spacing w:after="120"/>
      <w:ind w:left="420" w:leftChars="200"/>
    </w:pPr>
    <w:rPr>
      <w:sz w:val="16"/>
      <w:szCs w:val="16"/>
    </w:rPr>
  </w:style>
  <w:style w:type="paragraph" w:styleId="39">
    <w:name w:val="toc 2"/>
    <w:basedOn w:val="1"/>
    <w:next w:val="1"/>
    <w:qFormat/>
    <w:uiPriority w:val="39"/>
    <w:pPr>
      <w:ind w:left="420" w:leftChars="200"/>
    </w:pPr>
  </w:style>
  <w:style w:type="paragraph" w:styleId="40">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1">
    <w:name w:val="Body Text 2"/>
    <w:basedOn w:val="1"/>
    <w:link w:val="120"/>
    <w:qFormat/>
    <w:uiPriority w:val="0"/>
    <w:pPr>
      <w:spacing w:after="120" w:line="480" w:lineRule="auto"/>
    </w:pPr>
  </w:style>
  <w:style w:type="paragraph" w:styleId="42">
    <w:name w:val="List 4"/>
    <w:basedOn w:val="1"/>
    <w:qFormat/>
    <w:uiPriority w:val="0"/>
    <w:pPr>
      <w:ind w:left="100" w:leftChars="600" w:hanging="200" w:hangingChars="200"/>
    </w:pPr>
  </w:style>
  <w:style w:type="paragraph" w:styleId="43">
    <w:name w:val="List Continue 2"/>
    <w:basedOn w:val="1"/>
    <w:qFormat/>
    <w:uiPriority w:val="0"/>
    <w:pPr>
      <w:spacing w:after="120"/>
      <w:ind w:left="840" w:leftChars="400"/>
    </w:pPr>
  </w:style>
  <w:style w:type="paragraph" w:styleId="44">
    <w:name w:val="HTML Preformatted"/>
    <w:basedOn w:val="1"/>
    <w:link w:val="10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5">
    <w:name w:val="Normal (Web)"/>
    <w:basedOn w:val="1"/>
    <w:qFormat/>
    <w:uiPriority w:val="99"/>
    <w:pPr>
      <w:widowControl/>
      <w:spacing w:before="100" w:beforeAutospacing="1" w:after="100" w:afterAutospacing="1"/>
      <w:jc w:val="left"/>
    </w:pPr>
    <w:rPr>
      <w:rFonts w:ascii="宋体" w:hAnsi="宋体"/>
      <w:kern w:val="0"/>
      <w:sz w:val="24"/>
    </w:rPr>
  </w:style>
  <w:style w:type="paragraph" w:styleId="46">
    <w:name w:val="index 1"/>
    <w:basedOn w:val="1"/>
    <w:next w:val="1"/>
    <w:qFormat/>
    <w:uiPriority w:val="0"/>
    <w:pPr>
      <w:spacing w:line="400" w:lineRule="exact"/>
      <w:ind w:firstLine="420" w:firstLineChars="200"/>
    </w:pPr>
    <w:rPr>
      <w:rFonts w:ascii="宋体" w:hAnsi="Courier New"/>
      <w:b/>
      <w:szCs w:val="20"/>
    </w:rPr>
  </w:style>
  <w:style w:type="paragraph" w:styleId="47">
    <w:name w:val="Title"/>
    <w:basedOn w:val="1"/>
    <w:link w:val="101"/>
    <w:qFormat/>
    <w:uiPriority w:val="0"/>
    <w:pPr>
      <w:jc w:val="center"/>
    </w:pPr>
    <w:rPr>
      <w:sz w:val="30"/>
    </w:rPr>
  </w:style>
  <w:style w:type="paragraph" w:styleId="48">
    <w:name w:val="annotation subject"/>
    <w:basedOn w:val="17"/>
    <w:next w:val="17"/>
    <w:link w:val="84"/>
    <w:qFormat/>
    <w:uiPriority w:val="0"/>
    <w:rPr>
      <w:b/>
      <w:bCs/>
    </w:rPr>
  </w:style>
  <w:style w:type="paragraph" w:styleId="49">
    <w:name w:val="Body Text First Indent"/>
    <w:basedOn w:val="19"/>
    <w:link w:val="126"/>
    <w:qFormat/>
    <w:uiPriority w:val="0"/>
    <w:pPr>
      <w:spacing w:after="120" w:line="240" w:lineRule="auto"/>
      <w:ind w:firstLine="420" w:firstLineChars="100"/>
    </w:pPr>
    <w:rPr>
      <w:sz w:val="21"/>
    </w:rPr>
  </w:style>
  <w:style w:type="paragraph" w:styleId="50">
    <w:name w:val="Body Text First Indent 2"/>
    <w:basedOn w:val="20"/>
    <w:link w:val="79"/>
    <w:qFormat/>
    <w:uiPriority w:val="0"/>
    <w:pPr>
      <w:spacing w:after="120"/>
      <w:ind w:left="420" w:leftChars="200" w:firstLine="420" w:firstLineChars="200"/>
    </w:pPr>
    <w:rPr>
      <w:rFonts w:ascii="Times New Roman" w:eastAsia="宋体"/>
      <w:sz w:val="21"/>
      <w:szCs w:val="24"/>
    </w:rPr>
  </w:style>
  <w:style w:type="table" w:styleId="52">
    <w:name w:val="Table Grid"/>
    <w:basedOn w:val="5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qFormat/>
    <w:uiPriority w:val="99"/>
    <w:rPr>
      <w:color w:val="800080"/>
      <w:u w:val="single"/>
    </w:rPr>
  </w:style>
  <w:style w:type="character" w:styleId="57">
    <w:name w:val="Hyperlink"/>
    <w:qFormat/>
    <w:uiPriority w:val="99"/>
    <w:rPr>
      <w:color w:val="0000FF"/>
      <w:u w:val="single"/>
    </w:rPr>
  </w:style>
  <w:style w:type="character" w:styleId="58">
    <w:name w:val="annotation reference"/>
    <w:qFormat/>
    <w:uiPriority w:val="0"/>
    <w:rPr>
      <w:sz w:val="21"/>
      <w:szCs w:val="21"/>
    </w:rPr>
  </w:style>
  <w:style w:type="character" w:customStyle="1" w:styleId="59">
    <w:name w:val="标题 1 字符"/>
    <w:qFormat/>
    <w:uiPriority w:val="9"/>
    <w:rPr>
      <w:b/>
      <w:bCs/>
      <w:kern w:val="44"/>
      <w:sz w:val="44"/>
      <w:szCs w:val="44"/>
    </w:rPr>
  </w:style>
  <w:style w:type="character" w:customStyle="1" w:styleId="60">
    <w:name w:val="标题 2 字符"/>
    <w:semiHidden/>
    <w:qFormat/>
    <w:uiPriority w:val="9"/>
    <w:rPr>
      <w:rFonts w:ascii="等线 Light" w:hAnsi="等线 Light" w:eastAsia="等线 Light" w:cs="Times New Roman"/>
      <w:b/>
      <w:bCs/>
      <w:kern w:val="2"/>
      <w:sz w:val="32"/>
      <w:szCs w:val="32"/>
    </w:rPr>
  </w:style>
  <w:style w:type="character" w:customStyle="1" w:styleId="61">
    <w:name w:val="标题 3 字符1"/>
    <w:link w:val="4"/>
    <w:qFormat/>
    <w:uiPriority w:val="0"/>
    <w:rPr>
      <w:b/>
      <w:bCs/>
      <w:kern w:val="2"/>
      <w:sz w:val="32"/>
      <w:szCs w:val="32"/>
    </w:rPr>
  </w:style>
  <w:style w:type="character" w:customStyle="1" w:styleId="62">
    <w:name w:val="正文文本 3 字符1"/>
    <w:link w:val="18"/>
    <w:qFormat/>
    <w:uiPriority w:val="0"/>
    <w:rPr>
      <w:b/>
      <w:bCs/>
      <w:kern w:val="2"/>
      <w:sz w:val="24"/>
      <w:szCs w:val="24"/>
    </w:rPr>
  </w:style>
  <w:style w:type="character" w:customStyle="1" w:styleId="63">
    <w:name w:val="正文文本缩进 字符1"/>
    <w:link w:val="20"/>
    <w:qFormat/>
    <w:uiPriority w:val="99"/>
    <w:rPr>
      <w:rFonts w:ascii="仿宋_GB2312" w:eastAsia="仿宋_GB2312"/>
      <w:kern w:val="2"/>
      <w:sz w:val="32"/>
    </w:rPr>
  </w:style>
  <w:style w:type="character" w:customStyle="1" w:styleId="64">
    <w:name w:val="标题 4 字符"/>
    <w:semiHidden/>
    <w:qFormat/>
    <w:uiPriority w:val="9"/>
    <w:rPr>
      <w:rFonts w:ascii="等线 Light" w:hAnsi="等线 Light" w:eastAsia="等线 Light" w:cs="Times New Roman"/>
      <w:b/>
      <w:bCs/>
      <w:kern w:val="2"/>
      <w:sz w:val="28"/>
      <w:szCs w:val="28"/>
    </w:rPr>
  </w:style>
  <w:style w:type="character" w:customStyle="1" w:styleId="65">
    <w:name w:val="HTML 预设格式 字符"/>
    <w:semiHidden/>
    <w:qFormat/>
    <w:uiPriority w:val="99"/>
    <w:rPr>
      <w:rFonts w:ascii="Courier New" w:hAnsi="Courier New" w:cs="Courier New"/>
      <w:kern w:val="2"/>
    </w:rPr>
  </w:style>
  <w:style w:type="character" w:customStyle="1" w:styleId="66">
    <w:name w:val="graytext1"/>
    <w:qFormat/>
    <w:uiPriority w:val="0"/>
    <w:rPr>
      <w:color w:val="666666"/>
    </w:rPr>
  </w:style>
  <w:style w:type="character" w:customStyle="1" w:styleId="67">
    <w:name w:val="日期 字符1"/>
    <w:link w:val="28"/>
    <w:qFormat/>
    <w:uiPriority w:val="0"/>
    <w:rPr>
      <w:rFonts w:ascii="宋体" w:hAnsi="Courier New" w:cs="Courier New"/>
      <w:kern w:val="2"/>
      <w:sz w:val="21"/>
      <w:szCs w:val="21"/>
    </w:rPr>
  </w:style>
  <w:style w:type="character" w:customStyle="1" w:styleId="68">
    <w:name w:val="标题 8 字符1"/>
    <w:link w:val="10"/>
    <w:qFormat/>
    <w:uiPriority w:val="0"/>
    <w:rPr>
      <w:rFonts w:ascii="Arial" w:hAnsi="Arial" w:eastAsia="黑体"/>
      <w:kern w:val="2"/>
      <w:sz w:val="24"/>
      <w:szCs w:val="24"/>
    </w:rPr>
  </w:style>
  <w:style w:type="character" w:customStyle="1" w:styleId="69">
    <w:name w:val="标题 6 字符"/>
    <w:semiHidden/>
    <w:qFormat/>
    <w:uiPriority w:val="9"/>
    <w:rPr>
      <w:rFonts w:ascii="等线 Light" w:hAnsi="等线 Light" w:eastAsia="等线 Light" w:cs="Times New Roman"/>
      <w:b/>
      <w:bCs/>
      <w:kern w:val="2"/>
      <w:sz w:val="24"/>
      <w:szCs w:val="24"/>
    </w:rPr>
  </w:style>
  <w:style w:type="character" w:customStyle="1" w:styleId="70">
    <w:name w:val="white"/>
    <w:basedOn w:val="53"/>
    <w:qFormat/>
    <w:uiPriority w:val="0"/>
  </w:style>
  <w:style w:type="character" w:customStyle="1" w:styleId="71">
    <w:name w:val="text11"/>
    <w:qFormat/>
    <w:uiPriority w:val="0"/>
    <w:rPr>
      <w:rFonts w:hint="default" w:ascii="Verdana" w:hAnsi="Verdana"/>
      <w:color w:val="4E4E4E"/>
      <w:sz w:val="18"/>
      <w:szCs w:val="18"/>
    </w:rPr>
  </w:style>
  <w:style w:type="character" w:customStyle="1" w:styleId="72">
    <w:name w:val="gray12"/>
    <w:basedOn w:val="53"/>
    <w:qFormat/>
    <w:uiPriority w:val="0"/>
  </w:style>
  <w:style w:type="character" w:customStyle="1" w:styleId="73">
    <w:name w:val="标题 7 字符1"/>
    <w:link w:val="9"/>
    <w:qFormat/>
    <w:uiPriority w:val="0"/>
    <w:rPr>
      <w:b/>
      <w:kern w:val="2"/>
      <w:sz w:val="24"/>
      <w:szCs w:val="24"/>
    </w:rPr>
  </w:style>
  <w:style w:type="character" w:customStyle="1" w:styleId="74">
    <w:name w:val="font01"/>
    <w:qFormat/>
    <w:uiPriority w:val="0"/>
    <w:rPr>
      <w:rFonts w:hint="eastAsia" w:ascii="宋体" w:hAnsi="宋体" w:eastAsia="宋体"/>
      <w:color w:val="000000"/>
      <w:sz w:val="22"/>
      <w:szCs w:val="22"/>
      <w:u w:val="none"/>
    </w:rPr>
  </w:style>
  <w:style w:type="character" w:customStyle="1" w:styleId="75">
    <w:name w:val="mark8"/>
    <w:qFormat/>
    <w:uiPriority w:val="0"/>
    <w:rPr>
      <w:b/>
      <w:bCs/>
      <w:sz w:val="21"/>
      <w:szCs w:val="21"/>
    </w:rPr>
  </w:style>
  <w:style w:type="character" w:customStyle="1" w:styleId="76">
    <w:name w:val="纯文本 Char1"/>
    <w:qFormat/>
    <w:uiPriority w:val="0"/>
    <w:rPr>
      <w:rFonts w:ascii="宋体" w:hAnsi="Courier New" w:eastAsia="宋体" w:cs="Courier New"/>
      <w:kern w:val="2"/>
      <w:sz w:val="21"/>
      <w:szCs w:val="21"/>
      <w:lang w:val="en-US" w:eastAsia="zh-CN" w:bidi="ar-SA"/>
    </w:rPr>
  </w:style>
  <w:style w:type="character" w:customStyle="1" w:styleId="77">
    <w:name w:val="标题 4 字符1"/>
    <w:link w:val="5"/>
    <w:qFormat/>
    <w:uiPriority w:val="0"/>
    <w:rPr>
      <w:rFonts w:ascii="Arial" w:hAnsi="Arial" w:eastAsia="黑体"/>
      <w:sz w:val="28"/>
    </w:rPr>
  </w:style>
  <w:style w:type="character" w:customStyle="1" w:styleId="78">
    <w:name w:val="short_text1"/>
    <w:qFormat/>
    <w:uiPriority w:val="0"/>
    <w:rPr>
      <w:sz w:val="26"/>
    </w:rPr>
  </w:style>
  <w:style w:type="character" w:customStyle="1" w:styleId="79">
    <w:name w:val="正文文本首行缩进 2 字符1"/>
    <w:link w:val="50"/>
    <w:qFormat/>
    <w:uiPriority w:val="0"/>
    <w:rPr>
      <w:kern w:val="2"/>
      <w:sz w:val="21"/>
      <w:szCs w:val="24"/>
    </w:rPr>
  </w:style>
  <w:style w:type="character" w:customStyle="1" w:styleId="80">
    <w:name w:val="1ji Char"/>
    <w:link w:val="81"/>
    <w:qFormat/>
    <w:uiPriority w:val="0"/>
    <w:rPr>
      <w:rFonts w:ascii="宋体" w:hAnsi="宋体" w:eastAsia="宋体"/>
      <w:b/>
      <w:bCs/>
      <w:kern w:val="44"/>
      <w:sz w:val="36"/>
      <w:szCs w:val="44"/>
      <w:lang w:val="en-US" w:eastAsia="zh-CN" w:bidi="ar-SA"/>
    </w:rPr>
  </w:style>
  <w:style w:type="paragraph" w:customStyle="1" w:styleId="81">
    <w:name w:val="1ji"/>
    <w:basedOn w:val="2"/>
    <w:link w:val="80"/>
    <w:qFormat/>
    <w:uiPriority w:val="0"/>
    <w:pPr>
      <w:keepLines w:val="0"/>
      <w:widowControl/>
      <w:spacing w:before="0" w:after="0" w:line="240" w:lineRule="auto"/>
      <w:jc w:val="center"/>
    </w:pPr>
    <w:rPr>
      <w:rFonts w:ascii="宋体" w:hAnsi="宋体"/>
      <w:sz w:val="36"/>
    </w:rPr>
  </w:style>
  <w:style w:type="character" w:customStyle="1" w:styleId="82">
    <w:name w:val="标题 7 字符"/>
    <w:semiHidden/>
    <w:qFormat/>
    <w:uiPriority w:val="9"/>
    <w:rPr>
      <w:b/>
      <w:bCs/>
      <w:kern w:val="2"/>
      <w:sz w:val="24"/>
      <w:szCs w:val="24"/>
    </w:rPr>
  </w:style>
  <w:style w:type="character" w:customStyle="1" w:styleId="83">
    <w:name w:val="批注主题 字符"/>
    <w:semiHidden/>
    <w:qFormat/>
    <w:uiPriority w:val="99"/>
    <w:rPr>
      <w:b/>
      <w:bCs/>
      <w:kern w:val="2"/>
      <w:sz w:val="21"/>
      <w:szCs w:val="24"/>
    </w:rPr>
  </w:style>
  <w:style w:type="character" w:customStyle="1" w:styleId="84">
    <w:name w:val="批注主题 字符1"/>
    <w:link w:val="48"/>
    <w:qFormat/>
    <w:uiPriority w:val="0"/>
    <w:rPr>
      <w:b/>
      <w:bCs/>
      <w:kern w:val="2"/>
      <w:sz w:val="21"/>
      <w:szCs w:val="24"/>
    </w:rPr>
  </w:style>
  <w:style w:type="character" w:customStyle="1" w:styleId="85">
    <w:name w:val="正文文本首行缩进 字符"/>
    <w:semiHidden/>
    <w:qFormat/>
    <w:uiPriority w:val="99"/>
  </w:style>
  <w:style w:type="character" w:customStyle="1" w:styleId="86">
    <w:name w:val="f151"/>
    <w:qFormat/>
    <w:uiPriority w:val="0"/>
    <w:rPr>
      <w:sz w:val="23"/>
      <w:szCs w:val="23"/>
    </w:rPr>
  </w:style>
  <w:style w:type="character" w:customStyle="1" w:styleId="87">
    <w:name w:val="标题 5 字符"/>
    <w:semiHidden/>
    <w:qFormat/>
    <w:uiPriority w:val="9"/>
    <w:rPr>
      <w:b/>
      <w:bCs/>
      <w:kern w:val="2"/>
      <w:sz w:val="28"/>
      <w:szCs w:val="28"/>
    </w:rPr>
  </w:style>
  <w:style w:type="character" w:customStyle="1" w:styleId="88">
    <w:name w:val="content2"/>
    <w:basedOn w:val="53"/>
    <w:qFormat/>
    <w:uiPriority w:val="0"/>
  </w:style>
  <w:style w:type="character" w:customStyle="1" w:styleId="89">
    <w:name w:val="062"/>
    <w:qFormat/>
    <w:uiPriority w:val="0"/>
    <w:rPr>
      <w:rFonts w:ascii="宋体" w:hAnsi="宋体"/>
      <w:b/>
      <w:bCs/>
      <w:sz w:val="32"/>
    </w:rPr>
  </w:style>
  <w:style w:type="character" w:customStyle="1" w:styleId="90">
    <w:name w:val="正文文本缩进 字符"/>
    <w:semiHidden/>
    <w:qFormat/>
    <w:uiPriority w:val="99"/>
    <w:rPr>
      <w:kern w:val="2"/>
      <w:sz w:val="21"/>
      <w:szCs w:val="24"/>
    </w:rPr>
  </w:style>
  <w:style w:type="character" w:customStyle="1" w:styleId="91">
    <w:name w:val="small"/>
    <w:basedOn w:val="53"/>
    <w:qFormat/>
    <w:uiPriority w:val="0"/>
  </w:style>
  <w:style w:type="character" w:customStyle="1" w:styleId="92">
    <w:name w:val="页眉 字符"/>
    <w:semiHidden/>
    <w:qFormat/>
    <w:uiPriority w:val="99"/>
    <w:rPr>
      <w:kern w:val="2"/>
      <w:sz w:val="18"/>
      <w:szCs w:val="18"/>
    </w:rPr>
  </w:style>
  <w:style w:type="character" w:customStyle="1" w:styleId="93">
    <w:name w:val="标题 字符"/>
    <w:qFormat/>
    <w:uiPriority w:val="10"/>
    <w:rPr>
      <w:rFonts w:ascii="等线 Light" w:hAnsi="等线 Light" w:eastAsia="等线 Light" w:cs="Times New Roman"/>
      <w:b/>
      <w:bCs/>
      <w:kern w:val="2"/>
      <w:sz w:val="32"/>
      <w:szCs w:val="32"/>
    </w:rPr>
  </w:style>
  <w:style w:type="character" w:customStyle="1" w:styleId="94">
    <w:name w:val="批注框文本 字符1"/>
    <w:link w:val="30"/>
    <w:qFormat/>
    <w:uiPriority w:val="0"/>
    <w:rPr>
      <w:kern w:val="2"/>
      <w:sz w:val="18"/>
      <w:szCs w:val="18"/>
    </w:rPr>
  </w:style>
  <w:style w:type="character" w:customStyle="1" w:styleId="95">
    <w:name w:val="页脚 字符1"/>
    <w:link w:val="31"/>
    <w:qFormat/>
    <w:uiPriority w:val="0"/>
    <w:rPr>
      <w:kern w:val="2"/>
      <w:sz w:val="18"/>
      <w:szCs w:val="18"/>
    </w:rPr>
  </w:style>
  <w:style w:type="character" w:customStyle="1" w:styleId="96">
    <w:name w:val="批注文字 字符"/>
    <w:qFormat/>
    <w:uiPriority w:val="0"/>
    <w:rPr>
      <w:kern w:val="2"/>
      <w:sz w:val="21"/>
      <w:szCs w:val="24"/>
    </w:rPr>
  </w:style>
  <w:style w:type="character" w:customStyle="1" w:styleId="97">
    <w:name w:val="文档结构图 字符"/>
    <w:semiHidden/>
    <w:qFormat/>
    <w:uiPriority w:val="99"/>
    <w:rPr>
      <w:rFonts w:ascii="Microsoft YaHei UI" w:eastAsia="Microsoft YaHei UI"/>
      <w:kern w:val="2"/>
      <w:sz w:val="18"/>
      <w:szCs w:val="18"/>
    </w:rPr>
  </w:style>
  <w:style w:type="character" w:customStyle="1" w:styleId="98">
    <w:name w:val="z-窗体顶端 字符1"/>
    <w:link w:val="99"/>
    <w:qFormat/>
    <w:uiPriority w:val="0"/>
    <w:rPr>
      <w:rFonts w:ascii="Arial"/>
      <w:vanish/>
      <w:kern w:val="2"/>
      <w:sz w:val="16"/>
      <w:szCs w:val="24"/>
    </w:rPr>
  </w:style>
  <w:style w:type="paragraph" w:customStyle="1" w:styleId="99">
    <w:name w:val="z-窗体顶端1"/>
    <w:basedOn w:val="1"/>
    <w:next w:val="1"/>
    <w:link w:val="98"/>
    <w:qFormat/>
    <w:uiPriority w:val="0"/>
    <w:pPr>
      <w:pBdr>
        <w:bottom w:val="single" w:color="auto" w:sz="6" w:space="1"/>
      </w:pBdr>
      <w:jc w:val="center"/>
    </w:pPr>
    <w:rPr>
      <w:rFonts w:ascii="Arial"/>
      <w:vanish/>
      <w:sz w:val="16"/>
    </w:rPr>
  </w:style>
  <w:style w:type="character" w:customStyle="1" w:styleId="100">
    <w:name w:val="highlight"/>
    <w:qFormat/>
    <w:uiPriority w:val="0"/>
  </w:style>
  <w:style w:type="character" w:customStyle="1" w:styleId="101">
    <w:name w:val="标题 字符1"/>
    <w:link w:val="47"/>
    <w:qFormat/>
    <w:uiPriority w:val="0"/>
    <w:rPr>
      <w:kern w:val="2"/>
      <w:sz w:val="30"/>
      <w:szCs w:val="24"/>
    </w:rPr>
  </w:style>
  <w:style w:type="character" w:customStyle="1" w:styleId="102">
    <w:name w:val="标题 1 字符1"/>
    <w:link w:val="2"/>
    <w:qFormat/>
    <w:uiPriority w:val="9"/>
    <w:rPr>
      <w:rFonts w:eastAsia="宋体"/>
      <w:b/>
      <w:bCs/>
      <w:kern w:val="44"/>
      <w:sz w:val="44"/>
      <w:szCs w:val="44"/>
      <w:lang w:val="en-US" w:eastAsia="zh-CN" w:bidi="ar-SA"/>
    </w:rPr>
  </w:style>
  <w:style w:type="character" w:customStyle="1" w:styleId="103">
    <w:name w:val="1051"/>
    <w:qFormat/>
    <w:uiPriority w:val="0"/>
    <w:rPr>
      <w:sz w:val="21"/>
      <w:szCs w:val="21"/>
    </w:rPr>
  </w:style>
  <w:style w:type="character" w:customStyle="1" w:styleId="104">
    <w:name w:val="HTML 预设格式 字符1"/>
    <w:link w:val="44"/>
    <w:qFormat/>
    <w:uiPriority w:val="0"/>
    <w:rPr>
      <w:rFonts w:ascii="黑体" w:hAnsi="Courier New" w:eastAsia="黑体" w:cs="Courier New"/>
    </w:rPr>
  </w:style>
  <w:style w:type="character" w:customStyle="1" w:styleId="105">
    <w:name w:val="批注框文本 字符"/>
    <w:semiHidden/>
    <w:qFormat/>
    <w:uiPriority w:val="99"/>
    <w:rPr>
      <w:kern w:val="2"/>
      <w:sz w:val="18"/>
      <w:szCs w:val="18"/>
    </w:rPr>
  </w:style>
  <w:style w:type="character" w:customStyle="1" w:styleId="106">
    <w:name w:val="style21"/>
    <w:qFormat/>
    <w:uiPriority w:val="0"/>
    <w:rPr>
      <w:sz w:val="17"/>
      <w:szCs w:val="17"/>
    </w:rPr>
  </w:style>
  <w:style w:type="character" w:customStyle="1" w:styleId="107">
    <w:name w:val="正文文本 3 字符"/>
    <w:semiHidden/>
    <w:qFormat/>
    <w:uiPriority w:val="99"/>
    <w:rPr>
      <w:kern w:val="2"/>
      <w:sz w:val="16"/>
      <w:szCs w:val="16"/>
    </w:rPr>
  </w:style>
  <w:style w:type="character" w:customStyle="1" w:styleId="108">
    <w:name w:val="正文文本缩进 3 字符1"/>
    <w:link w:val="38"/>
    <w:qFormat/>
    <w:uiPriority w:val="0"/>
    <w:rPr>
      <w:kern w:val="2"/>
      <w:sz w:val="16"/>
      <w:szCs w:val="16"/>
    </w:rPr>
  </w:style>
  <w:style w:type="character" w:customStyle="1" w:styleId="109">
    <w:name w:val="unnamed3"/>
    <w:basedOn w:val="53"/>
    <w:qFormat/>
    <w:uiPriority w:val="0"/>
  </w:style>
  <w:style w:type="character" w:customStyle="1" w:styleId="110">
    <w:name w:val="fd"/>
    <w:qFormat/>
    <w:uiPriority w:val="0"/>
  </w:style>
  <w:style w:type="character" w:customStyle="1" w:styleId="111">
    <w:name w:val="标题 9 字符"/>
    <w:semiHidden/>
    <w:qFormat/>
    <w:uiPriority w:val="9"/>
    <w:rPr>
      <w:rFonts w:ascii="等线 Light" w:hAnsi="等线 Light" w:eastAsia="等线 Light" w:cs="Times New Roman"/>
      <w:kern w:val="2"/>
      <w:sz w:val="21"/>
      <w:szCs w:val="21"/>
    </w:rPr>
  </w:style>
  <w:style w:type="character" w:customStyle="1" w:styleId="112">
    <w:name w:val="标题 5 字符1"/>
    <w:link w:val="6"/>
    <w:qFormat/>
    <w:uiPriority w:val="0"/>
    <w:rPr>
      <w:b/>
      <w:kern w:val="2"/>
      <w:sz w:val="28"/>
      <w:szCs w:val="24"/>
    </w:rPr>
  </w:style>
  <w:style w:type="character" w:customStyle="1" w:styleId="113">
    <w:name w:val="标题 2 字符1"/>
    <w:link w:val="3"/>
    <w:qFormat/>
    <w:uiPriority w:val="0"/>
    <w:rPr>
      <w:rFonts w:ascii="Arial" w:hAnsi="Arial" w:eastAsia="黑体"/>
      <w:b/>
      <w:bCs/>
      <w:kern w:val="2"/>
      <w:sz w:val="32"/>
      <w:szCs w:val="32"/>
    </w:rPr>
  </w:style>
  <w:style w:type="character" w:customStyle="1" w:styleId="114">
    <w:name w:val="正文文本缩进 2 字符"/>
    <w:semiHidden/>
    <w:qFormat/>
    <w:uiPriority w:val="99"/>
    <w:rPr>
      <w:kern w:val="2"/>
      <w:sz w:val="21"/>
      <w:szCs w:val="24"/>
    </w:rPr>
  </w:style>
  <w:style w:type="character" w:customStyle="1" w:styleId="115">
    <w:name w:val="z-窗体顶端 字符"/>
    <w:semiHidden/>
    <w:qFormat/>
    <w:uiPriority w:val="99"/>
    <w:rPr>
      <w:rFonts w:ascii="Arial" w:hAnsi="Arial" w:cs="Arial"/>
      <w:vanish/>
      <w:kern w:val="2"/>
      <w:sz w:val="16"/>
      <w:szCs w:val="16"/>
    </w:rPr>
  </w:style>
  <w:style w:type="character" w:customStyle="1" w:styleId="116">
    <w:name w:val="标题 6 字符1"/>
    <w:link w:val="8"/>
    <w:qFormat/>
    <w:uiPriority w:val="0"/>
    <w:rPr>
      <w:rFonts w:ascii="Arial" w:hAnsi="Arial" w:eastAsia="黑体"/>
      <w:b/>
      <w:kern w:val="2"/>
      <w:sz w:val="24"/>
      <w:szCs w:val="24"/>
    </w:rPr>
  </w:style>
  <w:style w:type="character" w:customStyle="1" w:styleId="117">
    <w:name w:val="case31"/>
    <w:qFormat/>
    <w:uiPriority w:val="0"/>
    <w:rPr>
      <w:rFonts w:hint="default"/>
      <w:sz w:val="21"/>
      <w:szCs w:val="21"/>
    </w:rPr>
  </w:style>
  <w:style w:type="character" w:customStyle="1" w:styleId="118">
    <w:name w:val="标题3 Char"/>
    <w:link w:val="119"/>
    <w:qFormat/>
    <w:uiPriority w:val="0"/>
    <w:rPr>
      <w:rFonts w:ascii="宋体" w:hAnsi="宋体"/>
      <w:b/>
      <w:bCs/>
      <w:kern w:val="44"/>
      <w:sz w:val="24"/>
      <w:szCs w:val="24"/>
    </w:rPr>
  </w:style>
  <w:style w:type="paragraph" w:customStyle="1" w:styleId="119">
    <w:name w:val="标题3"/>
    <w:basedOn w:val="2"/>
    <w:link w:val="118"/>
    <w:qFormat/>
    <w:uiPriority w:val="0"/>
    <w:pPr>
      <w:spacing w:before="0" w:beforeLines="50" w:after="0" w:afterLines="50" w:line="400" w:lineRule="exact"/>
    </w:pPr>
    <w:rPr>
      <w:rFonts w:ascii="宋体" w:hAnsi="宋体"/>
      <w:sz w:val="24"/>
      <w:szCs w:val="24"/>
    </w:rPr>
  </w:style>
  <w:style w:type="character" w:customStyle="1" w:styleId="120">
    <w:name w:val="正文文本 2 字符1"/>
    <w:link w:val="41"/>
    <w:qFormat/>
    <w:uiPriority w:val="0"/>
    <w:rPr>
      <w:kern w:val="2"/>
      <w:sz w:val="21"/>
      <w:szCs w:val="24"/>
    </w:rPr>
  </w:style>
  <w:style w:type="character" w:customStyle="1" w:styleId="121">
    <w:name w:val="标题 3 字符"/>
    <w:semiHidden/>
    <w:qFormat/>
    <w:uiPriority w:val="9"/>
    <w:rPr>
      <w:b/>
      <w:bCs/>
      <w:kern w:val="2"/>
      <w:sz w:val="32"/>
      <w:szCs w:val="32"/>
    </w:rPr>
  </w:style>
  <w:style w:type="character" w:customStyle="1" w:styleId="122">
    <w:name w:val="正文文本 2 字符"/>
    <w:semiHidden/>
    <w:qFormat/>
    <w:uiPriority w:val="99"/>
    <w:rPr>
      <w:kern w:val="2"/>
      <w:sz w:val="21"/>
      <w:szCs w:val="24"/>
    </w:rPr>
  </w:style>
  <w:style w:type="character" w:customStyle="1" w:styleId="123">
    <w:name w:val="页脚 字符"/>
    <w:qFormat/>
    <w:uiPriority w:val="99"/>
    <w:rPr>
      <w:kern w:val="2"/>
      <w:sz w:val="18"/>
      <w:szCs w:val="18"/>
    </w:rPr>
  </w:style>
  <w:style w:type="character" w:customStyle="1" w:styleId="124">
    <w:name w:val="正文文本首行缩进 2 字符"/>
    <w:semiHidden/>
    <w:qFormat/>
    <w:uiPriority w:val="99"/>
  </w:style>
  <w:style w:type="character" w:customStyle="1" w:styleId="125">
    <w:name w:val="文档结构图 字符1"/>
    <w:link w:val="16"/>
    <w:qFormat/>
    <w:uiPriority w:val="0"/>
    <w:rPr>
      <w:sz w:val="21"/>
      <w:shd w:val="clear" w:color="auto" w:fill="000080"/>
    </w:rPr>
  </w:style>
  <w:style w:type="character" w:customStyle="1" w:styleId="126">
    <w:name w:val="正文文本首行缩进 字符1"/>
    <w:link w:val="49"/>
    <w:qFormat/>
    <w:uiPriority w:val="0"/>
    <w:rPr>
      <w:kern w:val="2"/>
      <w:sz w:val="21"/>
      <w:szCs w:val="24"/>
    </w:rPr>
  </w:style>
  <w:style w:type="character" w:customStyle="1" w:styleId="127">
    <w:name w:val="apple-converted-space"/>
    <w:qFormat/>
    <w:uiPriority w:val="0"/>
  </w:style>
  <w:style w:type="character" w:customStyle="1" w:styleId="128">
    <w:name w:val="批注文字 字符1"/>
    <w:link w:val="17"/>
    <w:qFormat/>
    <w:uiPriority w:val="0"/>
    <w:rPr>
      <w:kern w:val="2"/>
      <w:sz w:val="21"/>
      <w:szCs w:val="24"/>
    </w:rPr>
  </w:style>
  <w:style w:type="character" w:customStyle="1" w:styleId="129">
    <w:name w:val="纯文本 字符1"/>
    <w:link w:val="26"/>
    <w:qFormat/>
    <w:uiPriority w:val="0"/>
    <w:rPr>
      <w:rFonts w:ascii="宋体" w:hAnsi="Courier New" w:eastAsia="宋体" w:cs="Courier New"/>
      <w:kern w:val="2"/>
      <w:sz w:val="21"/>
      <w:szCs w:val="21"/>
      <w:lang w:val="en-US" w:eastAsia="zh-CN" w:bidi="ar-SA"/>
    </w:rPr>
  </w:style>
  <w:style w:type="character" w:customStyle="1" w:styleId="130">
    <w:name w:val="正文文本 字符1"/>
    <w:link w:val="19"/>
    <w:qFormat/>
    <w:uiPriority w:val="99"/>
    <w:rPr>
      <w:kern w:val="2"/>
      <w:sz w:val="24"/>
      <w:szCs w:val="24"/>
    </w:rPr>
  </w:style>
  <w:style w:type="character" w:customStyle="1" w:styleId="131">
    <w:name w:val="日期 字符"/>
    <w:semiHidden/>
    <w:qFormat/>
    <w:uiPriority w:val="99"/>
    <w:rPr>
      <w:kern w:val="2"/>
      <w:sz w:val="21"/>
      <w:szCs w:val="24"/>
    </w:rPr>
  </w:style>
  <w:style w:type="character" w:customStyle="1" w:styleId="132">
    <w:name w:val="纯文本 字符"/>
    <w:qFormat/>
    <w:uiPriority w:val="0"/>
    <w:rPr>
      <w:rFonts w:ascii="等线" w:hAnsi="Courier New" w:eastAsia="等线" w:cs="Courier New"/>
      <w:kern w:val="2"/>
      <w:sz w:val="21"/>
      <w:szCs w:val="24"/>
    </w:rPr>
  </w:style>
  <w:style w:type="character" w:customStyle="1" w:styleId="133">
    <w:name w:val="正文文本缩进 2 字符1"/>
    <w:link w:val="29"/>
    <w:qFormat/>
    <w:uiPriority w:val="0"/>
    <w:rPr>
      <w:kern w:val="2"/>
      <w:sz w:val="32"/>
    </w:rPr>
  </w:style>
  <w:style w:type="character" w:customStyle="1" w:styleId="134">
    <w:name w:val="标题 9 字符1"/>
    <w:link w:val="11"/>
    <w:qFormat/>
    <w:uiPriority w:val="0"/>
    <w:rPr>
      <w:rFonts w:ascii="Arial" w:hAnsi="Arial" w:eastAsia="黑体"/>
      <w:kern w:val="2"/>
      <w:sz w:val="21"/>
      <w:szCs w:val="24"/>
    </w:rPr>
  </w:style>
  <w:style w:type="character" w:customStyle="1" w:styleId="135">
    <w:name w:val="style11"/>
    <w:qFormat/>
    <w:uiPriority w:val="0"/>
    <w:rPr>
      <w:rFonts w:hint="default" w:ascii="Arial" w:hAnsi="Arial" w:cs="Arial"/>
    </w:rPr>
  </w:style>
  <w:style w:type="character" w:customStyle="1" w:styleId="136">
    <w:name w:val="页眉 字符1"/>
    <w:link w:val="32"/>
    <w:qFormat/>
    <w:uiPriority w:val="99"/>
    <w:rPr>
      <w:kern w:val="2"/>
      <w:sz w:val="18"/>
      <w:szCs w:val="18"/>
    </w:rPr>
  </w:style>
  <w:style w:type="character" w:customStyle="1" w:styleId="137">
    <w:name w:val="标题 8 字符"/>
    <w:semiHidden/>
    <w:qFormat/>
    <w:uiPriority w:val="9"/>
    <w:rPr>
      <w:rFonts w:ascii="等线 Light" w:hAnsi="等线 Light" w:eastAsia="等线 Light" w:cs="Times New Roman"/>
      <w:kern w:val="2"/>
      <w:sz w:val="24"/>
      <w:szCs w:val="24"/>
    </w:rPr>
  </w:style>
  <w:style w:type="character" w:customStyle="1" w:styleId="138">
    <w:name w:val="正文文本缩进 3 字符"/>
    <w:semiHidden/>
    <w:qFormat/>
    <w:uiPriority w:val="99"/>
    <w:rPr>
      <w:kern w:val="2"/>
      <w:sz w:val="16"/>
      <w:szCs w:val="16"/>
    </w:rPr>
  </w:style>
  <w:style w:type="character" w:customStyle="1" w:styleId="139">
    <w:name w:val="正文文本 字符"/>
    <w:semiHidden/>
    <w:qFormat/>
    <w:uiPriority w:val="99"/>
    <w:rPr>
      <w:kern w:val="2"/>
      <w:sz w:val="21"/>
      <w:szCs w:val="24"/>
    </w:rPr>
  </w:style>
  <w:style w:type="paragraph" w:customStyle="1" w:styleId="140">
    <w:name w:val="Char Char Char Char Char Char Char"/>
    <w:basedOn w:val="1"/>
    <w:qFormat/>
    <w:uiPriority w:val="0"/>
  </w:style>
  <w:style w:type="paragraph" w:customStyle="1" w:styleId="141">
    <w:name w:val="缺省文本"/>
    <w:basedOn w:val="1"/>
    <w:qFormat/>
    <w:uiPriority w:val="0"/>
    <w:pPr>
      <w:autoSpaceDE w:val="0"/>
      <w:autoSpaceDN w:val="0"/>
      <w:adjustRightInd w:val="0"/>
      <w:spacing w:line="360" w:lineRule="auto"/>
      <w:jc w:val="left"/>
    </w:pPr>
    <w:rPr>
      <w:kern w:val="0"/>
      <w:sz w:val="24"/>
      <w:szCs w:val="20"/>
    </w:rPr>
  </w:style>
  <w:style w:type="paragraph" w:customStyle="1" w:styleId="142">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43">
    <w:name w:val="paragraphindent"/>
    <w:basedOn w:val="1"/>
    <w:qFormat/>
    <w:uiPriority w:val="0"/>
    <w:pPr>
      <w:widowControl/>
      <w:spacing w:before="100" w:beforeAutospacing="1" w:after="100" w:afterAutospacing="1"/>
      <w:jc w:val="left"/>
    </w:pPr>
    <w:rPr>
      <w:rFonts w:ascii="宋体" w:hAnsi="宋体" w:cs="宋体"/>
      <w:kern w:val="0"/>
      <w:sz w:val="24"/>
    </w:rPr>
  </w:style>
  <w:style w:type="paragraph" w:customStyle="1" w:styleId="144">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45">
    <w:name w:val="Char Char Char"/>
    <w:basedOn w:val="16"/>
    <w:qFormat/>
    <w:uiPriority w:val="0"/>
    <w:pPr>
      <w:adjustRightInd/>
      <w:spacing w:line="240" w:lineRule="auto"/>
      <w:textAlignment w:val="auto"/>
    </w:pPr>
    <w:rPr>
      <w:rFonts w:ascii="Tahoma" w:hAnsi="Tahoma"/>
      <w:kern w:val="2"/>
      <w:sz w:val="24"/>
      <w:szCs w:val="24"/>
    </w:rPr>
  </w:style>
  <w:style w:type="paragraph" w:customStyle="1" w:styleId="146">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47">
    <w:name w:val="_Style 109"/>
    <w:basedOn w:val="1"/>
    <w:next w:val="148"/>
    <w:qFormat/>
    <w:uiPriority w:val="34"/>
    <w:pPr>
      <w:ind w:firstLine="420" w:firstLineChars="200"/>
    </w:pPr>
    <w:rPr>
      <w:rFonts w:ascii="Calibri" w:hAnsi="Calibri"/>
      <w:szCs w:val="22"/>
    </w:rPr>
  </w:style>
  <w:style w:type="paragraph" w:styleId="148">
    <w:name w:val="List Paragraph"/>
    <w:basedOn w:val="1"/>
    <w:qFormat/>
    <w:uiPriority w:val="34"/>
    <w:pPr>
      <w:ind w:firstLine="420" w:firstLineChars="200"/>
    </w:pPr>
    <w:rPr>
      <w:rFonts w:ascii="Calibri" w:hAnsi="Calibri"/>
      <w:szCs w:val="22"/>
    </w:rPr>
  </w:style>
  <w:style w:type="paragraph" w:customStyle="1" w:styleId="149">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50">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151">
    <w:name w:val="2-2ji"/>
    <w:basedOn w:val="3"/>
    <w:qFormat/>
    <w:uiPriority w:val="0"/>
    <w:pPr>
      <w:adjustRightInd w:val="0"/>
      <w:spacing w:before="0" w:after="0" w:line="360" w:lineRule="auto"/>
      <w:jc w:val="center"/>
      <w:textAlignment w:val="baseline"/>
    </w:pPr>
    <w:rPr>
      <w:rFonts w:ascii="宋体" w:hAnsi="宋体" w:eastAsia="宋体"/>
      <w:bCs w:val="0"/>
      <w:kern w:val="0"/>
      <w:sz w:val="36"/>
    </w:rPr>
  </w:style>
  <w:style w:type="paragraph" w:customStyle="1" w:styleId="152">
    <w:name w:val="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53">
    <w:name w:val="Char Char Char Char Char Char Char1"/>
    <w:basedOn w:val="1"/>
    <w:qFormat/>
    <w:uiPriority w:val="0"/>
  </w:style>
  <w:style w:type="paragraph" w:customStyle="1" w:styleId="154">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55">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56">
    <w:name w:val="tgt1"/>
    <w:basedOn w:val="1"/>
    <w:qFormat/>
    <w:uiPriority w:val="0"/>
    <w:pPr>
      <w:widowControl/>
      <w:spacing w:after="150"/>
      <w:jc w:val="left"/>
    </w:pPr>
    <w:rPr>
      <w:rFonts w:ascii="宋体" w:hAnsi="宋体" w:cs="宋体"/>
      <w:kern w:val="0"/>
      <w:sz w:val="24"/>
    </w:rPr>
  </w:style>
  <w:style w:type="paragraph" w:customStyle="1" w:styleId="157">
    <w:name w:val="444"/>
    <w:basedOn w:val="1"/>
    <w:qFormat/>
    <w:uiPriority w:val="0"/>
    <w:pPr>
      <w:adjustRightInd w:val="0"/>
      <w:spacing w:line="312" w:lineRule="atLeast"/>
      <w:jc w:val="center"/>
      <w:textAlignment w:val="baseline"/>
    </w:pPr>
    <w:rPr>
      <w:b/>
      <w:kern w:val="0"/>
      <w:sz w:val="36"/>
      <w:szCs w:val="36"/>
    </w:rPr>
  </w:style>
  <w:style w:type="paragraph" w:customStyle="1" w:styleId="158">
    <w:name w:val="表格"/>
    <w:basedOn w:val="1"/>
    <w:qFormat/>
    <w:uiPriority w:val="0"/>
    <w:pPr>
      <w:spacing w:line="400" w:lineRule="exact"/>
    </w:pPr>
    <w:rPr>
      <w:sz w:val="24"/>
    </w:rPr>
  </w:style>
  <w:style w:type="paragraph" w:customStyle="1" w:styleId="159">
    <w:name w:val="F2"/>
    <w:basedOn w:val="1"/>
    <w:qFormat/>
    <w:uiPriority w:val="0"/>
    <w:pPr>
      <w:autoSpaceDE w:val="0"/>
      <w:autoSpaceDN w:val="0"/>
      <w:adjustRightInd w:val="0"/>
      <w:ind w:firstLine="601"/>
      <w:textAlignment w:val="baseline"/>
    </w:pPr>
    <w:rPr>
      <w:kern w:val="0"/>
      <w:sz w:val="24"/>
      <w:szCs w:val="20"/>
    </w:rPr>
  </w:style>
  <w:style w:type="paragraph" w:customStyle="1" w:styleId="160">
    <w:name w:val="2ji"/>
    <w:basedOn w:val="3"/>
    <w:qFormat/>
    <w:uiPriority w:val="0"/>
    <w:pPr>
      <w:adjustRightInd w:val="0"/>
      <w:spacing w:before="0" w:after="0" w:line="360" w:lineRule="auto"/>
      <w:textAlignment w:val="baseline"/>
    </w:pPr>
    <w:rPr>
      <w:rFonts w:ascii="宋体" w:hAnsi="宋体" w:eastAsia="宋体"/>
      <w:kern w:val="0"/>
      <w:sz w:val="21"/>
      <w:szCs w:val="21"/>
    </w:rPr>
  </w:style>
  <w:style w:type="paragraph" w:customStyle="1" w:styleId="161">
    <w:name w:val="Char Char Char1"/>
    <w:basedOn w:val="16"/>
    <w:qFormat/>
    <w:uiPriority w:val="0"/>
    <w:pPr>
      <w:adjustRightInd/>
      <w:spacing w:line="240" w:lineRule="auto"/>
      <w:textAlignment w:val="auto"/>
    </w:pPr>
    <w:rPr>
      <w:rFonts w:ascii="Tahoma" w:hAnsi="Tahoma"/>
      <w:kern w:val="2"/>
      <w:sz w:val="24"/>
      <w:szCs w:val="24"/>
    </w:rPr>
  </w:style>
  <w:style w:type="paragraph" w:customStyle="1" w:styleId="162">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63">
    <w:name w:val="Char21"/>
    <w:basedOn w:val="1"/>
    <w:qFormat/>
    <w:uiPriority w:val="0"/>
    <w:pPr>
      <w:widowControl/>
      <w:spacing w:after="160" w:line="240" w:lineRule="exact"/>
      <w:jc w:val="left"/>
    </w:pPr>
    <w:rPr>
      <w:rFonts w:ascii="Verdana" w:hAnsi="Verdana"/>
      <w:kern w:val="0"/>
      <w:szCs w:val="20"/>
      <w:lang w:eastAsia="en-US"/>
    </w:rPr>
  </w:style>
  <w:style w:type="paragraph" w:customStyle="1" w:styleId="164">
    <w:name w:val="次小点说明 Char"/>
    <w:basedOn w:val="7"/>
    <w:qFormat/>
    <w:uiPriority w:val="0"/>
    <w:pPr>
      <w:ind w:firstLine="0"/>
    </w:pPr>
    <w:rPr>
      <w:sz w:val="24"/>
      <w:szCs w:val="24"/>
    </w:rPr>
  </w:style>
  <w:style w:type="paragraph" w:customStyle="1" w:styleId="165">
    <w:name w:val="Char3"/>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66">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kern w:val="0"/>
      <w:szCs w:val="21"/>
    </w:rPr>
  </w:style>
  <w:style w:type="paragraph" w:customStyle="1" w:styleId="167">
    <w:name w:val="Char Char Char Char Char Char Char Char Char Char Char Char Char"/>
    <w:basedOn w:val="16"/>
    <w:qFormat/>
    <w:uiPriority w:val="0"/>
    <w:pPr>
      <w:adjustRightInd/>
      <w:spacing w:line="240" w:lineRule="auto"/>
      <w:textAlignment w:val="auto"/>
    </w:pPr>
    <w:rPr>
      <w:rFonts w:ascii="Tahoma" w:hAnsi="Tahoma"/>
      <w:kern w:val="2"/>
      <w:sz w:val="24"/>
      <w:szCs w:val="24"/>
    </w:rPr>
  </w:style>
  <w:style w:type="paragraph" w:customStyle="1" w:styleId="168">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169">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170">
    <w:name w:val="样式1"/>
    <w:basedOn w:val="1"/>
    <w:qFormat/>
    <w:uiPriority w:val="0"/>
    <w:pPr>
      <w:spacing w:before="120" w:after="120" w:line="300" w:lineRule="auto"/>
    </w:pPr>
    <w:rPr>
      <w:rFonts w:ascii="宋体" w:hAnsi="宋体"/>
      <w:b/>
      <w:sz w:val="24"/>
      <w:szCs w:val="20"/>
    </w:rPr>
  </w:style>
  <w:style w:type="paragraph" w:customStyle="1" w:styleId="171">
    <w:name w:val="Char Char Char Char Char Char Char Char Char Char Char Char Char1"/>
    <w:basedOn w:val="16"/>
    <w:qFormat/>
    <w:uiPriority w:val="0"/>
    <w:pPr>
      <w:adjustRightInd/>
      <w:spacing w:line="240" w:lineRule="auto"/>
      <w:textAlignment w:val="auto"/>
    </w:pPr>
    <w:rPr>
      <w:rFonts w:ascii="Tahoma" w:hAnsi="Tahoma"/>
      <w:kern w:val="2"/>
      <w:sz w:val="24"/>
      <w:szCs w:val="24"/>
    </w:rPr>
  </w:style>
  <w:style w:type="paragraph" w:customStyle="1" w:styleId="172">
    <w:name w:val="默认段落字体 Para Char"/>
    <w:basedOn w:val="1"/>
    <w:qFormat/>
    <w:uiPriority w:val="0"/>
    <w:pPr>
      <w:adjustRightInd w:val="0"/>
      <w:spacing w:line="360" w:lineRule="auto"/>
    </w:pPr>
    <w:rPr>
      <w:kern w:val="0"/>
      <w:sz w:val="24"/>
      <w:szCs w:val="20"/>
    </w:rPr>
  </w:style>
  <w:style w:type="paragraph" w:customStyle="1" w:styleId="173">
    <w:name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4">
    <w:name w:val="a9"/>
    <w:basedOn w:val="1"/>
    <w:qFormat/>
    <w:uiPriority w:val="0"/>
    <w:pPr>
      <w:widowControl/>
      <w:spacing w:before="100" w:beforeAutospacing="1" w:after="100" w:afterAutospacing="1"/>
      <w:jc w:val="left"/>
    </w:pPr>
    <w:rPr>
      <w:rFonts w:ascii="宋体" w:hAnsi="宋体" w:cs="宋体"/>
      <w:kern w:val="0"/>
      <w:sz w:val="24"/>
    </w:rPr>
  </w:style>
  <w:style w:type="paragraph" w:customStyle="1" w:styleId="175">
    <w:name w:val="xl2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176">
    <w:name w:val="Char4"/>
    <w:basedOn w:val="1"/>
    <w:qFormat/>
    <w:uiPriority w:val="0"/>
    <w:pPr>
      <w:tabs>
        <w:tab w:val="left" w:pos="360"/>
      </w:tabs>
      <w:ind w:left="252" w:hanging="252" w:hangingChars="140"/>
    </w:pPr>
    <w:rPr>
      <w:rFonts w:ascii="宋体"/>
      <w:sz w:val="18"/>
      <w:szCs w:val="18"/>
    </w:rPr>
  </w:style>
  <w:style w:type="paragraph" w:customStyle="1" w:styleId="177">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7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79">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8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81">
    <w:name w:val="正文首行缩进两字符"/>
    <w:basedOn w:val="1"/>
    <w:qFormat/>
    <w:uiPriority w:val="0"/>
    <w:pPr>
      <w:spacing w:line="360" w:lineRule="auto"/>
      <w:ind w:firstLine="200" w:firstLineChars="200"/>
    </w:pPr>
  </w:style>
  <w:style w:type="paragraph" w:customStyle="1" w:styleId="182">
    <w:name w:val="正文段"/>
    <w:basedOn w:val="1"/>
    <w:qFormat/>
    <w:uiPriority w:val="0"/>
    <w:pPr>
      <w:widowControl/>
      <w:snapToGrid w:val="0"/>
      <w:spacing w:after="156" w:afterLines="50"/>
      <w:ind w:firstLine="200" w:firstLineChars="200"/>
    </w:pPr>
    <w:rPr>
      <w:kern w:val="0"/>
      <w:sz w:val="24"/>
      <w:szCs w:val="20"/>
    </w:rPr>
  </w:style>
  <w:style w:type="paragraph" w:customStyle="1" w:styleId="183">
    <w:name w:val="默认段落字体 Para Char Char Char Char Char Char Char Char Char1 Char Char Char Char"/>
    <w:basedOn w:val="1"/>
    <w:qFormat/>
    <w:uiPriority w:val="0"/>
    <w:rPr>
      <w:rFonts w:ascii="Tahoma" w:hAnsi="Tahoma"/>
      <w:sz w:val="24"/>
      <w:szCs w:val="20"/>
    </w:rPr>
  </w:style>
  <w:style w:type="paragraph" w:customStyle="1" w:styleId="184">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85">
    <w:name w:val="1"/>
    <w:basedOn w:val="1"/>
    <w:next w:val="26"/>
    <w:qFormat/>
    <w:uiPriority w:val="0"/>
    <w:rPr>
      <w:rFonts w:ascii="宋体" w:hAnsi="Courier New"/>
      <w:szCs w:val="20"/>
    </w:rPr>
  </w:style>
  <w:style w:type="paragraph" w:customStyle="1" w:styleId="186">
    <w:name w:val="Char1"/>
    <w:basedOn w:val="1"/>
    <w:qFormat/>
    <w:uiPriority w:val="0"/>
    <w:rPr>
      <w:szCs w:val="21"/>
    </w:rPr>
  </w:style>
  <w:style w:type="paragraph" w:customStyle="1" w:styleId="187">
    <w:name w:val="五号正文（标准）"/>
    <w:basedOn w:val="1"/>
    <w:qFormat/>
    <w:uiPriority w:val="0"/>
    <w:pPr>
      <w:spacing w:line="360" w:lineRule="auto"/>
      <w:ind w:right="55" w:firstLine="560" w:firstLineChars="200"/>
    </w:pPr>
    <w:rPr>
      <w:rFonts w:eastAsia="仿宋_GB2312"/>
      <w:sz w:val="28"/>
      <w:szCs w:val="20"/>
    </w:rPr>
  </w:style>
  <w:style w:type="paragraph" w:customStyle="1" w:styleId="188">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89">
    <w:name w:val="Char Char Char2"/>
    <w:basedOn w:val="1"/>
    <w:qFormat/>
    <w:uiPriority w:val="0"/>
    <w:rPr>
      <w:rFonts w:ascii="Tahoma" w:hAnsi="Tahoma"/>
      <w:sz w:val="24"/>
      <w:szCs w:val="20"/>
    </w:rPr>
  </w:style>
  <w:style w:type="paragraph" w:customStyle="1" w:styleId="190">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91">
    <w:name w:val="List Paragraph1"/>
    <w:basedOn w:val="1"/>
    <w:qFormat/>
    <w:uiPriority w:val="0"/>
    <w:pPr>
      <w:ind w:firstLine="420" w:firstLineChars="200"/>
    </w:pPr>
    <w:rPr>
      <w:rFonts w:ascii="Calibri" w:hAnsi="Calibri"/>
      <w:szCs w:val="22"/>
    </w:rPr>
  </w:style>
  <w:style w:type="paragraph" w:customStyle="1" w:styleId="192">
    <w:name w:val="样式 首行缩进:  2 字符"/>
    <w:basedOn w:val="1"/>
    <w:qFormat/>
    <w:uiPriority w:val="0"/>
    <w:pPr>
      <w:spacing w:line="400" w:lineRule="exact"/>
      <w:ind w:firstLine="200" w:firstLineChars="200"/>
    </w:pPr>
    <w:rPr>
      <w:rFonts w:cs="宋体"/>
      <w:sz w:val="24"/>
    </w:rPr>
  </w:style>
  <w:style w:type="paragraph" w:customStyle="1" w:styleId="193">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94">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95">
    <w:name w:val="Char Char Char Char Char Char1 Char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96">
    <w:name w:val="修订1"/>
    <w:unhideWhenUsed/>
    <w:qFormat/>
    <w:uiPriority w:val="99"/>
    <w:rPr>
      <w:rFonts w:ascii="Times New Roman" w:hAnsi="Times New Roman" w:eastAsia="宋体" w:cs="Times New Roman"/>
      <w:kern w:val="2"/>
      <w:sz w:val="21"/>
      <w:szCs w:val="24"/>
      <w:lang w:val="en-US" w:eastAsia="zh-CN" w:bidi="ar-SA"/>
    </w:rPr>
  </w:style>
  <w:style w:type="character" w:customStyle="1" w:styleId="197">
    <w:name w:val="未处理的提及1"/>
    <w:semiHidden/>
    <w:unhideWhenUsed/>
    <w:qFormat/>
    <w:uiPriority w:val="99"/>
    <w:rPr>
      <w:color w:val="605E5C"/>
      <w:shd w:val="clear" w:color="auto" w:fill="E1DFDD"/>
    </w:rPr>
  </w:style>
  <w:style w:type="character" w:customStyle="1" w:styleId="198">
    <w:name w:val="批注文字 Char"/>
    <w:qFormat/>
    <w:uiPriority w:val="0"/>
    <w:rPr>
      <w:kern w:val="2"/>
      <w:sz w:val="21"/>
      <w:szCs w:val="24"/>
    </w:rPr>
  </w:style>
  <w:style w:type="character" w:styleId="199">
    <w:name w:val="Placeholder Text"/>
    <w:basedOn w:val="53"/>
    <w:unhideWhenUsed/>
    <w:qFormat/>
    <w:uiPriority w:val="99"/>
    <w:rPr>
      <w:color w:val="808080"/>
    </w:rPr>
  </w:style>
  <w:style w:type="paragraph" w:customStyle="1" w:styleId="200">
    <w:name w:val="正文-2字符首行缩进"/>
    <w:basedOn w:val="1"/>
    <w:link w:val="201"/>
    <w:qFormat/>
    <w:uiPriority w:val="0"/>
    <w:pPr>
      <w:widowControl/>
      <w:spacing w:line="360" w:lineRule="auto"/>
      <w:ind w:firstLine="200" w:firstLineChars="200"/>
    </w:pPr>
    <w:rPr>
      <w:rFonts w:ascii="仿宋_GB2312" w:hAnsi="Calibri" w:eastAsia="仿宋_GB2312"/>
      <w:kern w:val="0"/>
      <w:sz w:val="28"/>
      <w:szCs w:val="22"/>
    </w:rPr>
  </w:style>
  <w:style w:type="character" w:customStyle="1" w:styleId="201">
    <w:name w:val="正文-2字符首行缩进 Char"/>
    <w:link w:val="200"/>
    <w:qFormat/>
    <w:uiPriority w:val="0"/>
    <w:rPr>
      <w:rFonts w:ascii="仿宋_GB2312" w:hAnsi="Calibri" w:eastAsia="仿宋_GB2312"/>
      <w:sz w:val="28"/>
      <w:szCs w:val="22"/>
    </w:rPr>
  </w:style>
  <w:style w:type="paragraph" w:customStyle="1" w:styleId="202">
    <w:name w:val="列出段落1"/>
    <w:basedOn w:val="1"/>
    <w:qFormat/>
    <w:uiPriority w:val="99"/>
    <w:pPr>
      <w:ind w:firstLine="420" w:firstLineChars="200"/>
    </w:pPr>
    <w:rPr>
      <w:rFonts w:asciiTheme="minorHAnsi" w:hAnsiTheme="minorHAnsi" w:eastAsiaTheme="minorEastAsia" w:cstheme="minorBidi"/>
    </w:rPr>
  </w:style>
  <w:style w:type="character" w:customStyle="1" w:styleId="203">
    <w:name w:val="未处理的提及2"/>
    <w:basedOn w:val="53"/>
    <w:semiHidden/>
    <w:unhideWhenUsed/>
    <w:qFormat/>
    <w:uiPriority w:val="99"/>
    <w:rPr>
      <w:color w:val="605E5C"/>
      <w:shd w:val="clear" w:color="auto" w:fill="E1DFDD"/>
    </w:rPr>
  </w:style>
  <w:style w:type="character" w:customStyle="1" w:styleId="204">
    <w:name w:val="标题 2 Char"/>
    <w:qFormat/>
    <w:uiPriority w:val="0"/>
    <w:rPr>
      <w:rFonts w:ascii="Arial" w:hAnsi="Arial" w:eastAsia="黑体"/>
      <w:b/>
      <w:bCs/>
      <w:kern w:val="2"/>
      <w:sz w:val="32"/>
      <w:szCs w:val="32"/>
    </w:rPr>
  </w:style>
  <w:style w:type="character" w:customStyle="1" w:styleId="205">
    <w:name w:val="15"/>
    <w:basedOn w:val="53"/>
    <w:qFormat/>
    <w:uiPriority w:val="0"/>
    <w:rPr>
      <w:rFonts w:hint="eastAsia" w:ascii="宋体" w:hAnsi="宋体" w:eastAsia="宋体"/>
      <w:color w:val="000000"/>
      <w:spacing w:val="0"/>
      <w:sz w:val="22"/>
      <w:szCs w:val="22"/>
    </w:rPr>
  </w:style>
  <w:style w:type="character" w:customStyle="1" w:styleId="206">
    <w:name w:val="批注文字 字符2"/>
    <w:qFormat/>
    <w:uiPriority w:val="0"/>
    <w:rPr>
      <w:kern w:val="2"/>
      <w:sz w:val="21"/>
      <w:szCs w:val="24"/>
    </w:rPr>
  </w:style>
  <w:style w:type="paragraph" w:customStyle="1" w:styleId="207">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208">
    <w:name w:val="未处理的提及3"/>
    <w:basedOn w:val="53"/>
    <w:semiHidden/>
    <w:unhideWhenUsed/>
    <w:qFormat/>
    <w:uiPriority w:val="99"/>
    <w:rPr>
      <w:color w:val="605E5C"/>
      <w:shd w:val="clear" w:color="auto" w:fill="E1DFDD"/>
    </w:rPr>
  </w:style>
  <w:style w:type="paragraph" w:customStyle="1" w:styleId="209">
    <w:name w:val="修订2"/>
    <w:hidden/>
    <w:unhideWhenUsed/>
    <w:qFormat/>
    <w:uiPriority w:val="99"/>
    <w:rPr>
      <w:rFonts w:ascii="Times New Roman" w:hAnsi="Times New Roman" w:eastAsia="宋体" w:cs="Times New Roman"/>
      <w:kern w:val="2"/>
      <w:sz w:val="21"/>
      <w:szCs w:val="24"/>
      <w:lang w:val="en-US" w:eastAsia="zh-CN" w:bidi="ar-SA"/>
    </w:rPr>
  </w:style>
  <w:style w:type="character" w:customStyle="1" w:styleId="210">
    <w:name w:val="未处理的提及4"/>
    <w:basedOn w:val="53"/>
    <w:semiHidden/>
    <w:unhideWhenUsed/>
    <w:qFormat/>
    <w:uiPriority w:val="99"/>
    <w:rPr>
      <w:color w:val="605E5C"/>
      <w:shd w:val="clear" w:color="auto" w:fill="E1DFDD"/>
    </w:rPr>
  </w:style>
  <w:style w:type="paragraph" w:customStyle="1" w:styleId="211">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212">
    <w:name w:val="表格文字"/>
    <w:basedOn w:val="1"/>
    <w:next w:val="19"/>
    <w:qFormat/>
    <w:uiPriority w:val="0"/>
    <w:pPr>
      <w:spacing w:before="25" w:after="25"/>
      <w:jc w:val="left"/>
    </w:pPr>
    <w:rPr>
      <w:bCs/>
      <w:spacing w:val="10"/>
      <w:kern w:val="0"/>
      <w:sz w:val="24"/>
    </w:rPr>
  </w:style>
  <w:style w:type="paragraph" w:customStyle="1" w:styleId="213">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214">
    <w:name w:val="修订5"/>
    <w:hidden/>
    <w:unhideWhenUsed/>
    <w:qFormat/>
    <w:uiPriority w:val="99"/>
    <w:rPr>
      <w:rFonts w:ascii="Times New Roman" w:hAnsi="Times New Roman" w:eastAsia="宋体" w:cs="Times New Roman"/>
      <w:kern w:val="2"/>
      <w:sz w:val="21"/>
      <w:szCs w:val="24"/>
      <w:lang w:val="en-US" w:eastAsia="zh-CN" w:bidi="ar-SA"/>
    </w:rPr>
  </w:style>
  <w:style w:type="paragraph" w:customStyle="1" w:styleId="215">
    <w:name w:val="修订6"/>
    <w:hidden/>
    <w:unhideWhenUsed/>
    <w:qFormat/>
    <w:uiPriority w:val="99"/>
    <w:rPr>
      <w:rFonts w:ascii="Times New Roman" w:hAnsi="Times New Roman" w:eastAsia="宋体" w:cs="Times New Roman"/>
      <w:kern w:val="2"/>
      <w:sz w:val="21"/>
      <w:szCs w:val="24"/>
      <w:lang w:val="en-US" w:eastAsia="zh-CN" w:bidi="ar-SA"/>
    </w:rPr>
  </w:style>
  <w:style w:type="paragraph" w:customStyle="1" w:styleId="216">
    <w:name w:val="修订7"/>
    <w:hidden/>
    <w:unhideWhenUsed/>
    <w:qFormat/>
    <w:uiPriority w:val="99"/>
    <w:rPr>
      <w:rFonts w:ascii="Times New Roman" w:hAnsi="Times New Roman" w:eastAsia="宋体" w:cs="Times New Roman"/>
      <w:kern w:val="2"/>
      <w:sz w:val="21"/>
      <w:szCs w:val="24"/>
      <w:lang w:val="en-US" w:eastAsia="zh-CN" w:bidi="ar-SA"/>
    </w:rPr>
  </w:style>
  <w:style w:type="paragraph" w:customStyle="1" w:styleId="217">
    <w:name w:val="修订8"/>
    <w:hidden/>
    <w:unhideWhenUsed/>
    <w:qFormat/>
    <w:uiPriority w:val="99"/>
    <w:rPr>
      <w:rFonts w:ascii="Times New Roman" w:hAnsi="Times New Roman" w:eastAsia="宋体" w:cs="Times New Roman"/>
      <w:kern w:val="2"/>
      <w:sz w:val="21"/>
      <w:szCs w:val="24"/>
      <w:lang w:val="en-US" w:eastAsia="zh-CN" w:bidi="ar-SA"/>
    </w:rPr>
  </w:style>
  <w:style w:type="paragraph" w:customStyle="1" w:styleId="218">
    <w:name w:val="修订9"/>
    <w:hidden/>
    <w:unhideWhenUsed/>
    <w:qFormat/>
    <w:uiPriority w:val="99"/>
    <w:rPr>
      <w:rFonts w:ascii="Times New Roman" w:hAnsi="Times New Roman" w:eastAsia="宋体" w:cs="Times New Roman"/>
      <w:kern w:val="2"/>
      <w:sz w:val="21"/>
      <w:szCs w:val="24"/>
      <w:lang w:val="en-US" w:eastAsia="zh-CN" w:bidi="ar-SA"/>
    </w:rPr>
  </w:style>
  <w:style w:type="paragraph" w:customStyle="1" w:styleId="219">
    <w:name w:val="修订10"/>
    <w:hidden/>
    <w:unhideWhenUsed/>
    <w:qFormat/>
    <w:uiPriority w:val="99"/>
    <w:rPr>
      <w:rFonts w:ascii="Times New Roman" w:hAnsi="Times New Roman" w:eastAsia="宋体" w:cs="Times New Roman"/>
      <w:kern w:val="2"/>
      <w:sz w:val="21"/>
      <w:szCs w:val="24"/>
      <w:lang w:val="en-US" w:eastAsia="zh-CN" w:bidi="ar-SA"/>
    </w:rPr>
  </w:style>
  <w:style w:type="paragraph" w:customStyle="1" w:styleId="220">
    <w:name w:val="修订11"/>
    <w:hidden/>
    <w:unhideWhenUsed/>
    <w:qFormat/>
    <w:uiPriority w:val="99"/>
    <w:rPr>
      <w:rFonts w:ascii="Times New Roman" w:hAnsi="Times New Roman" w:eastAsia="宋体" w:cs="Times New Roman"/>
      <w:kern w:val="2"/>
      <w:sz w:val="21"/>
      <w:szCs w:val="24"/>
      <w:lang w:val="en-US" w:eastAsia="zh-CN" w:bidi="ar-SA"/>
    </w:rPr>
  </w:style>
  <w:style w:type="paragraph" w:customStyle="1" w:styleId="221">
    <w:name w:val="修订12"/>
    <w:hidden/>
    <w:unhideWhenUsed/>
    <w:qFormat/>
    <w:uiPriority w:val="99"/>
    <w:rPr>
      <w:rFonts w:ascii="Times New Roman" w:hAnsi="Times New Roman" w:eastAsia="宋体" w:cs="Times New Roman"/>
      <w:kern w:val="2"/>
      <w:sz w:val="21"/>
      <w:szCs w:val="24"/>
      <w:lang w:val="en-US" w:eastAsia="zh-CN" w:bidi="ar-SA"/>
    </w:rPr>
  </w:style>
  <w:style w:type="paragraph" w:styleId="222">
    <w:name w:val="No Spacing"/>
    <w:autoRedefine/>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image" Target="media/image1.emf"/><Relationship Id="rId15" Type="http://schemas.openxmlformats.org/officeDocument/2006/relationships/theme" Target="theme/theme1.xml"/><Relationship Id="rId14" Type="http://schemas.openxmlformats.org/officeDocument/2006/relationships/header" Target="header8.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FA436-E99F-4EDB-B984-24FBE7BCBFC8}">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82</Pages>
  <Words>10885</Words>
  <Characters>13302</Characters>
  <Lines>354</Lines>
  <Paragraphs>99</Paragraphs>
  <TotalTime>8</TotalTime>
  <ScaleCrop>false</ScaleCrop>
  <LinksUpToDate>false</LinksUpToDate>
  <CharactersWithSpaces>13563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2024-09-20T01:40:00Z</dcterms:created>
  <dc:creator>微软用户</dc:creator>
  <cp:lastModifiedBy>PENG</cp:lastModifiedBy>
  <cp:lastPrinted>2024-09-13T08:06:00Z</cp:lastPrinted>
  <dcterms:modified xsi:type="dcterms:W3CDTF">2025-10-22T05:16:14Z</dcterms:modified>
  <dc:title>桂财采〔2009〕 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ICV">
    <vt:lpwstr>BADC047219604AC9864386F2301BACF9_13</vt:lpwstr>
  </property>
  <property fmtid="{D5CDD505-2E9C-101B-9397-08002B2CF9AE}" pid="14" name="KSOTemplateDocerSaveRecord">
    <vt:lpwstr>eyJoZGlkIjoiOTZiY2Y5MzJmYzBkMjk1NjU5YTAwMGNjOGU0ZDFhMTIiLCJ1c2VySWQiOiI4ODAyNzA4OTcifQ==</vt:lpwstr>
  </property>
</Properties>
</file>