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/>
        <w:spacing w:after="0" w:line="360" w:lineRule="auto"/>
        <w:jc w:val="center"/>
        <w:rPr>
          <w:rFonts w:ascii="黑体" w:hAnsi="黑体" w:eastAsia="黑体" w:cs="黑体"/>
          <w:b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b/>
          <w:bCs/>
          <w:sz w:val="32"/>
          <w:szCs w:val="32"/>
        </w:rPr>
        <w:t>广西同泽工程项目管理股份有限公司关于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土地资产配置管理综合技术服务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（项目编号：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GXZC2024-C3-000175-GXTZ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）</w:t>
      </w:r>
      <w:r>
        <w:rPr>
          <w:rFonts w:hint="eastAsia" w:ascii="黑体" w:hAnsi="黑体" w:eastAsia="黑体" w:cs="黑体"/>
          <w:b/>
          <w:sz w:val="32"/>
          <w:szCs w:val="32"/>
        </w:rPr>
        <w:t>成交公告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hint="eastAsia" w:ascii="黑体" w:hAnsi="黑体" w:eastAsia="黑体"/>
          <w:sz w:val="28"/>
          <w:szCs w:val="28"/>
        </w:rPr>
      </w:pP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ascii="仿宋" w:hAnsi="仿宋" w:eastAsia="仿宋" w:cs="宋体"/>
          <w:sz w:val="28"/>
          <w:szCs w:val="28"/>
        </w:rPr>
      </w:pPr>
      <w:bookmarkStart w:id="5" w:name="_GoBack"/>
      <w:bookmarkEnd w:id="5"/>
      <w:r>
        <w:rPr>
          <w:rFonts w:hint="eastAsia" w:ascii="黑体" w:hAnsi="黑体" w:eastAsia="黑体"/>
          <w:sz w:val="28"/>
          <w:szCs w:val="28"/>
        </w:rPr>
        <w:t>一、项目编号</w:t>
      </w:r>
      <w:r>
        <w:rPr>
          <w:rFonts w:hint="eastAsia" w:ascii="仿宋" w:hAnsi="仿宋" w:eastAsia="仿宋" w:cs="宋体"/>
          <w:sz w:val="28"/>
          <w:szCs w:val="28"/>
        </w:rPr>
        <w:t>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GXZC2024-C3-000175-GXTZ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二、项目名称</w:t>
      </w:r>
      <w:r>
        <w:rPr>
          <w:rFonts w:hint="eastAsia" w:ascii="仿宋" w:hAnsi="仿宋" w:eastAsia="仿宋" w:cs="宋体"/>
          <w:sz w:val="28"/>
          <w:szCs w:val="28"/>
        </w:rPr>
        <w:t>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土地资产配置管理综合技术服务</w:t>
      </w:r>
    </w:p>
    <w:p>
      <w:pPr>
        <w:widowControl w:val="0"/>
        <w:adjustRightInd/>
        <w:snapToGrid/>
        <w:spacing w:after="0" w:line="360" w:lineRule="auto"/>
        <w:contextualSpacing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spacing w:after="0"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供应商名称：广西国土资源规划设计集团有限公司</w:t>
      </w:r>
    </w:p>
    <w:p>
      <w:pPr>
        <w:spacing w:after="0" w:line="360" w:lineRule="auto"/>
        <w:ind w:left="2239" w:leftChars="254" w:hanging="1680" w:hangingChars="6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供应商地址：南宁市良庆区飞云路8号北投大厦2号楼4层401号</w:t>
      </w:r>
    </w:p>
    <w:p>
      <w:pPr>
        <w:spacing w:after="0"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成交金额：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人民币（大写）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壹佰玖拾玖万贰仟元整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1992000.00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</w:p>
    <w:p>
      <w:pPr>
        <w:spacing w:after="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2"/>
        <w:gridCol w:w="5103"/>
        <w:gridCol w:w="992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服务范围</w:t>
            </w:r>
          </w:p>
        </w:tc>
        <w:tc>
          <w:tcPr>
            <w:tcW w:w="5103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服务要求</w:t>
            </w:r>
          </w:p>
        </w:tc>
        <w:tc>
          <w:tcPr>
            <w:tcW w:w="992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服务时间</w:t>
            </w:r>
          </w:p>
        </w:tc>
        <w:tc>
          <w:tcPr>
            <w:tcW w:w="989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服务标准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 w:eastAsia="zh-CN"/>
              </w:rPr>
              <w:t>土地资产配置管理综合技术服务</w:t>
            </w:r>
          </w:p>
        </w:tc>
        <w:tc>
          <w:tcPr>
            <w:tcW w:w="992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详见报价文件</w:t>
            </w:r>
          </w:p>
        </w:tc>
        <w:tc>
          <w:tcPr>
            <w:tcW w:w="5103" w:type="dxa"/>
            <w:vAlign w:val="center"/>
          </w:tcPr>
          <w:p>
            <w:pPr>
              <w:spacing w:after="0" w:line="360" w:lineRule="auto"/>
              <w:jc w:val="both"/>
              <w:rPr>
                <w:rFonts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 xml:space="preserve">一是做好工业项目“标准地”改革监测评估；二是协助做好混合产业用地供给试点监测评估，提出广西混合产业用地供给工作建议；三是开展“净地”出让线上技术核查和实地技术核查；四是逐宗梳理土地出让金缴纳情况，协助建立《2024年广西土地供应台账》。  </w:t>
            </w:r>
          </w:p>
        </w:tc>
        <w:tc>
          <w:tcPr>
            <w:tcW w:w="992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2024年12月底前</w:t>
            </w:r>
          </w:p>
        </w:tc>
        <w:tc>
          <w:tcPr>
            <w:tcW w:w="989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详见竞争性磋商文件</w:t>
            </w:r>
          </w:p>
        </w:tc>
      </w:tr>
    </w:tbl>
    <w:p>
      <w:pPr>
        <w:spacing w:after="0" w:line="360" w:lineRule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五、评审专家名单：</w:t>
      </w:r>
      <w:r>
        <w:rPr>
          <w:rFonts w:hint="eastAsia" w:ascii="仿宋" w:hAnsi="仿宋" w:eastAsia="仿宋" w:cs="宋体"/>
          <w:sz w:val="28"/>
          <w:szCs w:val="28"/>
          <w:lang w:val="zh-CN"/>
        </w:rPr>
        <w:t>覃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赵行</w:t>
      </w:r>
      <w:r>
        <w:rPr>
          <w:rFonts w:hint="eastAsia" w:ascii="仿宋" w:hAnsi="仿宋" w:eastAsia="仿宋" w:cs="宋体"/>
          <w:sz w:val="28"/>
          <w:szCs w:val="28"/>
          <w:lang w:val="zh-CN"/>
        </w:rPr>
        <w:t>、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归秀芝</w:t>
      </w:r>
      <w:r>
        <w:rPr>
          <w:rFonts w:hint="eastAsia" w:ascii="仿宋" w:hAnsi="仿宋" w:eastAsia="仿宋" w:cs="宋体"/>
          <w:sz w:val="28"/>
          <w:szCs w:val="28"/>
          <w:lang w:val="zh-CN"/>
        </w:rPr>
        <w:t>、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谢鸣</w:t>
      </w:r>
      <w:r>
        <w:rPr>
          <w:rFonts w:hint="eastAsia" w:ascii="仿宋" w:hAnsi="仿宋" w:eastAsia="仿宋" w:cs="宋体"/>
          <w:sz w:val="28"/>
          <w:szCs w:val="28"/>
          <w:lang w:val="zh-CN"/>
        </w:rPr>
        <w:t>（</w:t>
      </w:r>
      <w:r>
        <w:rPr>
          <w:rFonts w:hint="eastAsia" w:ascii="仿宋" w:hAnsi="仿宋" w:eastAsia="仿宋" w:cs="宋体"/>
          <w:sz w:val="28"/>
          <w:szCs w:val="28"/>
        </w:rPr>
        <w:t>采购人代表）</w:t>
      </w:r>
    </w:p>
    <w:p>
      <w:pPr>
        <w:spacing w:after="0" w:line="360" w:lineRule="auto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 w:cs="宋体"/>
          <w:sz w:val="28"/>
          <w:szCs w:val="28"/>
        </w:rPr>
        <w:t>以成交金额为计费额，按本须知正文第32.2条规定的收费计算标准（服务类）采用差额定率累进法计算出收费基准价格下浮20%收取。</w:t>
      </w:r>
    </w:p>
    <w:p>
      <w:pPr>
        <w:spacing w:after="0" w:line="360" w:lineRule="auto"/>
        <w:rPr>
          <w:rFonts w:ascii="黑体" w:hAnsi="黑体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代理费金额为:人民币（大写）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instrText xml:space="preserve"> = 18256 \* CHINESENUM2 \* MERGEFORMAT </w:instrTex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宋体"/>
          <w:sz w:val="28"/>
          <w:szCs w:val="28"/>
        </w:rPr>
        <w:t>壹万捌仟贰佰伍拾陆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元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壹角叁分</w:t>
      </w:r>
      <w:r>
        <w:rPr>
          <w:rFonts w:hint="eastAsia" w:ascii="仿宋" w:hAnsi="仿宋" w:eastAsia="仿宋" w:cs="宋体"/>
          <w:sz w:val="28"/>
          <w:szCs w:val="28"/>
        </w:rPr>
        <w:t>（¥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18348.80</w:t>
      </w:r>
      <w:r>
        <w:rPr>
          <w:rFonts w:hint="eastAsia" w:ascii="仿宋" w:hAnsi="仿宋" w:eastAsia="仿宋" w:cs="宋体"/>
          <w:sz w:val="28"/>
          <w:szCs w:val="28"/>
        </w:rPr>
        <w:t>元）。</w:t>
      </w:r>
    </w:p>
    <w:p>
      <w:pPr>
        <w:spacing w:after="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自本公告发布之日起</w:t>
      </w:r>
      <w:r>
        <w:rPr>
          <w:rFonts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个工作日。</w:t>
      </w:r>
    </w:p>
    <w:p>
      <w:pPr>
        <w:spacing w:after="0" w:line="360" w:lineRule="auto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</w:p>
    <w:p>
      <w:pPr>
        <w:spacing w:after="0" w:line="360" w:lineRule="auto"/>
        <w:ind w:firstLine="560" w:firstLineChars="200"/>
        <w:rPr>
          <w:rFonts w:hint="default" w:ascii="仿宋" w:hAnsi="仿宋" w:eastAsia="仿宋" w:cs="宋体"/>
          <w:sz w:val="28"/>
          <w:szCs w:val="28"/>
          <w:lang w:val="en-US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1、成交供应商的评审总得分为：94.5分。</w:t>
      </w:r>
    </w:p>
    <w:p>
      <w:pPr>
        <w:pStyle w:val="2"/>
        <w:ind w:firstLine="560" w:firstLine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宋体"/>
          <w:sz w:val="28"/>
          <w:szCs w:val="28"/>
        </w:rPr>
        <w:t>网上查询地址：中国政府采购网（http://www.ccgp.gov.cn/）、广西政府采购网（http://zfcg.gxzf.gov.cn/）。</w:t>
      </w:r>
    </w:p>
    <w:p>
      <w:pPr>
        <w:spacing w:after="0" w:line="360" w:lineRule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ascii="黑体" w:hAnsi="黑体" w:eastAsia="黑体" w:cs="宋体"/>
          <w:sz w:val="28"/>
          <w:szCs w:val="28"/>
        </w:rPr>
        <w:t>九、凡对本次公告内容提出询问，请按以下方式联系。</w:t>
      </w:r>
    </w:p>
    <w:bookmarkEnd w:id="0"/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1.采购人信息</w:t>
      </w:r>
    </w:p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名 称：广西壮族自治区自然资源厅</w:t>
      </w:r>
    </w:p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地址：广西壮族自治区南宁市青秀区青秀路中新路2号</w:t>
      </w:r>
    </w:p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bookmarkStart w:id="1" w:name="_Toc28359086"/>
      <w:bookmarkStart w:id="2" w:name="_Toc28359009"/>
      <w:r>
        <w:rPr>
          <w:rFonts w:hint="eastAsia" w:ascii="仿宋" w:hAnsi="仿宋" w:eastAsia="仿宋" w:cs="宋体"/>
          <w:sz w:val="28"/>
          <w:szCs w:val="28"/>
        </w:rPr>
        <w:t>项目联系人：谢鸣</w:t>
      </w:r>
    </w:p>
    <w:p>
      <w:pPr>
        <w:spacing w:after="0"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联系电话：0771-5388378</w:t>
      </w:r>
    </w:p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1"/>
      <w:bookmarkEnd w:id="2"/>
    </w:p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名 称：广西同泽工程项目管理股份有限公司</w:t>
      </w:r>
    </w:p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地　址：南宁市良庆区凯旋路16号裕达国际中心广东大厦十八层</w:t>
      </w:r>
    </w:p>
    <w:p>
      <w:pPr>
        <w:spacing w:after="0" w:line="360" w:lineRule="auto"/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联系方式</w:t>
      </w:r>
      <w:bookmarkStart w:id="3" w:name="_Toc28359087"/>
      <w:bookmarkStart w:id="4" w:name="_Toc28359010"/>
      <w:r>
        <w:rPr>
          <w:rFonts w:hint="eastAsia" w:ascii="仿宋" w:hAnsi="仿宋" w:eastAsia="仿宋" w:cs="宋体"/>
          <w:sz w:val="28"/>
          <w:szCs w:val="28"/>
        </w:rPr>
        <w:t>：饶碧刚、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曾筱幸</w:t>
      </w:r>
    </w:p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联系电话：</w:t>
      </w:r>
      <w:r>
        <w:rPr>
          <w:rFonts w:ascii="仿宋" w:hAnsi="仿宋" w:eastAsia="仿宋" w:cs="宋体"/>
          <w:sz w:val="28"/>
          <w:szCs w:val="28"/>
        </w:rPr>
        <w:t>0771-</w:t>
      </w:r>
      <w:r>
        <w:rPr>
          <w:rFonts w:hint="eastAsia" w:ascii="仿宋" w:hAnsi="仿宋" w:eastAsia="仿宋" w:cs="宋体"/>
          <w:sz w:val="28"/>
          <w:szCs w:val="28"/>
        </w:rPr>
        <w:t>5590176</w:t>
      </w:r>
    </w:p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3.项目联系方式</w:t>
      </w:r>
      <w:bookmarkEnd w:id="3"/>
      <w:bookmarkEnd w:id="4"/>
    </w:p>
    <w:p>
      <w:pPr>
        <w:spacing w:after="0" w:line="36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项目联系人：饶碧刚、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曾筱幸</w:t>
      </w:r>
      <w:r>
        <w:rPr>
          <w:rFonts w:hint="eastAsia" w:ascii="仿宋" w:hAnsi="仿宋" w:eastAsia="仿宋" w:cs="宋体"/>
          <w:sz w:val="28"/>
          <w:szCs w:val="28"/>
        </w:rPr>
        <w:t xml:space="preserve"> </w:t>
      </w:r>
    </w:p>
    <w:p>
      <w:pPr>
        <w:spacing w:after="0" w:line="360" w:lineRule="auto"/>
        <w:ind w:firstLine="560" w:firstLineChars="200"/>
      </w:pPr>
      <w:r>
        <w:rPr>
          <w:rFonts w:hint="eastAsia" w:ascii="仿宋" w:hAnsi="仿宋" w:eastAsia="仿宋" w:cs="宋体"/>
          <w:sz w:val="28"/>
          <w:szCs w:val="28"/>
        </w:rPr>
        <w:t>电　话：</w:t>
      </w:r>
      <w:r>
        <w:rPr>
          <w:rFonts w:ascii="仿宋" w:hAnsi="仿宋" w:eastAsia="仿宋" w:cs="宋体"/>
          <w:sz w:val="28"/>
          <w:szCs w:val="28"/>
        </w:rPr>
        <w:t>0771-</w:t>
      </w:r>
      <w:r>
        <w:rPr>
          <w:rFonts w:hint="eastAsia" w:ascii="仿宋" w:hAnsi="仿宋" w:eastAsia="仿宋" w:cs="宋体"/>
          <w:sz w:val="28"/>
          <w:szCs w:val="28"/>
        </w:rPr>
        <w:t>5590176</w:t>
      </w:r>
    </w:p>
    <w:p>
      <w:pPr>
        <w:pStyle w:val="2"/>
        <w:ind w:firstLine="4480" w:firstLineChars="1600"/>
        <w:rPr>
          <w:rFonts w:ascii="仿宋" w:hAnsi="仿宋" w:eastAsia="仿宋" w:cs="宋体"/>
          <w:sz w:val="28"/>
          <w:szCs w:val="28"/>
        </w:rPr>
      </w:pPr>
    </w:p>
    <w:p>
      <w:pPr>
        <w:pStyle w:val="2"/>
        <w:ind w:firstLine="4480" w:firstLineChars="16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广西同泽工程项目管理股份有限公司</w:t>
      </w:r>
    </w:p>
    <w:p>
      <w:pPr>
        <w:pStyle w:val="2"/>
        <w:ind w:firstLine="5320" w:firstLineChars="19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202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sz w:val="28"/>
          <w:szCs w:val="28"/>
        </w:rPr>
        <w:t>年0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宋体"/>
          <w:sz w:val="28"/>
          <w:szCs w:val="28"/>
        </w:rPr>
        <w:t>日　</w:t>
      </w:r>
    </w:p>
    <w:sectPr>
      <w:pgSz w:w="11906" w:h="16838"/>
      <w:pgMar w:top="1134" w:right="1134" w:bottom="1134" w:left="1134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魏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NmZiNzEzNTJiNTU2YTNiOWUyYTJlMGU3YjVlM2QifQ=="/>
  </w:docVars>
  <w:rsids>
    <w:rsidRoot w:val="00D31D50"/>
    <w:rsid w:val="000002F0"/>
    <w:rsid w:val="00010266"/>
    <w:rsid w:val="00054358"/>
    <w:rsid w:val="000A6850"/>
    <w:rsid w:val="000F0999"/>
    <w:rsid w:val="00124A76"/>
    <w:rsid w:val="001404D4"/>
    <w:rsid w:val="00176617"/>
    <w:rsid w:val="00196E1C"/>
    <w:rsid w:val="001A0553"/>
    <w:rsid w:val="001B1BA7"/>
    <w:rsid w:val="001D3E31"/>
    <w:rsid w:val="00246B4A"/>
    <w:rsid w:val="0027156D"/>
    <w:rsid w:val="00295B34"/>
    <w:rsid w:val="002C73F7"/>
    <w:rsid w:val="002E0302"/>
    <w:rsid w:val="00312372"/>
    <w:rsid w:val="00323B43"/>
    <w:rsid w:val="00381009"/>
    <w:rsid w:val="003922BF"/>
    <w:rsid w:val="003A4627"/>
    <w:rsid w:val="003C39D4"/>
    <w:rsid w:val="003D37D8"/>
    <w:rsid w:val="003D437D"/>
    <w:rsid w:val="003F3E72"/>
    <w:rsid w:val="003F55D1"/>
    <w:rsid w:val="003F67A8"/>
    <w:rsid w:val="00426133"/>
    <w:rsid w:val="004358AB"/>
    <w:rsid w:val="0046288F"/>
    <w:rsid w:val="00494FA3"/>
    <w:rsid w:val="004F7EDA"/>
    <w:rsid w:val="00506935"/>
    <w:rsid w:val="00553284"/>
    <w:rsid w:val="00561810"/>
    <w:rsid w:val="00594C97"/>
    <w:rsid w:val="005A7FED"/>
    <w:rsid w:val="005C6772"/>
    <w:rsid w:val="005E1178"/>
    <w:rsid w:val="00637C6E"/>
    <w:rsid w:val="00651090"/>
    <w:rsid w:val="006538B2"/>
    <w:rsid w:val="00684A36"/>
    <w:rsid w:val="00691477"/>
    <w:rsid w:val="006D0992"/>
    <w:rsid w:val="006F0567"/>
    <w:rsid w:val="006F1E20"/>
    <w:rsid w:val="00703DD5"/>
    <w:rsid w:val="00780AE6"/>
    <w:rsid w:val="007E255D"/>
    <w:rsid w:val="00841A48"/>
    <w:rsid w:val="00843DF3"/>
    <w:rsid w:val="00882CB8"/>
    <w:rsid w:val="00891E75"/>
    <w:rsid w:val="008B7726"/>
    <w:rsid w:val="008D11D5"/>
    <w:rsid w:val="008D5C82"/>
    <w:rsid w:val="00925278"/>
    <w:rsid w:val="009304AD"/>
    <w:rsid w:val="009B7ADF"/>
    <w:rsid w:val="009D0FBA"/>
    <w:rsid w:val="009F5BCF"/>
    <w:rsid w:val="009F756B"/>
    <w:rsid w:val="00A11951"/>
    <w:rsid w:val="00A76B02"/>
    <w:rsid w:val="00AD2F08"/>
    <w:rsid w:val="00AF14E2"/>
    <w:rsid w:val="00AF2736"/>
    <w:rsid w:val="00AF2B6F"/>
    <w:rsid w:val="00B06BE6"/>
    <w:rsid w:val="00B51615"/>
    <w:rsid w:val="00B5769E"/>
    <w:rsid w:val="00BA6597"/>
    <w:rsid w:val="00BB3E6E"/>
    <w:rsid w:val="00BB483F"/>
    <w:rsid w:val="00BE1BF0"/>
    <w:rsid w:val="00C05790"/>
    <w:rsid w:val="00C13E26"/>
    <w:rsid w:val="00C772A5"/>
    <w:rsid w:val="00C8487D"/>
    <w:rsid w:val="00C935B6"/>
    <w:rsid w:val="00CD1AF5"/>
    <w:rsid w:val="00CD440F"/>
    <w:rsid w:val="00CF3F06"/>
    <w:rsid w:val="00D31D50"/>
    <w:rsid w:val="00D46608"/>
    <w:rsid w:val="00D50245"/>
    <w:rsid w:val="00D50427"/>
    <w:rsid w:val="00D762B4"/>
    <w:rsid w:val="00E15058"/>
    <w:rsid w:val="00EC36F2"/>
    <w:rsid w:val="00EC6F44"/>
    <w:rsid w:val="00EE63AB"/>
    <w:rsid w:val="00F1630E"/>
    <w:rsid w:val="00F76432"/>
    <w:rsid w:val="00F87081"/>
    <w:rsid w:val="00FA0369"/>
    <w:rsid w:val="00FE5597"/>
    <w:rsid w:val="034404E6"/>
    <w:rsid w:val="04414E58"/>
    <w:rsid w:val="0B1A04D9"/>
    <w:rsid w:val="0D071732"/>
    <w:rsid w:val="0DDA1F97"/>
    <w:rsid w:val="107240FA"/>
    <w:rsid w:val="19800C89"/>
    <w:rsid w:val="1BB51F58"/>
    <w:rsid w:val="1DBE5ACD"/>
    <w:rsid w:val="26641E42"/>
    <w:rsid w:val="27C9738C"/>
    <w:rsid w:val="2BF42D20"/>
    <w:rsid w:val="2EFC6AFE"/>
    <w:rsid w:val="32170D4A"/>
    <w:rsid w:val="35D5414A"/>
    <w:rsid w:val="38CB7EEE"/>
    <w:rsid w:val="3C866ABF"/>
    <w:rsid w:val="3EBC71A1"/>
    <w:rsid w:val="40A74865"/>
    <w:rsid w:val="416F724E"/>
    <w:rsid w:val="43F96A8F"/>
    <w:rsid w:val="44084034"/>
    <w:rsid w:val="453A2F4F"/>
    <w:rsid w:val="48BA7C45"/>
    <w:rsid w:val="48DC4673"/>
    <w:rsid w:val="4A350E70"/>
    <w:rsid w:val="4E7803FD"/>
    <w:rsid w:val="4E781C31"/>
    <w:rsid w:val="507B5A84"/>
    <w:rsid w:val="526C52B7"/>
    <w:rsid w:val="52B81576"/>
    <w:rsid w:val="545C3B2A"/>
    <w:rsid w:val="567C37F9"/>
    <w:rsid w:val="590F39E1"/>
    <w:rsid w:val="59AD5C65"/>
    <w:rsid w:val="5A533C21"/>
    <w:rsid w:val="5AA41CEA"/>
    <w:rsid w:val="5BC3609C"/>
    <w:rsid w:val="5C1445A3"/>
    <w:rsid w:val="5C4525C3"/>
    <w:rsid w:val="5D4853F4"/>
    <w:rsid w:val="61773E19"/>
    <w:rsid w:val="61AC5AA4"/>
    <w:rsid w:val="635439B8"/>
    <w:rsid w:val="653F3190"/>
    <w:rsid w:val="6A803680"/>
    <w:rsid w:val="6BF01BD1"/>
    <w:rsid w:val="6D563D41"/>
    <w:rsid w:val="75A853D2"/>
    <w:rsid w:val="77314080"/>
    <w:rsid w:val="77A31CBA"/>
    <w:rsid w:val="7A3C63C6"/>
    <w:rsid w:val="7BB63F02"/>
    <w:rsid w:val="7FE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80" w:lineRule="exact"/>
    </w:pPr>
    <w:rPr>
      <w:sz w:val="24"/>
      <w:szCs w:val="24"/>
    </w:rPr>
  </w:style>
  <w:style w:type="paragraph" w:styleId="4">
    <w:name w:val="Body Text Indent"/>
    <w:basedOn w:val="1"/>
    <w:next w:val="1"/>
    <w:qFormat/>
    <w:uiPriority w:val="0"/>
    <w:pPr>
      <w:spacing w:line="440" w:lineRule="exact"/>
      <w:ind w:firstLine="480" w:firstLineChars="200"/>
    </w:pPr>
    <w:rPr>
      <w:rFonts w:ascii="方正魏碑简体"/>
      <w:sz w:val="24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表格文字"/>
    <w:basedOn w:val="1"/>
    <w:next w:val="2"/>
    <w:qFormat/>
    <w:uiPriority w:val="99"/>
    <w:pPr>
      <w:spacing w:before="25" w:after="25"/>
    </w:pPr>
    <w:rPr>
      <w:bCs/>
      <w:spacing w:val="10"/>
      <w:sz w:val="24"/>
    </w:rPr>
  </w:style>
  <w:style w:type="character" w:customStyle="1" w:styleId="15">
    <w:name w:val="页眉 字符"/>
    <w:basedOn w:val="11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字符"/>
    <w:basedOn w:val="11"/>
    <w:link w:val="6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Arial" w:hAnsi="Arial" w:cs="Arial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740</Words>
  <Characters>906</Characters>
  <Lines>7</Lines>
  <Paragraphs>2</Paragraphs>
  <TotalTime>2</TotalTime>
  <ScaleCrop>false</ScaleCrop>
  <LinksUpToDate>false</LinksUpToDate>
  <CharactersWithSpaces>914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2021-09-29T12:55:00Z</cp:lastPrinted>
  <dcterms:modified xsi:type="dcterms:W3CDTF">2024-03-18T08:33:49Z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6646F6CEFAC94295925B4B2B3DF759C2_13</vt:lpwstr>
  </property>
</Properties>
</file>