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CB332F">
      <w:pPr>
        <w:spacing w:before="165" w:beforeLines="50" w:line="360" w:lineRule="auto"/>
        <w:jc w:val="center"/>
        <w:rPr>
          <w:rFonts w:hint="eastAsia" w:ascii="宋体" w:hAnsi="宋体" w:eastAsia="宋体" w:cs="宋体"/>
          <w:color w:val="auto"/>
          <w:sz w:val="36"/>
          <w:szCs w:val="36"/>
          <w:highlight w:val="none"/>
        </w:rPr>
      </w:pPr>
      <w:r>
        <w:rPr>
          <w:highlight w:val="none"/>
        </w:rPr>
        <w:drawing>
          <wp:anchor distT="0" distB="0" distL="114300" distR="114300" simplePos="0" relativeHeight="251659264" behindDoc="0" locked="0" layoutInCell="1" allowOverlap="1">
            <wp:simplePos x="0" y="0"/>
            <wp:positionH relativeFrom="column">
              <wp:posOffset>2076450</wp:posOffset>
            </wp:positionH>
            <wp:positionV relativeFrom="paragraph">
              <wp:posOffset>-180975</wp:posOffset>
            </wp:positionV>
            <wp:extent cx="1857375" cy="1857375"/>
            <wp:effectExtent l="0" t="0" r="9525" b="9525"/>
            <wp:wrapSquare wrapText="bothSides"/>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14"/>
                    <a:stretch>
                      <a:fillRect/>
                    </a:stretch>
                  </pic:blipFill>
                  <pic:spPr>
                    <a:xfrm>
                      <a:off x="0" y="0"/>
                      <a:ext cx="1857375" cy="1857375"/>
                    </a:xfrm>
                    <a:prstGeom prst="rect">
                      <a:avLst/>
                    </a:prstGeom>
                    <a:noFill/>
                    <a:ln>
                      <a:noFill/>
                    </a:ln>
                  </pic:spPr>
                </pic:pic>
              </a:graphicData>
            </a:graphic>
          </wp:anchor>
        </w:drawing>
      </w:r>
    </w:p>
    <w:p w14:paraId="2E70F689">
      <w:pPr>
        <w:spacing w:before="165" w:beforeLines="50" w:line="360" w:lineRule="auto"/>
        <w:jc w:val="center"/>
        <w:rPr>
          <w:rFonts w:hint="eastAsia" w:ascii="宋体" w:hAnsi="宋体" w:eastAsia="宋体" w:cs="宋体"/>
          <w:color w:val="auto"/>
          <w:sz w:val="36"/>
          <w:szCs w:val="36"/>
          <w:highlight w:val="none"/>
        </w:rPr>
      </w:pPr>
    </w:p>
    <w:p w14:paraId="737A3706">
      <w:pPr>
        <w:snapToGrid w:val="0"/>
        <w:spacing w:before="165" w:beforeLines="50" w:line="360" w:lineRule="auto"/>
        <w:jc w:val="center"/>
        <w:rPr>
          <w:rFonts w:hint="eastAsia" w:ascii="宋体" w:hAnsi="宋体" w:eastAsia="宋体" w:cs="宋体"/>
          <w:color w:val="auto"/>
          <w:sz w:val="72"/>
          <w:szCs w:val="72"/>
          <w:highlight w:val="none"/>
        </w:rPr>
      </w:pPr>
    </w:p>
    <w:p w14:paraId="7E82CAE7">
      <w:pPr>
        <w:snapToGrid w:val="0"/>
        <w:spacing w:before="165" w:beforeLines="50" w:line="360" w:lineRule="auto"/>
        <w:jc w:val="center"/>
        <w:rPr>
          <w:rFonts w:hint="eastAsia" w:ascii="宋体" w:hAnsi="宋体" w:eastAsia="宋体" w:cs="宋体"/>
          <w:color w:val="auto"/>
          <w:sz w:val="72"/>
          <w:szCs w:val="72"/>
          <w:highlight w:val="none"/>
        </w:rPr>
      </w:pPr>
      <w:r>
        <w:rPr>
          <w:rFonts w:hint="eastAsia" w:ascii="宋体" w:hAnsi="宋体" w:eastAsia="宋体" w:cs="宋体"/>
          <w:color w:val="auto"/>
          <w:sz w:val="72"/>
          <w:szCs w:val="72"/>
          <w:highlight w:val="none"/>
        </w:rPr>
        <w:t>竞争性磋商文件</w:t>
      </w:r>
    </w:p>
    <w:p w14:paraId="1DDA8059">
      <w:pPr>
        <w:snapToGrid w:val="0"/>
        <w:spacing w:before="165" w:beforeLines="50" w:line="360" w:lineRule="auto"/>
        <w:jc w:val="center"/>
        <w:rPr>
          <w:rFonts w:hint="eastAsia" w:ascii="宋体" w:hAnsi="宋体" w:eastAsia="宋体" w:cs="宋体"/>
          <w:color w:val="auto"/>
          <w:sz w:val="30"/>
          <w:szCs w:val="72"/>
          <w:highlight w:val="none"/>
        </w:rPr>
      </w:pPr>
      <w:r>
        <w:rPr>
          <w:rFonts w:hint="eastAsia" w:ascii="宋体" w:hAnsi="宋体" w:eastAsia="宋体" w:cs="宋体"/>
          <w:color w:val="auto"/>
          <w:sz w:val="30"/>
          <w:szCs w:val="72"/>
          <w:highlight w:val="none"/>
        </w:rPr>
        <w:t>（全流程电子化评标）</w:t>
      </w:r>
    </w:p>
    <w:p w14:paraId="6DB39858">
      <w:pPr>
        <w:spacing w:before="331" w:beforeLines="100" w:after="165" w:afterLines="50" w:line="360" w:lineRule="auto"/>
        <w:jc w:val="center"/>
        <w:rPr>
          <w:rFonts w:hint="eastAsia" w:ascii="宋体" w:hAnsi="宋体" w:eastAsia="宋体" w:cs="宋体"/>
          <w:color w:val="auto"/>
          <w:szCs w:val="21"/>
          <w:highlight w:val="none"/>
        </w:rPr>
      </w:pPr>
    </w:p>
    <w:p w14:paraId="5D49C790">
      <w:pPr>
        <w:spacing w:line="360" w:lineRule="auto"/>
        <w:rPr>
          <w:rFonts w:hint="eastAsia" w:ascii="宋体" w:hAnsi="宋体" w:eastAsia="宋体" w:cs="宋体"/>
          <w:b/>
          <w:color w:val="auto"/>
          <w:sz w:val="32"/>
          <w:szCs w:val="32"/>
          <w:highlight w:val="none"/>
        </w:rPr>
      </w:pPr>
    </w:p>
    <w:p w14:paraId="5F3251B5">
      <w:pPr>
        <w:spacing w:line="360" w:lineRule="auto"/>
        <w:jc w:val="center"/>
        <w:rPr>
          <w:rFonts w:hint="eastAsia" w:ascii="宋体" w:hAnsi="宋体" w:eastAsia="宋体" w:cs="宋体"/>
          <w:b/>
          <w:color w:val="auto"/>
          <w:sz w:val="32"/>
          <w:szCs w:val="32"/>
          <w:highlight w:val="none"/>
        </w:rPr>
      </w:pPr>
    </w:p>
    <w:p w14:paraId="544B032A">
      <w:pPr>
        <w:keepNext w:val="0"/>
        <w:keepLines w:val="0"/>
        <w:pageBreakBefore w:val="0"/>
        <w:widowControl w:val="0"/>
        <w:kinsoku/>
        <w:wordWrap/>
        <w:overflowPunct/>
        <w:topLinePunct w:val="0"/>
        <w:autoSpaceDE/>
        <w:autoSpaceDN/>
        <w:bidi w:val="0"/>
        <w:adjustRightInd/>
        <w:snapToGrid w:val="0"/>
        <w:spacing w:before="50" w:after="120" w:line="360" w:lineRule="auto"/>
        <w:ind w:right="0" w:rightChars="0" w:firstLine="1205" w:firstLineChars="400"/>
        <w:jc w:val="both"/>
        <w:textAlignment w:val="auto"/>
        <w:rPr>
          <w:rFonts w:hint="eastAsia" w:ascii="宋体" w:hAnsi="宋体" w:eastAsia="宋体" w:cs="宋体"/>
          <w:b/>
          <w:bCs/>
          <w:color w:val="auto"/>
          <w:kern w:val="0"/>
          <w:sz w:val="30"/>
          <w:szCs w:val="30"/>
          <w:highlight w:val="none"/>
          <w:lang w:eastAsia="zh-CN"/>
        </w:rPr>
      </w:pPr>
      <w:r>
        <w:rPr>
          <w:rFonts w:hint="eastAsia" w:ascii="宋体" w:hAnsi="宋体" w:eastAsia="宋体" w:cs="宋体"/>
          <w:b/>
          <w:bCs/>
          <w:color w:val="auto"/>
          <w:kern w:val="0"/>
          <w:sz w:val="30"/>
          <w:szCs w:val="30"/>
          <w:highlight w:val="none"/>
        </w:rPr>
        <w:t>项目名称：</w:t>
      </w:r>
      <w:r>
        <w:rPr>
          <w:rFonts w:hint="eastAsia" w:ascii="宋体" w:hAnsi="宋体" w:cs="宋体"/>
          <w:b/>
          <w:bCs/>
          <w:color w:val="auto"/>
          <w:kern w:val="0"/>
          <w:sz w:val="30"/>
          <w:szCs w:val="30"/>
          <w:highlight w:val="none"/>
          <w:lang w:eastAsia="zh-CN"/>
        </w:rPr>
        <w:t>2025年柳城县东泉镇垃圾清运服务项目</w:t>
      </w:r>
    </w:p>
    <w:p w14:paraId="5CF64D24">
      <w:pPr>
        <w:keepNext w:val="0"/>
        <w:keepLines w:val="0"/>
        <w:pageBreakBefore w:val="0"/>
        <w:widowControl w:val="0"/>
        <w:kinsoku/>
        <w:wordWrap/>
        <w:overflowPunct/>
        <w:topLinePunct w:val="0"/>
        <w:autoSpaceDE/>
        <w:autoSpaceDN/>
        <w:bidi w:val="0"/>
        <w:adjustRightInd/>
        <w:snapToGrid w:val="0"/>
        <w:spacing w:before="50" w:after="120" w:line="360" w:lineRule="auto"/>
        <w:ind w:right="0" w:rightChars="0" w:firstLine="1205" w:firstLineChars="400"/>
        <w:jc w:val="both"/>
        <w:textAlignment w:val="auto"/>
        <w:rPr>
          <w:rFonts w:hint="eastAsia" w:ascii="宋体" w:hAnsi="宋体" w:eastAsia="宋体" w:cs="宋体"/>
          <w:b/>
          <w:bCs/>
          <w:color w:val="auto"/>
          <w:kern w:val="0"/>
          <w:sz w:val="30"/>
          <w:szCs w:val="30"/>
          <w:highlight w:val="none"/>
          <w:lang w:eastAsia="zh-CN"/>
        </w:rPr>
      </w:pPr>
      <w:r>
        <w:rPr>
          <w:rFonts w:hint="eastAsia" w:ascii="宋体" w:hAnsi="宋体" w:cs="宋体"/>
          <w:b/>
          <w:bCs/>
          <w:color w:val="auto"/>
          <w:kern w:val="0"/>
          <w:sz w:val="30"/>
          <w:szCs w:val="30"/>
          <w:highlight w:val="none"/>
          <w:lang w:eastAsia="zh-CN"/>
        </w:rPr>
        <w:t>项目编号：LZZC2025-C3-220028-GXGG</w:t>
      </w:r>
    </w:p>
    <w:p w14:paraId="28104F10">
      <w:pPr>
        <w:keepNext w:val="0"/>
        <w:keepLines w:val="0"/>
        <w:pageBreakBefore w:val="0"/>
        <w:widowControl w:val="0"/>
        <w:kinsoku/>
        <w:wordWrap/>
        <w:overflowPunct/>
        <w:topLinePunct w:val="0"/>
        <w:autoSpaceDE/>
        <w:autoSpaceDN/>
        <w:bidi w:val="0"/>
        <w:adjustRightInd/>
        <w:snapToGrid w:val="0"/>
        <w:spacing w:before="50" w:after="120" w:line="360" w:lineRule="auto"/>
        <w:ind w:right="0" w:rightChars="0" w:firstLine="1205" w:firstLineChars="400"/>
        <w:jc w:val="both"/>
        <w:textAlignment w:val="auto"/>
        <w:rPr>
          <w:rFonts w:hint="eastAsia" w:ascii="宋体" w:hAnsi="宋体" w:eastAsia="宋体" w:cs="宋体"/>
          <w:b/>
          <w:bCs/>
          <w:color w:val="auto"/>
          <w:kern w:val="0"/>
          <w:sz w:val="30"/>
          <w:szCs w:val="30"/>
          <w:highlight w:val="none"/>
          <w:lang w:eastAsia="zh-CN"/>
        </w:rPr>
      </w:pPr>
      <w:r>
        <w:rPr>
          <w:rFonts w:hint="eastAsia" w:ascii="宋体" w:hAnsi="宋体" w:eastAsia="宋体" w:cs="宋体"/>
          <w:b/>
          <w:bCs/>
          <w:color w:val="auto"/>
          <w:kern w:val="0"/>
          <w:sz w:val="30"/>
          <w:szCs w:val="30"/>
          <w:highlight w:val="none"/>
        </w:rPr>
        <w:t>采 购 人：</w:t>
      </w:r>
      <w:r>
        <w:rPr>
          <w:rFonts w:hint="eastAsia" w:ascii="宋体" w:hAnsi="宋体" w:cs="宋体"/>
          <w:b/>
          <w:bCs/>
          <w:color w:val="auto"/>
          <w:kern w:val="0"/>
          <w:sz w:val="30"/>
          <w:szCs w:val="30"/>
          <w:highlight w:val="none"/>
          <w:lang w:eastAsia="zh-CN"/>
        </w:rPr>
        <w:t>柳城县东泉镇人民政府</w:t>
      </w:r>
    </w:p>
    <w:p w14:paraId="6AFB2B93">
      <w:pPr>
        <w:keepNext w:val="0"/>
        <w:keepLines w:val="0"/>
        <w:pageBreakBefore w:val="0"/>
        <w:widowControl w:val="0"/>
        <w:kinsoku/>
        <w:wordWrap/>
        <w:overflowPunct/>
        <w:topLinePunct w:val="0"/>
        <w:autoSpaceDE/>
        <w:autoSpaceDN/>
        <w:bidi w:val="0"/>
        <w:adjustRightInd/>
        <w:snapToGrid w:val="0"/>
        <w:spacing w:before="50" w:after="120" w:line="360" w:lineRule="auto"/>
        <w:ind w:right="0" w:rightChars="0" w:firstLine="1205" w:firstLineChars="400"/>
        <w:jc w:val="both"/>
        <w:textAlignment w:val="auto"/>
        <w:rPr>
          <w:rFonts w:hint="eastAsia" w:ascii="宋体" w:hAnsi="宋体" w:eastAsia="宋体" w:cs="宋体"/>
          <w:b/>
          <w:bCs/>
          <w:color w:val="auto"/>
          <w:kern w:val="0"/>
          <w:sz w:val="30"/>
          <w:szCs w:val="30"/>
          <w:highlight w:val="none"/>
          <w:lang w:eastAsia="zh-CN"/>
        </w:rPr>
      </w:pPr>
      <w:r>
        <w:rPr>
          <w:rFonts w:hint="eastAsia" w:ascii="宋体" w:hAnsi="宋体" w:eastAsia="宋体" w:cs="宋体"/>
          <w:b/>
          <w:bCs/>
          <w:color w:val="auto"/>
          <w:kern w:val="0"/>
          <w:sz w:val="30"/>
          <w:szCs w:val="30"/>
          <w:highlight w:val="none"/>
        </w:rPr>
        <w:t>采购代理机构：</w:t>
      </w:r>
      <w:r>
        <w:rPr>
          <w:rFonts w:hint="eastAsia" w:ascii="宋体" w:hAnsi="宋体" w:cs="宋体"/>
          <w:b/>
          <w:bCs/>
          <w:color w:val="auto"/>
          <w:kern w:val="0"/>
          <w:sz w:val="30"/>
          <w:szCs w:val="30"/>
          <w:highlight w:val="none"/>
          <w:lang w:eastAsia="zh-CN"/>
        </w:rPr>
        <w:t>广西桂工建设管理咨询有限公司</w:t>
      </w:r>
    </w:p>
    <w:p w14:paraId="621CF871">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b/>
          <w:bCs/>
          <w:color w:val="auto"/>
          <w:sz w:val="28"/>
          <w:szCs w:val="28"/>
          <w:highlight w:val="none"/>
        </w:rPr>
      </w:pPr>
    </w:p>
    <w:p w14:paraId="3187FA8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szCs w:val="21"/>
          <w:highlight w:val="none"/>
        </w:rPr>
      </w:pPr>
      <w:r>
        <w:rPr>
          <w:rFonts w:hint="eastAsia" w:ascii="宋体" w:hAnsi="宋体" w:cs="宋体"/>
          <w:b/>
          <w:bCs/>
          <w:color w:val="auto"/>
          <w:sz w:val="30"/>
          <w:szCs w:val="30"/>
          <w:highlight w:val="none"/>
          <w:lang w:val="en-US" w:eastAsia="zh-CN"/>
        </w:rPr>
        <w:t>2025</w:t>
      </w:r>
      <w:r>
        <w:rPr>
          <w:rFonts w:hint="eastAsia" w:ascii="宋体" w:hAnsi="宋体" w:eastAsia="宋体" w:cs="宋体"/>
          <w:b/>
          <w:bCs/>
          <w:color w:val="auto"/>
          <w:sz w:val="30"/>
          <w:szCs w:val="30"/>
          <w:highlight w:val="none"/>
          <w:lang w:val="en-US" w:eastAsia="zh-CN"/>
        </w:rPr>
        <w:t>年</w:t>
      </w:r>
      <w:r>
        <w:rPr>
          <w:rFonts w:hint="eastAsia" w:ascii="宋体" w:hAnsi="宋体" w:cs="宋体"/>
          <w:b/>
          <w:bCs/>
          <w:color w:val="auto"/>
          <w:sz w:val="30"/>
          <w:szCs w:val="30"/>
          <w:highlight w:val="none"/>
          <w:lang w:val="en-US" w:eastAsia="zh-CN"/>
        </w:rPr>
        <w:t>4</w:t>
      </w:r>
      <w:r>
        <w:rPr>
          <w:rFonts w:hint="eastAsia" w:ascii="宋体" w:hAnsi="宋体" w:eastAsia="宋体" w:cs="宋体"/>
          <w:b/>
          <w:bCs/>
          <w:color w:val="auto"/>
          <w:sz w:val="30"/>
          <w:szCs w:val="30"/>
          <w:highlight w:val="none"/>
          <w:lang w:val="en-US" w:eastAsia="zh-CN"/>
        </w:rPr>
        <w:t>月</w:t>
      </w:r>
    </w:p>
    <w:p w14:paraId="2D378C12">
      <w:pPr>
        <w:snapToGrid w:val="0"/>
        <w:spacing w:before="50" w:after="120" w:line="360" w:lineRule="auto"/>
        <w:ind w:firstLine="1125" w:firstLineChars="393"/>
        <w:rPr>
          <w:rFonts w:hint="eastAsia" w:ascii="宋体" w:hAnsi="宋体" w:eastAsia="宋体" w:cs="宋体"/>
          <w:b/>
          <w:bCs/>
          <w:color w:val="auto"/>
          <w:w w:val="95"/>
          <w:sz w:val="30"/>
          <w:szCs w:val="30"/>
          <w:highlight w:val="none"/>
        </w:rPr>
        <w:sectPr>
          <w:headerReference r:id="rId4" w:type="first"/>
          <w:footerReference r:id="rId6" w:type="first"/>
          <w:headerReference r:id="rId3" w:type="default"/>
          <w:footerReference r:id="rId5" w:type="default"/>
          <w:pgSz w:w="11906" w:h="16838"/>
          <w:pgMar w:top="1440" w:right="1080" w:bottom="1440" w:left="1080" w:header="851" w:footer="992" w:gutter="0"/>
          <w:pgNumType w:start="0"/>
          <w:cols w:space="720" w:num="1"/>
          <w:titlePg/>
          <w:rtlGutter w:val="0"/>
          <w:docGrid w:type="lines" w:linePitch="312" w:charSpace="0"/>
        </w:sectPr>
      </w:pPr>
    </w:p>
    <w:p w14:paraId="67D9B472">
      <w:pPr>
        <w:rPr>
          <w:rFonts w:hint="eastAsia" w:ascii="宋体" w:hAnsi="宋体" w:eastAsia="宋体" w:cs="宋体"/>
          <w:b/>
          <w:color w:val="auto"/>
          <w:sz w:val="44"/>
          <w:szCs w:val="44"/>
          <w:highlight w:val="none"/>
        </w:rPr>
      </w:pPr>
    </w:p>
    <w:p w14:paraId="2CFDC3C4">
      <w:pPr>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目   录</w:t>
      </w:r>
    </w:p>
    <w:p w14:paraId="2B2D5527">
      <w:pPr>
        <w:spacing w:line="400" w:lineRule="exact"/>
        <w:jc w:val="center"/>
        <w:rPr>
          <w:rFonts w:hint="eastAsia" w:ascii="宋体" w:hAnsi="宋体" w:eastAsia="宋体" w:cs="宋体"/>
          <w:b/>
          <w:color w:val="auto"/>
          <w:sz w:val="44"/>
          <w:szCs w:val="44"/>
          <w:highlight w:val="none"/>
        </w:rPr>
      </w:pPr>
    </w:p>
    <w:p w14:paraId="6A2DBFFD">
      <w:pPr>
        <w:pStyle w:val="21"/>
        <w:keepNext w:val="0"/>
        <w:keepLines w:val="0"/>
        <w:pageBreakBefore w:val="0"/>
        <w:widowControl w:val="0"/>
        <w:tabs>
          <w:tab w:val="right" w:leader="dot" w:pos="9638"/>
        </w:tabs>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fldChar w:fldCharType="begin"/>
      </w:r>
      <w:r>
        <w:rPr>
          <w:rFonts w:hint="eastAsia" w:ascii="宋体" w:hAnsi="宋体" w:eastAsia="宋体" w:cs="宋体"/>
          <w:b/>
          <w:color w:val="auto"/>
          <w:sz w:val="24"/>
          <w:szCs w:val="24"/>
          <w:highlight w:val="none"/>
        </w:rPr>
        <w:instrText xml:space="preserve"> TOC \o "1-3" \h \z \u </w:instrText>
      </w:r>
      <w:r>
        <w:rPr>
          <w:rFonts w:hint="eastAsia" w:ascii="宋体" w:hAnsi="宋体" w:eastAsia="宋体" w:cs="宋体"/>
          <w:b/>
          <w:color w:val="auto"/>
          <w:sz w:val="24"/>
          <w:szCs w:val="24"/>
          <w:highlight w:val="none"/>
        </w:rPr>
        <w:fldChar w:fldCharType="separate"/>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_Toc21228 </w:instrText>
      </w:r>
      <w:r>
        <w:rPr>
          <w:rFonts w:hint="eastAsia" w:ascii="宋体" w:hAnsi="宋体" w:eastAsia="宋体" w:cs="宋体"/>
          <w:color w:val="auto"/>
          <w:sz w:val="24"/>
          <w:szCs w:val="24"/>
          <w:highlight w:val="none"/>
        </w:rPr>
        <w:fldChar w:fldCharType="separate"/>
      </w:r>
      <w:r>
        <w:rPr>
          <w:rFonts w:hint="eastAsia" w:ascii="宋体" w:hAnsi="宋体" w:eastAsia="宋体" w:cs="宋体"/>
          <w:bCs/>
          <w:color w:val="auto"/>
          <w:kern w:val="44"/>
          <w:sz w:val="24"/>
          <w:szCs w:val="24"/>
          <w:highlight w:val="none"/>
        </w:rPr>
        <w:t xml:space="preserve">第一章 </w:t>
      </w:r>
      <w:r>
        <w:rPr>
          <w:rFonts w:hint="eastAsia" w:ascii="宋体" w:hAnsi="宋体" w:cs="宋体"/>
          <w:bCs/>
          <w:color w:val="auto"/>
          <w:kern w:val="44"/>
          <w:sz w:val="24"/>
          <w:szCs w:val="24"/>
          <w:highlight w:val="none"/>
          <w:lang w:val="en-US" w:eastAsia="zh-CN"/>
        </w:rPr>
        <w:t xml:space="preserve"> </w:t>
      </w:r>
      <w:r>
        <w:rPr>
          <w:rFonts w:hint="eastAsia" w:ascii="宋体" w:hAnsi="宋体" w:eastAsia="宋体" w:cs="宋体"/>
          <w:bCs/>
          <w:color w:val="auto"/>
          <w:kern w:val="44"/>
          <w:sz w:val="24"/>
          <w:szCs w:val="24"/>
          <w:highlight w:val="none"/>
        </w:rPr>
        <w:t>竞争性磋商公告</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_Toc21228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004D9A9B">
      <w:pPr>
        <w:pStyle w:val="21"/>
        <w:keepNext w:val="0"/>
        <w:keepLines w:val="0"/>
        <w:pageBreakBefore w:val="0"/>
        <w:widowControl w:val="0"/>
        <w:tabs>
          <w:tab w:val="right" w:leader="dot" w:pos="9638"/>
        </w:tabs>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_Toc5857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kern w:val="44"/>
          <w:sz w:val="24"/>
          <w:szCs w:val="24"/>
          <w:highlight w:val="none"/>
        </w:rPr>
        <w:t xml:space="preserve">第二章 </w:t>
      </w:r>
      <w:r>
        <w:rPr>
          <w:rFonts w:hint="eastAsia" w:ascii="宋体" w:hAnsi="宋体" w:cs="宋体"/>
          <w:color w:val="auto"/>
          <w:kern w:val="44"/>
          <w:sz w:val="24"/>
          <w:szCs w:val="24"/>
          <w:highlight w:val="none"/>
          <w:lang w:val="en-US" w:eastAsia="zh-CN"/>
        </w:rPr>
        <w:t xml:space="preserve"> </w:t>
      </w:r>
      <w:r>
        <w:rPr>
          <w:rFonts w:hint="eastAsia" w:ascii="宋体" w:hAnsi="宋体" w:eastAsia="宋体" w:cs="宋体"/>
          <w:color w:val="auto"/>
          <w:kern w:val="44"/>
          <w:sz w:val="24"/>
          <w:szCs w:val="24"/>
          <w:highlight w:val="none"/>
        </w:rPr>
        <w:t>采购需求</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_Toc5857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1B54687B">
      <w:pPr>
        <w:pStyle w:val="21"/>
        <w:keepNext w:val="0"/>
        <w:keepLines w:val="0"/>
        <w:pageBreakBefore w:val="0"/>
        <w:widowControl w:val="0"/>
        <w:tabs>
          <w:tab w:val="right" w:leader="dot" w:pos="9638"/>
        </w:tabs>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_Toc9125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kern w:val="44"/>
          <w:sz w:val="24"/>
          <w:szCs w:val="24"/>
          <w:highlight w:val="none"/>
        </w:rPr>
        <w:t xml:space="preserve">第三章 </w:t>
      </w:r>
      <w:r>
        <w:rPr>
          <w:rFonts w:hint="eastAsia" w:ascii="宋体" w:hAnsi="宋体" w:cs="宋体"/>
          <w:color w:val="auto"/>
          <w:kern w:val="44"/>
          <w:sz w:val="24"/>
          <w:szCs w:val="24"/>
          <w:highlight w:val="none"/>
          <w:lang w:val="en-US" w:eastAsia="zh-CN"/>
        </w:rPr>
        <w:t xml:space="preserve"> </w:t>
      </w:r>
      <w:r>
        <w:rPr>
          <w:rFonts w:hint="eastAsia" w:ascii="宋体" w:hAnsi="宋体" w:eastAsia="宋体" w:cs="宋体"/>
          <w:color w:val="auto"/>
          <w:kern w:val="44"/>
          <w:sz w:val="24"/>
          <w:szCs w:val="24"/>
          <w:highlight w:val="none"/>
        </w:rPr>
        <w:t>供应商须知</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_Toc9125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64A93DCC">
      <w:pPr>
        <w:pStyle w:val="24"/>
        <w:keepNext w:val="0"/>
        <w:keepLines w:val="0"/>
        <w:pageBreakBefore w:val="0"/>
        <w:widowControl w:val="0"/>
        <w:tabs>
          <w:tab w:val="right" w:leader="dot" w:pos="9638"/>
          <w:tab w:val="clear" w:pos="8296"/>
        </w:tabs>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_Toc15583 </w:instrText>
      </w:r>
      <w:r>
        <w:rPr>
          <w:rFonts w:hint="eastAsia" w:ascii="宋体" w:hAnsi="宋体" w:eastAsia="宋体" w:cs="宋体"/>
          <w:color w:val="auto"/>
          <w:sz w:val="24"/>
          <w:szCs w:val="24"/>
          <w:highlight w:val="none"/>
        </w:rPr>
        <w:fldChar w:fldCharType="separate"/>
      </w:r>
      <w:r>
        <w:rPr>
          <w:rFonts w:hint="eastAsia" w:ascii="宋体" w:hAnsi="宋体" w:eastAsia="宋体" w:cs="宋体"/>
          <w:bCs/>
          <w:color w:val="auto"/>
          <w:sz w:val="24"/>
          <w:szCs w:val="24"/>
          <w:highlight w:val="none"/>
        </w:rPr>
        <w:t>第一节 供应商须知前附表</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_Toc15583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54E6C0ED">
      <w:pPr>
        <w:pStyle w:val="24"/>
        <w:keepNext w:val="0"/>
        <w:keepLines w:val="0"/>
        <w:pageBreakBefore w:val="0"/>
        <w:widowControl w:val="0"/>
        <w:tabs>
          <w:tab w:val="right" w:leader="dot" w:pos="9638"/>
          <w:tab w:val="clear" w:pos="8296"/>
        </w:tabs>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_Toc5715 </w:instrText>
      </w:r>
      <w:r>
        <w:rPr>
          <w:rFonts w:hint="eastAsia" w:ascii="宋体" w:hAnsi="宋体" w:eastAsia="宋体" w:cs="宋体"/>
          <w:color w:val="auto"/>
          <w:sz w:val="24"/>
          <w:szCs w:val="24"/>
          <w:highlight w:val="none"/>
        </w:rPr>
        <w:fldChar w:fldCharType="separate"/>
      </w:r>
      <w:r>
        <w:rPr>
          <w:rFonts w:hint="eastAsia" w:ascii="宋体" w:hAnsi="宋体" w:eastAsia="宋体" w:cs="宋体"/>
          <w:bCs/>
          <w:color w:val="auto"/>
          <w:sz w:val="24"/>
          <w:szCs w:val="24"/>
          <w:highlight w:val="none"/>
        </w:rPr>
        <w:t>第二节 供应商须知正文</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_Toc5715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11</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50B1091D">
      <w:pPr>
        <w:pStyle w:val="15"/>
        <w:keepNext w:val="0"/>
        <w:keepLines w:val="0"/>
        <w:pageBreakBefore w:val="0"/>
        <w:widowControl w:val="0"/>
        <w:tabs>
          <w:tab w:val="right" w:leader="dot" w:pos="9638"/>
        </w:tabs>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_Toc12165 </w:instrText>
      </w:r>
      <w:r>
        <w:rPr>
          <w:rFonts w:hint="eastAsia" w:ascii="宋体" w:hAnsi="宋体" w:eastAsia="宋体" w:cs="宋体"/>
          <w:color w:val="auto"/>
          <w:sz w:val="24"/>
          <w:szCs w:val="24"/>
          <w:highlight w:val="none"/>
        </w:rPr>
        <w:fldChar w:fldCharType="separate"/>
      </w:r>
      <w:r>
        <w:rPr>
          <w:rFonts w:hint="eastAsia" w:ascii="宋体" w:hAnsi="宋体" w:eastAsia="宋体" w:cs="宋体"/>
          <w:bCs/>
          <w:color w:val="auto"/>
          <w:sz w:val="24"/>
          <w:szCs w:val="24"/>
          <w:highlight w:val="none"/>
        </w:rPr>
        <w:t>一、总则</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_Toc12165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11</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0DB62B04">
      <w:pPr>
        <w:pStyle w:val="15"/>
        <w:keepNext w:val="0"/>
        <w:keepLines w:val="0"/>
        <w:pageBreakBefore w:val="0"/>
        <w:widowControl w:val="0"/>
        <w:tabs>
          <w:tab w:val="right" w:leader="dot" w:pos="9638"/>
        </w:tabs>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_Toc29811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二、磋商文件</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_Toc29811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13</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25EFD795">
      <w:pPr>
        <w:pStyle w:val="15"/>
        <w:keepNext w:val="0"/>
        <w:keepLines w:val="0"/>
        <w:pageBreakBefore w:val="0"/>
        <w:widowControl w:val="0"/>
        <w:tabs>
          <w:tab w:val="right" w:leader="dot" w:pos="9638"/>
        </w:tabs>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_Toc12429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三、响应文件的编制</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_Toc12429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14</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728F49F0">
      <w:pPr>
        <w:pStyle w:val="15"/>
        <w:keepNext w:val="0"/>
        <w:keepLines w:val="0"/>
        <w:pageBreakBefore w:val="0"/>
        <w:widowControl w:val="0"/>
        <w:tabs>
          <w:tab w:val="right" w:leader="dot" w:pos="9638"/>
        </w:tabs>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_Toc26182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四、评审及磋商</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_Toc26182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17</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2B6F22A4">
      <w:pPr>
        <w:pStyle w:val="15"/>
        <w:keepNext w:val="0"/>
        <w:keepLines w:val="0"/>
        <w:pageBreakBefore w:val="0"/>
        <w:widowControl w:val="0"/>
        <w:tabs>
          <w:tab w:val="right" w:leader="dot" w:pos="9638"/>
        </w:tabs>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_Toc9972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五、成交及合同</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_Toc9972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18</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37B00795">
      <w:pPr>
        <w:pStyle w:val="15"/>
        <w:keepNext w:val="0"/>
        <w:keepLines w:val="0"/>
        <w:pageBreakBefore w:val="0"/>
        <w:widowControl w:val="0"/>
        <w:tabs>
          <w:tab w:val="right" w:leader="dot" w:pos="9638"/>
        </w:tabs>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_Toc8074 </w:instrText>
      </w:r>
      <w:r>
        <w:rPr>
          <w:rFonts w:hint="eastAsia" w:ascii="宋体" w:hAnsi="宋体" w:eastAsia="宋体" w:cs="宋体"/>
          <w:color w:val="auto"/>
          <w:sz w:val="24"/>
          <w:szCs w:val="24"/>
          <w:highlight w:val="none"/>
        </w:rPr>
        <w:fldChar w:fldCharType="separate"/>
      </w:r>
      <w:r>
        <w:rPr>
          <w:rFonts w:hint="eastAsia" w:ascii="宋体" w:hAnsi="宋体" w:eastAsia="宋体" w:cs="宋体"/>
          <w:bCs/>
          <w:color w:val="auto"/>
          <w:sz w:val="24"/>
          <w:szCs w:val="24"/>
          <w:highlight w:val="none"/>
        </w:rPr>
        <w:t>六、验收</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_Toc8074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21</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16435880">
      <w:pPr>
        <w:pStyle w:val="15"/>
        <w:keepNext w:val="0"/>
        <w:keepLines w:val="0"/>
        <w:pageBreakBefore w:val="0"/>
        <w:widowControl w:val="0"/>
        <w:tabs>
          <w:tab w:val="right" w:leader="dot" w:pos="9638"/>
        </w:tabs>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_Toc9558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七、其他事项</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_Toc9558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22</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1D62BA9F">
      <w:pPr>
        <w:pStyle w:val="21"/>
        <w:keepNext w:val="0"/>
        <w:keepLines w:val="0"/>
        <w:pageBreakBefore w:val="0"/>
        <w:widowControl w:val="0"/>
        <w:tabs>
          <w:tab w:val="right" w:leader="dot" w:pos="9638"/>
        </w:tabs>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_Toc9978 </w:instrText>
      </w:r>
      <w:r>
        <w:rPr>
          <w:rFonts w:hint="eastAsia" w:ascii="宋体" w:hAnsi="宋体" w:eastAsia="宋体" w:cs="宋体"/>
          <w:color w:val="auto"/>
          <w:sz w:val="24"/>
          <w:szCs w:val="24"/>
          <w:highlight w:val="none"/>
        </w:rPr>
        <w:fldChar w:fldCharType="separate"/>
      </w:r>
      <w:r>
        <w:rPr>
          <w:rFonts w:hint="eastAsia" w:ascii="宋体" w:hAnsi="宋体" w:eastAsia="宋体" w:cs="宋体"/>
          <w:bCs/>
          <w:color w:val="auto"/>
          <w:kern w:val="44"/>
          <w:sz w:val="24"/>
          <w:szCs w:val="24"/>
          <w:highlight w:val="none"/>
        </w:rPr>
        <w:t>第四章  评审程序、评审方法和评审标准</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_Toc9978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23</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2CB7BDDD">
      <w:pPr>
        <w:pStyle w:val="24"/>
        <w:keepNext w:val="0"/>
        <w:keepLines w:val="0"/>
        <w:pageBreakBefore w:val="0"/>
        <w:widowControl w:val="0"/>
        <w:tabs>
          <w:tab w:val="right" w:leader="dot" w:pos="9638"/>
          <w:tab w:val="clear" w:pos="8296"/>
        </w:tabs>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_Toc994 </w:instrText>
      </w:r>
      <w:r>
        <w:rPr>
          <w:rFonts w:hint="eastAsia" w:ascii="宋体" w:hAnsi="宋体" w:eastAsia="宋体" w:cs="宋体"/>
          <w:color w:val="auto"/>
          <w:sz w:val="24"/>
          <w:szCs w:val="24"/>
          <w:highlight w:val="none"/>
        </w:rPr>
        <w:fldChar w:fldCharType="separate"/>
      </w:r>
      <w:r>
        <w:rPr>
          <w:rFonts w:hint="eastAsia" w:ascii="宋体" w:hAnsi="宋体" w:eastAsia="宋体" w:cs="宋体"/>
          <w:bCs/>
          <w:color w:val="auto"/>
          <w:sz w:val="24"/>
          <w:szCs w:val="24"/>
          <w:highlight w:val="none"/>
        </w:rPr>
        <w:t>第一节 评审程序和评审方法</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_Toc994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23</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1B6189B1">
      <w:pPr>
        <w:pStyle w:val="24"/>
        <w:keepNext w:val="0"/>
        <w:keepLines w:val="0"/>
        <w:pageBreakBefore w:val="0"/>
        <w:widowControl w:val="0"/>
        <w:tabs>
          <w:tab w:val="right" w:leader="dot" w:pos="9638"/>
          <w:tab w:val="clear" w:pos="8296"/>
        </w:tabs>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_Toc14052 </w:instrText>
      </w:r>
      <w:r>
        <w:rPr>
          <w:rFonts w:hint="eastAsia" w:ascii="宋体" w:hAnsi="宋体" w:eastAsia="宋体" w:cs="宋体"/>
          <w:color w:val="auto"/>
          <w:sz w:val="24"/>
          <w:szCs w:val="24"/>
          <w:highlight w:val="none"/>
        </w:rPr>
        <w:fldChar w:fldCharType="separate"/>
      </w:r>
      <w:r>
        <w:rPr>
          <w:rFonts w:hint="eastAsia" w:ascii="宋体" w:hAnsi="宋体" w:eastAsia="宋体" w:cs="宋体"/>
          <w:bCs/>
          <w:color w:val="auto"/>
          <w:sz w:val="24"/>
          <w:szCs w:val="24"/>
          <w:highlight w:val="none"/>
        </w:rPr>
        <w:t>第二节 评标报告</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_Toc14052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30</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29C9C073">
      <w:pPr>
        <w:pStyle w:val="24"/>
        <w:keepNext w:val="0"/>
        <w:keepLines w:val="0"/>
        <w:pageBreakBefore w:val="0"/>
        <w:widowControl w:val="0"/>
        <w:tabs>
          <w:tab w:val="right" w:leader="dot" w:pos="9638"/>
          <w:tab w:val="clear" w:pos="8296"/>
        </w:tabs>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_Toc13089 </w:instrText>
      </w:r>
      <w:r>
        <w:rPr>
          <w:rFonts w:hint="eastAsia" w:ascii="宋体" w:hAnsi="宋体" w:eastAsia="宋体" w:cs="宋体"/>
          <w:color w:val="auto"/>
          <w:sz w:val="24"/>
          <w:szCs w:val="24"/>
          <w:highlight w:val="none"/>
        </w:rPr>
        <w:fldChar w:fldCharType="separate"/>
      </w:r>
      <w:r>
        <w:rPr>
          <w:rFonts w:hint="eastAsia" w:ascii="宋体" w:hAnsi="宋体" w:eastAsia="宋体" w:cs="宋体"/>
          <w:bCs/>
          <w:color w:val="auto"/>
          <w:sz w:val="24"/>
          <w:szCs w:val="24"/>
          <w:highlight w:val="none"/>
        </w:rPr>
        <w:t>第三节 评审过程的保密与录像</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_Toc13089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30</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004C87C5">
      <w:pPr>
        <w:pStyle w:val="21"/>
        <w:keepNext w:val="0"/>
        <w:keepLines w:val="0"/>
        <w:pageBreakBefore w:val="0"/>
        <w:widowControl w:val="0"/>
        <w:tabs>
          <w:tab w:val="right" w:leader="dot" w:pos="9638"/>
        </w:tabs>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_Toc26450 </w:instrText>
      </w:r>
      <w:r>
        <w:rPr>
          <w:rFonts w:hint="eastAsia" w:ascii="宋体" w:hAnsi="宋体" w:eastAsia="宋体" w:cs="宋体"/>
          <w:color w:val="auto"/>
          <w:sz w:val="24"/>
          <w:szCs w:val="24"/>
          <w:highlight w:val="none"/>
        </w:rPr>
        <w:fldChar w:fldCharType="separate"/>
      </w:r>
      <w:r>
        <w:rPr>
          <w:rFonts w:hint="eastAsia" w:ascii="宋体" w:hAnsi="宋体" w:eastAsia="宋体" w:cs="宋体"/>
          <w:bCs/>
          <w:color w:val="auto"/>
          <w:kern w:val="44"/>
          <w:sz w:val="24"/>
          <w:szCs w:val="24"/>
          <w:highlight w:val="none"/>
        </w:rPr>
        <w:t xml:space="preserve">第五章 </w:t>
      </w:r>
      <w:r>
        <w:rPr>
          <w:rFonts w:hint="eastAsia" w:ascii="宋体" w:hAnsi="宋体" w:cs="宋体"/>
          <w:bCs/>
          <w:color w:val="auto"/>
          <w:kern w:val="44"/>
          <w:sz w:val="24"/>
          <w:szCs w:val="24"/>
          <w:highlight w:val="none"/>
          <w:lang w:val="en-US" w:eastAsia="zh-CN"/>
        </w:rPr>
        <w:t xml:space="preserve"> </w:t>
      </w:r>
      <w:r>
        <w:rPr>
          <w:rFonts w:hint="eastAsia" w:ascii="宋体" w:hAnsi="宋体" w:eastAsia="宋体" w:cs="宋体"/>
          <w:bCs/>
          <w:color w:val="auto"/>
          <w:kern w:val="44"/>
          <w:sz w:val="24"/>
          <w:szCs w:val="24"/>
          <w:highlight w:val="none"/>
        </w:rPr>
        <w:t>响应文件格式</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_Toc26450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31</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042811DB">
      <w:pPr>
        <w:pStyle w:val="21"/>
        <w:keepNext w:val="0"/>
        <w:keepLines w:val="0"/>
        <w:pageBreakBefore w:val="0"/>
        <w:widowControl w:val="0"/>
        <w:tabs>
          <w:tab w:val="right" w:leader="dot" w:pos="9638"/>
        </w:tabs>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_Toc25338 </w:instrText>
      </w:r>
      <w:r>
        <w:rPr>
          <w:rFonts w:hint="eastAsia" w:ascii="宋体" w:hAnsi="宋体" w:eastAsia="宋体" w:cs="宋体"/>
          <w:color w:val="auto"/>
          <w:sz w:val="24"/>
          <w:szCs w:val="24"/>
          <w:highlight w:val="none"/>
        </w:rPr>
        <w:fldChar w:fldCharType="separate"/>
      </w:r>
      <w:r>
        <w:rPr>
          <w:rFonts w:hint="eastAsia" w:ascii="宋体" w:hAnsi="宋体" w:eastAsia="宋体" w:cs="宋体"/>
          <w:bCs/>
          <w:color w:val="auto"/>
          <w:kern w:val="44"/>
          <w:sz w:val="24"/>
          <w:szCs w:val="24"/>
          <w:highlight w:val="none"/>
        </w:rPr>
        <w:t>第六章  合同文本</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_Toc25338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45</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6F214955">
      <w:pPr>
        <w:pStyle w:val="21"/>
        <w:keepNext w:val="0"/>
        <w:keepLines w:val="0"/>
        <w:pageBreakBefore w:val="0"/>
        <w:widowControl w:val="0"/>
        <w:tabs>
          <w:tab w:val="right" w:leader="dot" w:pos="9638"/>
        </w:tabs>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_Toc3113 </w:instrText>
      </w:r>
      <w:r>
        <w:rPr>
          <w:rFonts w:hint="eastAsia" w:ascii="宋体" w:hAnsi="宋体" w:eastAsia="宋体" w:cs="宋体"/>
          <w:color w:val="auto"/>
          <w:sz w:val="24"/>
          <w:szCs w:val="24"/>
          <w:highlight w:val="none"/>
        </w:rPr>
        <w:fldChar w:fldCharType="separate"/>
      </w:r>
      <w:r>
        <w:rPr>
          <w:rFonts w:hint="eastAsia" w:ascii="宋体" w:hAnsi="宋体" w:eastAsia="宋体" w:cs="宋体"/>
          <w:bCs w:val="0"/>
          <w:color w:val="auto"/>
          <w:kern w:val="44"/>
          <w:sz w:val="24"/>
          <w:szCs w:val="24"/>
          <w:highlight w:val="none"/>
        </w:rPr>
        <w:t xml:space="preserve">第七章 </w:t>
      </w:r>
      <w:r>
        <w:rPr>
          <w:rFonts w:hint="eastAsia" w:ascii="宋体" w:hAnsi="宋体" w:cs="宋体"/>
          <w:bCs w:val="0"/>
          <w:color w:val="auto"/>
          <w:kern w:val="44"/>
          <w:sz w:val="24"/>
          <w:szCs w:val="24"/>
          <w:highlight w:val="none"/>
          <w:lang w:val="en-US" w:eastAsia="zh-CN"/>
        </w:rPr>
        <w:t xml:space="preserve"> </w:t>
      </w:r>
      <w:r>
        <w:rPr>
          <w:rFonts w:hint="eastAsia" w:ascii="宋体" w:hAnsi="宋体" w:eastAsia="宋体" w:cs="宋体"/>
          <w:bCs w:val="0"/>
          <w:color w:val="auto"/>
          <w:kern w:val="44"/>
          <w:sz w:val="24"/>
          <w:szCs w:val="24"/>
          <w:highlight w:val="none"/>
        </w:rPr>
        <w:t>质疑、投诉材料格式</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_Toc3113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56</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569AEB44">
      <w:pPr>
        <w:pStyle w:val="21"/>
        <w:keepNext w:val="0"/>
        <w:keepLines w:val="0"/>
        <w:pageBreakBefore w:val="0"/>
        <w:widowControl w:val="0"/>
        <w:tabs>
          <w:tab w:val="right" w:leader="dot" w:pos="9638"/>
        </w:tabs>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_Toc15064 </w:instrText>
      </w:r>
      <w:r>
        <w:rPr>
          <w:rFonts w:hint="eastAsia" w:ascii="宋体" w:hAnsi="宋体" w:eastAsia="宋体" w:cs="宋体"/>
          <w:color w:val="auto"/>
          <w:sz w:val="24"/>
          <w:szCs w:val="24"/>
          <w:highlight w:val="none"/>
        </w:rPr>
        <w:fldChar w:fldCharType="separate"/>
      </w:r>
      <w:r>
        <w:rPr>
          <w:rFonts w:hint="eastAsia" w:ascii="宋体" w:hAnsi="宋体" w:eastAsia="宋体" w:cs="宋体"/>
          <w:bCs/>
          <w:color w:val="auto"/>
          <w:kern w:val="44"/>
          <w:sz w:val="24"/>
          <w:szCs w:val="24"/>
          <w:highlight w:val="none"/>
          <w:lang w:val="en-US" w:eastAsia="zh-CN" w:bidi="ar-SA"/>
        </w:rPr>
        <w:t xml:space="preserve">第八章 </w:t>
      </w:r>
      <w:r>
        <w:rPr>
          <w:rFonts w:hint="eastAsia" w:ascii="宋体" w:hAnsi="宋体" w:cs="宋体"/>
          <w:bCs/>
          <w:color w:val="auto"/>
          <w:kern w:val="44"/>
          <w:sz w:val="24"/>
          <w:szCs w:val="24"/>
          <w:highlight w:val="none"/>
          <w:lang w:val="en-US" w:eastAsia="zh-CN" w:bidi="ar-SA"/>
        </w:rPr>
        <w:t xml:space="preserve"> </w:t>
      </w:r>
      <w:r>
        <w:rPr>
          <w:rFonts w:hint="eastAsia" w:ascii="宋体" w:hAnsi="宋体" w:eastAsia="宋体" w:cs="宋体"/>
          <w:bCs/>
          <w:color w:val="auto"/>
          <w:kern w:val="44"/>
          <w:sz w:val="24"/>
          <w:szCs w:val="24"/>
          <w:highlight w:val="none"/>
          <w:lang w:val="en-US" w:eastAsia="zh-CN" w:bidi="ar-SA"/>
        </w:rPr>
        <w:t>政府采购合同验收书范本</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_Toc15064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61</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43D985D1">
      <w:pPr>
        <w:keepNext w:val="0"/>
        <w:keepLines w:val="0"/>
        <w:pageBreakBefore w:val="0"/>
        <w:widowControl w:val="0"/>
        <w:tabs>
          <w:tab w:val="right" w:leader="dot" w:pos="8296"/>
          <w:tab w:val="right" w:leader="dot" w:pos="8647"/>
        </w:tabs>
        <w:kinsoku/>
        <w:wordWrap/>
        <w:overflowPunct/>
        <w:topLinePunct w:val="0"/>
        <w:autoSpaceDE/>
        <w:autoSpaceDN/>
        <w:bidi w:val="0"/>
        <w:adjustRightInd/>
        <w:snapToGrid w:val="0"/>
        <w:spacing w:line="360" w:lineRule="auto"/>
        <w:ind w:right="231" w:rightChars="11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4"/>
          <w:szCs w:val="24"/>
          <w:highlight w:val="none"/>
        </w:rPr>
        <w:fldChar w:fldCharType="end"/>
      </w:r>
    </w:p>
    <w:p w14:paraId="7A51CE22">
      <w:pPr>
        <w:spacing w:line="400" w:lineRule="exact"/>
        <w:jc w:val="left"/>
        <w:rPr>
          <w:rFonts w:hint="eastAsia" w:ascii="宋体" w:hAnsi="宋体" w:eastAsia="宋体" w:cs="宋体"/>
          <w:b/>
          <w:color w:val="auto"/>
          <w:sz w:val="32"/>
          <w:szCs w:val="32"/>
          <w:highlight w:val="none"/>
        </w:rPr>
      </w:pPr>
    </w:p>
    <w:p w14:paraId="69FDE6C4">
      <w:pPr>
        <w:spacing w:line="400" w:lineRule="exact"/>
        <w:rPr>
          <w:rFonts w:hint="eastAsia" w:ascii="宋体" w:hAnsi="宋体" w:eastAsia="宋体" w:cs="宋体"/>
          <w:b/>
          <w:color w:val="auto"/>
          <w:sz w:val="32"/>
          <w:szCs w:val="32"/>
          <w:highlight w:val="none"/>
        </w:rPr>
        <w:sectPr>
          <w:pgSz w:w="11906" w:h="16838"/>
          <w:pgMar w:top="1440" w:right="1080" w:bottom="1440" w:left="1080" w:header="851" w:footer="992" w:gutter="0"/>
          <w:pgNumType w:start="0"/>
          <w:cols w:space="720" w:num="1"/>
          <w:titlePg/>
          <w:rtlGutter w:val="0"/>
          <w:docGrid w:type="lines" w:linePitch="312" w:charSpace="0"/>
        </w:sectPr>
      </w:pPr>
    </w:p>
    <w:p w14:paraId="7D317D75">
      <w:pPr>
        <w:spacing w:line="360" w:lineRule="auto"/>
        <w:ind w:firstLine="643" w:firstLineChars="200"/>
        <w:jc w:val="center"/>
        <w:outlineLvl w:val="0"/>
        <w:rPr>
          <w:rFonts w:hint="eastAsia" w:ascii="宋体" w:hAnsi="宋体" w:eastAsia="宋体" w:cs="宋体"/>
          <w:b/>
          <w:color w:val="auto"/>
          <w:kern w:val="44"/>
          <w:sz w:val="32"/>
          <w:szCs w:val="32"/>
          <w:highlight w:val="none"/>
        </w:rPr>
      </w:pPr>
      <w:bookmarkStart w:id="0" w:name="_Toc21228"/>
      <w:r>
        <w:rPr>
          <w:rFonts w:hint="eastAsia" w:ascii="宋体" w:hAnsi="宋体" w:eastAsia="宋体" w:cs="宋体"/>
          <w:b/>
          <w:color w:val="auto"/>
          <w:kern w:val="44"/>
          <w:sz w:val="32"/>
          <w:szCs w:val="32"/>
          <w:highlight w:val="none"/>
        </w:rPr>
        <w:t xml:space="preserve">第一章 </w:t>
      </w:r>
      <w:r>
        <w:rPr>
          <w:rFonts w:hint="eastAsia" w:ascii="宋体" w:hAnsi="宋体" w:cs="宋体"/>
          <w:b/>
          <w:color w:val="auto"/>
          <w:kern w:val="44"/>
          <w:sz w:val="32"/>
          <w:szCs w:val="32"/>
          <w:highlight w:val="none"/>
          <w:lang w:val="en-US" w:eastAsia="zh-CN"/>
        </w:rPr>
        <w:t xml:space="preserve"> </w:t>
      </w:r>
      <w:r>
        <w:rPr>
          <w:rFonts w:hint="eastAsia" w:ascii="宋体" w:hAnsi="宋体" w:eastAsia="宋体" w:cs="宋体"/>
          <w:b/>
          <w:color w:val="auto"/>
          <w:kern w:val="44"/>
          <w:sz w:val="32"/>
          <w:szCs w:val="32"/>
          <w:highlight w:val="none"/>
        </w:rPr>
        <w:t>竞争性磋商公告</w:t>
      </w:r>
      <w:bookmarkEnd w:id="0"/>
      <w:bookmarkStart w:id="1" w:name="_Toc35393798"/>
      <w:bookmarkStart w:id="2" w:name="_Toc28359012"/>
      <w:bookmarkStart w:id="3" w:name="_Toc44229878"/>
      <w:bookmarkStart w:id="4" w:name="_Toc35393629"/>
      <w:bookmarkStart w:id="5" w:name="_Toc28359089"/>
      <w:bookmarkStart w:id="6" w:name="_Toc35393792"/>
      <w:bookmarkStart w:id="7" w:name="_Toc28359004"/>
      <w:bookmarkStart w:id="8" w:name="_Toc35393623"/>
      <w:bookmarkStart w:id="9" w:name="_Toc28359081"/>
    </w:p>
    <w:p w14:paraId="090BCE32">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val="0"/>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项目概况</w:t>
      </w:r>
    </w:p>
    <w:p w14:paraId="60E92747">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val="0"/>
        <w:spacing w:line="360" w:lineRule="auto"/>
        <w:ind w:firstLine="550" w:firstLineChars="250"/>
        <w:textAlignment w:val="auto"/>
        <w:rPr>
          <w:rFonts w:hint="eastAsia" w:ascii="宋体" w:hAnsi="宋体" w:eastAsia="宋体" w:cs="宋体"/>
          <w:color w:val="auto"/>
          <w:sz w:val="22"/>
          <w:szCs w:val="22"/>
          <w:highlight w:val="none"/>
          <w:u w:val="single"/>
        </w:rPr>
      </w:pPr>
      <w:r>
        <w:rPr>
          <w:rFonts w:hint="eastAsia" w:ascii="宋体" w:hAnsi="宋体" w:cs="宋体"/>
          <w:color w:val="auto"/>
          <w:sz w:val="22"/>
          <w:szCs w:val="22"/>
          <w:highlight w:val="none"/>
          <w:u w:val="single"/>
          <w:lang w:eastAsia="zh-CN"/>
        </w:rPr>
        <w:t>2025年柳城县东泉镇垃圾清运服务项目</w:t>
      </w:r>
      <w:r>
        <w:rPr>
          <w:rFonts w:hint="eastAsia" w:ascii="宋体" w:hAnsi="宋体" w:eastAsia="宋体" w:cs="宋体"/>
          <w:color w:val="auto"/>
          <w:sz w:val="22"/>
          <w:szCs w:val="22"/>
          <w:highlight w:val="none"/>
        </w:rPr>
        <w:t>的潜在供应商应在广西政府采购云平台（https</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rPr>
        <w:t>//www.gcy.zfcg.gxzf.gov.cn/）获取采购文件</w:t>
      </w:r>
      <w:r>
        <w:rPr>
          <w:rFonts w:hint="eastAsia" w:ascii="宋体" w:hAnsi="宋体" w:eastAsia="宋体" w:cs="宋体"/>
          <w:color w:val="auto"/>
          <w:sz w:val="22"/>
          <w:szCs w:val="22"/>
          <w:highlight w:val="none"/>
          <w:u w:val="none"/>
        </w:rPr>
        <w:t>，并于</w:t>
      </w:r>
      <w:r>
        <w:rPr>
          <w:rFonts w:hint="eastAsia" w:ascii="宋体" w:hAnsi="宋体" w:cs="宋体"/>
          <w:color w:val="auto"/>
          <w:sz w:val="22"/>
          <w:szCs w:val="22"/>
          <w:highlight w:val="none"/>
          <w:u w:val="single"/>
          <w:lang w:eastAsia="zh-CN"/>
        </w:rPr>
        <w:t>2025年</w:t>
      </w:r>
      <w:r>
        <w:rPr>
          <w:rFonts w:hint="eastAsia" w:ascii="宋体" w:hAnsi="宋体" w:cs="宋体"/>
          <w:color w:val="auto"/>
          <w:sz w:val="22"/>
          <w:szCs w:val="22"/>
          <w:highlight w:val="none"/>
          <w:u w:val="single"/>
          <w:lang w:val="en-US" w:eastAsia="zh-CN"/>
        </w:rPr>
        <w:t>5</w:t>
      </w:r>
      <w:r>
        <w:rPr>
          <w:rFonts w:hint="eastAsia" w:ascii="宋体" w:hAnsi="宋体" w:cs="宋体"/>
          <w:color w:val="auto"/>
          <w:sz w:val="22"/>
          <w:szCs w:val="22"/>
          <w:highlight w:val="none"/>
          <w:u w:val="single"/>
          <w:lang w:eastAsia="zh-CN"/>
        </w:rPr>
        <w:t>月</w:t>
      </w:r>
      <w:r>
        <w:rPr>
          <w:rFonts w:hint="eastAsia" w:ascii="宋体" w:hAnsi="宋体" w:cs="宋体"/>
          <w:color w:val="auto"/>
          <w:sz w:val="22"/>
          <w:szCs w:val="22"/>
          <w:highlight w:val="none"/>
          <w:u w:val="single"/>
          <w:lang w:val="en-US" w:eastAsia="zh-CN"/>
        </w:rPr>
        <w:t>21</w:t>
      </w:r>
      <w:r>
        <w:rPr>
          <w:rFonts w:hint="eastAsia" w:ascii="宋体" w:hAnsi="宋体" w:cs="宋体"/>
          <w:color w:val="auto"/>
          <w:sz w:val="22"/>
          <w:szCs w:val="22"/>
          <w:highlight w:val="none"/>
          <w:u w:val="single"/>
          <w:lang w:eastAsia="zh-CN"/>
        </w:rPr>
        <w:t>日</w:t>
      </w:r>
      <w:r>
        <w:rPr>
          <w:rFonts w:hint="eastAsia" w:ascii="宋体" w:hAnsi="宋体" w:eastAsia="宋体" w:cs="宋体"/>
          <w:color w:val="auto"/>
          <w:sz w:val="22"/>
          <w:szCs w:val="22"/>
          <w:highlight w:val="none"/>
          <w:u w:val="single"/>
        </w:rPr>
        <w:t>09</w:t>
      </w:r>
      <w:r>
        <w:rPr>
          <w:rFonts w:hint="eastAsia" w:ascii="宋体" w:hAnsi="宋体" w:cs="宋体"/>
          <w:color w:val="auto"/>
          <w:sz w:val="22"/>
          <w:szCs w:val="22"/>
          <w:highlight w:val="none"/>
          <w:u w:val="single"/>
          <w:lang w:eastAsia="zh-CN"/>
        </w:rPr>
        <w:t>：</w:t>
      </w:r>
      <w:r>
        <w:rPr>
          <w:rFonts w:hint="eastAsia" w:ascii="宋体" w:hAnsi="宋体" w:cs="宋体"/>
          <w:color w:val="auto"/>
          <w:sz w:val="22"/>
          <w:szCs w:val="22"/>
          <w:highlight w:val="none"/>
          <w:u w:val="single"/>
          <w:lang w:val="en-US" w:eastAsia="zh-CN"/>
        </w:rPr>
        <w:t>20</w:t>
      </w:r>
      <w:r>
        <w:rPr>
          <w:rFonts w:hint="eastAsia" w:ascii="宋体" w:hAnsi="宋体" w:eastAsia="宋体" w:cs="宋体"/>
          <w:bCs/>
          <w:color w:val="auto"/>
          <w:sz w:val="22"/>
          <w:szCs w:val="22"/>
          <w:highlight w:val="none"/>
        </w:rPr>
        <w:t>（北京时间）前</w:t>
      </w:r>
      <w:r>
        <w:rPr>
          <w:rFonts w:hint="eastAsia" w:ascii="宋体" w:hAnsi="宋体" w:eastAsia="宋体" w:cs="宋体"/>
          <w:color w:val="auto"/>
          <w:sz w:val="22"/>
          <w:szCs w:val="22"/>
          <w:highlight w:val="none"/>
        </w:rPr>
        <w:t>递交（上传）响应文件。</w:t>
      </w:r>
    </w:p>
    <w:p w14:paraId="38E8EEB7">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b/>
          <w:bCs w:val="0"/>
          <w:color w:val="auto"/>
          <w:sz w:val="22"/>
          <w:szCs w:val="22"/>
          <w:highlight w:val="none"/>
        </w:rPr>
      </w:pPr>
      <w:r>
        <w:rPr>
          <w:rFonts w:hint="eastAsia" w:ascii="宋体" w:hAnsi="宋体" w:eastAsia="宋体" w:cs="宋体"/>
          <w:b/>
          <w:bCs w:val="0"/>
          <w:color w:val="auto"/>
          <w:sz w:val="22"/>
          <w:szCs w:val="22"/>
          <w:highlight w:val="none"/>
        </w:rPr>
        <w:t>一、项目基本情况</w:t>
      </w:r>
      <w:bookmarkEnd w:id="1"/>
      <w:bookmarkEnd w:id="2"/>
      <w:bookmarkEnd w:id="3"/>
      <w:bookmarkEnd w:id="4"/>
      <w:bookmarkEnd w:id="5"/>
    </w:p>
    <w:p w14:paraId="5E27B06F">
      <w:pPr>
        <w:keepNext w:val="0"/>
        <w:keepLines w:val="0"/>
        <w:pageBreakBefore w:val="0"/>
        <w:widowControl w:val="0"/>
        <w:kinsoku/>
        <w:wordWrap/>
        <w:overflowPunct/>
        <w:topLinePunct w:val="0"/>
        <w:autoSpaceDE/>
        <w:autoSpaceDN/>
        <w:bidi w:val="0"/>
        <w:adjustRightInd/>
        <w:snapToGrid w:val="0"/>
        <w:spacing w:line="360" w:lineRule="auto"/>
        <w:ind w:firstLine="440" w:firstLineChars="200"/>
        <w:textAlignment w:val="auto"/>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eastAsia="zh-CN"/>
        </w:rPr>
        <w:t>项目编号：LZZC2025-C3-220028-GXGG</w:t>
      </w:r>
    </w:p>
    <w:p w14:paraId="0D60A195">
      <w:pPr>
        <w:keepNext w:val="0"/>
        <w:keepLines w:val="0"/>
        <w:pageBreakBefore w:val="0"/>
        <w:widowControl w:val="0"/>
        <w:kinsoku/>
        <w:wordWrap/>
        <w:overflowPunct/>
        <w:topLinePunct w:val="0"/>
        <w:autoSpaceDE/>
        <w:autoSpaceDN/>
        <w:bidi w:val="0"/>
        <w:adjustRightInd/>
        <w:snapToGrid w:val="0"/>
        <w:spacing w:line="360" w:lineRule="auto"/>
        <w:ind w:firstLine="440" w:firstLineChars="200"/>
        <w:textAlignment w:val="auto"/>
        <w:rPr>
          <w:rFonts w:hint="eastAsia" w:ascii="宋体" w:hAnsi="宋体" w:eastAsia="宋体" w:cs="宋体"/>
          <w:color w:val="auto"/>
          <w:sz w:val="22"/>
          <w:szCs w:val="22"/>
          <w:highlight w:val="none"/>
          <w:u w:val="single"/>
          <w:lang w:eastAsia="zh-CN"/>
        </w:rPr>
      </w:pPr>
      <w:r>
        <w:rPr>
          <w:rFonts w:hint="eastAsia" w:ascii="宋体" w:hAnsi="宋体" w:eastAsia="宋体" w:cs="宋体"/>
          <w:color w:val="auto"/>
          <w:sz w:val="22"/>
          <w:szCs w:val="22"/>
          <w:highlight w:val="none"/>
        </w:rPr>
        <w:t>项目名称：</w:t>
      </w:r>
      <w:r>
        <w:rPr>
          <w:rFonts w:hint="eastAsia" w:ascii="宋体" w:hAnsi="宋体" w:cs="宋体"/>
          <w:color w:val="auto"/>
          <w:sz w:val="22"/>
          <w:szCs w:val="22"/>
          <w:highlight w:val="none"/>
          <w:lang w:eastAsia="zh-CN"/>
        </w:rPr>
        <w:t>2025年柳城县东泉镇垃圾清运服务项目</w:t>
      </w:r>
    </w:p>
    <w:p w14:paraId="37E1A796">
      <w:pPr>
        <w:keepNext w:val="0"/>
        <w:keepLines w:val="0"/>
        <w:pageBreakBefore w:val="0"/>
        <w:widowControl w:val="0"/>
        <w:kinsoku/>
        <w:wordWrap/>
        <w:overflowPunct/>
        <w:topLinePunct w:val="0"/>
        <w:autoSpaceDE/>
        <w:autoSpaceDN/>
        <w:bidi w:val="0"/>
        <w:adjustRightInd/>
        <w:snapToGrid w:val="0"/>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采购方式：竞争性磋商</w:t>
      </w:r>
    </w:p>
    <w:p w14:paraId="36D04081">
      <w:pPr>
        <w:keepNext w:val="0"/>
        <w:keepLines w:val="0"/>
        <w:pageBreakBefore w:val="0"/>
        <w:widowControl w:val="0"/>
        <w:kinsoku/>
        <w:wordWrap/>
        <w:overflowPunct/>
        <w:topLinePunct w:val="0"/>
        <w:autoSpaceDE/>
        <w:autoSpaceDN/>
        <w:bidi w:val="0"/>
        <w:adjustRightInd/>
        <w:snapToGrid w:val="0"/>
        <w:spacing w:line="360" w:lineRule="auto"/>
        <w:ind w:firstLine="440" w:firstLineChars="20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预算总金额（元）：</w:t>
      </w:r>
      <w:r>
        <w:rPr>
          <w:rFonts w:hint="eastAsia" w:ascii="宋体" w:hAnsi="宋体" w:cs="宋体"/>
          <w:color w:val="auto"/>
          <w:sz w:val="22"/>
          <w:szCs w:val="22"/>
          <w:highlight w:val="none"/>
          <w:lang w:eastAsia="zh-CN"/>
        </w:rPr>
        <w:t>1363960.00</w:t>
      </w:r>
    </w:p>
    <w:p w14:paraId="0546D8F5">
      <w:pPr>
        <w:keepNext w:val="0"/>
        <w:keepLines w:val="0"/>
        <w:pageBreakBefore w:val="0"/>
        <w:widowControl w:val="0"/>
        <w:kinsoku/>
        <w:wordWrap/>
        <w:overflowPunct/>
        <w:topLinePunct w:val="0"/>
        <w:autoSpaceDE/>
        <w:autoSpaceDN/>
        <w:bidi w:val="0"/>
        <w:adjustRightInd/>
        <w:snapToGrid w:val="0"/>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采购需求：</w:t>
      </w:r>
    </w:p>
    <w:p w14:paraId="358DCE23">
      <w:pPr>
        <w:keepNext w:val="0"/>
        <w:keepLines w:val="0"/>
        <w:pageBreakBefore w:val="0"/>
        <w:widowControl w:val="0"/>
        <w:kinsoku/>
        <w:wordWrap/>
        <w:overflowPunct/>
        <w:topLinePunct w:val="0"/>
        <w:autoSpaceDE/>
        <w:autoSpaceDN/>
        <w:bidi w:val="0"/>
        <w:adjustRightInd/>
        <w:snapToGrid w:val="0"/>
        <w:spacing w:line="360" w:lineRule="auto"/>
        <w:ind w:firstLine="440" w:firstLineChars="200"/>
        <w:textAlignment w:val="auto"/>
        <w:rPr>
          <w:rFonts w:hint="eastAsia" w:ascii="宋体" w:hAnsi="宋体" w:eastAsia="宋体" w:cs="宋体"/>
          <w:color w:val="auto"/>
          <w:sz w:val="22"/>
          <w:szCs w:val="22"/>
          <w:highlight w:val="none"/>
        </w:rPr>
      </w:pPr>
    </w:p>
    <w:p w14:paraId="787079F2">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rPr>
        <w:t>标项名称</w:t>
      </w:r>
      <w:r>
        <w:rPr>
          <w:rFonts w:hint="eastAsia" w:ascii="仿宋" w:hAnsi="仿宋" w:eastAsia="仿宋" w:cs="仿宋"/>
          <w:color w:val="auto"/>
          <w:sz w:val="22"/>
          <w:szCs w:val="22"/>
          <w:highlight w:val="none"/>
          <w:lang w:eastAsia="zh-CN"/>
        </w:rPr>
        <w:t>：2025年柳城县东泉镇垃圾清运服务项目</w:t>
      </w:r>
    </w:p>
    <w:p w14:paraId="05C3F22B">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default"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数量：1项</w:t>
      </w:r>
    </w:p>
    <w:p w14:paraId="0F1C48F6">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rPr>
        <w:t>预算金额（元）：</w:t>
      </w:r>
      <w:r>
        <w:rPr>
          <w:rFonts w:hint="eastAsia" w:ascii="仿宋" w:hAnsi="仿宋" w:eastAsia="仿宋" w:cs="仿宋"/>
          <w:color w:val="auto"/>
          <w:sz w:val="22"/>
          <w:szCs w:val="22"/>
          <w:highlight w:val="none"/>
          <w:lang w:eastAsia="zh-CN"/>
        </w:rPr>
        <w:t>1363960.00</w:t>
      </w:r>
    </w:p>
    <w:p w14:paraId="64FD53B0">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rPr>
        <w:t>简要规格描述或项目基本概况介绍、用途：</w:t>
      </w:r>
      <w:r>
        <w:rPr>
          <w:rFonts w:hint="eastAsia" w:ascii="仿宋" w:hAnsi="仿宋" w:eastAsia="仿宋" w:cs="仿宋"/>
          <w:color w:val="auto"/>
          <w:kern w:val="0"/>
          <w:sz w:val="22"/>
          <w:szCs w:val="22"/>
          <w:highlight w:val="none"/>
        </w:rPr>
        <w:t>详见</w:t>
      </w:r>
      <w:r>
        <w:rPr>
          <w:rFonts w:hint="eastAsia" w:ascii="仿宋" w:hAnsi="仿宋" w:eastAsia="仿宋" w:cs="仿宋"/>
          <w:color w:val="auto"/>
          <w:kern w:val="0"/>
          <w:sz w:val="22"/>
          <w:szCs w:val="22"/>
          <w:highlight w:val="none"/>
          <w:lang w:val="en-US" w:eastAsia="zh-CN"/>
        </w:rPr>
        <w:t>采购</w:t>
      </w:r>
      <w:r>
        <w:rPr>
          <w:rFonts w:hint="eastAsia" w:ascii="仿宋" w:hAnsi="仿宋" w:eastAsia="仿宋" w:cs="仿宋"/>
          <w:color w:val="auto"/>
          <w:kern w:val="0"/>
          <w:sz w:val="22"/>
          <w:szCs w:val="22"/>
          <w:highlight w:val="none"/>
        </w:rPr>
        <w:t>文件</w:t>
      </w:r>
    </w:p>
    <w:p w14:paraId="2E27825B">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default"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rPr>
        <w:t>最高限价</w:t>
      </w:r>
      <w:r>
        <w:rPr>
          <w:rFonts w:hint="eastAsia" w:ascii="仿宋" w:hAnsi="仿宋" w:eastAsia="仿宋" w:cs="仿宋"/>
          <w:color w:val="auto"/>
          <w:sz w:val="22"/>
          <w:szCs w:val="22"/>
          <w:highlight w:val="none"/>
          <w:lang w:eastAsia="zh-CN"/>
        </w:rPr>
        <w:t>（</w:t>
      </w:r>
      <w:r>
        <w:rPr>
          <w:rFonts w:hint="eastAsia" w:ascii="仿宋" w:hAnsi="仿宋" w:eastAsia="仿宋" w:cs="仿宋"/>
          <w:color w:val="auto"/>
          <w:sz w:val="22"/>
          <w:szCs w:val="22"/>
          <w:highlight w:val="none"/>
          <w:lang w:val="en-US" w:eastAsia="zh-CN"/>
        </w:rPr>
        <w:t>元</w:t>
      </w:r>
      <w:r>
        <w:rPr>
          <w:rFonts w:hint="eastAsia" w:ascii="仿宋" w:hAnsi="仿宋" w:eastAsia="仿宋" w:cs="仿宋"/>
          <w:color w:val="auto"/>
          <w:sz w:val="22"/>
          <w:szCs w:val="22"/>
          <w:highlight w:val="none"/>
          <w:lang w:eastAsia="zh-CN"/>
        </w:rPr>
        <w:t>）</w:t>
      </w:r>
      <w:r>
        <w:rPr>
          <w:rFonts w:hint="eastAsia" w:ascii="仿宋" w:hAnsi="仿宋" w:eastAsia="仿宋" w:cs="仿宋"/>
          <w:color w:val="auto"/>
          <w:sz w:val="22"/>
          <w:szCs w:val="22"/>
          <w:highlight w:val="none"/>
        </w:rPr>
        <w:t>：</w:t>
      </w:r>
      <w:r>
        <w:rPr>
          <w:rFonts w:hint="eastAsia" w:ascii="仿宋" w:hAnsi="仿宋" w:eastAsia="仿宋" w:cs="仿宋"/>
          <w:color w:val="auto"/>
          <w:sz w:val="22"/>
          <w:szCs w:val="22"/>
          <w:highlight w:val="none"/>
          <w:lang w:val="en-US" w:eastAsia="zh-CN"/>
        </w:rPr>
        <w:t>1336680.00</w:t>
      </w:r>
    </w:p>
    <w:p w14:paraId="3863F44E">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仿宋" w:hAnsi="仿宋" w:eastAsia="仿宋" w:cs="仿宋"/>
          <w:color w:val="auto"/>
          <w:sz w:val="22"/>
          <w:szCs w:val="22"/>
          <w:highlight w:val="none"/>
          <w:u w:val="single"/>
        </w:rPr>
      </w:pPr>
      <w:r>
        <w:rPr>
          <w:rFonts w:hint="eastAsia" w:ascii="仿宋" w:hAnsi="仿宋" w:eastAsia="仿宋" w:cs="仿宋"/>
          <w:color w:val="auto"/>
          <w:sz w:val="22"/>
          <w:szCs w:val="22"/>
          <w:highlight w:val="none"/>
        </w:rPr>
        <w:t>合同履行期限：1年，具体起止时间以合同签订为准。本项目合同履约到期或结束后，采购人依据本项目的服务履约评价情况及实际需求，并根据《财政部关于推进和完善服务项目政府有关问题的通知》（财库〔2014〕37号）及《政府购买服务管理办法》（财政部令第102号）等规定，在年度预算保障的前提下，对于购买内容（采购需求）相对固定、连续（延续）性强、经费来源稳定、价格变化幅度小的政府采购服务项目，通过一年一续签方式签订合同，期限总长不得超过二年。</w:t>
      </w:r>
    </w:p>
    <w:p w14:paraId="54E5CDDD">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仿宋" w:hAnsi="仿宋" w:eastAsia="仿宋" w:cs="仿宋"/>
          <w:color w:val="auto"/>
          <w:sz w:val="22"/>
          <w:szCs w:val="22"/>
          <w:highlight w:val="none"/>
          <w:u w:val="none"/>
        </w:rPr>
      </w:pPr>
      <w:r>
        <w:rPr>
          <w:rFonts w:hint="eastAsia" w:ascii="仿宋" w:hAnsi="仿宋" w:eastAsia="仿宋" w:cs="仿宋"/>
          <w:color w:val="auto"/>
          <w:sz w:val="22"/>
          <w:szCs w:val="22"/>
          <w:highlight w:val="none"/>
        </w:rPr>
        <w:t>本标项</w:t>
      </w:r>
      <w:r>
        <w:rPr>
          <w:rFonts w:hint="eastAsia" w:ascii="仿宋" w:hAnsi="仿宋" w:eastAsia="仿宋" w:cs="仿宋"/>
          <w:color w:val="auto"/>
          <w:sz w:val="22"/>
          <w:szCs w:val="22"/>
          <w:highlight w:val="none"/>
          <w:u w:val="none"/>
        </w:rPr>
        <w:t>（否）接受联合体投标</w:t>
      </w:r>
    </w:p>
    <w:p w14:paraId="02E3D7BF">
      <w:pPr>
        <w:pStyle w:val="30"/>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宋体"/>
          <w:sz w:val="22"/>
          <w:szCs w:val="22"/>
          <w:highlight w:val="none"/>
          <w:lang w:val="en-US" w:eastAsia="zh-CN"/>
        </w:rPr>
      </w:pPr>
      <w:r>
        <w:rPr>
          <w:rFonts w:hint="eastAsia" w:ascii="仿宋" w:hAnsi="仿宋" w:eastAsia="仿宋" w:cs="仿宋"/>
          <w:color w:val="auto"/>
          <w:sz w:val="22"/>
          <w:szCs w:val="22"/>
          <w:highlight w:val="none"/>
          <w:u w:val="none"/>
          <w:lang w:val="en-US" w:eastAsia="zh-CN"/>
        </w:rPr>
        <w:t>备注：本项目为线上电子招标项目，采用远程异地评标，有意向参与本项目的供应商应当做好参与全流程电子招投标交易的充分准备。</w:t>
      </w:r>
    </w:p>
    <w:p w14:paraId="6D689671">
      <w:pPr>
        <w:pStyle w:val="29"/>
        <w:rPr>
          <w:rFonts w:hint="eastAsia" w:ascii="宋体" w:hAnsi="宋体" w:eastAsia="宋体" w:cs="宋体"/>
          <w:sz w:val="22"/>
          <w:szCs w:val="22"/>
          <w:highlight w:val="none"/>
        </w:rPr>
      </w:pPr>
      <w:bookmarkStart w:id="10" w:name="_Toc35393799"/>
      <w:bookmarkStart w:id="11" w:name="_Toc35393630"/>
      <w:bookmarkStart w:id="12" w:name="_Toc28359013"/>
      <w:bookmarkStart w:id="13" w:name="_Toc28359090"/>
      <w:bookmarkStart w:id="14" w:name="_Toc44229879"/>
    </w:p>
    <w:p w14:paraId="5B3C2E60">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bCs/>
          <w:color w:val="auto"/>
          <w:sz w:val="22"/>
          <w:szCs w:val="22"/>
          <w:highlight w:val="none"/>
        </w:rPr>
      </w:pPr>
      <w:r>
        <w:rPr>
          <w:rFonts w:hint="eastAsia" w:ascii="宋体" w:hAnsi="宋体" w:eastAsia="宋体" w:cs="宋体"/>
          <w:b/>
          <w:color w:val="auto"/>
          <w:kern w:val="44"/>
          <w:sz w:val="22"/>
          <w:szCs w:val="22"/>
          <w:highlight w:val="none"/>
        </w:rPr>
        <w:t>二、申请人的资格条件</w:t>
      </w:r>
      <w:bookmarkEnd w:id="10"/>
      <w:bookmarkEnd w:id="11"/>
      <w:bookmarkEnd w:id="12"/>
      <w:bookmarkEnd w:id="13"/>
      <w:bookmarkEnd w:id="14"/>
    </w:p>
    <w:p w14:paraId="6AEB72A1">
      <w:pPr>
        <w:keepNext w:val="0"/>
        <w:keepLines w:val="0"/>
        <w:pageBreakBefore w:val="0"/>
        <w:widowControl w:val="0"/>
        <w:kinsoku/>
        <w:wordWrap/>
        <w:overflowPunct/>
        <w:topLinePunct w:val="0"/>
        <w:autoSpaceDE/>
        <w:autoSpaceDN/>
        <w:bidi w:val="0"/>
        <w:adjustRightInd/>
        <w:snapToGrid w:val="0"/>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1.满足《中华人民共和国政府采购法》第二十二条规定；</w:t>
      </w:r>
    </w:p>
    <w:p w14:paraId="14573270">
      <w:pPr>
        <w:keepNext w:val="0"/>
        <w:keepLines w:val="0"/>
        <w:pageBreakBefore w:val="0"/>
        <w:widowControl w:val="0"/>
        <w:kinsoku/>
        <w:wordWrap/>
        <w:overflowPunct/>
        <w:topLinePunct w:val="0"/>
        <w:autoSpaceDE/>
        <w:autoSpaceDN/>
        <w:bidi w:val="0"/>
        <w:adjustRightInd/>
        <w:snapToGrid w:val="0"/>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2.落实政府采购政策需满足的资格要求：本项目属于专门面向中小企业采购。</w:t>
      </w:r>
    </w:p>
    <w:p w14:paraId="57679A13">
      <w:pPr>
        <w:keepNext w:val="0"/>
        <w:keepLines w:val="0"/>
        <w:pageBreakBefore w:val="0"/>
        <w:widowControl w:val="0"/>
        <w:kinsoku/>
        <w:wordWrap/>
        <w:overflowPunct/>
        <w:topLinePunct w:val="0"/>
        <w:autoSpaceDE/>
        <w:autoSpaceDN/>
        <w:bidi w:val="0"/>
        <w:adjustRightInd/>
        <w:snapToGrid w:val="0"/>
        <w:spacing w:line="360" w:lineRule="auto"/>
        <w:ind w:firstLine="440" w:firstLineChars="20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3.本项目的特定资格要求：</w:t>
      </w:r>
      <w:r>
        <w:rPr>
          <w:rFonts w:hint="eastAsia" w:ascii="宋体" w:hAnsi="宋体" w:cs="宋体"/>
          <w:color w:val="auto"/>
          <w:sz w:val="22"/>
          <w:szCs w:val="22"/>
          <w:highlight w:val="none"/>
          <w:lang w:val="en-US" w:eastAsia="zh-CN"/>
        </w:rPr>
        <w:t>无</w:t>
      </w:r>
      <w:r>
        <w:rPr>
          <w:rFonts w:hint="eastAsia" w:ascii="宋体" w:hAnsi="宋体" w:eastAsia="宋体" w:cs="宋体"/>
          <w:color w:val="auto"/>
          <w:sz w:val="22"/>
          <w:szCs w:val="22"/>
          <w:highlight w:val="none"/>
          <w:lang w:eastAsia="zh-CN"/>
        </w:rPr>
        <w:t>。</w:t>
      </w:r>
    </w:p>
    <w:p w14:paraId="02946C4E">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三、获取竞争性磋商文件</w:t>
      </w:r>
      <w:bookmarkEnd w:id="6"/>
      <w:bookmarkEnd w:id="7"/>
      <w:bookmarkEnd w:id="8"/>
      <w:bookmarkEnd w:id="9"/>
    </w:p>
    <w:p w14:paraId="745C5073">
      <w:pPr>
        <w:keepNext w:val="0"/>
        <w:keepLines w:val="0"/>
        <w:pageBreakBefore w:val="0"/>
        <w:widowControl w:val="0"/>
        <w:kinsoku/>
        <w:wordWrap/>
        <w:overflowPunct/>
        <w:topLinePunct w:val="0"/>
        <w:autoSpaceDE/>
        <w:autoSpaceDN/>
        <w:bidi w:val="0"/>
        <w:adjustRightInd/>
        <w:snapToGrid w:val="0"/>
        <w:spacing w:line="360" w:lineRule="auto"/>
        <w:ind w:firstLine="440" w:firstLineChars="200"/>
        <w:textAlignment w:val="auto"/>
        <w:rPr>
          <w:rFonts w:hint="eastAsia" w:ascii="宋体" w:hAnsi="宋体" w:eastAsia="宋体" w:cs="宋体"/>
          <w:color w:val="auto"/>
          <w:sz w:val="22"/>
          <w:szCs w:val="22"/>
          <w:highlight w:val="none"/>
        </w:rPr>
      </w:pPr>
      <w:bookmarkStart w:id="15" w:name="_Toc35393793"/>
      <w:bookmarkStart w:id="16" w:name="_Toc28359005"/>
      <w:bookmarkStart w:id="17" w:name="_Toc28359082"/>
      <w:bookmarkStart w:id="18" w:name="_Toc35393624"/>
      <w:r>
        <w:rPr>
          <w:rFonts w:hint="eastAsia" w:ascii="宋体" w:hAnsi="宋体" w:eastAsia="宋体" w:cs="宋体"/>
          <w:color w:val="auto"/>
          <w:sz w:val="22"/>
          <w:szCs w:val="22"/>
          <w:highlight w:val="none"/>
        </w:rPr>
        <w:t>时间：</w:t>
      </w:r>
      <w:r>
        <w:rPr>
          <w:rFonts w:hint="eastAsia" w:ascii="宋体" w:hAnsi="宋体" w:cs="宋体"/>
          <w:color w:val="auto"/>
          <w:sz w:val="22"/>
          <w:szCs w:val="22"/>
          <w:highlight w:val="none"/>
          <w:u w:val="none"/>
          <w:lang w:eastAsia="zh-CN"/>
        </w:rPr>
        <w:t>2025</w:t>
      </w:r>
      <w:r>
        <w:rPr>
          <w:rFonts w:hint="eastAsia" w:ascii="宋体" w:hAnsi="宋体" w:eastAsia="宋体" w:cs="宋体"/>
          <w:color w:val="auto"/>
          <w:sz w:val="22"/>
          <w:szCs w:val="22"/>
          <w:highlight w:val="none"/>
          <w:u w:val="none"/>
        </w:rPr>
        <w:t>年</w:t>
      </w:r>
      <w:r>
        <w:rPr>
          <w:rFonts w:hint="eastAsia" w:ascii="宋体" w:hAnsi="宋体" w:cs="宋体"/>
          <w:color w:val="auto"/>
          <w:sz w:val="22"/>
          <w:szCs w:val="22"/>
          <w:highlight w:val="none"/>
          <w:u w:val="none"/>
          <w:lang w:val="en-US" w:eastAsia="zh-CN"/>
        </w:rPr>
        <w:t>4</w:t>
      </w:r>
      <w:r>
        <w:rPr>
          <w:rFonts w:hint="eastAsia" w:ascii="宋体" w:hAnsi="宋体" w:eastAsia="宋体" w:cs="宋体"/>
          <w:color w:val="auto"/>
          <w:sz w:val="22"/>
          <w:szCs w:val="22"/>
          <w:highlight w:val="none"/>
          <w:u w:val="none"/>
          <w:lang w:val="en-US" w:eastAsia="zh-CN"/>
        </w:rPr>
        <w:t>月</w:t>
      </w:r>
      <w:r>
        <w:rPr>
          <w:rFonts w:hint="eastAsia" w:ascii="宋体" w:hAnsi="宋体" w:cs="宋体"/>
          <w:color w:val="auto"/>
          <w:sz w:val="22"/>
          <w:szCs w:val="22"/>
          <w:highlight w:val="none"/>
          <w:u w:val="none"/>
          <w:lang w:val="en-US" w:eastAsia="zh-CN"/>
        </w:rPr>
        <w:t>28</w:t>
      </w:r>
      <w:r>
        <w:rPr>
          <w:rFonts w:hint="eastAsia" w:ascii="宋体" w:hAnsi="宋体" w:eastAsia="宋体" w:cs="宋体"/>
          <w:color w:val="auto"/>
          <w:sz w:val="22"/>
          <w:szCs w:val="22"/>
          <w:highlight w:val="none"/>
          <w:u w:val="none"/>
        </w:rPr>
        <w:t>日至</w:t>
      </w:r>
      <w:r>
        <w:rPr>
          <w:rFonts w:hint="eastAsia" w:ascii="宋体" w:hAnsi="宋体" w:cs="宋体"/>
          <w:color w:val="auto"/>
          <w:sz w:val="22"/>
          <w:szCs w:val="22"/>
          <w:highlight w:val="none"/>
          <w:u w:val="none"/>
          <w:lang w:eastAsia="zh-CN"/>
        </w:rPr>
        <w:t>2025</w:t>
      </w:r>
      <w:r>
        <w:rPr>
          <w:rFonts w:hint="eastAsia" w:ascii="宋体" w:hAnsi="宋体" w:eastAsia="宋体" w:cs="宋体"/>
          <w:color w:val="auto"/>
          <w:sz w:val="22"/>
          <w:szCs w:val="22"/>
          <w:highlight w:val="none"/>
          <w:u w:val="none"/>
        </w:rPr>
        <w:t>年</w:t>
      </w:r>
      <w:r>
        <w:rPr>
          <w:rFonts w:hint="eastAsia" w:ascii="宋体" w:hAnsi="宋体" w:cs="宋体"/>
          <w:color w:val="auto"/>
          <w:sz w:val="22"/>
          <w:szCs w:val="22"/>
          <w:highlight w:val="none"/>
          <w:u w:val="none"/>
          <w:lang w:val="en-US" w:eastAsia="zh-CN"/>
        </w:rPr>
        <w:t>5</w:t>
      </w:r>
      <w:r>
        <w:rPr>
          <w:rFonts w:hint="eastAsia" w:ascii="宋体" w:hAnsi="宋体" w:eastAsia="宋体" w:cs="宋体"/>
          <w:color w:val="auto"/>
          <w:sz w:val="22"/>
          <w:szCs w:val="22"/>
          <w:highlight w:val="none"/>
          <w:u w:val="none"/>
          <w:lang w:val="en-US" w:eastAsia="zh-CN"/>
        </w:rPr>
        <w:t>月</w:t>
      </w:r>
      <w:r>
        <w:rPr>
          <w:rFonts w:hint="eastAsia" w:ascii="宋体" w:hAnsi="宋体" w:cs="宋体"/>
          <w:color w:val="auto"/>
          <w:sz w:val="22"/>
          <w:szCs w:val="22"/>
          <w:highlight w:val="none"/>
          <w:u w:val="none"/>
          <w:lang w:val="en-US" w:eastAsia="zh-CN"/>
        </w:rPr>
        <w:t>8</w:t>
      </w:r>
      <w:r>
        <w:rPr>
          <w:rFonts w:hint="eastAsia" w:ascii="宋体" w:hAnsi="宋体" w:eastAsia="宋体" w:cs="宋体"/>
          <w:color w:val="auto"/>
          <w:sz w:val="22"/>
          <w:szCs w:val="22"/>
          <w:highlight w:val="none"/>
          <w:u w:val="none"/>
        </w:rPr>
        <w:t>日</w:t>
      </w:r>
      <w:r>
        <w:rPr>
          <w:rFonts w:hint="eastAsia" w:ascii="宋体" w:hAnsi="宋体" w:eastAsia="宋体" w:cs="宋体"/>
          <w:color w:val="auto"/>
          <w:sz w:val="22"/>
          <w:szCs w:val="22"/>
          <w:highlight w:val="none"/>
        </w:rPr>
        <w:t>，每天上午00</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rPr>
        <w:t>00至12</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rPr>
        <w:t>00，下午12</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rPr>
        <w:t>00至23</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rPr>
        <w:t>59（北京时间，法定节假日除外）。</w:t>
      </w:r>
    </w:p>
    <w:p w14:paraId="79971B37">
      <w:pPr>
        <w:keepNext w:val="0"/>
        <w:keepLines w:val="0"/>
        <w:pageBreakBefore w:val="0"/>
        <w:widowControl w:val="0"/>
        <w:kinsoku/>
        <w:wordWrap/>
        <w:overflowPunct/>
        <w:topLinePunct w:val="0"/>
        <w:autoSpaceDE/>
        <w:autoSpaceDN/>
        <w:bidi w:val="0"/>
        <w:adjustRightInd/>
        <w:snapToGrid w:val="0"/>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地点（网址）：广西政府采购云平台线上获取</w:t>
      </w:r>
    </w:p>
    <w:p w14:paraId="4A5ACD56">
      <w:pPr>
        <w:keepNext w:val="0"/>
        <w:keepLines w:val="0"/>
        <w:pageBreakBefore w:val="0"/>
        <w:widowControl w:val="0"/>
        <w:kinsoku/>
        <w:wordWrap/>
        <w:overflowPunct/>
        <w:topLinePunct w:val="0"/>
        <w:autoSpaceDE/>
        <w:autoSpaceDN/>
        <w:bidi w:val="0"/>
        <w:adjustRightInd/>
        <w:snapToGrid w:val="0"/>
        <w:spacing w:line="360" w:lineRule="auto"/>
        <w:ind w:firstLine="440" w:firstLineChars="200"/>
        <w:textAlignment w:val="auto"/>
        <w:rPr>
          <w:rFonts w:hint="eastAsia" w:ascii="宋体" w:hAnsi="宋体" w:eastAsia="宋体" w:cs="宋体"/>
          <w:b/>
          <w:bCs/>
          <w:color w:val="auto"/>
          <w:sz w:val="22"/>
          <w:szCs w:val="22"/>
          <w:highlight w:val="none"/>
          <w:lang w:val="en-US"/>
        </w:rPr>
      </w:pPr>
      <w:r>
        <w:rPr>
          <w:rFonts w:hint="eastAsia" w:ascii="宋体" w:hAnsi="宋体" w:eastAsia="宋体" w:cs="宋体"/>
          <w:color w:val="auto"/>
          <w:sz w:val="22"/>
          <w:szCs w:val="22"/>
          <w:highlight w:val="none"/>
        </w:rPr>
        <w:t>方式</w:t>
      </w:r>
      <w:r>
        <w:rPr>
          <w:rFonts w:hint="eastAsia" w:ascii="宋体" w:hAnsi="宋体" w:eastAsia="宋体" w:cs="宋体"/>
          <w:color w:val="auto"/>
          <w:sz w:val="22"/>
          <w:szCs w:val="22"/>
          <w:highlight w:val="none"/>
          <w:lang w:eastAsia="zh-CN"/>
        </w:rPr>
        <w:t>：供应商登录广西政府采购云平台https</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lang w:eastAsia="zh-CN"/>
        </w:rPr>
        <w:t>//www.gcy.zfcg.gxzf.gov.cn/在线申请获取采购文件（进入“项目采购”应用，在获取采购文件菜单中选择项目，申请获取采购文件）</w:t>
      </w:r>
    </w:p>
    <w:p w14:paraId="52BE505A">
      <w:pPr>
        <w:keepNext w:val="0"/>
        <w:keepLines w:val="0"/>
        <w:pageBreakBefore w:val="0"/>
        <w:widowControl w:val="0"/>
        <w:kinsoku/>
        <w:wordWrap/>
        <w:overflowPunct/>
        <w:topLinePunct w:val="0"/>
        <w:autoSpaceDE/>
        <w:autoSpaceDN/>
        <w:bidi w:val="0"/>
        <w:adjustRightInd/>
        <w:snapToGrid w:val="0"/>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售价</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元</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：0</w:t>
      </w:r>
    </w:p>
    <w:p w14:paraId="4E4FF105">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四、</w:t>
      </w:r>
      <w:bookmarkEnd w:id="15"/>
      <w:bookmarkEnd w:id="16"/>
      <w:bookmarkEnd w:id="17"/>
      <w:bookmarkEnd w:id="18"/>
      <w:r>
        <w:rPr>
          <w:rFonts w:hint="eastAsia" w:ascii="宋体" w:hAnsi="宋体" w:eastAsia="宋体" w:cs="宋体"/>
          <w:b/>
          <w:bCs/>
          <w:color w:val="auto"/>
          <w:sz w:val="22"/>
          <w:szCs w:val="22"/>
          <w:highlight w:val="none"/>
        </w:rPr>
        <w:t>响应文件提交</w:t>
      </w:r>
    </w:p>
    <w:p w14:paraId="4CBCBBD0">
      <w:pPr>
        <w:keepNext w:val="0"/>
        <w:keepLines w:val="0"/>
        <w:pageBreakBefore w:val="0"/>
        <w:widowControl w:val="0"/>
        <w:kinsoku/>
        <w:wordWrap/>
        <w:overflowPunct/>
        <w:topLinePunct w:val="0"/>
        <w:autoSpaceDE/>
        <w:autoSpaceDN/>
        <w:bidi w:val="0"/>
        <w:adjustRightInd/>
        <w:snapToGrid w:val="0"/>
        <w:spacing w:line="360" w:lineRule="auto"/>
        <w:ind w:firstLine="440" w:firstLineChars="200"/>
        <w:textAlignment w:val="auto"/>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lang w:eastAsia="zh-CN"/>
        </w:rPr>
        <w:t>截止时间：</w:t>
      </w:r>
      <w:r>
        <w:rPr>
          <w:rFonts w:hint="eastAsia" w:ascii="宋体" w:hAnsi="宋体" w:cs="宋体"/>
          <w:color w:val="auto"/>
          <w:kern w:val="0"/>
          <w:sz w:val="22"/>
          <w:szCs w:val="22"/>
          <w:highlight w:val="none"/>
          <w:lang w:eastAsia="zh-CN"/>
        </w:rPr>
        <w:t>2025年</w:t>
      </w:r>
      <w:r>
        <w:rPr>
          <w:rFonts w:hint="eastAsia" w:ascii="宋体" w:hAnsi="宋体" w:cs="宋体"/>
          <w:color w:val="auto"/>
          <w:kern w:val="0"/>
          <w:sz w:val="22"/>
          <w:szCs w:val="22"/>
          <w:highlight w:val="none"/>
          <w:lang w:val="en-US" w:eastAsia="zh-CN"/>
        </w:rPr>
        <w:t>5</w:t>
      </w:r>
      <w:r>
        <w:rPr>
          <w:rFonts w:hint="eastAsia" w:ascii="宋体" w:hAnsi="宋体" w:cs="宋体"/>
          <w:color w:val="auto"/>
          <w:kern w:val="0"/>
          <w:sz w:val="22"/>
          <w:szCs w:val="22"/>
          <w:highlight w:val="none"/>
          <w:lang w:eastAsia="zh-CN"/>
        </w:rPr>
        <w:t>月</w:t>
      </w:r>
      <w:r>
        <w:rPr>
          <w:rFonts w:hint="eastAsia" w:ascii="宋体" w:hAnsi="宋体" w:cs="宋体"/>
          <w:color w:val="auto"/>
          <w:kern w:val="0"/>
          <w:sz w:val="22"/>
          <w:szCs w:val="22"/>
          <w:highlight w:val="none"/>
          <w:lang w:val="en-US" w:eastAsia="zh-CN"/>
        </w:rPr>
        <w:t>21</w:t>
      </w:r>
      <w:r>
        <w:rPr>
          <w:rFonts w:hint="eastAsia" w:ascii="宋体" w:hAnsi="宋体" w:cs="宋体"/>
          <w:color w:val="auto"/>
          <w:kern w:val="0"/>
          <w:sz w:val="22"/>
          <w:szCs w:val="22"/>
          <w:highlight w:val="none"/>
          <w:lang w:eastAsia="zh-CN"/>
        </w:rPr>
        <w:t>日</w:t>
      </w:r>
      <w:r>
        <w:rPr>
          <w:rFonts w:hint="eastAsia" w:ascii="宋体" w:hAnsi="宋体" w:eastAsia="宋体" w:cs="宋体"/>
          <w:color w:val="auto"/>
          <w:kern w:val="0"/>
          <w:sz w:val="22"/>
          <w:szCs w:val="22"/>
          <w:highlight w:val="none"/>
          <w:lang w:eastAsia="zh-CN"/>
        </w:rPr>
        <w:t>09</w:t>
      </w:r>
      <w:r>
        <w:rPr>
          <w:rFonts w:hint="eastAsia" w:ascii="宋体" w:hAnsi="宋体" w:cs="宋体"/>
          <w:color w:val="auto"/>
          <w:kern w:val="0"/>
          <w:sz w:val="22"/>
          <w:szCs w:val="22"/>
          <w:highlight w:val="none"/>
          <w:lang w:eastAsia="zh-CN"/>
        </w:rPr>
        <w:t>：</w:t>
      </w:r>
      <w:r>
        <w:rPr>
          <w:rFonts w:hint="eastAsia" w:ascii="宋体" w:hAnsi="宋体" w:cs="宋体"/>
          <w:color w:val="auto"/>
          <w:kern w:val="0"/>
          <w:sz w:val="22"/>
          <w:szCs w:val="22"/>
          <w:highlight w:val="none"/>
          <w:lang w:val="en-US" w:eastAsia="zh-CN"/>
        </w:rPr>
        <w:t>2</w:t>
      </w:r>
      <w:r>
        <w:rPr>
          <w:rFonts w:hint="eastAsia" w:ascii="宋体" w:hAnsi="宋体" w:eastAsia="宋体" w:cs="宋体"/>
          <w:color w:val="auto"/>
          <w:kern w:val="0"/>
          <w:sz w:val="22"/>
          <w:szCs w:val="22"/>
          <w:highlight w:val="none"/>
          <w:lang w:eastAsia="zh-CN"/>
        </w:rPr>
        <w:t>0（北京时间）</w:t>
      </w:r>
    </w:p>
    <w:p w14:paraId="2ADBBFC2">
      <w:pPr>
        <w:keepNext w:val="0"/>
        <w:keepLines w:val="0"/>
        <w:pageBreakBefore w:val="0"/>
        <w:widowControl w:val="0"/>
        <w:kinsoku/>
        <w:wordWrap/>
        <w:overflowPunct/>
        <w:topLinePunct w:val="0"/>
        <w:autoSpaceDE/>
        <w:autoSpaceDN/>
        <w:bidi w:val="0"/>
        <w:adjustRightInd/>
        <w:snapToGrid w:val="0"/>
        <w:spacing w:line="360" w:lineRule="auto"/>
        <w:ind w:firstLine="440" w:firstLineChars="200"/>
        <w:textAlignment w:val="auto"/>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lang w:eastAsia="zh-CN"/>
        </w:rPr>
        <w:t>地点（网址）：请登录广西政府采购云平台投标客户端投标</w:t>
      </w:r>
    </w:p>
    <w:p w14:paraId="5656158F">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五、响应文件开启</w:t>
      </w:r>
    </w:p>
    <w:p w14:paraId="2684C347">
      <w:pPr>
        <w:keepNext w:val="0"/>
        <w:keepLines w:val="0"/>
        <w:pageBreakBefore w:val="0"/>
        <w:widowControl w:val="0"/>
        <w:kinsoku/>
        <w:wordWrap/>
        <w:overflowPunct/>
        <w:topLinePunct w:val="0"/>
        <w:autoSpaceDE/>
        <w:autoSpaceDN/>
        <w:bidi w:val="0"/>
        <w:adjustRightInd/>
        <w:snapToGrid w:val="0"/>
        <w:spacing w:line="360" w:lineRule="auto"/>
        <w:ind w:firstLine="440" w:firstLineChars="200"/>
        <w:textAlignment w:val="auto"/>
        <w:rPr>
          <w:rFonts w:hint="eastAsia" w:ascii="宋体" w:hAnsi="宋体" w:eastAsia="宋体" w:cs="宋体"/>
          <w:bCs/>
          <w:color w:val="auto"/>
          <w:sz w:val="22"/>
          <w:szCs w:val="22"/>
          <w:highlight w:val="none"/>
          <w:u w:val="none"/>
        </w:rPr>
      </w:pPr>
      <w:r>
        <w:rPr>
          <w:rFonts w:hint="eastAsia" w:ascii="宋体" w:hAnsi="宋体" w:eastAsia="宋体" w:cs="宋体"/>
          <w:bCs/>
          <w:color w:val="auto"/>
          <w:sz w:val="22"/>
          <w:szCs w:val="22"/>
          <w:highlight w:val="none"/>
          <w:u w:val="none"/>
        </w:rPr>
        <w:t>开启时间：</w:t>
      </w:r>
      <w:r>
        <w:rPr>
          <w:rFonts w:hint="eastAsia" w:ascii="宋体" w:hAnsi="宋体" w:cs="宋体"/>
          <w:color w:val="auto"/>
          <w:kern w:val="0"/>
          <w:sz w:val="22"/>
          <w:szCs w:val="22"/>
          <w:highlight w:val="none"/>
          <w:lang w:eastAsia="zh-CN"/>
        </w:rPr>
        <w:t>2025年</w:t>
      </w:r>
      <w:r>
        <w:rPr>
          <w:rFonts w:hint="eastAsia" w:ascii="宋体" w:hAnsi="宋体" w:cs="宋体"/>
          <w:color w:val="auto"/>
          <w:kern w:val="0"/>
          <w:sz w:val="22"/>
          <w:szCs w:val="22"/>
          <w:highlight w:val="none"/>
          <w:lang w:val="en-US" w:eastAsia="zh-CN"/>
        </w:rPr>
        <w:t>5</w:t>
      </w:r>
      <w:r>
        <w:rPr>
          <w:rFonts w:hint="eastAsia" w:ascii="宋体" w:hAnsi="宋体" w:cs="宋体"/>
          <w:color w:val="auto"/>
          <w:kern w:val="0"/>
          <w:sz w:val="22"/>
          <w:szCs w:val="22"/>
          <w:highlight w:val="none"/>
          <w:lang w:eastAsia="zh-CN"/>
        </w:rPr>
        <w:t>月</w:t>
      </w:r>
      <w:r>
        <w:rPr>
          <w:rFonts w:hint="eastAsia" w:ascii="宋体" w:hAnsi="宋体" w:cs="宋体"/>
          <w:color w:val="auto"/>
          <w:kern w:val="0"/>
          <w:sz w:val="22"/>
          <w:szCs w:val="22"/>
          <w:highlight w:val="none"/>
          <w:lang w:val="en-US" w:eastAsia="zh-CN"/>
        </w:rPr>
        <w:t>21</w:t>
      </w:r>
      <w:r>
        <w:rPr>
          <w:rFonts w:hint="eastAsia" w:ascii="宋体" w:hAnsi="宋体" w:cs="宋体"/>
          <w:color w:val="auto"/>
          <w:kern w:val="0"/>
          <w:sz w:val="22"/>
          <w:szCs w:val="22"/>
          <w:highlight w:val="none"/>
          <w:lang w:eastAsia="zh-CN"/>
        </w:rPr>
        <w:t>日</w:t>
      </w:r>
      <w:r>
        <w:rPr>
          <w:rFonts w:hint="eastAsia" w:ascii="宋体" w:hAnsi="宋体" w:eastAsia="宋体" w:cs="宋体"/>
          <w:bCs/>
          <w:color w:val="auto"/>
          <w:sz w:val="22"/>
          <w:szCs w:val="22"/>
          <w:highlight w:val="none"/>
          <w:u w:val="none"/>
        </w:rPr>
        <w:t>09</w:t>
      </w:r>
      <w:r>
        <w:rPr>
          <w:rFonts w:hint="eastAsia" w:ascii="宋体" w:hAnsi="宋体" w:cs="宋体"/>
          <w:bCs/>
          <w:color w:val="auto"/>
          <w:sz w:val="22"/>
          <w:szCs w:val="22"/>
          <w:highlight w:val="none"/>
          <w:u w:val="none"/>
          <w:lang w:eastAsia="zh-CN"/>
        </w:rPr>
        <w:t>：</w:t>
      </w:r>
      <w:r>
        <w:rPr>
          <w:rFonts w:hint="eastAsia" w:ascii="宋体" w:hAnsi="宋体" w:cs="宋体"/>
          <w:bCs/>
          <w:color w:val="auto"/>
          <w:sz w:val="22"/>
          <w:szCs w:val="22"/>
          <w:highlight w:val="none"/>
          <w:u w:val="none"/>
          <w:lang w:val="en-US" w:eastAsia="zh-CN"/>
        </w:rPr>
        <w:t>2</w:t>
      </w:r>
      <w:r>
        <w:rPr>
          <w:rFonts w:hint="eastAsia" w:ascii="宋体" w:hAnsi="宋体" w:eastAsia="宋体" w:cs="宋体"/>
          <w:bCs/>
          <w:color w:val="auto"/>
          <w:sz w:val="22"/>
          <w:szCs w:val="22"/>
          <w:highlight w:val="none"/>
          <w:u w:val="none"/>
        </w:rPr>
        <w:t>0</w:t>
      </w:r>
      <w:r>
        <w:rPr>
          <w:rFonts w:hint="eastAsia" w:ascii="宋体" w:hAnsi="宋体" w:eastAsia="宋体" w:cs="宋体"/>
          <w:spacing w:val="3"/>
          <w:sz w:val="22"/>
          <w:szCs w:val="22"/>
          <w:highlight w:val="none"/>
        </w:rPr>
        <w:t>（北京时间）</w:t>
      </w:r>
    </w:p>
    <w:p w14:paraId="7A99C2F4">
      <w:pPr>
        <w:keepNext w:val="0"/>
        <w:keepLines w:val="0"/>
        <w:pageBreakBefore w:val="0"/>
        <w:widowControl w:val="0"/>
        <w:kinsoku/>
        <w:wordWrap/>
        <w:overflowPunct/>
        <w:topLinePunct w:val="0"/>
        <w:autoSpaceDE/>
        <w:autoSpaceDN/>
        <w:bidi w:val="0"/>
        <w:adjustRightInd/>
        <w:snapToGrid w:val="0"/>
        <w:spacing w:line="360" w:lineRule="auto"/>
        <w:ind w:firstLine="440" w:firstLineChars="200"/>
        <w:textAlignment w:val="auto"/>
        <w:rPr>
          <w:rFonts w:hint="eastAsia" w:ascii="宋体" w:hAnsi="宋体" w:eastAsia="宋体" w:cs="宋体"/>
          <w:bCs/>
          <w:color w:val="auto"/>
          <w:sz w:val="22"/>
          <w:szCs w:val="22"/>
          <w:highlight w:val="none"/>
          <w:u w:val="none"/>
        </w:rPr>
      </w:pPr>
      <w:r>
        <w:rPr>
          <w:rFonts w:hint="eastAsia" w:ascii="宋体" w:hAnsi="宋体" w:eastAsia="宋体" w:cs="宋体"/>
          <w:bCs/>
          <w:color w:val="auto"/>
          <w:sz w:val="22"/>
          <w:szCs w:val="22"/>
          <w:highlight w:val="none"/>
          <w:u w:val="none"/>
        </w:rPr>
        <w:t>开标地点：请登录广西政府采购云平台投标客户端投标</w:t>
      </w:r>
      <w:r>
        <w:rPr>
          <w:rFonts w:hint="eastAsia" w:ascii="宋体" w:hAnsi="宋体" w:eastAsia="宋体" w:cs="宋体"/>
          <w:spacing w:val="10"/>
          <w:sz w:val="22"/>
          <w:szCs w:val="22"/>
          <w:highlight w:val="none"/>
        </w:rPr>
        <w:t>。</w:t>
      </w:r>
    </w:p>
    <w:p w14:paraId="338EBE26">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b/>
          <w:bCs/>
          <w:color w:val="auto"/>
          <w:sz w:val="22"/>
          <w:szCs w:val="22"/>
          <w:highlight w:val="none"/>
        </w:rPr>
      </w:pPr>
      <w:bookmarkStart w:id="19" w:name="_Toc28359084"/>
      <w:bookmarkStart w:id="20" w:name="_Toc28359007"/>
      <w:bookmarkStart w:id="21" w:name="_Toc35393625"/>
      <w:bookmarkStart w:id="22" w:name="_Toc35393794"/>
      <w:r>
        <w:rPr>
          <w:rFonts w:hint="eastAsia" w:ascii="宋体" w:hAnsi="宋体" w:eastAsia="宋体" w:cs="宋体"/>
          <w:b/>
          <w:bCs/>
          <w:color w:val="auto"/>
          <w:sz w:val="22"/>
          <w:szCs w:val="22"/>
          <w:highlight w:val="none"/>
        </w:rPr>
        <w:t>六、公告期限</w:t>
      </w:r>
      <w:bookmarkEnd w:id="19"/>
      <w:bookmarkEnd w:id="20"/>
      <w:bookmarkEnd w:id="21"/>
      <w:bookmarkEnd w:id="22"/>
    </w:p>
    <w:p w14:paraId="40304FD2">
      <w:pPr>
        <w:keepNext w:val="0"/>
        <w:keepLines w:val="0"/>
        <w:pageBreakBefore w:val="0"/>
        <w:widowControl w:val="0"/>
        <w:kinsoku/>
        <w:wordWrap/>
        <w:overflowPunct/>
        <w:topLinePunct w:val="0"/>
        <w:autoSpaceDE/>
        <w:autoSpaceDN/>
        <w:bidi w:val="0"/>
        <w:adjustRightInd/>
        <w:snapToGrid w:val="0"/>
        <w:spacing w:line="360" w:lineRule="auto"/>
        <w:ind w:firstLine="440" w:firstLineChars="200"/>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自本公告发布之日起</w:t>
      </w:r>
      <w:r>
        <w:rPr>
          <w:rFonts w:hint="eastAsia" w:ascii="宋体" w:hAnsi="宋体" w:cs="宋体"/>
          <w:color w:val="auto"/>
          <w:kern w:val="0"/>
          <w:sz w:val="22"/>
          <w:szCs w:val="22"/>
          <w:highlight w:val="none"/>
          <w:u w:val="none"/>
          <w:lang w:val="en-US" w:eastAsia="zh-CN"/>
        </w:rPr>
        <w:t>5</w:t>
      </w:r>
      <w:r>
        <w:rPr>
          <w:rFonts w:hint="eastAsia" w:ascii="宋体" w:hAnsi="宋体" w:eastAsia="宋体" w:cs="宋体"/>
          <w:color w:val="auto"/>
          <w:kern w:val="0"/>
          <w:sz w:val="22"/>
          <w:szCs w:val="22"/>
          <w:highlight w:val="none"/>
        </w:rPr>
        <w:t>个工作日。</w:t>
      </w:r>
    </w:p>
    <w:p w14:paraId="1644B0BE">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b/>
          <w:bCs/>
          <w:color w:val="auto"/>
          <w:sz w:val="22"/>
          <w:szCs w:val="22"/>
          <w:highlight w:val="none"/>
        </w:rPr>
      </w:pPr>
      <w:bookmarkStart w:id="23" w:name="_Toc35393626"/>
      <w:bookmarkStart w:id="24" w:name="_Toc35393795"/>
      <w:r>
        <w:rPr>
          <w:rFonts w:hint="eastAsia" w:ascii="宋体" w:hAnsi="宋体" w:eastAsia="宋体" w:cs="宋体"/>
          <w:b/>
          <w:bCs/>
          <w:color w:val="auto"/>
          <w:sz w:val="22"/>
          <w:szCs w:val="22"/>
          <w:highlight w:val="none"/>
        </w:rPr>
        <w:t>七、其他补充事宜</w:t>
      </w:r>
      <w:bookmarkEnd w:id="23"/>
      <w:bookmarkEnd w:id="24"/>
    </w:p>
    <w:p w14:paraId="4D79DFDC">
      <w:pPr>
        <w:keepNext w:val="0"/>
        <w:keepLines w:val="0"/>
        <w:pageBreakBefore w:val="0"/>
        <w:widowControl w:val="0"/>
        <w:kinsoku/>
        <w:wordWrap/>
        <w:overflowPunct/>
        <w:topLinePunct w:val="0"/>
        <w:autoSpaceDE/>
        <w:autoSpaceDN/>
        <w:bidi w:val="0"/>
        <w:adjustRightInd/>
        <w:snapToGrid w:val="0"/>
        <w:spacing w:line="360" w:lineRule="auto"/>
        <w:ind w:firstLine="440" w:firstLineChars="200"/>
        <w:textAlignment w:val="auto"/>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sz w:val="22"/>
          <w:szCs w:val="22"/>
          <w:highlight w:val="none"/>
        </w:rPr>
        <w:t>1.</w:t>
      </w:r>
      <w:r>
        <w:rPr>
          <w:rFonts w:hint="eastAsia" w:ascii="宋体" w:hAnsi="宋体" w:eastAsia="宋体" w:cs="宋体"/>
          <w:color w:val="auto"/>
          <w:sz w:val="22"/>
          <w:szCs w:val="22"/>
          <w:highlight w:val="none"/>
          <w:lang w:val="en-US" w:eastAsia="zh-CN"/>
        </w:rPr>
        <w:t>磋商</w:t>
      </w:r>
      <w:r>
        <w:rPr>
          <w:rFonts w:hint="eastAsia" w:ascii="宋体" w:hAnsi="宋体" w:eastAsia="宋体" w:cs="宋体"/>
          <w:color w:val="auto"/>
          <w:sz w:val="22"/>
          <w:szCs w:val="22"/>
          <w:highlight w:val="none"/>
        </w:rPr>
        <w:t>保证金：人民币</w:t>
      </w:r>
      <w:r>
        <w:rPr>
          <w:rFonts w:hint="eastAsia" w:ascii="宋体" w:hAnsi="宋体" w:cs="宋体"/>
          <w:color w:val="auto"/>
          <w:sz w:val="22"/>
          <w:szCs w:val="22"/>
          <w:highlight w:val="none"/>
          <w:lang w:val="en-US" w:eastAsia="zh-CN"/>
        </w:rPr>
        <w:t>壹万</w:t>
      </w:r>
      <w:r>
        <w:rPr>
          <w:rFonts w:hint="eastAsia" w:ascii="宋体" w:hAnsi="宋体" w:eastAsia="宋体" w:cs="宋体"/>
          <w:color w:val="auto"/>
          <w:sz w:val="22"/>
          <w:szCs w:val="22"/>
          <w:highlight w:val="none"/>
        </w:rPr>
        <w:t>元整（¥</w:t>
      </w:r>
      <w:r>
        <w:rPr>
          <w:rFonts w:hint="eastAsia" w:ascii="宋体" w:hAnsi="宋体" w:cs="宋体"/>
          <w:color w:val="auto"/>
          <w:sz w:val="22"/>
          <w:szCs w:val="22"/>
          <w:highlight w:val="none"/>
          <w:lang w:val="en-US" w:eastAsia="zh-CN"/>
        </w:rPr>
        <w:t>1</w:t>
      </w:r>
      <w:r>
        <w:rPr>
          <w:rFonts w:hint="eastAsia" w:ascii="宋体" w:hAnsi="宋体" w:eastAsia="宋体" w:cs="宋体"/>
          <w:color w:val="auto"/>
          <w:sz w:val="22"/>
          <w:szCs w:val="22"/>
          <w:highlight w:val="none"/>
        </w:rPr>
        <w:t>0000元）。提交磋商保证金的其它要求：详见本项目采购文件中“供应商须知”。</w:t>
      </w:r>
    </w:p>
    <w:p w14:paraId="06F7150B">
      <w:pPr>
        <w:keepNext w:val="0"/>
        <w:keepLines w:val="0"/>
        <w:pageBreakBefore w:val="0"/>
        <w:widowControl w:val="0"/>
        <w:kinsoku/>
        <w:wordWrap/>
        <w:overflowPunct/>
        <w:topLinePunct w:val="0"/>
        <w:autoSpaceDE/>
        <w:autoSpaceDN/>
        <w:bidi w:val="0"/>
        <w:adjustRightInd/>
        <w:snapToGrid w:val="0"/>
        <w:spacing w:line="360" w:lineRule="auto"/>
        <w:ind w:firstLine="440" w:firstLineChars="200"/>
        <w:textAlignment w:val="auto"/>
        <w:rPr>
          <w:rFonts w:hint="eastAsia" w:ascii="宋体" w:hAnsi="宋体" w:eastAsia="宋体" w:cs="宋体"/>
          <w:color w:val="auto"/>
          <w:sz w:val="22"/>
          <w:szCs w:val="22"/>
          <w:highlight w:val="none"/>
          <w:lang w:val="en-US" w:eastAsia="zh-CN"/>
        </w:rPr>
      </w:pPr>
      <w:r>
        <w:rPr>
          <w:rFonts w:hint="eastAsia" w:ascii="宋体" w:hAnsi="宋体" w:cs="宋体"/>
          <w:color w:val="auto"/>
          <w:kern w:val="0"/>
          <w:sz w:val="22"/>
          <w:szCs w:val="22"/>
          <w:highlight w:val="none"/>
          <w:lang w:val="en-US" w:eastAsia="zh-CN"/>
        </w:rPr>
        <w:t>2</w:t>
      </w:r>
      <w:r>
        <w:rPr>
          <w:rFonts w:hint="eastAsia" w:ascii="宋体" w:hAnsi="宋体" w:eastAsia="宋体" w:cs="宋体"/>
          <w:color w:val="auto"/>
          <w:kern w:val="0"/>
          <w:sz w:val="22"/>
          <w:szCs w:val="22"/>
          <w:highlight w:val="none"/>
          <w:lang w:eastAsia="zh-CN"/>
        </w:rPr>
        <w:t>.</w:t>
      </w:r>
      <w:bookmarkStart w:id="25" w:name="_Hlk37429585"/>
      <w:bookmarkStart w:id="26" w:name="_Hlk37429595"/>
      <w:r>
        <w:rPr>
          <w:rFonts w:hint="eastAsia" w:ascii="宋体" w:hAnsi="宋体" w:eastAsia="宋体" w:cs="宋体"/>
          <w:color w:val="auto"/>
          <w:kern w:val="0"/>
          <w:sz w:val="22"/>
          <w:szCs w:val="22"/>
          <w:highlight w:val="none"/>
        </w:rPr>
        <w:t>网上查询地址</w:t>
      </w:r>
      <w:r>
        <w:rPr>
          <w:rFonts w:hint="eastAsia" w:ascii="宋体" w:hAnsi="宋体" w:cs="宋体"/>
          <w:color w:val="auto"/>
          <w:kern w:val="0"/>
          <w:sz w:val="22"/>
          <w:szCs w:val="22"/>
          <w:highlight w:val="none"/>
          <w:lang w:eastAsia="zh-CN"/>
        </w:rPr>
        <w:t>：</w:t>
      </w:r>
      <w:bookmarkEnd w:id="25"/>
      <w:bookmarkEnd w:id="26"/>
      <w:bookmarkStart w:id="27" w:name="_Hlk37429674"/>
      <w:r>
        <w:rPr>
          <w:rFonts w:hint="eastAsia" w:ascii="宋体" w:hAnsi="宋体" w:eastAsia="宋体" w:cs="宋体"/>
          <w:color w:val="auto"/>
          <w:sz w:val="22"/>
          <w:szCs w:val="22"/>
          <w:highlight w:val="none"/>
          <w:lang w:val="en-US" w:eastAsia="zh-CN"/>
        </w:rPr>
        <w:t>中国政府采购网（www.ccgp.gov.cn）、广西政府采购网（zfcg.gxzf.gov.cn）、柳州市政府采购网（zfcg.lzscz.liuzhou.gov.cn）。</w:t>
      </w:r>
    </w:p>
    <w:p w14:paraId="0D92692B">
      <w:pPr>
        <w:keepNext w:val="0"/>
        <w:keepLines w:val="0"/>
        <w:pageBreakBefore w:val="0"/>
        <w:widowControl w:val="0"/>
        <w:kinsoku/>
        <w:wordWrap/>
        <w:overflowPunct/>
        <w:topLinePunct w:val="0"/>
        <w:autoSpaceDE/>
        <w:autoSpaceDN/>
        <w:bidi w:val="0"/>
        <w:adjustRightInd/>
        <w:snapToGrid w:val="0"/>
        <w:spacing w:line="360" w:lineRule="auto"/>
        <w:ind w:firstLine="440" w:firstLineChars="200"/>
        <w:textAlignment w:val="auto"/>
        <w:rPr>
          <w:rFonts w:hint="eastAsia" w:ascii="宋体" w:hAnsi="宋体" w:eastAsia="宋体" w:cs="宋体"/>
          <w:color w:val="auto"/>
          <w:kern w:val="0"/>
          <w:sz w:val="22"/>
          <w:szCs w:val="22"/>
          <w:highlight w:val="none"/>
        </w:rPr>
      </w:pPr>
      <w:r>
        <w:rPr>
          <w:rFonts w:hint="eastAsia" w:ascii="宋体" w:hAnsi="宋体" w:cs="宋体"/>
          <w:color w:val="auto"/>
          <w:sz w:val="22"/>
          <w:szCs w:val="22"/>
          <w:highlight w:val="none"/>
          <w:lang w:val="en-US" w:eastAsia="zh-CN"/>
        </w:rPr>
        <w:t>3</w:t>
      </w:r>
      <w:r>
        <w:rPr>
          <w:rFonts w:hint="eastAsia" w:ascii="宋体" w:hAnsi="宋体" w:eastAsia="宋体" w:cs="宋体"/>
          <w:color w:val="auto"/>
          <w:sz w:val="22"/>
          <w:szCs w:val="22"/>
          <w:highlight w:val="none"/>
        </w:rPr>
        <w:t>.</w:t>
      </w:r>
      <w:r>
        <w:rPr>
          <w:rFonts w:hint="eastAsia" w:ascii="宋体" w:hAnsi="宋体" w:eastAsia="宋体" w:cs="宋体"/>
          <w:color w:val="auto"/>
          <w:kern w:val="0"/>
          <w:sz w:val="22"/>
          <w:szCs w:val="22"/>
          <w:highlight w:val="none"/>
        </w:rPr>
        <w:t>本项目需要落实的政府采购政策</w:t>
      </w:r>
    </w:p>
    <w:p w14:paraId="447E3EDE">
      <w:pPr>
        <w:keepNext w:val="0"/>
        <w:keepLines w:val="0"/>
        <w:pageBreakBefore w:val="0"/>
        <w:widowControl w:val="0"/>
        <w:kinsoku/>
        <w:wordWrap/>
        <w:overflowPunct/>
        <w:topLinePunct w:val="0"/>
        <w:autoSpaceDE/>
        <w:autoSpaceDN/>
        <w:bidi w:val="0"/>
        <w:adjustRightInd/>
        <w:snapToGrid w:val="0"/>
        <w:spacing w:line="360" w:lineRule="auto"/>
        <w:ind w:firstLine="440" w:firstLineChars="200"/>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（1）政府采购促进中小企业发展。</w:t>
      </w:r>
    </w:p>
    <w:p w14:paraId="569E9271">
      <w:pPr>
        <w:keepNext w:val="0"/>
        <w:keepLines w:val="0"/>
        <w:pageBreakBefore w:val="0"/>
        <w:widowControl w:val="0"/>
        <w:kinsoku/>
        <w:wordWrap/>
        <w:overflowPunct/>
        <w:topLinePunct w:val="0"/>
        <w:autoSpaceDE/>
        <w:autoSpaceDN/>
        <w:bidi w:val="0"/>
        <w:adjustRightInd/>
        <w:snapToGrid w:val="0"/>
        <w:spacing w:line="360" w:lineRule="auto"/>
        <w:ind w:firstLine="440" w:firstLineChars="200"/>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（2）政府采购促进残疾人就业政策。</w:t>
      </w:r>
    </w:p>
    <w:p w14:paraId="3FCF246D">
      <w:pPr>
        <w:keepNext w:val="0"/>
        <w:keepLines w:val="0"/>
        <w:pageBreakBefore w:val="0"/>
        <w:widowControl w:val="0"/>
        <w:kinsoku/>
        <w:wordWrap/>
        <w:overflowPunct/>
        <w:topLinePunct w:val="0"/>
        <w:autoSpaceDE/>
        <w:autoSpaceDN/>
        <w:bidi w:val="0"/>
        <w:adjustRightInd/>
        <w:snapToGrid w:val="0"/>
        <w:spacing w:line="360" w:lineRule="auto"/>
        <w:ind w:firstLine="440" w:firstLineChars="200"/>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w:t>
      </w:r>
      <w:r>
        <w:rPr>
          <w:rFonts w:hint="eastAsia" w:ascii="宋体" w:hAnsi="宋体" w:eastAsia="宋体" w:cs="宋体"/>
          <w:color w:val="auto"/>
          <w:kern w:val="0"/>
          <w:sz w:val="22"/>
          <w:szCs w:val="22"/>
          <w:highlight w:val="none"/>
          <w:lang w:val="en-US" w:eastAsia="zh-CN"/>
        </w:rPr>
        <w:t>3</w:t>
      </w:r>
      <w:r>
        <w:rPr>
          <w:rFonts w:hint="eastAsia" w:ascii="宋体" w:hAnsi="宋体" w:eastAsia="宋体" w:cs="宋体"/>
          <w:color w:val="auto"/>
          <w:kern w:val="0"/>
          <w:sz w:val="22"/>
          <w:szCs w:val="22"/>
          <w:highlight w:val="none"/>
        </w:rPr>
        <w:t>）政府采购支持监狱企业发展。</w:t>
      </w:r>
      <w:bookmarkEnd w:id="27"/>
    </w:p>
    <w:p w14:paraId="10402318">
      <w:pPr>
        <w:keepNext w:val="0"/>
        <w:keepLines w:val="0"/>
        <w:pageBreakBefore w:val="0"/>
        <w:widowControl w:val="0"/>
        <w:kinsoku/>
        <w:wordWrap/>
        <w:overflowPunct/>
        <w:topLinePunct w:val="0"/>
        <w:autoSpaceDE/>
        <w:autoSpaceDN/>
        <w:bidi w:val="0"/>
        <w:adjustRightInd/>
        <w:snapToGrid w:val="0"/>
        <w:spacing w:line="360" w:lineRule="auto"/>
        <w:ind w:firstLine="440" w:firstLineChars="200"/>
        <w:textAlignment w:val="auto"/>
        <w:rPr>
          <w:rFonts w:hint="eastAsia" w:ascii="宋体" w:hAnsi="宋体" w:eastAsia="宋体" w:cs="宋体"/>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4</w:t>
      </w:r>
      <w:r>
        <w:rPr>
          <w:rFonts w:hint="eastAsia" w:ascii="宋体" w:hAnsi="宋体" w:eastAsia="宋体" w:cs="宋体"/>
          <w:color w:val="auto"/>
          <w:kern w:val="0"/>
          <w:sz w:val="22"/>
          <w:szCs w:val="22"/>
          <w:highlight w:val="none"/>
          <w:lang w:val="en-US" w:eastAsia="zh-CN"/>
        </w:rPr>
        <w:t>.供应商认为采购文件使自己的权益受到损害的，可以自获取采购文件之日或者采购文件公告期限届满之日（公告期限届满后获取采购文件的，以公告期限届满之日为准）起7个工作日内以书面形式一次性向采购人和采购代理机构提出同一环节的质疑。否则，逾期的质疑采购人及招标代理机构可不予接受。质疑供应商对采购人、采购代理机构的答复不满意或者采购人、采购代理机构未在规定的时间内作出答复的，可以在答复期满后十五个工作日内向同级政府采购监督管理部门投诉。</w:t>
      </w:r>
    </w:p>
    <w:p w14:paraId="702E2F01">
      <w:pPr>
        <w:keepNext w:val="0"/>
        <w:keepLines w:val="0"/>
        <w:pageBreakBefore w:val="0"/>
        <w:widowControl w:val="0"/>
        <w:kinsoku/>
        <w:wordWrap/>
        <w:overflowPunct/>
        <w:topLinePunct w:val="0"/>
        <w:autoSpaceDE/>
        <w:autoSpaceDN/>
        <w:bidi w:val="0"/>
        <w:adjustRightInd/>
        <w:snapToGrid w:val="0"/>
        <w:spacing w:line="360" w:lineRule="auto"/>
        <w:ind w:firstLine="440" w:firstLineChars="200"/>
        <w:textAlignment w:val="auto"/>
        <w:rPr>
          <w:rFonts w:hint="eastAsia" w:ascii="宋体" w:hAnsi="宋体" w:eastAsia="宋体" w:cs="宋体"/>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5</w:t>
      </w:r>
      <w:r>
        <w:rPr>
          <w:rFonts w:hint="eastAsia" w:ascii="宋体" w:hAnsi="宋体" w:eastAsia="宋体" w:cs="宋体"/>
          <w:color w:val="auto"/>
          <w:kern w:val="0"/>
          <w:sz w:val="22"/>
          <w:szCs w:val="22"/>
          <w:highlight w:val="none"/>
          <w:lang w:val="en-US" w:eastAsia="zh-CN"/>
        </w:rPr>
        <w:t>.若对项目采购电子交易系统操作有疑问，可登录“广西政府采购云平台”平台（</w:t>
      </w:r>
      <w:r>
        <w:rPr>
          <w:rFonts w:hint="eastAsia" w:ascii="宋体" w:hAnsi="宋体" w:cs="宋体"/>
          <w:color w:val="auto"/>
          <w:kern w:val="0"/>
          <w:sz w:val="22"/>
          <w:szCs w:val="22"/>
          <w:highlight w:val="none"/>
          <w:lang w:val="en-US" w:eastAsia="zh-CN"/>
        </w:rPr>
        <w:t>https：//www.gcy.zfcg.gxzf.gov.cn/</w:t>
      </w:r>
      <w:r>
        <w:rPr>
          <w:rFonts w:hint="eastAsia" w:ascii="宋体" w:hAnsi="宋体" w:eastAsia="宋体" w:cs="宋体"/>
          <w:color w:val="auto"/>
          <w:kern w:val="0"/>
          <w:sz w:val="22"/>
          <w:szCs w:val="22"/>
          <w:highlight w:val="none"/>
          <w:lang w:val="en-US" w:eastAsia="zh-CN"/>
        </w:rPr>
        <w:t xml:space="preserve">），点击右侧咨询小采，获取采小蜜智能服务管家帮助，或拨打广西政府采购云平台服务热线95763获取热线服务帮助。 </w:t>
      </w:r>
    </w:p>
    <w:p w14:paraId="547088A1">
      <w:pPr>
        <w:keepNext w:val="0"/>
        <w:keepLines w:val="0"/>
        <w:pageBreakBefore w:val="0"/>
        <w:widowControl w:val="0"/>
        <w:kinsoku/>
        <w:wordWrap/>
        <w:overflowPunct/>
        <w:topLinePunct w:val="0"/>
        <w:autoSpaceDE/>
        <w:autoSpaceDN/>
        <w:bidi w:val="0"/>
        <w:adjustRightInd/>
        <w:snapToGrid w:val="0"/>
        <w:spacing w:line="360" w:lineRule="auto"/>
        <w:ind w:firstLine="440" w:firstLineChars="200"/>
        <w:textAlignment w:val="auto"/>
        <w:rPr>
          <w:rFonts w:hint="eastAsia" w:ascii="宋体" w:hAnsi="宋体" w:eastAsia="宋体" w:cs="宋体"/>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6</w:t>
      </w:r>
      <w:r>
        <w:rPr>
          <w:rFonts w:hint="eastAsia" w:ascii="宋体" w:hAnsi="宋体" w:eastAsia="宋体" w:cs="宋体"/>
          <w:color w:val="auto"/>
          <w:kern w:val="0"/>
          <w:sz w:val="22"/>
          <w:szCs w:val="22"/>
          <w:highlight w:val="none"/>
          <w:lang w:val="en-US" w:eastAsia="zh-CN"/>
        </w:rPr>
        <w:t>.关于申请人资格要求的其它说明</w:t>
      </w:r>
    </w:p>
    <w:p w14:paraId="0AA3DCC2">
      <w:pPr>
        <w:keepNext w:val="0"/>
        <w:keepLines w:val="0"/>
        <w:pageBreakBefore w:val="0"/>
        <w:widowControl w:val="0"/>
        <w:kinsoku/>
        <w:wordWrap/>
        <w:overflowPunct/>
        <w:topLinePunct w:val="0"/>
        <w:autoSpaceDE/>
        <w:autoSpaceDN/>
        <w:bidi w:val="0"/>
        <w:adjustRightInd/>
        <w:snapToGrid w:val="0"/>
        <w:spacing w:line="360" w:lineRule="auto"/>
        <w:ind w:firstLine="440" w:firstLineChars="200"/>
        <w:textAlignment w:val="auto"/>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1）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3B21CC37">
      <w:pPr>
        <w:keepNext w:val="0"/>
        <w:keepLines w:val="0"/>
        <w:pageBreakBefore w:val="0"/>
        <w:widowControl w:val="0"/>
        <w:kinsoku/>
        <w:wordWrap/>
        <w:overflowPunct/>
        <w:topLinePunct w:val="0"/>
        <w:autoSpaceDE/>
        <w:autoSpaceDN/>
        <w:bidi w:val="0"/>
        <w:adjustRightInd/>
        <w:snapToGrid w:val="0"/>
        <w:spacing w:line="360" w:lineRule="auto"/>
        <w:ind w:firstLine="440" w:firstLineChars="200"/>
        <w:textAlignment w:val="auto"/>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（2）对在“信用中国”网站</w:t>
      </w:r>
      <w:r>
        <w:rPr>
          <w:rFonts w:hint="eastAsia" w:ascii="宋体" w:hAnsi="宋体" w:cs="宋体"/>
          <w:color w:val="auto"/>
          <w:kern w:val="0"/>
          <w:sz w:val="22"/>
          <w:szCs w:val="22"/>
          <w:highlight w:val="none"/>
          <w:lang w:val="en-US" w:eastAsia="zh-CN"/>
        </w:rPr>
        <w:t>（</w:t>
      </w:r>
      <w:r>
        <w:rPr>
          <w:rFonts w:hint="eastAsia" w:ascii="宋体" w:hAnsi="宋体" w:eastAsia="宋体" w:cs="宋体"/>
          <w:color w:val="auto"/>
          <w:kern w:val="0"/>
          <w:sz w:val="22"/>
          <w:szCs w:val="22"/>
          <w:highlight w:val="none"/>
          <w:lang w:val="en-US" w:eastAsia="zh-CN"/>
        </w:rPr>
        <w:t>www.creditchina.gov.cn</w:t>
      </w:r>
      <w:r>
        <w:rPr>
          <w:rFonts w:hint="eastAsia" w:ascii="宋体" w:hAnsi="宋体" w:cs="宋体"/>
          <w:color w:val="auto"/>
          <w:kern w:val="0"/>
          <w:sz w:val="22"/>
          <w:szCs w:val="22"/>
          <w:highlight w:val="none"/>
          <w:lang w:val="en-US" w:eastAsia="zh-CN"/>
        </w:rPr>
        <w:t>）</w:t>
      </w:r>
      <w:r>
        <w:rPr>
          <w:rFonts w:hint="eastAsia" w:ascii="宋体" w:hAnsi="宋体" w:eastAsia="宋体" w:cs="宋体"/>
          <w:color w:val="auto"/>
          <w:kern w:val="0"/>
          <w:sz w:val="22"/>
          <w:szCs w:val="22"/>
          <w:highlight w:val="none"/>
          <w:lang w:val="en-US" w:eastAsia="zh-CN"/>
        </w:rPr>
        <w:t>、中国政府采购网</w:t>
      </w:r>
      <w:r>
        <w:rPr>
          <w:rFonts w:hint="eastAsia" w:ascii="宋体" w:hAnsi="宋体" w:cs="宋体"/>
          <w:color w:val="auto"/>
          <w:kern w:val="0"/>
          <w:sz w:val="22"/>
          <w:szCs w:val="22"/>
          <w:highlight w:val="none"/>
          <w:lang w:val="en-US" w:eastAsia="zh-CN"/>
        </w:rPr>
        <w:t>（</w:t>
      </w:r>
      <w:r>
        <w:rPr>
          <w:rFonts w:hint="eastAsia" w:ascii="宋体" w:hAnsi="宋体" w:eastAsia="宋体" w:cs="宋体"/>
          <w:color w:val="auto"/>
          <w:kern w:val="0"/>
          <w:sz w:val="22"/>
          <w:szCs w:val="22"/>
          <w:highlight w:val="none"/>
          <w:lang w:val="en-US" w:eastAsia="zh-CN"/>
        </w:rPr>
        <w:t>www.ccgp.gov.cn</w:t>
      </w:r>
      <w:r>
        <w:rPr>
          <w:rFonts w:hint="eastAsia" w:ascii="宋体" w:hAnsi="宋体" w:cs="宋体"/>
          <w:color w:val="auto"/>
          <w:kern w:val="0"/>
          <w:sz w:val="22"/>
          <w:szCs w:val="22"/>
          <w:highlight w:val="none"/>
          <w:lang w:val="en-US" w:eastAsia="zh-CN"/>
        </w:rPr>
        <w:t>）</w:t>
      </w:r>
      <w:r>
        <w:rPr>
          <w:rFonts w:hint="eastAsia" w:ascii="宋体" w:hAnsi="宋体" w:eastAsia="宋体" w:cs="宋体"/>
          <w:color w:val="auto"/>
          <w:kern w:val="0"/>
          <w:sz w:val="22"/>
          <w:szCs w:val="22"/>
          <w:highlight w:val="none"/>
          <w:lang w:val="en-US" w:eastAsia="zh-CN"/>
        </w:rPr>
        <w:t>被列入失信被执行人、重大税收违法失信主体、政府采购严重违法失信行为记录名单及其他不符合《中华人民共和国政府采购法》第二十二条规定条件的供应商，不得参与政府采购活动。</w:t>
      </w:r>
    </w:p>
    <w:p w14:paraId="3E0637E8">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bCs/>
          <w:color w:val="auto"/>
          <w:sz w:val="22"/>
          <w:szCs w:val="22"/>
          <w:highlight w:val="none"/>
        </w:rPr>
      </w:pPr>
      <w:r>
        <w:rPr>
          <w:rFonts w:hint="eastAsia" w:ascii="宋体" w:hAnsi="宋体" w:eastAsia="宋体" w:cs="宋体"/>
          <w:b/>
          <w:color w:val="auto"/>
          <w:kern w:val="44"/>
          <w:sz w:val="22"/>
          <w:szCs w:val="22"/>
          <w:highlight w:val="none"/>
        </w:rPr>
        <w:t>八、凡对本次采购提出询问，请按以下方式联系</w:t>
      </w:r>
    </w:p>
    <w:p w14:paraId="3BB8A951">
      <w:pPr>
        <w:keepNext w:val="0"/>
        <w:keepLines w:val="0"/>
        <w:pageBreakBefore w:val="0"/>
        <w:widowControl w:val="0"/>
        <w:kinsoku/>
        <w:wordWrap/>
        <w:overflowPunct/>
        <w:topLinePunct w:val="0"/>
        <w:autoSpaceDE/>
        <w:autoSpaceDN/>
        <w:bidi w:val="0"/>
        <w:adjustRightInd/>
        <w:snapToGrid w:val="0"/>
        <w:spacing w:line="360" w:lineRule="auto"/>
        <w:ind w:left="0" w:leftChars="0" w:firstLine="440" w:firstLineChars="200"/>
        <w:jc w:val="left"/>
        <w:textAlignment w:val="auto"/>
        <w:rPr>
          <w:rFonts w:hint="eastAsia" w:ascii="宋体" w:hAnsi="宋体" w:eastAsia="宋体" w:cs="宋体"/>
          <w:color w:val="auto"/>
          <w:sz w:val="22"/>
          <w:szCs w:val="22"/>
          <w:highlight w:val="none"/>
          <w:u w:val="none"/>
        </w:rPr>
      </w:pPr>
      <w:r>
        <w:rPr>
          <w:rFonts w:hint="eastAsia" w:ascii="宋体" w:hAnsi="宋体" w:eastAsia="宋体" w:cs="宋体"/>
          <w:color w:val="auto"/>
          <w:sz w:val="22"/>
          <w:szCs w:val="22"/>
          <w:highlight w:val="none"/>
          <w:u w:val="none"/>
        </w:rPr>
        <w:t>1.采购人信息</w:t>
      </w:r>
    </w:p>
    <w:p w14:paraId="37219C7A">
      <w:pPr>
        <w:keepNext w:val="0"/>
        <w:keepLines w:val="0"/>
        <w:pageBreakBefore w:val="0"/>
        <w:widowControl w:val="0"/>
        <w:kinsoku/>
        <w:wordWrap/>
        <w:overflowPunct/>
        <w:topLinePunct w:val="0"/>
        <w:autoSpaceDE/>
        <w:autoSpaceDN/>
        <w:bidi w:val="0"/>
        <w:adjustRightInd/>
        <w:snapToGrid w:val="0"/>
        <w:spacing w:line="360" w:lineRule="auto"/>
        <w:ind w:left="0" w:leftChars="0" w:firstLine="440" w:firstLineChars="200"/>
        <w:jc w:val="left"/>
        <w:textAlignment w:val="auto"/>
        <w:rPr>
          <w:rFonts w:hint="eastAsia" w:ascii="宋体" w:hAnsi="宋体" w:eastAsia="宋体" w:cs="宋体"/>
          <w:color w:val="auto"/>
          <w:sz w:val="22"/>
          <w:szCs w:val="22"/>
          <w:highlight w:val="none"/>
          <w:u w:val="none"/>
          <w:lang w:eastAsia="zh-CN"/>
        </w:rPr>
      </w:pPr>
      <w:r>
        <w:rPr>
          <w:rFonts w:hint="eastAsia" w:ascii="宋体" w:hAnsi="宋体" w:eastAsia="宋体" w:cs="宋体"/>
          <w:color w:val="auto"/>
          <w:sz w:val="22"/>
          <w:szCs w:val="22"/>
          <w:highlight w:val="none"/>
          <w:u w:val="none"/>
        </w:rPr>
        <w:t>名称：</w:t>
      </w:r>
      <w:r>
        <w:rPr>
          <w:rFonts w:hint="eastAsia" w:ascii="宋体" w:hAnsi="宋体" w:cs="宋体"/>
          <w:color w:val="auto"/>
          <w:sz w:val="22"/>
          <w:szCs w:val="22"/>
          <w:highlight w:val="none"/>
          <w:u w:val="none"/>
          <w:lang w:eastAsia="zh-CN"/>
        </w:rPr>
        <w:t>柳城县东泉镇人民政府</w:t>
      </w:r>
    </w:p>
    <w:p w14:paraId="34034F1E">
      <w:pPr>
        <w:keepNext w:val="0"/>
        <w:keepLines w:val="0"/>
        <w:pageBreakBefore w:val="0"/>
        <w:widowControl w:val="0"/>
        <w:kinsoku/>
        <w:wordWrap/>
        <w:overflowPunct/>
        <w:topLinePunct w:val="0"/>
        <w:autoSpaceDE/>
        <w:autoSpaceDN/>
        <w:bidi w:val="0"/>
        <w:adjustRightInd/>
        <w:snapToGrid w:val="0"/>
        <w:spacing w:line="360" w:lineRule="auto"/>
        <w:ind w:left="0" w:leftChars="0" w:firstLine="440" w:firstLineChars="200"/>
        <w:jc w:val="left"/>
        <w:textAlignment w:val="auto"/>
        <w:rPr>
          <w:rFonts w:hint="eastAsia" w:ascii="宋体" w:hAnsi="宋体" w:cs="宋体"/>
          <w:color w:val="auto"/>
          <w:sz w:val="22"/>
          <w:szCs w:val="22"/>
          <w:highlight w:val="none"/>
          <w:u w:val="none"/>
          <w:lang w:eastAsia="zh-CN"/>
        </w:rPr>
      </w:pPr>
      <w:r>
        <w:rPr>
          <w:rFonts w:hint="eastAsia" w:ascii="宋体" w:hAnsi="宋体" w:eastAsia="宋体" w:cs="宋体"/>
          <w:color w:val="auto"/>
          <w:sz w:val="22"/>
          <w:szCs w:val="22"/>
          <w:highlight w:val="none"/>
          <w:u w:val="none"/>
        </w:rPr>
        <w:t>地址：</w:t>
      </w:r>
      <w:r>
        <w:rPr>
          <w:rFonts w:hint="eastAsia" w:ascii="宋体" w:hAnsi="宋体" w:cs="宋体"/>
          <w:color w:val="auto"/>
          <w:sz w:val="22"/>
          <w:szCs w:val="22"/>
          <w:highlight w:val="none"/>
          <w:u w:val="none"/>
          <w:lang w:eastAsia="zh-CN"/>
        </w:rPr>
        <w:t>柳城县东泉镇胜利路100号</w:t>
      </w:r>
    </w:p>
    <w:p w14:paraId="42AF4447">
      <w:pPr>
        <w:keepNext w:val="0"/>
        <w:keepLines w:val="0"/>
        <w:pageBreakBefore w:val="0"/>
        <w:widowControl w:val="0"/>
        <w:kinsoku/>
        <w:wordWrap/>
        <w:overflowPunct/>
        <w:topLinePunct w:val="0"/>
        <w:autoSpaceDE/>
        <w:autoSpaceDN/>
        <w:bidi w:val="0"/>
        <w:adjustRightInd/>
        <w:snapToGrid w:val="0"/>
        <w:spacing w:line="360" w:lineRule="auto"/>
        <w:ind w:left="0" w:leftChars="0" w:firstLine="440" w:firstLineChars="200"/>
        <w:jc w:val="left"/>
        <w:textAlignment w:val="auto"/>
        <w:rPr>
          <w:rFonts w:hint="eastAsia" w:ascii="宋体" w:hAnsi="宋体" w:cs="宋体"/>
          <w:color w:val="auto"/>
          <w:sz w:val="22"/>
          <w:szCs w:val="22"/>
          <w:highlight w:val="none"/>
          <w:u w:val="none"/>
          <w:lang w:val="en-US" w:eastAsia="zh-CN"/>
        </w:rPr>
      </w:pPr>
      <w:r>
        <w:rPr>
          <w:rFonts w:hint="eastAsia" w:ascii="宋体" w:hAnsi="宋体" w:cs="宋体"/>
          <w:color w:val="auto"/>
          <w:sz w:val="22"/>
          <w:szCs w:val="22"/>
          <w:highlight w:val="none"/>
          <w:u w:val="none"/>
          <w:lang w:val="en-US" w:eastAsia="zh-CN"/>
        </w:rPr>
        <w:t>项目联系人：侯副主任</w:t>
      </w:r>
    </w:p>
    <w:p w14:paraId="71EDE1D4">
      <w:pPr>
        <w:keepNext w:val="0"/>
        <w:keepLines w:val="0"/>
        <w:pageBreakBefore w:val="0"/>
        <w:widowControl w:val="0"/>
        <w:kinsoku/>
        <w:wordWrap/>
        <w:overflowPunct/>
        <w:topLinePunct w:val="0"/>
        <w:autoSpaceDE/>
        <w:autoSpaceDN/>
        <w:bidi w:val="0"/>
        <w:adjustRightInd/>
        <w:snapToGrid w:val="0"/>
        <w:spacing w:line="360" w:lineRule="auto"/>
        <w:ind w:left="0" w:leftChars="0" w:firstLine="440" w:firstLineChars="200"/>
        <w:jc w:val="left"/>
        <w:textAlignment w:val="auto"/>
        <w:rPr>
          <w:rFonts w:hint="eastAsia" w:ascii="宋体" w:hAnsi="宋体" w:cs="宋体"/>
          <w:color w:val="auto"/>
          <w:sz w:val="22"/>
          <w:szCs w:val="22"/>
          <w:highlight w:val="none"/>
          <w:u w:val="none"/>
          <w:lang w:val="en-US" w:eastAsia="zh-CN"/>
        </w:rPr>
      </w:pPr>
      <w:r>
        <w:rPr>
          <w:rFonts w:hint="eastAsia" w:ascii="宋体" w:hAnsi="宋体" w:cs="宋体"/>
          <w:color w:val="auto"/>
          <w:sz w:val="22"/>
          <w:szCs w:val="22"/>
          <w:highlight w:val="none"/>
          <w:u w:val="none"/>
          <w:lang w:val="en-US" w:eastAsia="zh-CN"/>
        </w:rPr>
        <w:t>项目联系方式：0772-7961605</w:t>
      </w:r>
    </w:p>
    <w:p w14:paraId="273B470F">
      <w:pPr>
        <w:keepNext w:val="0"/>
        <w:keepLines w:val="0"/>
        <w:pageBreakBefore w:val="0"/>
        <w:widowControl w:val="0"/>
        <w:kinsoku/>
        <w:wordWrap/>
        <w:overflowPunct/>
        <w:topLinePunct w:val="0"/>
        <w:autoSpaceDE/>
        <w:autoSpaceDN/>
        <w:bidi w:val="0"/>
        <w:adjustRightInd/>
        <w:snapToGrid w:val="0"/>
        <w:spacing w:line="360" w:lineRule="auto"/>
        <w:ind w:left="0" w:leftChars="0" w:firstLine="440" w:firstLineChars="200"/>
        <w:jc w:val="left"/>
        <w:textAlignment w:val="auto"/>
        <w:rPr>
          <w:rFonts w:hint="eastAsia" w:ascii="宋体" w:hAnsi="宋体" w:eastAsia="宋体" w:cs="宋体"/>
          <w:color w:val="auto"/>
          <w:sz w:val="22"/>
          <w:szCs w:val="22"/>
          <w:highlight w:val="none"/>
          <w:u w:val="none"/>
        </w:rPr>
      </w:pPr>
      <w:r>
        <w:rPr>
          <w:rFonts w:hint="eastAsia" w:ascii="宋体" w:hAnsi="宋体" w:eastAsia="宋体" w:cs="宋体"/>
          <w:color w:val="auto"/>
          <w:sz w:val="22"/>
          <w:szCs w:val="22"/>
          <w:highlight w:val="none"/>
          <w:u w:val="none"/>
        </w:rPr>
        <w:t>2.采购代理机构信息</w:t>
      </w:r>
    </w:p>
    <w:p w14:paraId="5061B2FD">
      <w:pPr>
        <w:keepNext w:val="0"/>
        <w:keepLines w:val="0"/>
        <w:pageBreakBefore w:val="0"/>
        <w:widowControl w:val="0"/>
        <w:kinsoku/>
        <w:wordWrap/>
        <w:overflowPunct/>
        <w:topLinePunct w:val="0"/>
        <w:autoSpaceDE/>
        <w:autoSpaceDN/>
        <w:bidi w:val="0"/>
        <w:adjustRightInd/>
        <w:snapToGrid w:val="0"/>
        <w:spacing w:line="360" w:lineRule="auto"/>
        <w:ind w:left="0" w:leftChars="0" w:firstLine="440" w:firstLineChars="200"/>
        <w:textAlignment w:val="auto"/>
        <w:rPr>
          <w:rFonts w:hint="eastAsia" w:ascii="宋体" w:hAnsi="宋体" w:eastAsia="宋体" w:cs="宋体"/>
          <w:color w:val="auto"/>
          <w:sz w:val="22"/>
          <w:szCs w:val="22"/>
          <w:highlight w:val="none"/>
          <w:u w:val="none"/>
          <w:lang w:eastAsia="zh-CN"/>
        </w:rPr>
      </w:pPr>
      <w:r>
        <w:rPr>
          <w:rFonts w:hint="eastAsia" w:ascii="宋体" w:hAnsi="宋体" w:eastAsia="宋体" w:cs="宋体"/>
          <w:color w:val="auto"/>
          <w:sz w:val="22"/>
          <w:szCs w:val="22"/>
          <w:highlight w:val="none"/>
          <w:u w:val="none"/>
        </w:rPr>
        <w:t>名称：</w:t>
      </w:r>
      <w:r>
        <w:rPr>
          <w:rFonts w:hint="eastAsia" w:ascii="宋体" w:hAnsi="宋体" w:cs="宋体"/>
          <w:color w:val="auto"/>
          <w:sz w:val="22"/>
          <w:szCs w:val="22"/>
          <w:highlight w:val="none"/>
          <w:u w:val="none"/>
          <w:lang w:eastAsia="zh-CN"/>
        </w:rPr>
        <w:t>广西桂工建设管理咨询有限公司</w:t>
      </w:r>
    </w:p>
    <w:p w14:paraId="47849A3D">
      <w:pPr>
        <w:keepNext w:val="0"/>
        <w:keepLines w:val="0"/>
        <w:pageBreakBefore w:val="0"/>
        <w:widowControl w:val="0"/>
        <w:kinsoku/>
        <w:wordWrap/>
        <w:overflowPunct/>
        <w:topLinePunct w:val="0"/>
        <w:autoSpaceDE/>
        <w:autoSpaceDN/>
        <w:bidi w:val="0"/>
        <w:adjustRightInd/>
        <w:snapToGrid w:val="0"/>
        <w:spacing w:line="360" w:lineRule="auto"/>
        <w:ind w:firstLine="440" w:firstLineChars="200"/>
        <w:textAlignment w:val="auto"/>
        <w:rPr>
          <w:rFonts w:hint="eastAsia" w:ascii="宋体" w:hAnsi="宋体" w:eastAsia="宋体" w:cs="宋体"/>
          <w:color w:val="auto"/>
          <w:sz w:val="22"/>
          <w:szCs w:val="22"/>
          <w:highlight w:val="none"/>
          <w:u w:val="none"/>
          <w:lang w:eastAsia="zh-CN"/>
        </w:rPr>
      </w:pPr>
      <w:r>
        <w:rPr>
          <w:rFonts w:hint="eastAsia" w:ascii="宋体" w:hAnsi="宋体" w:eastAsia="宋体" w:cs="宋体"/>
          <w:color w:val="auto"/>
          <w:sz w:val="22"/>
          <w:szCs w:val="22"/>
          <w:highlight w:val="none"/>
          <w:u w:val="none"/>
        </w:rPr>
        <w:t>地址：</w:t>
      </w:r>
      <w:r>
        <w:rPr>
          <w:rFonts w:hint="eastAsia" w:ascii="宋体" w:hAnsi="宋体" w:cs="宋体"/>
          <w:color w:val="auto"/>
          <w:sz w:val="22"/>
          <w:szCs w:val="22"/>
          <w:highlight w:val="none"/>
          <w:u w:val="none"/>
          <w:lang w:eastAsia="zh-CN"/>
        </w:rPr>
        <w:t>中国（广西）自由贸易试验区南宁片区庆歌路20号富雅•国际商务大厦B栋十三层1301</w:t>
      </w:r>
    </w:p>
    <w:p w14:paraId="26A9D91B">
      <w:pPr>
        <w:keepNext w:val="0"/>
        <w:keepLines w:val="0"/>
        <w:pageBreakBefore w:val="0"/>
        <w:widowControl w:val="0"/>
        <w:kinsoku/>
        <w:wordWrap/>
        <w:overflowPunct/>
        <w:topLinePunct w:val="0"/>
        <w:autoSpaceDE/>
        <w:autoSpaceDN/>
        <w:bidi w:val="0"/>
        <w:adjustRightInd/>
        <w:snapToGrid w:val="0"/>
        <w:spacing w:line="360" w:lineRule="auto"/>
        <w:ind w:firstLine="440" w:firstLineChars="200"/>
        <w:textAlignment w:val="auto"/>
        <w:rPr>
          <w:rFonts w:hint="eastAsia" w:ascii="宋体" w:hAnsi="宋体" w:eastAsia="宋体" w:cs="宋体"/>
          <w:color w:val="auto"/>
          <w:sz w:val="22"/>
          <w:szCs w:val="22"/>
          <w:highlight w:val="none"/>
          <w:u w:val="none"/>
          <w:lang w:eastAsia="zh-CN"/>
        </w:rPr>
      </w:pPr>
      <w:r>
        <w:rPr>
          <w:rFonts w:hint="eastAsia" w:ascii="宋体" w:hAnsi="宋体" w:eastAsia="宋体" w:cs="宋体"/>
          <w:color w:val="auto"/>
          <w:sz w:val="22"/>
          <w:szCs w:val="22"/>
          <w:highlight w:val="none"/>
          <w:u w:val="none"/>
        </w:rPr>
        <w:t>项目联系人：</w:t>
      </w:r>
      <w:r>
        <w:rPr>
          <w:rFonts w:hint="eastAsia" w:ascii="宋体" w:hAnsi="宋体" w:cs="宋体"/>
          <w:color w:val="auto"/>
          <w:sz w:val="22"/>
          <w:szCs w:val="22"/>
          <w:highlight w:val="none"/>
          <w:u w:val="none"/>
          <w:lang w:eastAsia="zh-CN"/>
        </w:rPr>
        <w:t>林工</w:t>
      </w:r>
    </w:p>
    <w:p w14:paraId="2CCD0C1F">
      <w:pPr>
        <w:keepNext w:val="0"/>
        <w:keepLines w:val="0"/>
        <w:pageBreakBefore w:val="0"/>
        <w:widowControl w:val="0"/>
        <w:kinsoku/>
        <w:wordWrap/>
        <w:overflowPunct/>
        <w:topLinePunct w:val="0"/>
        <w:autoSpaceDE/>
        <w:autoSpaceDN/>
        <w:bidi w:val="0"/>
        <w:adjustRightInd/>
        <w:snapToGrid w:val="0"/>
        <w:spacing w:line="360" w:lineRule="auto"/>
        <w:ind w:left="0" w:leftChars="0" w:firstLine="440" w:firstLineChars="200"/>
        <w:textAlignment w:val="auto"/>
        <w:rPr>
          <w:rFonts w:hint="eastAsia" w:ascii="宋体" w:hAnsi="宋体" w:eastAsia="宋体" w:cs="宋体"/>
          <w:color w:val="auto"/>
          <w:sz w:val="22"/>
          <w:szCs w:val="22"/>
          <w:highlight w:val="none"/>
          <w:u w:val="none"/>
          <w:lang w:eastAsia="zh-CN"/>
        </w:rPr>
      </w:pPr>
      <w:r>
        <w:rPr>
          <w:rFonts w:hint="eastAsia" w:ascii="宋体" w:hAnsi="宋体" w:eastAsia="宋体" w:cs="宋体"/>
          <w:color w:val="auto"/>
          <w:sz w:val="22"/>
          <w:szCs w:val="22"/>
          <w:highlight w:val="none"/>
          <w:u w:val="none"/>
        </w:rPr>
        <w:t>项目联系方式：</w:t>
      </w:r>
      <w:r>
        <w:rPr>
          <w:rFonts w:hint="eastAsia" w:ascii="宋体" w:hAnsi="宋体" w:cs="宋体"/>
          <w:color w:val="auto"/>
          <w:sz w:val="22"/>
          <w:szCs w:val="22"/>
          <w:highlight w:val="none"/>
          <w:u w:val="none"/>
          <w:lang w:eastAsia="zh-CN"/>
        </w:rPr>
        <w:t>0772-2611777</w:t>
      </w:r>
    </w:p>
    <w:p w14:paraId="64B81D5B">
      <w:pPr>
        <w:keepNext w:val="0"/>
        <w:keepLines w:val="0"/>
        <w:pageBreakBefore w:val="0"/>
        <w:kinsoku/>
        <w:overflowPunct/>
        <w:topLinePunct w:val="0"/>
        <w:autoSpaceDE/>
        <w:autoSpaceDN/>
        <w:bidi w:val="0"/>
        <w:adjustRightInd/>
        <w:snapToGrid w:val="0"/>
        <w:spacing w:line="240" w:lineRule="auto"/>
        <w:ind w:firstLine="480" w:firstLineChars="200"/>
        <w:textAlignment w:val="auto"/>
        <w:rPr>
          <w:rFonts w:hint="eastAsia" w:ascii="宋体" w:hAnsi="宋体" w:eastAsia="宋体" w:cs="宋体"/>
          <w:color w:val="auto"/>
          <w:sz w:val="24"/>
          <w:szCs w:val="24"/>
          <w:highlight w:val="none"/>
          <w:u w:val="none"/>
        </w:rPr>
      </w:pPr>
    </w:p>
    <w:p w14:paraId="79F4C727">
      <w:pPr>
        <w:spacing w:line="360" w:lineRule="auto"/>
        <w:ind w:firstLine="480" w:firstLineChars="200"/>
        <w:jc w:val="right"/>
        <w:outlineLvl w:val="0"/>
        <w:rPr>
          <w:rFonts w:hint="eastAsia" w:ascii="宋体" w:hAnsi="宋体" w:eastAsia="宋体" w:cs="宋体"/>
          <w:color w:val="auto"/>
          <w:sz w:val="24"/>
          <w:szCs w:val="24"/>
          <w:highlight w:val="none"/>
        </w:rPr>
      </w:pPr>
    </w:p>
    <w:p w14:paraId="3DA3EE51">
      <w:pPr>
        <w:spacing w:line="360" w:lineRule="auto"/>
        <w:ind w:firstLine="480" w:firstLineChars="200"/>
        <w:jc w:val="center"/>
        <w:outlineLvl w:val="0"/>
        <w:rPr>
          <w:rFonts w:hint="eastAsia" w:ascii="宋体" w:hAnsi="宋体" w:eastAsia="宋体" w:cs="宋体"/>
          <w:b/>
          <w:bCs/>
          <w:color w:val="auto"/>
          <w:kern w:val="44"/>
          <w:sz w:val="32"/>
          <w:szCs w:val="32"/>
          <w:highlight w:val="none"/>
        </w:rPr>
      </w:pPr>
      <w:r>
        <w:rPr>
          <w:rFonts w:hint="eastAsia" w:ascii="宋体" w:hAnsi="宋体" w:eastAsia="宋体" w:cs="宋体"/>
          <w:color w:val="auto"/>
          <w:sz w:val="24"/>
          <w:szCs w:val="24"/>
          <w:highlight w:val="none"/>
        </w:rPr>
        <w:br w:type="page"/>
      </w:r>
      <w:bookmarkStart w:id="28" w:name="_Toc5857"/>
      <w:r>
        <w:rPr>
          <w:rFonts w:hint="eastAsia" w:ascii="宋体" w:hAnsi="宋体" w:eastAsia="宋体" w:cs="宋体"/>
          <w:b/>
          <w:color w:val="auto"/>
          <w:kern w:val="44"/>
          <w:sz w:val="32"/>
          <w:szCs w:val="32"/>
          <w:highlight w:val="none"/>
        </w:rPr>
        <w:t xml:space="preserve">第二章 </w:t>
      </w:r>
      <w:r>
        <w:rPr>
          <w:rFonts w:hint="eastAsia" w:ascii="宋体" w:hAnsi="宋体" w:cs="宋体"/>
          <w:b/>
          <w:color w:val="auto"/>
          <w:kern w:val="44"/>
          <w:sz w:val="32"/>
          <w:szCs w:val="32"/>
          <w:highlight w:val="none"/>
          <w:lang w:val="en-US" w:eastAsia="zh-CN"/>
        </w:rPr>
        <w:t xml:space="preserve"> </w:t>
      </w:r>
      <w:r>
        <w:rPr>
          <w:rFonts w:hint="eastAsia" w:ascii="宋体" w:hAnsi="宋体" w:eastAsia="宋体" w:cs="宋体"/>
          <w:b/>
          <w:color w:val="auto"/>
          <w:kern w:val="44"/>
          <w:sz w:val="32"/>
          <w:szCs w:val="32"/>
          <w:highlight w:val="none"/>
        </w:rPr>
        <w:t>采购需求</w:t>
      </w:r>
      <w:bookmarkEnd w:id="28"/>
    </w:p>
    <w:p w14:paraId="2B51186E">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说明：</w:t>
      </w:r>
    </w:p>
    <w:p w14:paraId="55F300D3">
      <w:pPr>
        <w:keepNext w:val="0"/>
        <w:keepLines w:val="0"/>
        <w:pageBreakBefore w:val="0"/>
        <w:widowControl w:val="0"/>
        <w:shd w:val="clear" w:color="auto" w:fill="auto"/>
        <w:kinsoku/>
        <w:wordWrap/>
        <w:overflowPunct/>
        <w:topLinePunct w:val="0"/>
        <w:autoSpaceDE/>
        <w:autoSpaceDN/>
        <w:bidi w:val="0"/>
        <w:adjustRightInd/>
        <w:snapToGrid w:val="0"/>
        <w:spacing w:line="360" w:lineRule="auto"/>
        <w:ind w:firstLine="440" w:firstLineChars="200"/>
        <w:jc w:val="left"/>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1、本项目需求表中带有“▲”的技术参数或要求为实质性要求，必须满足，竞标响应不得低于该技术指标或要求。</w:t>
      </w:r>
    </w:p>
    <w:p w14:paraId="32701DFE">
      <w:pPr>
        <w:keepNext w:val="0"/>
        <w:keepLines w:val="0"/>
        <w:pageBreakBefore w:val="0"/>
        <w:widowControl w:val="0"/>
        <w:shd w:val="clear" w:color="auto" w:fill="auto"/>
        <w:kinsoku/>
        <w:wordWrap/>
        <w:overflowPunct/>
        <w:topLinePunct w:val="0"/>
        <w:autoSpaceDE/>
        <w:autoSpaceDN/>
        <w:bidi w:val="0"/>
        <w:adjustRightInd/>
        <w:snapToGrid w:val="0"/>
        <w:spacing w:line="360" w:lineRule="auto"/>
        <w:ind w:firstLine="440" w:firstLineChars="200"/>
        <w:jc w:val="left"/>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2、供应商所竞标货物或服务如国家有强制性要求的按国家规定执行，若执行标准有修改或更新按最新版本执行。</w:t>
      </w:r>
    </w:p>
    <w:p w14:paraId="62F499E1">
      <w:pPr>
        <w:keepNext w:val="0"/>
        <w:keepLines w:val="0"/>
        <w:pageBreakBefore w:val="0"/>
        <w:widowControl w:val="0"/>
        <w:kinsoku/>
        <w:wordWrap/>
        <w:overflowPunct/>
        <w:topLinePunct w:val="0"/>
        <w:autoSpaceDE/>
        <w:autoSpaceDN/>
        <w:bidi w:val="0"/>
        <w:adjustRightInd/>
        <w:snapToGrid w:val="0"/>
        <w:spacing w:line="360" w:lineRule="auto"/>
        <w:ind w:firstLine="440" w:firstLineChars="200"/>
        <w:jc w:val="left"/>
        <w:textAlignment w:val="auto"/>
        <w:rPr>
          <w:rFonts w:hint="eastAsia" w:ascii="宋体" w:hAnsi="宋体" w:eastAsia="宋体" w:cs="宋体"/>
          <w:color w:val="auto"/>
          <w:sz w:val="22"/>
          <w:szCs w:val="22"/>
          <w:highlight w:val="none"/>
        </w:rPr>
      </w:pPr>
      <w:r>
        <w:rPr>
          <w:rFonts w:hint="eastAsia" w:ascii="仿宋" w:hAnsi="仿宋" w:eastAsia="仿宋" w:cs="仿宋"/>
          <w:color w:val="auto"/>
          <w:sz w:val="22"/>
          <w:szCs w:val="22"/>
          <w:highlight w:val="none"/>
        </w:rPr>
        <w:t>3、采购标的对应的中小企业划分标准所属行业：根据《关于印发中小企业划型标准规定的通知》（工信部联企业〔2011〕300号），本次采购标的属于</w:t>
      </w:r>
      <w:r>
        <w:rPr>
          <w:rFonts w:hint="eastAsia" w:ascii="仿宋" w:hAnsi="仿宋" w:eastAsia="仿宋" w:cs="仿宋"/>
          <w:b/>
          <w:bCs/>
          <w:color w:val="auto"/>
          <w:sz w:val="22"/>
          <w:szCs w:val="22"/>
          <w:highlight w:val="none"/>
          <w:u w:val="single"/>
        </w:rPr>
        <w:t>其他未列明行业</w:t>
      </w:r>
    </w:p>
    <w:p w14:paraId="706AC449">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color w:val="auto"/>
          <w:sz w:val="22"/>
          <w:szCs w:val="22"/>
          <w:highlight w:val="none"/>
          <w:lang w:val="en-US" w:eastAsia="zh-CN"/>
        </w:rPr>
      </w:pPr>
      <w:r>
        <w:rPr>
          <w:rFonts w:hint="eastAsia" w:ascii="仿宋" w:hAnsi="仿宋" w:eastAsia="仿宋" w:cs="仿宋"/>
          <w:color w:val="auto"/>
          <w:sz w:val="22"/>
          <w:szCs w:val="22"/>
          <w:highlight w:val="none"/>
        </w:rPr>
        <w:t>▲</w:t>
      </w:r>
      <w:r>
        <w:rPr>
          <w:rFonts w:hint="eastAsia" w:ascii="宋体" w:hAnsi="宋体" w:eastAsia="宋体" w:cs="宋体"/>
          <w:b/>
          <w:bCs/>
          <w:color w:val="auto"/>
          <w:sz w:val="22"/>
          <w:szCs w:val="22"/>
          <w:highlight w:val="none"/>
          <w:lang w:val="en-US" w:eastAsia="zh-CN"/>
        </w:rPr>
        <w:t>一、</w:t>
      </w:r>
      <w:r>
        <w:rPr>
          <w:rFonts w:hint="eastAsia" w:ascii="宋体" w:hAnsi="宋体" w:cs="宋体"/>
          <w:b/>
          <w:bCs/>
          <w:color w:val="auto"/>
          <w:sz w:val="22"/>
          <w:szCs w:val="22"/>
          <w:highlight w:val="none"/>
          <w:lang w:val="en-US" w:eastAsia="zh-CN"/>
        </w:rPr>
        <w:t>承包范围</w:t>
      </w:r>
      <w:r>
        <w:rPr>
          <w:rFonts w:hint="eastAsia" w:ascii="宋体" w:hAnsi="宋体" w:eastAsia="宋体" w:cs="宋体"/>
          <w:b/>
          <w:bCs/>
          <w:color w:val="auto"/>
          <w:sz w:val="22"/>
          <w:szCs w:val="22"/>
          <w:highlight w:val="none"/>
          <w:lang w:val="en-US" w:eastAsia="zh-CN"/>
        </w:rPr>
        <w:t>：</w:t>
      </w:r>
    </w:p>
    <w:p w14:paraId="3C8CB725">
      <w:pPr>
        <w:keepNext w:val="0"/>
        <w:keepLines w:val="0"/>
        <w:pageBreakBefore w:val="0"/>
        <w:widowControl w:val="0"/>
        <w:kinsoku/>
        <w:wordWrap/>
        <w:overflowPunct/>
        <w:topLinePunct w:val="0"/>
        <w:autoSpaceDE/>
        <w:autoSpaceDN/>
        <w:bidi w:val="0"/>
        <w:adjustRightInd/>
        <w:snapToGrid/>
        <w:spacing w:line="360" w:lineRule="auto"/>
        <w:ind w:firstLine="440" w:firstLineChars="200"/>
        <w:jc w:val="both"/>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1.负责东泉镇辖区内19个行政村和2个社区（对河村、永安村、高田村、新龙村、莫道村、尖石村、螺田村、青山村、洲村村、大樟村、前屯村、碑塘村、雷塘村、思江村、凉亭村、黄塘村、中段村、走马村、西安村、东泉社区、西安社区）的垃圾清运工作及垃圾箱设备维修。</w:t>
      </w:r>
    </w:p>
    <w:p w14:paraId="4F14D51D">
      <w:pPr>
        <w:keepNext w:val="0"/>
        <w:keepLines w:val="0"/>
        <w:pageBreakBefore w:val="0"/>
        <w:widowControl w:val="0"/>
        <w:kinsoku/>
        <w:wordWrap/>
        <w:overflowPunct/>
        <w:topLinePunct w:val="0"/>
        <w:autoSpaceDE/>
        <w:autoSpaceDN/>
        <w:bidi w:val="0"/>
        <w:adjustRightInd/>
        <w:snapToGrid/>
        <w:spacing w:line="360" w:lineRule="auto"/>
        <w:ind w:firstLine="440" w:firstLineChars="200"/>
        <w:jc w:val="both"/>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2.负责东泉集镇（东泉镇农贸市场、东泉镇广场、东泉镇新天地除外）保洁工作及保洁员聘请、管理。</w:t>
      </w:r>
    </w:p>
    <w:p w14:paraId="7FB980E1">
      <w:pPr>
        <w:keepNext w:val="0"/>
        <w:keepLines w:val="0"/>
        <w:pageBreakBefore w:val="0"/>
        <w:widowControl w:val="0"/>
        <w:kinsoku/>
        <w:wordWrap/>
        <w:overflowPunct/>
        <w:topLinePunct w:val="0"/>
        <w:autoSpaceDE/>
        <w:autoSpaceDN/>
        <w:bidi w:val="0"/>
        <w:adjustRightInd/>
        <w:snapToGrid/>
        <w:spacing w:line="360" w:lineRule="auto"/>
        <w:ind w:firstLine="440" w:firstLineChars="200"/>
        <w:jc w:val="both"/>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3.负责将东泉镇辖区内的垃圾用机动车转运到镇垃圾中转站，并负责清理散落在移动垃圾箱（桶）周边的垃圾。将东泉镇辖区内的垃圾运至东泉镇三里坳垃圾中转站后，负责将垃圾进行压缩装箱，并负责对垃圾中转站进行日常管理、维护和中转站电费的支出。</w:t>
      </w:r>
    </w:p>
    <w:p w14:paraId="73DD1F23">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color w:val="auto"/>
          <w:sz w:val="22"/>
          <w:szCs w:val="22"/>
          <w:highlight w:val="none"/>
        </w:rPr>
      </w:pPr>
      <w:r>
        <w:rPr>
          <w:rFonts w:hint="eastAsia" w:ascii="仿宋" w:hAnsi="仿宋" w:eastAsia="仿宋" w:cs="仿宋"/>
          <w:color w:val="auto"/>
          <w:sz w:val="22"/>
          <w:szCs w:val="22"/>
          <w:highlight w:val="none"/>
        </w:rPr>
        <w:t>▲</w:t>
      </w:r>
      <w:r>
        <w:rPr>
          <w:rFonts w:hint="eastAsia" w:ascii="宋体" w:hAnsi="宋体" w:eastAsia="宋体" w:cs="宋体"/>
          <w:b/>
          <w:bCs/>
          <w:color w:val="auto"/>
          <w:sz w:val="22"/>
          <w:szCs w:val="22"/>
          <w:highlight w:val="none"/>
          <w:lang w:val="en-US" w:eastAsia="zh-CN"/>
        </w:rPr>
        <w:t>二</w:t>
      </w:r>
      <w:r>
        <w:rPr>
          <w:rFonts w:hint="eastAsia" w:ascii="宋体" w:hAnsi="宋体" w:eastAsia="宋体" w:cs="宋体"/>
          <w:b/>
          <w:bCs/>
          <w:color w:val="auto"/>
          <w:sz w:val="22"/>
          <w:szCs w:val="22"/>
          <w:highlight w:val="none"/>
          <w:lang w:eastAsia="zh-CN"/>
        </w:rPr>
        <w:t>、</w:t>
      </w:r>
      <w:r>
        <w:rPr>
          <w:rFonts w:hint="eastAsia" w:ascii="宋体" w:hAnsi="宋体" w:cs="宋体"/>
          <w:b/>
          <w:bCs/>
          <w:color w:val="auto"/>
          <w:sz w:val="22"/>
          <w:szCs w:val="22"/>
          <w:highlight w:val="none"/>
          <w:lang w:val="en-US" w:eastAsia="zh-CN"/>
        </w:rPr>
        <w:t>服务</w:t>
      </w:r>
      <w:r>
        <w:rPr>
          <w:rFonts w:hint="eastAsia" w:ascii="宋体" w:hAnsi="宋体" w:eastAsia="宋体" w:cs="宋体"/>
          <w:b/>
          <w:bCs/>
          <w:color w:val="auto"/>
          <w:sz w:val="22"/>
          <w:szCs w:val="22"/>
          <w:highlight w:val="none"/>
        </w:rPr>
        <w:t>要求</w:t>
      </w:r>
    </w:p>
    <w:p w14:paraId="22581D75">
      <w:pPr>
        <w:keepNext w:val="0"/>
        <w:keepLines w:val="0"/>
        <w:pageBreakBefore w:val="0"/>
        <w:widowControl w:val="0"/>
        <w:kinsoku/>
        <w:wordWrap/>
        <w:overflowPunct/>
        <w:topLinePunct w:val="0"/>
        <w:autoSpaceDE/>
        <w:autoSpaceDN/>
        <w:bidi w:val="0"/>
        <w:adjustRightInd/>
        <w:snapToGrid/>
        <w:spacing w:line="360" w:lineRule="auto"/>
        <w:ind w:firstLine="440" w:firstLineChars="200"/>
        <w:jc w:val="lef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1.每天安排保洁员对东泉镇集镇区域进行保洁作业。</w:t>
      </w:r>
    </w:p>
    <w:p w14:paraId="5A0F0FAF">
      <w:pPr>
        <w:keepNext w:val="0"/>
        <w:keepLines w:val="0"/>
        <w:pageBreakBefore w:val="0"/>
        <w:widowControl w:val="0"/>
        <w:kinsoku/>
        <w:wordWrap/>
        <w:overflowPunct/>
        <w:topLinePunct w:val="0"/>
        <w:autoSpaceDE/>
        <w:autoSpaceDN/>
        <w:bidi w:val="0"/>
        <w:adjustRightInd/>
        <w:snapToGrid/>
        <w:spacing w:line="360" w:lineRule="auto"/>
        <w:ind w:firstLine="440" w:firstLineChars="200"/>
        <w:jc w:val="lef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2.东泉镇集镇区域的垃圾</w:t>
      </w:r>
      <w:r>
        <w:rPr>
          <w:rFonts w:hint="eastAsia" w:ascii="宋体" w:hAnsi="宋体" w:cs="宋体"/>
          <w:color w:val="auto"/>
          <w:sz w:val="22"/>
          <w:szCs w:val="22"/>
          <w:highlight w:val="none"/>
          <w:lang w:val="en-US" w:eastAsia="zh-CN"/>
        </w:rPr>
        <w:t>每日清运1次</w:t>
      </w:r>
      <w:r>
        <w:rPr>
          <w:rFonts w:hint="eastAsia" w:ascii="宋体" w:hAnsi="宋体" w:eastAsia="宋体" w:cs="宋体"/>
          <w:color w:val="auto"/>
          <w:sz w:val="22"/>
          <w:szCs w:val="22"/>
          <w:highlight w:val="none"/>
          <w:lang w:val="en-US" w:eastAsia="zh-CN"/>
        </w:rPr>
        <w:t>。</w:t>
      </w:r>
    </w:p>
    <w:p w14:paraId="1F5C7E81">
      <w:pPr>
        <w:keepNext w:val="0"/>
        <w:keepLines w:val="0"/>
        <w:pageBreakBefore w:val="0"/>
        <w:widowControl w:val="0"/>
        <w:kinsoku/>
        <w:wordWrap/>
        <w:overflowPunct/>
        <w:topLinePunct w:val="0"/>
        <w:autoSpaceDE/>
        <w:autoSpaceDN/>
        <w:bidi w:val="0"/>
        <w:adjustRightInd/>
        <w:snapToGrid/>
        <w:spacing w:line="360" w:lineRule="auto"/>
        <w:ind w:firstLine="440" w:firstLineChars="200"/>
        <w:jc w:val="lef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3.西安社区、西安村、</w:t>
      </w:r>
      <w:r>
        <w:rPr>
          <w:rFonts w:hint="eastAsia" w:ascii="宋体" w:hAnsi="宋体" w:cs="宋体"/>
          <w:color w:val="auto"/>
          <w:sz w:val="22"/>
          <w:szCs w:val="22"/>
          <w:highlight w:val="none"/>
          <w:lang w:val="en-US" w:eastAsia="zh-CN"/>
        </w:rPr>
        <w:t>中段村</w:t>
      </w:r>
      <w:r>
        <w:rPr>
          <w:rFonts w:hint="eastAsia" w:ascii="宋体" w:hAnsi="宋体" w:eastAsia="宋体" w:cs="宋体"/>
          <w:color w:val="auto"/>
          <w:sz w:val="22"/>
          <w:szCs w:val="22"/>
          <w:highlight w:val="none"/>
          <w:lang w:val="en-US" w:eastAsia="zh-CN"/>
        </w:rPr>
        <w:t>、走马村、雷塘村、尖石村</w:t>
      </w:r>
      <w:r>
        <w:rPr>
          <w:rFonts w:hint="eastAsia" w:ascii="宋体" w:hAnsi="宋体" w:cs="宋体"/>
          <w:color w:val="auto"/>
          <w:sz w:val="22"/>
          <w:szCs w:val="22"/>
          <w:highlight w:val="none"/>
          <w:lang w:val="en-US" w:eastAsia="zh-CN"/>
        </w:rPr>
        <w:t>、</w:t>
      </w:r>
      <w:r>
        <w:rPr>
          <w:rFonts w:hint="eastAsia" w:ascii="宋体" w:hAnsi="宋体" w:eastAsia="宋体" w:cs="宋体"/>
          <w:color w:val="auto"/>
          <w:sz w:val="22"/>
          <w:szCs w:val="22"/>
          <w:highlight w:val="none"/>
          <w:lang w:val="en-US" w:eastAsia="zh-CN"/>
        </w:rPr>
        <w:t>对河村、永安村</w:t>
      </w:r>
      <w:r>
        <w:rPr>
          <w:rFonts w:hint="eastAsia" w:ascii="宋体" w:hAnsi="宋体" w:cs="宋体"/>
          <w:color w:val="auto"/>
          <w:sz w:val="22"/>
          <w:szCs w:val="22"/>
          <w:highlight w:val="none"/>
          <w:lang w:val="en-US" w:eastAsia="zh-CN"/>
        </w:rPr>
        <w:t>，1个社区7个行政村</w:t>
      </w:r>
      <w:r>
        <w:rPr>
          <w:rFonts w:hint="eastAsia" w:ascii="宋体" w:hAnsi="宋体" w:eastAsia="宋体" w:cs="宋体"/>
          <w:color w:val="auto"/>
          <w:sz w:val="22"/>
          <w:szCs w:val="22"/>
          <w:highlight w:val="none"/>
          <w:lang w:val="en-US" w:eastAsia="zh-CN"/>
        </w:rPr>
        <w:t>各屯的垃圾</w:t>
      </w:r>
      <w:r>
        <w:rPr>
          <w:rFonts w:hint="eastAsia" w:ascii="宋体" w:hAnsi="宋体" w:cs="宋体"/>
          <w:color w:val="auto"/>
          <w:sz w:val="22"/>
          <w:szCs w:val="22"/>
          <w:highlight w:val="none"/>
          <w:lang w:val="en-US" w:eastAsia="zh-CN"/>
        </w:rPr>
        <w:t>最多间隔两天清运1次</w:t>
      </w:r>
      <w:r>
        <w:rPr>
          <w:rFonts w:hint="eastAsia" w:ascii="宋体" w:hAnsi="宋体" w:eastAsia="宋体" w:cs="宋体"/>
          <w:color w:val="auto"/>
          <w:sz w:val="22"/>
          <w:szCs w:val="22"/>
          <w:highlight w:val="none"/>
          <w:lang w:val="en-US" w:eastAsia="zh-CN"/>
        </w:rPr>
        <w:t>。</w:t>
      </w:r>
    </w:p>
    <w:p w14:paraId="064CB448">
      <w:pPr>
        <w:keepNext w:val="0"/>
        <w:keepLines w:val="0"/>
        <w:pageBreakBefore w:val="0"/>
        <w:widowControl w:val="0"/>
        <w:kinsoku/>
        <w:wordWrap/>
        <w:overflowPunct/>
        <w:topLinePunct w:val="0"/>
        <w:autoSpaceDE/>
        <w:autoSpaceDN/>
        <w:bidi w:val="0"/>
        <w:adjustRightInd/>
        <w:snapToGrid/>
        <w:spacing w:line="360" w:lineRule="auto"/>
        <w:ind w:firstLine="440" w:firstLineChars="200"/>
        <w:jc w:val="lef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4.高田村、新龙村、莫道村、螺田村、青山村、洲村村、大樟村、前屯村、碑塘村、思江村、凉亭村、黄塘村</w:t>
      </w:r>
      <w:r>
        <w:rPr>
          <w:rFonts w:hint="eastAsia" w:ascii="宋体" w:hAnsi="宋体" w:cs="宋体"/>
          <w:color w:val="auto"/>
          <w:sz w:val="22"/>
          <w:szCs w:val="22"/>
          <w:highlight w:val="none"/>
          <w:lang w:val="en-US" w:eastAsia="zh-CN"/>
        </w:rPr>
        <w:t>，12个行政村</w:t>
      </w:r>
      <w:r>
        <w:rPr>
          <w:rFonts w:hint="eastAsia" w:ascii="宋体" w:hAnsi="宋体" w:eastAsia="宋体" w:cs="宋体"/>
          <w:color w:val="auto"/>
          <w:sz w:val="22"/>
          <w:szCs w:val="22"/>
          <w:highlight w:val="none"/>
          <w:lang w:val="en-US" w:eastAsia="zh-CN"/>
        </w:rPr>
        <w:t>各屯的垃圾</w:t>
      </w:r>
      <w:r>
        <w:rPr>
          <w:rFonts w:hint="eastAsia" w:ascii="宋体" w:hAnsi="宋体" w:cs="宋体"/>
          <w:color w:val="auto"/>
          <w:sz w:val="22"/>
          <w:szCs w:val="22"/>
          <w:highlight w:val="none"/>
          <w:lang w:val="en-US" w:eastAsia="zh-CN"/>
        </w:rPr>
        <w:t>最多间隔三天清运一次</w:t>
      </w:r>
      <w:r>
        <w:rPr>
          <w:rFonts w:hint="eastAsia" w:ascii="宋体" w:hAnsi="宋体" w:eastAsia="宋体" w:cs="宋体"/>
          <w:color w:val="auto"/>
          <w:sz w:val="22"/>
          <w:szCs w:val="22"/>
          <w:highlight w:val="none"/>
          <w:lang w:val="en-US" w:eastAsia="zh-CN"/>
        </w:rPr>
        <w:t>。</w:t>
      </w:r>
    </w:p>
    <w:p w14:paraId="251DEBB8">
      <w:pPr>
        <w:keepNext w:val="0"/>
        <w:keepLines w:val="0"/>
        <w:pageBreakBefore w:val="0"/>
        <w:widowControl w:val="0"/>
        <w:kinsoku/>
        <w:wordWrap/>
        <w:overflowPunct/>
        <w:topLinePunct w:val="0"/>
        <w:autoSpaceDE/>
        <w:autoSpaceDN/>
        <w:bidi w:val="0"/>
        <w:adjustRightInd/>
        <w:snapToGrid/>
        <w:spacing w:line="360" w:lineRule="auto"/>
        <w:ind w:firstLine="440" w:firstLineChars="200"/>
        <w:jc w:val="lef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5.将东泉镇辖区内的垃圾运至东泉镇三里坳垃圾中转站后，负责将垃圾进行压缩装箱，对垃圾中转站进行日常管理和维护，做好日常打扫，保持中转站内干净卫生，负责中转站电费的支出。</w:t>
      </w:r>
    </w:p>
    <w:p w14:paraId="3B1D992A">
      <w:pPr>
        <w:keepNext w:val="0"/>
        <w:keepLines w:val="0"/>
        <w:pageBreakBefore w:val="0"/>
        <w:widowControl w:val="0"/>
        <w:kinsoku/>
        <w:wordWrap/>
        <w:overflowPunct/>
        <w:topLinePunct w:val="0"/>
        <w:autoSpaceDE/>
        <w:autoSpaceDN/>
        <w:bidi w:val="0"/>
        <w:adjustRightInd/>
        <w:snapToGrid/>
        <w:spacing w:line="360" w:lineRule="auto"/>
        <w:ind w:firstLine="440" w:firstLineChars="200"/>
        <w:jc w:val="lef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7.在垃圾清运工作中，垃圾箱（桶）外的垃圾要清理干净，清运垃圾途中造成垃圾撒落的要负责处理。</w:t>
      </w:r>
    </w:p>
    <w:p w14:paraId="7D0887A6">
      <w:pPr>
        <w:keepNext w:val="0"/>
        <w:keepLines w:val="0"/>
        <w:pageBreakBefore w:val="0"/>
        <w:widowControl w:val="0"/>
        <w:kinsoku/>
        <w:wordWrap/>
        <w:overflowPunct/>
        <w:topLinePunct w:val="0"/>
        <w:autoSpaceDE/>
        <w:autoSpaceDN/>
        <w:bidi w:val="0"/>
        <w:adjustRightInd/>
        <w:snapToGrid/>
        <w:spacing w:line="360" w:lineRule="auto"/>
        <w:ind w:firstLine="440" w:firstLineChars="200"/>
        <w:jc w:val="lef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8.如遇上级卫生督查、重大节假日、迎检、乡镇重大工作和活动等特殊情况，需要增加除日常工作任务之外的临时垃圾清运工作的，应按东泉政府通知的时间和质量要求安排人员落实垃圾清运工作。</w:t>
      </w:r>
    </w:p>
    <w:p w14:paraId="5EF565FD">
      <w:pPr>
        <w:keepNext w:val="0"/>
        <w:keepLines w:val="0"/>
        <w:pageBreakBefore w:val="0"/>
        <w:widowControl w:val="0"/>
        <w:kinsoku/>
        <w:wordWrap/>
        <w:overflowPunct/>
        <w:topLinePunct w:val="0"/>
        <w:autoSpaceDE/>
        <w:autoSpaceDN/>
        <w:bidi w:val="0"/>
        <w:adjustRightInd/>
        <w:snapToGrid/>
        <w:spacing w:line="360" w:lineRule="auto"/>
        <w:ind w:firstLine="440" w:firstLineChars="200"/>
        <w:jc w:val="left"/>
        <w:textAlignment w:val="auto"/>
        <w:rPr>
          <w:rFonts w:hint="eastAsia" w:ascii="宋体" w:hAnsi="宋体" w:eastAsia="宋体" w:cs="宋体"/>
          <w:sz w:val="22"/>
          <w:szCs w:val="22"/>
          <w:highlight w:val="none"/>
          <w:lang w:val="en-US" w:eastAsia="zh-CN"/>
        </w:rPr>
      </w:pPr>
      <w:r>
        <w:rPr>
          <w:rFonts w:hint="eastAsia" w:ascii="宋体" w:hAnsi="宋体" w:eastAsia="宋体" w:cs="宋体"/>
          <w:color w:val="auto"/>
          <w:sz w:val="22"/>
          <w:szCs w:val="22"/>
          <w:highlight w:val="none"/>
          <w:lang w:val="en-US" w:eastAsia="zh-CN"/>
        </w:rPr>
        <w:t>9.对破损的垃圾箱进行维修，并定期清洗垃圾箱，保持外观整洁。</w:t>
      </w:r>
    </w:p>
    <w:p w14:paraId="1E635FE1">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sz w:val="22"/>
          <w:szCs w:val="22"/>
          <w:highlight w:val="none"/>
          <w:lang w:val="en-US" w:eastAsia="zh-CN"/>
        </w:rPr>
      </w:pPr>
      <w:r>
        <w:rPr>
          <w:rFonts w:hint="eastAsia" w:ascii="仿宋" w:hAnsi="仿宋" w:eastAsia="仿宋" w:cs="仿宋"/>
          <w:color w:val="auto"/>
          <w:sz w:val="22"/>
          <w:szCs w:val="22"/>
          <w:highlight w:val="none"/>
        </w:rPr>
        <w:t>▲</w:t>
      </w:r>
      <w:r>
        <w:rPr>
          <w:rFonts w:hint="eastAsia" w:ascii="宋体" w:hAnsi="宋体" w:eastAsia="宋体" w:cs="宋体"/>
          <w:b/>
          <w:bCs/>
          <w:sz w:val="22"/>
          <w:szCs w:val="22"/>
          <w:highlight w:val="none"/>
          <w:lang w:val="en-US" w:eastAsia="zh-CN"/>
        </w:rPr>
        <w:t>三、商务要求</w:t>
      </w:r>
    </w:p>
    <w:p w14:paraId="4F06B5D4">
      <w:pPr>
        <w:pStyle w:val="12"/>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40" w:firstLineChars="200"/>
        <w:textAlignment w:val="auto"/>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1</w:t>
      </w:r>
      <w:r>
        <w:rPr>
          <w:rFonts w:hint="eastAsia" w:ascii="宋体" w:hAnsi="宋体" w:cs="宋体"/>
          <w:sz w:val="22"/>
          <w:szCs w:val="22"/>
          <w:highlight w:val="none"/>
          <w:lang w:val="en-US" w:eastAsia="zh-CN"/>
        </w:rPr>
        <w:t>.</w:t>
      </w:r>
      <w:r>
        <w:rPr>
          <w:rFonts w:hint="eastAsia" w:ascii="宋体" w:hAnsi="宋体" w:eastAsia="宋体" w:cs="宋体"/>
          <w:sz w:val="22"/>
          <w:szCs w:val="22"/>
          <w:highlight w:val="none"/>
          <w:lang w:val="en-US" w:eastAsia="zh-CN"/>
        </w:rPr>
        <w:t>服务要求</w:t>
      </w:r>
      <w:r>
        <w:rPr>
          <w:rFonts w:hint="eastAsia" w:ascii="宋体" w:hAnsi="宋体" w:cs="宋体"/>
          <w:sz w:val="22"/>
          <w:szCs w:val="22"/>
          <w:highlight w:val="none"/>
          <w:lang w:val="en-US" w:eastAsia="zh-CN"/>
        </w:rPr>
        <w:t>：</w:t>
      </w:r>
      <w:r>
        <w:rPr>
          <w:rFonts w:hint="eastAsia" w:ascii="宋体" w:hAnsi="宋体" w:eastAsia="宋体" w:cs="宋体"/>
          <w:sz w:val="22"/>
          <w:szCs w:val="22"/>
          <w:highlight w:val="none"/>
          <w:lang w:val="en-US" w:eastAsia="zh-CN"/>
        </w:rPr>
        <w:t>作业质量标准应参照道路规定清扫保洁标准。具体内容参照《城市道路清扫保洁质量与评价标准》。</w:t>
      </w:r>
    </w:p>
    <w:p w14:paraId="55D57A6E">
      <w:pPr>
        <w:pStyle w:val="12"/>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40" w:firstLineChars="200"/>
        <w:textAlignment w:val="auto"/>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2</w:t>
      </w:r>
      <w:r>
        <w:rPr>
          <w:rFonts w:hint="eastAsia" w:ascii="宋体" w:hAnsi="宋体" w:cs="宋体"/>
          <w:sz w:val="22"/>
          <w:szCs w:val="22"/>
          <w:highlight w:val="none"/>
          <w:lang w:val="en-US" w:eastAsia="zh-CN"/>
        </w:rPr>
        <w:t>.</w:t>
      </w:r>
      <w:r>
        <w:rPr>
          <w:rFonts w:hint="eastAsia" w:ascii="宋体" w:hAnsi="宋体" w:eastAsia="宋体" w:cs="宋体"/>
          <w:sz w:val="22"/>
          <w:szCs w:val="22"/>
          <w:highlight w:val="none"/>
          <w:lang w:val="en-US" w:eastAsia="zh-CN"/>
        </w:rPr>
        <w:t>合同签订期</w:t>
      </w:r>
      <w:r>
        <w:rPr>
          <w:rFonts w:hint="eastAsia" w:ascii="宋体" w:hAnsi="宋体" w:cs="宋体"/>
          <w:sz w:val="22"/>
          <w:szCs w:val="22"/>
          <w:highlight w:val="none"/>
          <w:lang w:val="en-US" w:eastAsia="zh-CN"/>
        </w:rPr>
        <w:t>：</w:t>
      </w:r>
      <w:r>
        <w:rPr>
          <w:rFonts w:hint="eastAsia" w:ascii="宋体" w:hAnsi="宋体" w:eastAsia="宋体" w:cs="宋体"/>
          <w:sz w:val="22"/>
          <w:szCs w:val="22"/>
          <w:highlight w:val="none"/>
          <w:lang w:val="en-US" w:eastAsia="zh-CN"/>
        </w:rPr>
        <w:t>自</w:t>
      </w:r>
      <w:r>
        <w:rPr>
          <w:rFonts w:hint="eastAsia" w:ascii="宋体" w:hAnsi="宋体" w:cs="宋体"/>
          <w:sz w:val="22"/>
          <w:szCs w:val="22"/>
          <w:highlight w:val="none"/>
          <w:lang w:val="en-US" w:eastAsia="zh-CN"/>
        </w:rPr>
        <w:t>成交</w:t>
      </w:r>
      <w:r>
        <w:rPr>
          <w:rFonts w:hint="eastAsia" w:ascii="宋体" w:hAnsi="宋体" w:eastAsia="宋体" w:cs="宋体"/>
          <w:sz w:val="22"/>
          <w:szCs w:val="22"/>
          <w:highlight w:val="none"/>
          <w:lang w:val="en-US" w:eastAsia="zh-CN"/>
        </w:rPr>
        <w:t>通知书发出后25 日内。</w:t>
      </w:r>
    </w:p>
    <w:p w14:paraId="6010E888">
      <w:pPr>
        <w:pStyle w:val="12"/>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40" w:firstLineChars="200"/>
        <w:textAlignment w:val="auto"/>
        <w:rPr>
          <w:rFonts w:hint="eastAsia" w:ascii="宋体" w:hAnsi="宋体" w:eastAsia="宋体" w:cs="宋体"/>
          <w:sz w:val="22"/>
          <w:szCs w:val="22"/>
          <w:highlight w:val="none"/>
          <w:lang w:val="en-US" w:eastAsia="zh-CN"/>
        </w:rPr>
      </w:pPr>
      <w:r>
        <w:rPr>
          <w:rFonts w:hint="eastAsia" w:ascii="宋体" w:hAnsi="宋体" w:cs="宋体"/>
          <w:sz w:val="22"/>
          <w:szCs w:val="22"/>
          <w:highlight w:val="none"/>
          <w:lang w:val="en-US" w:eastAsia="zh-CN"/>
        </w:rPr>
        <w:t>3.</w:t>
      </w:r>
      <w:r>
        <w:rPr>
          <w:rFonts w:hint="eastAsia" w:ascii="宋体" w:hAnsi="宋体" w:eastAsia="宋体" w:cs="宋体"/>
          <w:sz w:val="22"/>
          <w:szCs w:val="22"/>
          <w:highlight w:val="none"/>
          <w:lang w:val="en-US" w:eastAsia="zh-CN"/>
        </w:rPr>
        <w:t>服务期限</w:t>
      </w:r>
      <w:r>
        <w:rPr>
          <w:rFonts w:hint="eastAsia" w:ascii="宋体" w:hAnsi="宋体" w:cs="宋体"/>
          <w:sz w:val="22"/>
          <w:szCs w:val="22"/>
          <w:highlight w:val="none"/>
          <w:lang w:val="en-US" w:eastAsia="zh-CN"/>
        </w:rPr>
        <w:t>：1年，具体起止时间以合同签订为准。本项目合同履约到期或结束后，采购人依据本项目的服务履约评价情况及实际需求，并根据《财政部关于推进和完善服务项目政府有关问题的通知》（财库〔2014〕37号）及《政府购买服务管理办法》（财政部令第102号）等规定，在年度预算保障的前提下，对于购买内容（采购需求）相对固定、连续（延续）性强、经费来源稳定、价格变化幅度小的政府采购服务项目，通过一年一续签方式签订合同，期限总长不得超过二年。</w:t>
      </w:r>
    </w:p>
    <w:p w14:paraId="1E5AFC94">
      <w:pPr>
        <w:pStyle w:val="12"/>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40" w:firstLineChars="200"/>
        <w:textAlignment w:val="auto"/>
        <w:rPr>
          <w:rFonts w:hint="eastAsia" w:ascii="宋体" w:hAnsi="宋体" w:eastAsia="宋体" w:cs="宋体"/>
          <w:sz w:val="22"/>
          <w:szCs w:val="22"/>
          <w:highlight w:val="none"/>
          <w:lang w:val="en-US" w:eastAsia="zh-CN"/>
        </w:rPr>
      </w:pPr>
      <w:r>
        <w:rPr>
          <w:rFonts w:hint="eastAsia" w:ascii="宋体" w:hAnsi="宋体" w:cs="宋体"/>
          <w:sz w:val="22"/>
          <w:szCs w:val="22"/>
          <w:highlight w:val="none"/>
          <w:lang w:val="en-US" w:eastAsia="zh-CN"/>
        </w:rPr>
        <w:t>4.</w:t>
      </w:r>
      <w:r>
        <w:rPr>
          <w:rFonts w:hint="eastAsia" w:ascii="宋体" w:hAnsi="宋体" w:eastAsia="宋体" w:cs="宋体"/>
          <w:sz w:val="22"/>
          <w:szCs w:val="22"/>
          <w:highlight w:val="none"/>
          <w:lang w:val="en-US" w:eastAsia="zh-CN"/>
        </w:rPr>
        <w:t>服务地点</w:t>
      </w:r>
      <w:r>
        <w:rPr>
          <w:rFonts w:hint="eastAsia" w:ascii="宋体" w:hAnsi="宋体" w:cs="宋体"/>
          <w:sz w:val="22"/>
          <w:szCs w:val="22"/>
          <w:highlight w:val="none"/>
          <w:lang w:val="en-US" w:eastAsia="zh-CN"/>
        </w:rPr>
        <w:t>：</w:t>
      </w:r>
      <w:r>
        <w:rPr>
          <w:rFonts w:hint="eastAsia" w:ascii="宋体" w:hAnsi="宋体" w:eastAsia="宋体" w:cs="宋体"/>
          <w:sz w:val="22"/>
          <w:szCs w:val="22"/>
          <w:highlight w:val="none"/>
          <w:lang w:val="en-US" w:eastAsia="zh-CN"/>
        </w:rPr>
        <w:t>采购人指定地点。</w:t>
      </w:r>
    </w:p>
    <w:p w14:paraId="38332ADF">
      <w:pPr>
        <w:pStyle w:val="12"/>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40" w:firstLineChars="200"/>
        <w:textAlignment w:val="auto"/>
        <w:rPr>
          <w:rFonts w:hint="eastAsia" w:ascii="宋体" w:hAnsi="宋体" w:eastAsia="宋体" w:cs="宋体"/>
          <w:sz w:val="22"/>
          <w:szCs w:val="22"/>
          <w:highlight w:val="none"/>
          <w:lang w:val="en-US" w:eastAsia="zh-CN"/>
        </w:rPr>
      </w:pPr>
      <w:r>
        <w:rPr>
          <w:rFonts w:hint="eastAsia" w:ascii="宋体" w:hAnsi="宋体" w:cs="宋体"/>
          <w:sz w:val="22"/>
          <w:szCs w:val="22"/>
          <w:highlight w:val="none"/>
          <w:lang w:val="en-US" w:eastAsia="zh-CN"/>
        </w:rPr>
        <w:t>5.</w:t>
      </w:r>
      <w:r>
        <w:rPr>
          <w:rFonts w:hint="eastAsia" w:ascii="宋体" w:hAnsi="宋体" w:eastAsia="宋体" w:cs="宋体"/>
          <w:sz w:val="22"/>
          <w:szCs w:val="22"/>
          <w:highlight w:val="none"/>
          <w:lang w:val="en-US" w:eastAsia="zh-CN"/>
        </w:rPr>
        <w:t>付款条件</w:t>
      </w:r>
      <w:r>
        <w:rPr>
          <w:rFonts w:hint="eastAsia" w:ascii="宋体" w:hAnsi="宋体" w:cs="宋体"/>
          <w:sz w:val="22"/>
          <w:szCs w:val="22"/>
          <w:highlight w:val="none"/>
          <w:lang w:val="en-US" w:eastAsia="zh-CN"/>
        </w:rPr>
        <w:t>：按月支付，即每个月支付一次清运费。</w:t>
      </w:r>
    </w:p>
    <w:p w14:paraId="2076B7D8">
      <w:pPr>
        <w:pStyle w:val="12"/>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40" w:firstLineChars="200"/>
        <w:textAlignment w:val="auto"/>
        <w:rPr>
          <w:rFonts w:hint="eastAsia" w:ascii="宋体" w:hAnsi="宋体" w:cs="宋体"/>
          <w:sz w:val="22"/>
          <w:szCs w:val="22"/>
          <w:highlight w:val="none"/>
          <w:lang w:val="en-US" w:eastAsia="zh-CN"/>
        </w:rPr>
      </w:pPr>
      <w:r>
        <w:rPr>
          <w:rFonts w:hint="eastAsia" w:ascii="宋体" w:hAnsi="宋体" w:cs="宋体"/>
          <w:sz w:val="22"/>
          <w:szCs w:val="22"/>
          <w:highlight w:val="none"/>
          <w:lang w:val="en-US" w:eastAsia="zh-CN"/>
        </w:rPr>
        <w:t>6.报价：</w:t>
      </w:r>
    </w:p>
    <w:p w14:paraId="235F60B5">
      <w:pPr>
        <w:pStyle w:val="12"/>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40" w:firstLineChars="200"/>
        <w:textAlignment w:val="auto"/>
        <w:rPr>
          <w:rFonts w:hint="default" w:ascii="宋体" w:hAnsi="宋体" w:eastAsia="宋体" w:cs="宋体"/>
          <w:sz w:val="22"/>
          <w:szCs w:val="22"/>
          <w:highlight w:val="none"/>
          <w:lang w:val="en-US" w:eastAsia="zh-CN"/>
        </w:rPr>
      </w:pPr>
      <w:r>
        <w:rPr>
          <w:rFonts w:hint="eastAsia" w:ascii="宋体" w:hAnsi="宋体" w:cs="宋体"/>
          <w:sz w:val="22"/>
          <w:szCs w:val="22"/>
          <w:highlight w:val="none"/>
          <w:lang w:val="en-US" w:eastAsia="zh-CN"/>
        </w:rPr>
        <w:t>6.1供应商应当根据政策法规、项目大小、难易程度、现场环境、工期长短、布置的临时性、阶段性任务以及采购文件的要求，自行考虑风险包干费用并计入磋商报价中，成交后，采购人将不再支付任何费用。风险因素包括：柳州市最低工资标准的调整、因天气、地形等自然条件（不可抗力的除外）变化或临时性、阶段性任务（含检查、突击整治、重大活动等）而采取的临时措施等因素。</w:t>
      </w:r>
    </w:p>
    <w:p w14:paraId="33E56FD6">
      <w:pPr>
        <w:pStyle w:val="12"/>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40" w:firstLineChars="200"/>
        <w:textAlignment w:val="auto"/>
        <w:rPr>
          <w:rFonts w:hint="eastAsia" w:ascii="宋体" w:hAnsi="宋体" w:cs="宋体"/>
          <w:sz w:val="22"/>
          <w:szCs w:val="22"/>
          <w:highlight w:val="none"/>
          <w:lang w:val="en-US" w:eastAsia="zh-CN"/>
        </w:rPr>
      </w:pPr>
      <w:r>
        <w:rPr>
          <w:rFonts w:hint="eastAsia" w:ascii="宋体" w:hAnsi="宋体" w:cs="宋体"/>
          <w:sz w:val="22"/>
          <w:szCs w:val="22"/>
          <w:highlight w:val="none"/>
          <w:lang w:val="en-US" w:eastAsia="zh-CN"/>
        </w:rPr>
        <w:t>6.2供应商</w:t>
      </w:r>
      <w:r>
        <w:rPr>
          <w:rFonts w:hint="default" w:ascii="宋体" w:hAnsi="宋体" w:cs="宋体"/>
          <w:sz w:val="22"/>
          <w:szCs w:val="22"/>
          <w:highlight w:val="none"/>
          <w:lang w:val="en-US" w:eastAsia="zh-CN"/>
        </w:rPr>
        <w:t>的总报价</w:t>
      </w:r>
      <w:r>
        <w:rPr>
          <w:rFonts w:hint="eastAsia" w:ascii="宋体" w:hAnsi="宋体" w:cs="宋体"/>
          <w:sz w:val="22"/>
          <w:szCs w:val="22"/>
          <w:highlight w:val="none"/>
          <w:lang w:val="en-US" w:eastAsia="zh-CN"/>
        </w:rPr>
        <w:t>如果低于</w:t>
      </w:r>
      <w:r>
        <w:rPr>
          <w:rFonts w:hint="default" w:ascii="宋体" w:hAnsi="宋体" w:cs="宋体"/>
          <w:sz w:val="22"/>
          <w:szCs w:val="22"/>
          <w:highlight w:val="none"/>
          <w:lang w:val="en-US" w:eastAsia="zh-CN"/>
        </w:rPr>
        <w:t>采购预算价</w:t>
      </w:r>
      <w:r>
        <w:rPr>
          <w:rFonts w:hint="eastAsia" w:ascii="宋体" w:hAnsi="宋体" w:cs="宋体"/>
          <w:sz w:val="22"/>
          <w:szCs w:val="22"/>
          <w:highlight w:val="none"/>
          <w:lang w:val="en-US" w:eastAsia="zh-CN"/>
        </w:rPr>
        <w:t>的90%（不含）的，供应商应同时提供</w:t>
      </w:r>
      <w:r>
        <w:rPr>
          <w:rFonts w:hint="default" w:ascii="宋体" w:hAnsi="宋体" w:cs="宋体"/>
          <w:sz w:val="22"/>
          <w:szCs w:val="22"/>
          <w:highlight w:val="none"/>
          <w:lang w:val="en-US" w:eastAsia="zh-CN"/>
        </w:rPr>
        <w:t>书面说明</w:t>
      </w:r>
      <w:r>
        <w:rPr>
          <w:rFonts w:hint="eastAsia" w:ascii="宋体" w:hAnsi="宋体" w:cs="宋体"/>
          <w:sz w:val="22"/>
          <w:szCs w:val="22"/>
          <w:highlight w:val="none"/>
          <w:lang w:val="en-US" w:eastAsia="zh-CN"/>
        </w:rPr>
        <w:t>证明其报价合理性</w:t>
      </w:r>
      <w:r>
        <w:rPr>
          <w:rFonts w:hint="default" w:ascii="宋体" w:hAnsi="宋体" w:cs="宋体"/>
          <w:sz w:val="22"/>
          <w:szCs w:val="22"/>
          <w:highlight w:val="none"/>
          <w:lang w:val="en-US" w:eastAsia="zh-CN"/>
        </w:rPr>
        <w:t>。</w:t>
      </w:r>
    </w:p>
    <w:p w14:paraId="4B88F65F">
      <w:pPr>
        <w:pStyle w:val="12"/>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40" w:firstLineChars="200"/>
        <w:textAlignment w:val="auto"/>
        <w:rPr>
          <w:rFonts w:hint="default" w:ascii="宋体" w:hAnsi="宋体" w:cs="宋体"/>
          <w:sz w:val="22"/>
          <w:szCs w:val="22"/>
          <w:highlight w:val="none"/>
          <w:lang w:val="en-US" w:eastAsia="zh-CN"/>
        </w:rPr>
      </w:pPr>
      <w:r>
        <w:rPr>
          <w:rFonts w:hint="eastAsia" w:ascii="宋体" w:hAnsi="宋体" w:cs="宋体"/>
          <w:sz w:val="22"/>
          <w:szCs w:val="22"/>
          <w:highlight w:val="none"/>
          <w:lang w:val="en-US" w:eastAsia="zh-CN"/>
        </w:rPr>
        <w:t>7.其他：服务履行期间供应商均应与所聘员工签订劳动合同，供应商在实施项目过程中产生的人员工资及福利、加班费、社保、劳保用品费用、工具材料费用、设备维护保养费、税费用等自理，所有费用均应包含在磋商报价中，不再另做结算。供应商项目实施期间如出现人员人身、财产安全事故、损失等由供应商负全责，采购人不负任何责任，造成采购人损失的还应做出相应赔偿。</w:t>
      </w:r>
    </w:p>
    <w:p w14:paraId="4AC15129">
      <w:pPr>
        <w:keepNext/>
        <w:keepLines/>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宋体" w:hAnsi="宋体" w:eastAsia="宋体" w:cs="宋体"/>
          <w:b/>
          <w:bCs/>
          <w:color w:val="auto"/>
          <w:kern w:val="44"/>
          <w:sz w:val="24"/>
          <w:szCs w:val="24"/>
          <w:highlight w:val="none"/>
        </w:rPr>
      </w:pPr>
      <w:r>
        <w:rPr>
          <w:rFonts w:hint="eastAsia" w:ascii="宋体" w:hAnsi="宋体" w:eastAsia="宋体" w:cs="宋体"/>
          <w:b/>
          <w:bCs/>
          <w:color w:val="auto"/>
          <w:sz w:val="24"/>
          <w:szCs w:val="24"/>
          <w:highlight w:val="none"/>
        </w:rPr>
        <w:br w:type="page"/>
      </w:r>
      <w:bookmarkStart w:id="29" w:name="_Toc9125"/>
      <w:r>
        <w:rPr>
          <w:rFonts w:hint="eastAsia" w:ascii="宋体" w:hAnsi="宋体" w:eastAsia="宋体" w:cs="宋体"/>
          <w:b/>
          <w:color w:val="auto"/>
          <w:kern w:val="44"/>
          <w:sz w:val="32"/>
          <w:szCs w:val="32"/>
          <w:highlight w:val="none"/>
        </w:rPr>
        <w:t xml:space="preserve">第三章 </w:t>
      </w:r>
      <w:r>
        <w:rPr>
          <w:rFonts w:hint="eastAsia" w:ascii="宋体" w:hAnsi="宋体" w:cs="宋体"/>
          <w:b/>
          <w:color w:val="auto"/>
          <w:kern w:val="44"/>
          <w:sz w:val="32"/>
          <w:szCs w:val="32"/>
          <w:highlight w:val="none"/>
          <w:lang w:val="en-US" w:eastAsia="zh-CN"/>
        </w:rPr>
        <w:t xml:space="preserve"> </w:t>
      </w:r>
      <w:r>
        <w:rPr>
          <w:rFonts w:hint="eastAsia" w:ascii="宋体" w:hAnsi="宋体" w:eastAsia="宋体" w:cs="宋体"/>
          <w:b/>
          <w:color w:val="auto"/>
          <w:kern w:val="44"/>
          <w:sz w:val="32"/>
          <w:szCs w:val="32"/>
          <w:highlight w:val="none"/>
        </w:rPr>
        <w:t>供应商须知</w:t>
      </w:r>
      <w:bookmarkEnd w:id="29"/>
    </w:p>
    <w:p w14:paraId="6D90EEA9">
      <w:pPr>
        <w:keepNext/>
        <w:keepLines/>
        <w:pageBreakBefore w:val="0"/>
        <w:widowControl w:val="0"/>
        <w:kinsoku/>
        <w:wordWrap/>
        <w:overflowPunct/>
        <w:topLinePunct w:val="0"/>
        <w:autoSpaceDE/>
        <w:autoSpaceDN/>
        <w:bidi w:val="0"/>
        <w:adjustRightInd/>
        <w:snapToGrid/>
        <w:spacing w:line="360" w:lineRule="auto"/>
        <w:jc w:val="center"/>
        <w:textAlignment w:val="auto"/>
        <w:outlineLvl w:val="1"/>
        <w:rPr>
          <w:rFonts w:hint="eastAsia" w:ascii="宋体" w:hAnsi="宋体" w:eastAsia="宋体" w:cs="宋体"/>
          <w:bCs/>
          <w:color w:val="auto"/>
          <w:sz w:val="24"/>
          <w:szCs w:val="24"/>
          <w:highlight w:val="none"/>
        </w:rPr>
      </w:pPr>
      <w:bookmarkStart w:id="30" w:name="_Toc15583"/>
      <w:r>
        <w:rPr>
          <w:rFonts w:hint="eastAsia" w:ascii="宋体" w:hAnsi="宋体" w:eastAsia="宋体" w:cs="宋体"/>
          <w:b/>
          <w:bCs w:val="0"/>
          <w:color w:val="auto"/>
          <w:sz w:val="24"/>
          <w:szCs w:val="24"/>
          <w:highlight w:val="none"/>
        </w:rPr>
        <w:t>第一节 供应商须知前附表</w:t>
      </w:r>
      <w:bookmarkEnd w:id="30"/>
    </w:p>
    <w:tbl>
      <w:tblPr>
        <w:tblStyle w:val="31"/>
        <w:tblW w:w="5174"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88"/>
        <w:gridCol w:w="1243"/>
        <w:gridCol w:w="7484"/>
      </w:tblGrid>
      <w:tr w14:paraId="24BFE7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462" w:type="pct"/>
            <w:noWrap w:val="0"/>
            <w:vAlign w:val="center"/>
          </w:tcPr>
          <w:p w14:paraId="1D48BBA2">
            <w:pPr>
              <w:keepNext w:val="0"/>
              <w:keepLines w:val="0"/>
              <w:pageBreakBefore w:val="0"/>
              <w:widowControl w:val="0"/>
              <w:kinsoku/>
              <w:wordWrap/>
              <w:overflowPunct/>
              <w:topLinePunct w:val="0"/>
              <w:autoSpaceDE/>
              <w:autoSpaceDN/>
              <w:bidi w:val="0"/>
              <w:adjustRightInd/>
              <w:snapToGrid w:val="0"/>
              <w:spacing w:line="360" w:lineRule="auto"/>
              <w:ind w:left="0"/>
              <w:jc w:val="center"/>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条款号</w:t>
            </w:r>
          </w:p>
        </w:tc>
        <w:tc>
          <w:tcPr>
            <w:tcW w:w="646" w:type="pct"/>
            <w:noWrap w:val="0"/>
            <w:vAlign w:val="center"/>
          </w:tcPr>
          <w:p w14:paraId="4D94FAD1">
            <w:pPr>
              <w:keepNext w:val="0"/>
              <w:keepLines w:val="0"/>
              <w:pageBreakBefore w:val="0"/>
              <w:widowControl w:val="0"/>
              <w:kinsoku/>
              <w:wordWrap/>
              <w:overflowPunct/>
              <w:topLinePunct w:val="0"/>
              <w:autoSpaceDE/>
              <w:autoSpaceDN/>
              <w:bidi w:val="0"/>
              <w:adjustRightInd/>
              <w:snapToGrid w:val="0"/>
              <w:spacing w:line="360" w:lineRule="auto"/>
              <w:ind w:left="0"/>
              <w:jc w:val="center"/>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条款内容</w:t>
            </w:r>
          </w:p>
        </w:tc>
        <w:tc>
          <w:tcPr>
            <w:tcW w:w="3890" w:type="pct"/>
            <w:noWrap w:val="0"/>
            <w:vAlign w:val="center"/>
          </w:tcPr>
          <w:p w14:paraId="2726104A">
            <w:pPr>
              <w:keepNext w:val="0"/>
              <w:keepLines w:val="0"/>
              <w:pageBreakBefore w:val="0"/>
              <w:widowControl w:val="0"/>
              <w:kinsoku/>
              <w:wordWrap/>
              <w:overflowPunct/>
              <w:topLinePunct w:val="0"/>
              <w:autoSpaceDE/>
              <w:autoSpaceDN/>
              <w:bidi w:val="0"/>
              <w:adjustRightInd/>
              <w:snapToGrid w:val="0"/>
              <w:spacing w:line="360" w:lineRule="auto"/>
              <w:ind w:left="0"/>
              <w:jc w:val="center"/>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具体要求</w:t>
            </w:r>
          </w:p>
        </w:tc>
      </w:tr>
      <w:tr w14:paraId="7A773B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462" w:type="pct"/>
            <w:noWrap w:val="0"/>
            <w:vAlign w:val="center"/>
          </w:tcPr>
          <w:p w14:paraId="7D2B934D">
            <w:pPr>
              <w:keepNext w:val="0"/>
              <w:keepLines w:val="0"/>
              <w:pageBreakBefore w:val="0"/>
              <w:widowControl w:val="0"/>
              <w:kinsoku/>
              <w:wordWrap/>
              <w:overflowPunct/>
              <w:topLinePunct w:val="0"/>
              <w:autoSpaceDE/>
              <w:autoSpaceDN/>
              <w:bidi w:val="0"/>
              <w:adjustRightInd/>
              <w:snapToGrid w:val="0"/>
              <w:spacing w:line="360" w:lineRule="auto"/>
              <w:ind w:lef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3.1</w:t>
            </w:r>
          </w:p>
        </w:tc>
        <w:tc>
          <w:tcPr>
            <w:tcW w:w="646" w:type="pct"/>
            <w:noWrap w:val="0"/>
            <w:vAlign w:val="center"/>
          </w:tcPr>
          <w:p w14:paraId="723B9439">
            <w:pPr>
              <w:keepNext w:val="0"/>
              <w:keepLines w:val="0"/>
              <w:pageBreakBefore w:val="0"/>
              <w:widowControl w:val="0"/>
              <w:kinsoku/>
              <w:wordWrap/>
              <w:overflowPunct/>
              <w:topLinePunct w:val="0"/>
              <w:autoSpaceDE/>
              <w:autoSpaceDN/>
              <w:bidi w:val="0"/>
              <w:adjustRightInd/>
              <w:snapToGrid w:val="0"/>
              <w:spacing w:line="360" w:lineRule="auto"/>
              <w:ind w:lef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供应商资格条件</w:t>
            </w:r>
          </w:p>
        </w:tc>
        <w:tc>
          <w:tcPr>
            <w:tcW w:w="3890" w:type="pct"/>
            <w:noWrap w:val="0"/>
            <w:vAlign w:val="center"/>
          </w:tcPr>
          <w:p w14:paraId="2DF2D04B">
            <w:pPr>
              <w:keepNext w:val="0"/>
              <w:keepLines w:val="0"/>
              <w:pageBreakBefore w:val="0"/>
              <w:widowControl w:val="0"/>
              <w:kinsoku/>
              <w:wordWrap/>
              <w:overflowPunct/>
              <w:topLinePunct w:val="0"/>
              <w:autoSpaceDE/>
              <w:autoSpaceDN/>
              <w:bidi w:val="0"/>
              <w:adjustRightInd/>
              <w:snapToGrid w:val="0"/>
              <w:spacing w:line="360" w:lineRule="auto"/>
              <w:ind w:left="0"/>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供应商资格条件要求详见公告。</w:t>
            </w:r>
          </w:p>
        </w:tc>
      </w:tr>
      <w:tr w14:paraId="0C5199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462" w:type="pct"/>
            <w:noWrap w:val="0"/>
            <w:vAlign w:val="center"/>
          </w:tcPr>
          <w:p w14:paraId="19FB613B">
            <w:pPr>
              <w:keepNext w:val="0"/>
              <w:keepLines w:val="0"/>
              <w:pageBreakBefore w:val="0"/>
              <w:widowControl w:val="0"/>
              <w:kinsoku/>
              <w:wordWrap/>
              <w:overflowPunct/>
              <w:topLinePunct w:val="0"/>
              <w:autoSpaceDE/>
              <w:autoSpaceDN/>
              <w:bidi w:val="0"/>
              <w:adjustRightInd/>
              <w:snapToGrid w:val="0"/>
              <w:spacing w:line="360" w:lineRule="auto"/>
              <w:ind w:lef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5.1</w:t>
            </w:r>
          </w:p>
        </w:tc>
        <w:tc>
          <w:tcPr>
            <w:tcW w:w="646" w:type="pct"/>
            <w:noWrap w:val="0"/>
            <w:vAlign w:val="center"/>
          </w:tcPr>
          <w:p w14:paraId="3E0C96CA">
            <w:pPr>
              <w:keepNext w:val="0"/>
              <w:keepLines w:val="0"/>
              <w:pageBreakBefore w:val="0"/>
              <w:widowControl w:val="0"/>
              <w:kinsoku/>
              <w:wordWrap/>
              <w:overflowPunct/>
              <w:topLinePunct w:val="0"/>
              <w:autoSpaceDE/>
              <w:autoSpaceDN/>
              <w:bidi w:val="0"/>
              <w:adjustRightInd/>
              <w:snapToGrid w:val="0"/>
              <w:spacing w:line="360" w:lineRule="auto"/>
              <w:ind w:lef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是否接受联合体竞标</w:t>
            </w:r>
          </w:p>
        </w:tc>
        <w:tc>
          <w:tcPr>
            <w:tcW w:w="3890" w:type="pct"/>
            <w:noWrap w:val="0"/>
            <w:vAlign w:val="center"/>
          </w:tcPr>
          <w:p w14:paraId="33AA33A9">
            <w:pPr>
              <w:keepNext w:val="0"/>
              <w:keepLines w:val="0"/>
              <w:pageBreakBefore w:val="0"/>
              <w:widowControl w:val="0"/>
              <w:kinsoku/>
              <w:wordWrap/>
              <w:overflowPunct/>
              <w:topLinePunct w:val="0"/>
              <w:autoSpaceDE/>
              <w:autoSpaceDN/>
              <w:bidi w:val="0"/>
              <w:adjustRightInd/>
              <w:snapToGrid w:val="0"/>
              <w:spacing w:line="360" w:lineRule="auto"/>
              <w:ind w:left="0"/>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否。</w:t>
            </w:r>
          </w:p>
        </w:tc>
      </w:tr>
      <w:tr w14:paraId="54A787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462" w:type="pct"/>
            <w:noWrap w:val="0"/>
            <w:vAlign w:val="center"/>
          </w:tcPr>
          <w:p w14:paraId="37885AA5">
            <w:pPr>
              <w:keepNext w:val="0"/>
              <w:keepLines w:val="0"/>
              <w:pageBreakBefore w:val="0"/>
              <w:widowControl w:val="0"/>
              <w:kinsoku/>
              <w:wordWrap/>
              <w:overflowPunct/>
              <w:topLinePunct w:val="0"/>
              <w:autoSpaceDE/>
              <w:autoSpaceDN/>
              <w:bidi w:val="0"/>
              <w:adjustRightInd/>
              <w:snapToGrid w:val="0"/>
              <w:spacing w:line="360" w:lineRule="auto"/>
              <w:ind w:lef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5.2</w:t>
            </w:r>
          </w:p>
        </w:tc>
        <w:tc>
          <w:tcPr>
            <w:tcW w:w="646" w:type="pct"/>
            <w:noWrap w:val="0"/>
            <w:vAlign w:val="center"/>
          </w:tcPr>
          <w:p w14:paraId="55DF7D6D">
            <w:pPr>
              <w:keepNext w:val="0"/>
              <w:keepLines w:val="0"/>
              <w:pageBreakBefore w:val="0"/>
              <w:widowControl w:val="0"/>
              <w:kinsoku/>
              <w:wordWrap/>
              <w:overflowPunct/>
              <w:topLinePunct w:val="0"/>
              <w:autoSpaceDE/>
              <w:autoSpaceDN/>
              <w:bidi w:val="0"/>
              <w:adjustRightInd/>
              <w:snapToGrid w:val="0"/>
              <w:spacing w:line="360" w:lineRule="auto"/>
              <w:ind w:lef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联合体竞标要求</w:t>
            </w:r>
          </w:p>
        </w:tc>
        <w:tc>
          <w:tcPr>
            <w:tcW w:w="3890" w:type="pct"/>
            <w:noWrap w:val="0"/>
            <w:vAlign w:val="center"/>
          </w:tcPr>
          <w:p w14:paraId="6ABD7B97">
            <w:pPr>
              <w:keepNext w:val="0"/>
              <w:keepLines w:val="0"/>
              <w:pageBreakBefore w:val="0"/>
              <w:widowControl w:val="0"/>
              <w:kinsoku/>
              <w:wordWrap/>
              <w:overflowPunct/>
              <w:topLinePunct w:val="0"/>
              <w:autoSpaceDE/>
              <w:autoSpaceDN/>
              <w:bidi w:val="0"/>
              <w:adjustRightInd/>
              <w:snapToGrid w:val="0"/>
              <w:spacing w:line="360" w:lineRule="auto"/>
              <w:ind w:left="0"/>
              <w:jc w:val="both"/>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无</w:t>
            </w:r>
          </w:p>
        </w:tc>
      </w:tr>
      <w:tr w14:paraId="67DE8F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462" w:type="pct"/>
            <w:noWrap w:val="0"/>
            <w:vAlign w:val="center"/>
          </w:tcPr>
          <w:p w14:paraId="5DD16734">
            <w:pPr>
              <w:keepNext w:val="0"/>
              <w:keepLines w:val="0"/>
              <w:pageBreakBefore w:val="0"/>
              <w:widowControl w:val="0"/>
              <w:kinsoku/>
              <w:wordWrap/>
              <w:overflowPunct/>
              <w:topLinePunct w:val="0"/>
              <w:autoSpaceDE/>
              <w:autoSpaceDN/>
              <w:bidi w:val="0"/>
              <w:adjustRightInd/>
              <w:snapToGrid w:val="0"/>
              <w:spacing w:line="360" w:lineRule="auto"/>
              <w:ind w:lef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6.1</w:t>
            </w:r>
          </w:p>
        </w:tc>
        <w:tc>
          <w:tcPr>
            <w:tcW w:w="646" w:type="pct"/>
            <w:noWrap w:val="0"/>
            <w:vAlign w:val="center"/>
          </w:tcPr>
          <w:p w14:paraId="63979B02">
            <w:pPr>
              <w:keepNext w:val="0"/>
              <w:keepLines w:val="0"/>
              <w:pageBreakBefore w:val="0"/>
              <w:widowControl w:val="0"/>
              <w:kinsoku/>
              <w:wordWrap/>
              <w:overflowPunct/>
              <w:topLinePunct w:val="0"/>
              <w:autoSpaceDE/>
              <w:autoSpaceDN/>
              <w:bidi w:val="0"/>
              <w:adjustRightInd/>
              <w:snapToGrid w:val="0"/>
              <w:spacing w:line="360" w:lineRule="auto"/>
              <w:ind w:lef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是否允许分包</w:t>
            </w:r>
          </w:p>
        </w:tc>
        <w:tc>
          <w:tcPr>
            <w:tcW w:w="3890" w:type="pct"/>
            <w:noWrap w:val="0"/>
            <w:vAlign w:val="center"/>
          </w:tcPr>
          <w:p w14:paraId="21207E4B">
            <w:pPr>
              <w:keepNext w:val="0"/>
              <w:keepLines w:val="0"/>
              <w:pageBreakBefore w:val="0"/>
              <w:widowControl w:val="0"/>
              <w:kinsoku/>
              <w:wordWrap/>
              <w:overflowPunct/>
              <w:topLinePunct w:val="0"/>
              <w:autoSpaceDE/>
              <w:autoSpaceDN/>
              <w:bidi w:val="0"/>
              <w:adjustRightInd/>
              <w:snapToGrid w:val="0"/>
              <w:spacing w:line="360" w:lineRule="auto"/>
              <w:ind w:left="0"/>
              <w:jc w:val="both"/>
              <w:textAlignment w:val="auto"/>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rPr>
              <w:t>不允许分包</w:t>
            </w:r>
          </w:p>
          <w:p w14:paraId="6878A4EB">
            <w:pPr>
              <w:keepNext w:val="0"/>
              <w:keepLines w:val="0"/>
              <w:pageBreakBefore w:val="0"/>
              <w:widowControl w:val="0"/>
              <w:kinsoku/>
              <w:wordWrap/>
              <w:overflowPunct/>
              <w:topLinePunct w:val="0"/>
              <w:autoSpaceDE/>
              <w:autoSpaceDN/>
              <w:bidi w:val="0"/>
              <w:adjustRightInd/>
              <w:snapToGrid w:val="0"/>
              <w:spacing w:line="360" w:lineRule="auto"/>
              <w:ind w:left="0"/>
              <w:jc w:val="both"/>
              <w:textAlignment w:val="auto"/>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分包内容：</w:t>
            </w:r>
            <w:r>
              <w:rPr>
                <w:rFonts w:hint="eastAsia" w:ascii="宋体" w:hAnsi="宋体" w:eastAsia="宋体" w:cs="宋体"/>
                <w:color w:val="auto"/>
                <w:sz w:val="22"/>
                <w:szCs w:val="22"/>
                <w:highlight w:val="none"/>
                <w:u w:val="single"/>
              </w:rPr>
              <w:t xml:space="preserve">       /       。</w:t>
            </w:r>
          </w:p>
          <w:p w14:paraId="4EB3632F">
            <w:pPr>
              <w:keepNext w:val="0"/>
              <w:keepLines w:val="0"/>
              <w:pageBreakBefore w:val="0"/>
              <w:widowControl w:val="0"/>
              <w:kinsoku/>
              <w:wordWrap/>
              <w:overflowPunct/>
              <w:topLinePunct w:val="0"/>
              <w:autoSpaceDE/>
              <w:autoSpaceDN/>
              <w:bidi w:val="0"/>
              <w:adjustRightInd/>
              <w:snapToGrid w:val="0"/>
              <w:spacing w:line="360" w:lineRule="auto"/>
              <w:ind w:left="0"/>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分包金额或者比例：</w:t>
            </w:r>
            <w:r>
              <w:rPr>
                <w:rFonts w:hint="eastAsia" w:ascii="宋体" w:hAnsi="宋体" w:eastAsia="宋体" w:cs="宋体"/>
                <w:color w:val="auto"/>
                <w:sz w:val="22"/>
                <w:szCs w:val="22"/>
                <w:highlight w:val="none"/>
                <w:u w:val="single"/>
              </w:rPr>
              <w:t xml:space="preserve">      /        。</w:t>
            </w:r>
          </w:p>
        </w:tc>
      </w:tr>
      <w:tr w14:paraId="01FDCE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462" w:type="pct"/>
            <w:noWrap w:val="0"/>
            <w:vAlign w:val="center"/>
          </w:tcPr>
          <w:p w14:paraId="2538DAA9">
            <w:pPr>
              <w:keepNext w:val="0"/>
              <w:keepLines w:val="0"/>
              <w:pageBreakBefore w:val="0"/>
              <w:widowControl w:val="0"/>
              <w:kinsoku/>
              <w:wordWrap/>
              <w:overflowPunct/>
              <w:topLinePunct w:val="0"/>
              <w:autoSpaceDE/>
              <w:autoSpaceDN/>
              <w:bidi w:val="0"/>
              <w:adjustRightInd/>
              <w:snapToGrid w:val="0"/>
              <w:spacing w:line="360" w:lineRule="auto"/>
              <w:ind w:lef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12.1.1</w:t>
            </w:r>
          </w:p>
        </w:tc>
        <w:tc>
          <w:tcPr>
            <w:tcW w:w="646" w:type="pct"/>
            <w:noWrap w:val="0"/>
            <w:vAlign w:val="center"/>
          </w:tcPr>
          <w:p w14:paraId="2E96604F">
            <w:pPr>
              <w:keepNext w:val="0"/>
              <w:keepLines w:val="0"/>
              <w:pageBreakBefore w:val="0"/>
              <w:widowControl w:val="0"/>
              <w:kinsoku/>
              <w:wordWrap/>
              <w:overflowPunct/>
              <w:topLinePunct w:val="0"/>
              <w:autoSpaceDE/>
              <w:autoSpaceDN/>
              <w:bidi w:val="0"/>
              <w:adjustRightInd/>
              <w:snapToGrid w:val="0"/>
              <w:spacing w:line="360" w:lineRule="auto"/>
              <w:ind w:left="0"/>
              <w:jc w:val="center"/>
              <w:textAlignment w:val="auto"/>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rPr>
              <w:t>资格证明文件组成</w:t>
            </w:r>
          </w:p>
        </w:tc>
        <w:tc>
          <w:tcPr>
            <w:tcW w:w="3890" w:type="pct"/>
            <w:noWrap w:val="0"/>
            <w:vAlign w:val="center"/>
          </w:tcPr>
          <w:p w14:paraId="0162E5F4">
            <w:pPr>
              <w:keepNext w:val="0"/>
              <w:keepLines w:val="0"/>
              <w:pageBreakBefore w:val="0"/>
              <w:widowControl w:val="0"/>
              <w:kinsoku/>
              <w:wordWrap/>
              <w:overflowPunct/>
              <w:topLinePunct w:val="0"/>
              <w:autoSpaceDE/>
              <w:autoSpaceDN/>
              <w:bidi w:val="0"/>
              <w:adjustRightInd/>
              <w:snapToGrid w:val="0"/>
              <w:spacing w:line="360" w:lineRule="auto"/>
              <w:ind w:left="0"/>
              <w:jc w:val="both"/>
              <w:textAlignment w:val="auto"/>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1.磋商供应商有效的“主体资格证明文件”复印件（如营业执照、事业单位法人证书、执业许可证、自然人身份证等）；</w:t>
            </w:r>
            <w:r>
              <w:rPr>
                <w:rFonts w:hint="eastAsia" w:ascii="宋体" w:hAnsi="宋体" w:eastAsia="宋体" w:cs="宋体"/>
                <w:b/>
                <w:bCs/>
                <w:color w:val="auto"/>
                <w:sz w:val="22"/>
                <w:szCs w:val="22"/>
                <w:highlight w:val="none"/>
              </w:rPr>
              <w:t>（必须提供，否则响应文件按无效响应处理）</w:t>
            </w:r>
          </w:p>
          <w:p w14:paraId="2346021D">
            <w:pPr>
              <w:keepNext w:val="0"/>
              <w:keepLines w:val="0"/>
              <w:pageBreakBefore w:val="0"/>
              <w:widowControl w:val="0"/>
              <w:kinsoku/>
              <w:wordWrap/>
              <w:overflowPunct/>
              <w:topLinePunct w:val="0"/>
              <w:autoSpaceDE/>
              <w:autoSpaceDN/>
              <w:bidi w:val="0"/>
              <w:adjustRightInd/>
              <w:snapToGrid w:val="0"/>
              <w:spacing w:line="360" w:lineRule="auto"/>
              <w:ind w:left="0"/>
              <w:jc w:val="both"/>
              <w:textAlignment w:val="auto"/>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2.</w:t>
            </w:r>
            <w:r>
              <w:rPr>
                <w:rFonts w:hint="eastAsia" w:ascii="宋体" w:hAnsi="宋体" w:eastAsia="宋体" w:cs="宋体"/>
                <w:color w:val="auto"/>
                <w:sz w:val="22"/>
                <w:szCs w:val="22"/>
                <w:highlight w:val="none"/>
                <w:lang w:eastAsia="zh-CN"/>
              </w:rPr>
              <w:t>政府采购供应商资格信用承诺函</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格式后附</w:t>
            </w:r>
            <w:r>
              <w:rPr>
                <w:rFonts w:hint="eastAsia" w:ascii="宋体" w:hAnsi="宋体" w:cs="宋体"/>
                <w:color w:val="auto"/>
                <w:sz w:val="22"/>
                <w:szCs w:val="22"/>
                <w:highlight w:val="none"/>
                <w:lang w:eastAsia="zh-CN"/>
              </w:rPr>
              <w:t>）；</w:t>
            </w:r>
            <w:r>
              <w:rPr>
                <w:rFonts w:hint="eastAsia" w:ascii="宋体" w:hAnsi="宋体" w:eastAsia="宋体" w:cs="宋体"/>
                <w:b/>
                <w:bCs/>
                <w:color w:val="auto"/>
                <w:sz w:val="22"/>
                <w:szCs w:val="22"/>
                <w:highlight w:val="none"/>
              </w:rPr>
              <w:t>（必须提供，否则响应文件按无效响应处理）</w:t>
            </w:r>
          </w:p>
          <w:p w14:paraId="2EF0E718">
            <w:pPr>
              <w:keepNext w:val="0"/>
              <w:keepLines w:val="0"/>
              <w:pageBreakBefore w:val="0"/>
              <w:widowControl w:val="0"/>
              <w:kinsoku/>
              <w:wordWrap/>
              <w:overflowPunct/>
              <w:topLinePunct w:val="0"/>
              <w:autoSpaceDE/>
              <w:autoSpaceDN/>
              <w:bidi w:val="0"/>
              <w:adjustRightInd/>
              <w:snapToGrid w:val="0"/>
              <w:spacing w:line="360" w:lineRule="auto"/>
              <w:ind w:left="0"/>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rPr>
              <w:t>.供应商直接控股、管理关系信息表</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格式后附</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rPr>
              <w:t>；</w:t>
            </w:r>
            <w:r>
              <w:rPr>
                <w:rFonts w:hint="eastAsia" w:ascii="宋体" w:hAnsi="宋体" w:eastAsia="宋体" w:cs="宋体"/>
                <w:b/>
                <w:bCs/>
                <w:color w:val="auto"/>
                <w:sz w:val="22"/>
                <w:szCs w:val="22"/>
                <w:highlight w:val="none"/>
              </w:rPr>
              <w:t>（必须提供，否则响应文件按无效响应处理）</w:t>
            </w:r>
          </w:p>
          <w:p w14:paraId="3F9F8CB5">
            <w:pPr>
              <w:keepNext w:val="0"/>
              <w:keepLines w:val="0"/>
              <w:pageBreakBefore w:val="0"/>
              <w:widowControl w:val="0"/>
              <w:kinsoku/>
              <w:wordWrap/>
              <w:overflowPunct/>
              <w:topLinePunct w:val="0"/>
              <w:autoSpaceDE/>
              <w:autoSpaceDN/>
              <w:bidi w:val="0"/>
              <w:adjustRightInd/>
              <w:snapToGrid w:val="0"/>
              <w:spacing w:line="360" w:lineRule="auto"/>
              <w:ind w:left="0"/>
              <w:jc w:val="both"/>
              <w:textAlignment w:val="auto"/>
              <w:rPr>
                <w:rFonts w:hint="eastAsia" w:ascii="宋体" w:hAnsi="宋体" w:cs="宋体"/>
                <w:color w:val="auto"/>
                <w:sz w:val="22"/>
                <w:szCs w:val="22"/>
                <w:highlight w:val="none"/>
                <w:lang w:val="en-US" w:eastAsia="zh-CN"/>
              </w:rPr>
            </w:pPr>
            <w:r>
              <w:rPr>
                <w:rFonts w:hint="eastAsia" w:ascii="宋体" w:hAnsi="宋体" w:eastAsia="宋体" w:cs="宋体"/>
                <w:i w:val="0"/>
                <w:iCs w:val="0"/>
                <w:color w:val="auto"/>
                <w:sz w:val="22"/>
                <w:szCs w:val="22"/>
                <w:highlight w:val="none"/>
                <w:u w:val="none"/>
                <w:lang w:val="en-US" w:eastAsia="zh-CN"/>
              </w:rPr>
              <w:t>4.中小企业声明函（或残疾人福利性单位声明函或监狱企业证明文件）</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格式后附</w:t>
            </w:r>
            <w:r>
              <w:rPr>
                <w:rFonts w:hint="eastAsia" w:ascii="宋体" w:hAnsi="宋体" w:cs="宋体"/>
                <w:color w:val="auto"/>
                <w:sz w:val="22"/>
                <w:szCs w:val="22"/>
                <w:highlight w:val="none"/>
                <w:lang w:eastAsia="zh-CN"/>
              </w:rPr>
              <w:t>）</w:t>
            </w:r>
            <w:r>
              <w:rPr>
                <w:rFonts w:hint="eastAsia" w:ascii="宋体" w:hAnsi="宋体" w:eastAsia="宋体" w:cs="宋体"/>
                <w:i w:val="0"/>
                <w:iCs w:val="0"/>
                <w:color w:val="auto"/>
                <w:sz w:val="22"/>
                <w:szCs w:val="22"/>
                <w:highlight w:val="none"/>
                <w:u w:val="none"/>
                <w:lang w:val="en-US" w:eastAsia="zh-CN"/>
              </w:rPr>
              <w:t>；</w:t>
            </w:r>
            <w:r>
              <w:rPr>
                <w:rFonts w:hint="eastAsia" w:ascii="宋体" w:hAnsi="宋体" w:eastAsia="宋体" w:cs="宋体"/>
                <w:b/>
                <w:bCs/>
                <w:color w:val="auto"/>
                <w:sz w:val="22"/>
                <w:szCs w:val="22"/>
                <w:highlight w:val="none"/>
              </w:rPr>
              <w:t>（必须提供，否则响应文件按无效响应处理）</w:t>
            </w:r>
          </w:p>
          <w:p w14:paraId="59E3E221">
            <w:pPr>
              <w:keepNext w:val="0"/>
              <w:keepLines w:val="0"/>
              <w:pageBreakBefore w:val="0"/>
              <w:widowControl w:val="0"/>
              <w:kinsoku/>
              <w:wordWrap/>
              <w:overflowPunct/>
              <w:topLinePunct w:val="0"/>
              <w:autoSpaceDE/>
              <w:autoSpaceDN/>
              <w:bidi w:val="0"/>
              <w:adjustRightInd/>
              <w:snapToGrid w:val="0"/>
              <w:spacing w:line="360" w:lineRule="auto"/>
              <w:ind w:left="0"/>
              <w:jc w:val="both"/>
              <w:textAlignment w:val="auto"/>
              <w:rPr>
                <w:rFonts w:hint="eastAsia" w:ascii="宋体" w:hAnsi="宋体" w:eastAsia="宋体" w:cs="宋体"/>
                <w:b/>
                <w:bCs/>
                <w:color w:val="auto"/>
                <w:sz w:val="22"/>
                <w:szCs w:val="22"/>
                <w:highlight w:val="none"/>
                <w:lang w:val="en-US" w:eastAsia="zh-CN"/>
              </w:rPr>
            </w:pPr>
            <w:r>
              <w:rPr>
                <w:rFonts w:hint="eastAsia" w:ascii="宋体" w:hAnsi="宋体" w:cs="宋体"/>
                <w:color w:val="auto"/>
                <w:sz w:val="22"/>
                <w:szCs w:val="22"/>
                <w:highlight w:val="none"/>
                <w:lang w:val="en-US" w:eastAsia="zh-CN"/>
              </w:rPr>
              <w:t>5</w:t>
            </w:r>
            <w:r>
              <w:rPr>
                <w:rFonts w:hint="eastAsia" w:ascii="宋体" w:hAnsi="宋体" w:eastAsia="宋体" w:cs="宋体"/>
                <w:color w:val="auto"/>
                <w:sz w:val="22"/>
                <w:szCs w:val="22"/>
                <w:highlight w:val="none"/>
                <w:lang w:val="en-US" w:eastAsia="zh-CN"/>
              </w:rPr>
              <w:t>.</w:t>
            </w:r>
            <w:r>
              <w:rPr>
                <w:rFonts w:hint="eastAsia" w:ascii="宋体" w:hAnsi="宋体" w:eastAsia="宋体" w:cs="宋体"/>
                <w:color w:val="auto"/>
                <w:sz w:val="22"/>
                <w:szCs w:val="22"/>
                <w:highlight w:val="none"/>
              </w:rPr>
              <w:t>除磋商文件规定必须提供以外，供应商认为需要提供的其他证明材料；</w:t>
            </w:r>
          </w:p>
          <w:p w14:paraId="61FAFF3D">
            <w:pPr>
              <w:keepNext w:val="0"/>
              <w:keepLines w:val="0"/>
              <w:pageBreakBefore w:val="0"/>
              <w:widowControl w:val="0"/>
              <w:kinsoku/>
              <w:wordWrap/>
              <w:overflowPunct/>
              <w:topLinePunct w:val="0"/>
              <w:autoSpaceDE/>
              <w:autoSpaceDN/>
              <w:bidi w:val="0"/>
              <w:adjustRightInd/>
              <w:snapToGrid w:val="0"/>
              <w:spacing w:line="360" w:lineRule="auto"/>
              <w:ind w:left="0"/>
              <w:jc w:val="both"/>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注：以上标明“必须提供”的材料属于复印件的扫描件的，必须加盖供应商</w:t>
            </w:r>
            <w:r>
              <w:rPr>
                <w:rFonts w:hint="eastAsia" w:ascii="宋体" w:hAnsi="宋体" w:eastAsia="宋体" w:cs="宋体"/>
                <w:b/>
                <w:color w:val="auto"/>
                <w:sz w:val="22"/>
                <w:szCs w:val="22"/>
                <w:highlight w:val="none"/>
                <w:lang w:eastAsia="zh-CN"/>
              </w:rPr>
              <w:t>公章（或电子签章）</w:t>
            </w:r>
            <w:r>
              <w:rPr>
                <w:rFonts w:hint="eastAsia" w:ascii="宋体" w:hAnsi="宋体" w:eastAsia="宋体" w:cs="宋体"/>
                <w:b/>
                <w:color w:val="auto"/>
                <w:sz w:val="22"/>
                <w:szCs w:val="22"/>
                <w:highlight w:val="none"/>
              </w:rPr>
              <w:t>，否则响应文件按无效响应处理。</w:t>
            </w:r>
          </w:p>
        </w:tc>
      </w:tr>
      <w:tr w14:paraId="6157B6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462" w:type="pct"/>
            <w:vMerge w:val="restart"/>
            <w:noWrap w:val="0"/>
            <w:vAlign w:val="center"/>
          </w:tcPr>
          <w:p w14:paraId="5BF7FA55">
            <w:pPr>
              <w:keepNext w:val="0"/>
              <w:keepLines w:val="0"/>
              <w:pageBreakBefore w:val="0"/>
              <w:widowControl w:val="0"/>
              <w:kinsoku/>
              <w:wordWrap/>
              <w:overflowPunct/>
              <w:topLinePunct w:val="0"/>
              <w:autoSpaceDE/>
              <w:autoSpaceDN/>
              <w:bidi w:val="0"/>
              <w:adjustRightInd/>
              <w:snapToGrid w:val="0"/>
              <w:spacing w:line="360" w:lineRule="auto"/>
              <w:ind w:lef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12.1.2</w:t>
            </w:r>
          </w:p>
        </w:tc>
        <w:tc>
          <w:tcPr>
            <w:tcW w:w="646" w:type="pct"/>
            <w:noWrap w:val="0"/>
            <w:vAlign w:val="center"/>
          </w:tcPr>
          <w:p w14:paraId="593ABA2D">
            <w:pPr>
              <w:keepNext w:val="0"/>
              <w:keepLines w:val="0"/>
              <w:pageBreakBefore w:val="0"/>
              <w:widowControl w:val="0"/>
              <w:kinsoku/>
              <w:wordWrap/>
              <w:overflowPunct/>
              <w:topLinePunct w:val="0"/>
              <w:autoSpaceDE/>
              <w:autoSpaceDN/>
              <w:bidi w:val="0"/>
              <w:adjustRightInd/>
              <w:snapToGrid w:val="0"/>
              <w:spacing w:line="360" w:lineRule="auto"/>
              <w:ind w:left="0"/>
              <w:jc w:val="center"/>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商务文件组成</w:t>
            </w:r>
          </w:p>
        </w:tc>
        <w:tc>
          <w:tcPr>
            <w:tcW w:w="3890" w:type="pct"/>
            <w:noWrap w:val="0"/>
            <w:vAlign w:val="center"/>
          </w:tcPr>
          <w:p w14:paraId="0C0EF68C">
            <w:pPr>
              <w:keepNext w:val="0"/>
              <w:keepLines w:val="0"/>
              <w:pageBreakBefore w:val="0"/>
              <w:widowControl w:val="0"/>
              <w:kinsoku/>
              <w:wordWrap/>
              <w:overflowPunct/>
              <w:topLinePunct w:val="0"/>
              <w:autoSpaceDE/>
              <w:autoSpaceDN/>
              <w:bidi w:val="0"/>
              <w:adjustRightInd/>
              <w:snapToGrid w:val="0"/>
              <w:spacing w:line="360" w:lineRule="auto"/>
              <w:ind w:left="0"/>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1.无串通竞标行为的承诺函</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格式后附</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rPr>
              <w:t>；</w:t>
            </w:r>
            <w:r>
              <w:rPr>
                <w:rFonts w:hint="eastAsia" w:ascii="宋体" w:hAnsi="宋体" w:eastAsia="宋体" w:cs="宋体"/>
                <w:b/>
                <w:bCs/>
                <w:color w:val="auto"/>
                <w:sz w:val="22"/>
                <w:szCs w:val="22"/>
                <w:highlight w:val="none"/>
              </w:rPr>
              <w:t>（必须提供，否则响应文件按无效响应处理）</w:t>
            </w:r>
          </w:p>
          <w:p w14:paraId="1E0B7068">
            <w:pPr>
              <w:keepNext w:val="0"/>
              <w:keepLines w:val="0"/>
              <w:pageBreakBefore w:val="0"/>
              <w:widowControl w:val="0"/>
              <w:kinsoku/>
              <w:wordWrap/>
              <w:overflowPunct/>
              <w:topLinePunct w:val="0"/>
              <w:autoSpaceDE/>
              <w:autoSpaceDN/>
              <w:bidi w:val="0"/>
              <w:adjustRightInd/>
              <w:snapToGrid w:val="0"/>
              <w:spacing w:line="360" w:lineRule="auto"/>
              <w:ind w:left="0"/>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2.法定代表人身份证明书及法定代表人有效身份证正反面复印件</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格式后附</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rPr>
              <w:t>；（</w:t>
            </w:r>
            <w:r>
              <w:rPr>
                <w:rFonts w:hint="eastAsia" w:ascii="宋体" w:hAnsi="宋体" w:eastAsia="宋体" w:cs="宋体"/>
                <w:b/>
                <w:bCs/>
                <w:color w:val="auto"/>
                <w:sz w:val="22"/>
                <w:szCs w:val="22"/>
                <w:highlight w:val="none"/>
              </w:rPr>
              <w:t>除自然人竞标外</w:t>
            </w:r>
            <w:r>
              <w:rPr>
                <w:rFonts w:hint="eastAsia" w:ascii="宋体" w:hAnsi="宋体" w:eastAsia="宋体" w:cs="宋体"/>
                <w:b/>
                <w:color w:val="auto"/>
                <w:sz w:val="22"/>
                <w:szCs w:val="22"/>
                <w:highlight w:val="none"/>
              </w:rPr>
              <w:t>必须提供，否则响应文件按无效响应处理</w:t>
            </w:r>
            <w:r>
              <w:rPr>
                <w:rFonts w:hint="eastAsia" w:ascii="宋体" w:hAnsi="宋体" w:eastAsia="宋体" w:cs="宋体"/>
                <w:color w:val="auto"/>
                <w:sz w:val="22"/>
                <w:szCs w:val="22"/>
                <w:highlight w:val="none"/>
              </w:rPr>
              <w:t>）</w:t>
            </w:r>
          </w:p>
          <w:p w14:paraId="03E091E1">
            <w:pPr>
              <w:keepNext w:val="0"/>
              <w:keepLines w:val="0"/>
              <w:pageBreakBefore w:val="0"/>
              <w:widowControl w:val="0"/>
              <w:kinsoku/>
              <w:wordWrap/>
              <w:overflowPunct/>
              <w:topLinePunct w:val="0"/>
              <w:autoSpaceDE/>
              <w:autoSpaceDN/>
              <w:bidi w:val="0"/>
              <w:adjustRightInd/>
              <w:snapToGrid w:val="0"/>
              <w:spacing w:line="360" w:lineRule="auto"/>
              <w:ind w:left="0"/>
              <w:jc w:val="both"/>
              <w:textAlignment w:val="auto"/>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3.法定代表人授权委托书及委托代理人有效身份证正反面复印件</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格式后附</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rPr>
              <w:t>；（</w:t>
            </w:r>
            <w:r>
              <w:rPr>
                <w:rFonts w:hint="eastAsia" w:ascii="宋体" w:hAnsi="宋体" w:eastAsia="宋体" w:cs="宋体"/>
                <w:b/>
                <w:color w:val="auto"/>
                <w:sz w:val="22"/>
                <w:szCs w:val="22"/>
                <w:highlight w:val="none"/>
              </w:rPr>
              <w:t>委托时必须提供，否则响应文件按无效响应处理</w:t>
            </w:r>
            <w:r>
              <w:rPr>
                <w:rFonts w:hint="eastAsia" w:ascii="宋体" w:hAnsi="宋体" w:eastAsia="宋体" w:cs="宋体"/>
                <w:color w:val="auto"/>
                <w:sz w:val="22"/>
                <w:szCs w:val="22"/>
                <w:highlight w:val="none"/>
              </w:rPr>
              <w:t>）</w:t>
            </w:r>
          </w:p>
          <w:p w14:paraId="0C511B10">
            <w:pPr>
              <w:keepNext w:val="0"/>
              <w:keepLines w:val="0"/>
              <w:pageBreakBefore w:val="0"/>
              <w:widowControl w:val="0"/>
              <w:kinsoku/>
              <w:wordWrap/>
              <w:overflowPunct/>
              <w:topLinePunct w:val="0"/>
              <w:autoSpaceDE/>
              <w:autoSpaceDN/>
              <w:bidi w:val="0"/>
              <w:adjustRightInd/>
              <w:snapToGrid w:val="0"/>
              <w:spacing w:line="360" w:lineRule="auto"/>
              <w:ind w:left="0"/>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4</w:t>
            </w:r>
            <w:r>
              <w:rPr>
                <w:rFonts w:hint="eastAsia" w:ascii="宋体" w:hAnsi="宋体" w:eastAsia="宋体" w:cs="宋体"/>
                <w:color w:val="auto"/>
                <w:sz w:val="22"/>
                <w:szCs w:val="22"/>
                <w:highlight w:val="none"/>
              </w:rPr>
              <w:t>.商务条款偏离表</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格式后附</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rPr>
              <w:t>；</w:t>
            </w:r>
            <w:r>
              <w:rPr>
                <w:rFonts w:hint="eastAsia" w:ascii="宋体" w:hAnsi="宋体" w:eastAsia="宋体" w:cs="宋体"/>
                <w:b/>
                <w:bCs/>
                <w:color w:val="auto"/>
                <w:sz w:val="22"/>
                <w:szCs w:val="22"/>
                <w:highlight w:val="none"/>
              </w:rPr>
              <w:t>（必须提供，否则响应文件按无效响应处理）</w:t>
            </w:r>
          </w:p>
          <w:p w14:paraId="2F13CCD9">
            <w:pPr>
              <w:keepNext w:val="0"/>
              <w:keepLines w:val="0"/>
              <w:pageBreakBefore w:val="0"/>
              <w:widowControl w:val="0"/>
              <w:kinsoku/>
              <w:wordWrap/>
              <w:overflowPunct/>
              <w:topLinePunct w:val="0"/>
              <w:autoSpaceDE/>
              <w:autoSpaceDN/>
              <w:bidi w:val="0"/>
              <w:adjustRightInd/>
              <w:snapToGrid w:val="0"/>
              <w:spacing w:line="360" w:lineRule="auto"/>
              <w:ind w:left="0"/>
              <w:jc w:val="both"/>
              <w:textAlignment w:val="auto"/>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5.保证金缴纳证明；</w:t>
            </w:r>
            <w:r>
              <w:rPr>
                <w:rFonts w:hint="eastAsia" w:ascii="宋体" w:hAnsi="宋体" w:cs="宋体"/>
                <w:b/>
                <w:bCs/>
                <w:color w:val="auto"/>
                <w:sz w:val="22"/>
                <w:szCs w:val="22"/>
                <w:highlight w:val="none"/>
                <w:lang w:val="en-US" w:eastAsia="zh-CN"/>
              </w:rPr>
              <w:t>（必须提供，否则响应文件按无效响应处理）</w:t>
            </w:r>
          </w:p>
          <w:p w14:paraId="733E9091">
            <w:pPr>
              <w:keepNext w:val="0"/>
              <w:keepLines w:val="0"/>
              <w:pageBreakBefore w:val="0"/>
              <w:widowControl w:val="0"/>
              <w:kinsoku/>
              <w:wordWrap/>
              <w:overflowPunct/>
              <w:topLinePunct w:val="0"/>
              <w:autoSpaceDE/>
              <w:autoSpaceDN/>
              <w:bidi w:val="0"/>
              <w:adjustRightInd/>
              <w:snapToGrid w:val="0"/>
              <w:spacing w:line="360" w:lineRule="auto"/>
              <w:ind w:left="0"/>
              <w:jc w:val="both"/>
              <w:textAlignment w:val="auto"/>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val="en-US" w:eastAsia="zh-CN"/>
              </w:rPr>
              <w:t>6</w:t>
            </w:r>
            <w:r>
              <w:rPr>
                <w:rFonts w:hint="eastAsia" w:ascii="宋体" w:hAnsi="宋体" w:eastAsia="宋体" w:cs="宋体"/>
                <w:color w:val="auto"/>
                <w:sz w:val="22"/>
                <w:szCs w:val="22"/>
                <w:highlight w:val="none"/>
              </w:rPr>
              <w:t>.竞标人情况介绍；</w:t>
            </w:r>
          </w:p>
          <w:p w14:paraId="3BC2D642">
            <w:pPr>
              <w:keepNext w:val="0"/>
              <w:keepLines w:val="0"/>
              <w:pageBreakBefore w:val="0"/>
              <w:widowControl w:val="0"/>
              <w:kinsoku/>
              <w:wordWrap/>
              <w:overflowPunct/>
              <w:topLinePunct w:val="0"/>
              <w:autoSpaceDE/>
              <w:autoSpaceDN/>
              <w:bidi w:val="0"/>
              <w:adjustRightInd/>
              <w:snapToGrid w:val="0"/>
              <w:spacing w:line="360" w:lineRule="auto"/>
              <w:ind w:left="0"/>
              <w:jc w:val="both"/>
              <w:textAlignment w:val="auto"/>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val="en-US" w:eastAsia="zh-CN"/>
              </w:rPr>
              <w:t>7</w:t>
            </w:r>
            <w:r>
              <w:rPr>
                <w:rFonts w:hint="eastAsia" w:ascii="宋体" w:hAnsi="宋体" w:eastAsia="宋体" w:cs="宋体"/>
                <w:color w:val="auto"/>
                <w:sz w:val="22"/>
                <w:szCs w:val="22"/>
                <w:highlight w:val="none"/>
              </w:rPr>
              <w:t>.供应商认为需要提供的其他有关资料。</w:t>
            </w:r>
          </w:p>
          <w:p w14:paraId="5ADE3CD3">
            <w:pPr>
              <w:keepNext w:val="0"/>
              <w:keepLines w:val="0"/>
              <w:pageBreakBefore w:val="0"/>
              <w:widowControl w:val="0"/>
              <w:kinsoku/>
              <w:wordWrap/>
              <w:overflowPunct/>
              <w:topLinePunct w:val="0"/>
              <w:autoSpaceDE/>
              <w:autoSpaceDN/>
              <w:bidi w:val="0"/>
              <w:adjustRightInd/>
              <w:snapToGrid w:val="0"/>
              <w:spacing w:line="360" w:lineRule="auto"/>
              <w:ind w:left="0"/>
              <w:jc w:val="both"/>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注：1.法定代表人授权委托书必须由法定代表人及委托代理人签字，并加盖供应商公章</w:t>
            </w:r>
            <w:r>
              <w:rPr>
                <w:rFonts w:hint="eastAsia" w:ascii="宋体" w:hAnsi="宋体" w:eastAsia="宋体" w:cs="宋体"/>
                <w:b/>
                <w:color w:val="auto"/>
                <w:sz w:val="22"/>
                <w:szCs w:val="22"/>
                <w:highlight w:val="none"/>
                <w:lang w:eastAsia="zh-CN"/>
              </w:rPr>
              <w:t>（或电子签章）</w:t>
            </w:r>
            <w:r>
              <w:rPr>
                <w:rFonts w:hint="eastAsia" w:ascii="宋体" w:hAnsi="宋体" w:eastAsia="宋体" w:cs="宋体"/>
                <w:b/>
                <w:color w:val="auto"/>
                <w:sz w:val="22"/>
                <w:szCs w:val="22"/>
                <w:highlight w:val="none"/>
              </w:rPr>
              <w:t>，否则响应文件按无效响应处理。</w:t>
            </w:r>
          </w:p>
          <w:p w14:paraId="58172CDD">
            <w:pPr>
              <w:keepNext w:val="0"/>
              <w:keepLines w:val="0"/>
              <w:pageBreakBefore w:val="0"/>
              <w:widowControl w:val="0"/>
              <w:kinsoku/>
              <w:wordWrap/>
              <w:overflowPunct/>
              <w:topLinePunct w:val="0"/>
              <w:autoSpaceDE/>
              <w:autoSpaceDN/>
              <w:bidi w:val="0"/>
              <w:adjustRightInd/>
              <w:snapToGrid w:val="0"/>
              <w:spacing w:line="360" w:lineRule="auto"/>
              <w:ind w:left="0" w:firstLine="433" w:firstLineChars="196"/>
              <w:jc w:val="both"/>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2.以上标明“必须提供”的材料属于复印件的扫描件的，必须加盖供应商</w:t>
            </w:r>
            <w:r>
              <w:rPr>
                <w:rFonts w:hint="eastAsia" w:ascii="宋体" w:hAnsi="宋体" w:eastAsia="宋体" w:cs="宋体"/>
                <w:b/>
                <w:color w:val="auto"/>
                <w:sz w:val="22"/>
                <w:szCs w:val="22"/>
                <w:highlight w:val="none"/>
                <w:lang w:eastAsia="zh-CN"/>
              </w:rPr>
              <w:t>公章（或电子签章）</w:t>
            </w:r>
            <w:r>
              <w:rPr>
                <w:rFonts w:hint="eastAsia" w:ascii="宋体" w:hAnsi="宋体" w:eastAsia="宋体" w:cs="宋体"/>
                <w:b/>
                <w:color w:val="auto"/>
                <w:sz w:val="22"/>
                <w:szCs w:val="22"/>
                <w:highlight w:val="none"/>
              </w:rPr>
              <w:t>，否则响应文件按无效响应处理。</w:t>
            </w:r>
          </w:p>
        </w:tc>
      </w:tr>
      <w:tr w14:paraId="21ED3E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462" w:type="pct"/>
            <w:vMerge w:val="continue"/>
            <w:noWrap w:val="0"/>
            <w:vAlign w:val="center"/>
          </w:tcPr>
          <w:p w14:paraId="199E2E0A">
            <w:pPr>
              <w:keepNext w:val="0"/>
              <w:keepLines w:val="0"/>
              <w:pageBreakBefore w:val="0"/>
              <w:widowControl w:val="0"/>
              <w:kinsoku/>
              <w:wordWrap/>
              <w:overflowPunct/>
              <w:topLinePunct w:val="0"/>
              <w:autoSpaceDE/>
              <w:autoSpaceDN/>
              <w:bidi w:val="0"/>
              <w:adjustRightInd/>
              <w:snapToGrid w:val="0"/>
              <w:spacing w:line="360" w:lineRule="auto"/>
              <w:ind w:left="0"/>
              <w:jc w:val="center"/>
              <w:textAlignment w:val="auto"/>
              <w:rPr>
                <w:rFonts w:hint="eastAsia" w:ascii="宋体" w:hAnsi="宋体" w:eastAsia="宋体" w:cs="宋体"/>
                <w:color w:val="auto"/>
                <w:sz w:val="22"/>
                <w:szCs w:val="22"/>
                <w:highlight w:val="none"/>
              </w:rPr>
            </w:pPr>
          </w:p>
        </w:tc>
        <w:tc>
          <w:tcPr>
            <w:tcW w:w="646" w:type="pct"/>
            <w:noWrap w:val="0"/>
            <w:vAlign w:val="center"/>
          </w:tcPr>
          <w:p w14:paraId="1E1E3ADC">
            <w:pPr>
              <w:keepNext w:val="0"/>
              <w:keepLines w:val="0"/>
              <w:pageBreakBefore w:val="0"/>
              <w:widowControl w:val="0"/>
              <w:kinsoku/>
              <w:wordWrap/>
              <w:overflowPunct/>
              <w:topLinePunct w:val="0"/>
              <w:autoSpaceDE/>
              <w:autoSpaceDN/>
              <w:bidi w:val="0"/>
              <w:adjustRightInd/>
              <w:snapToGrid w:val="0"/>
              <w:spacing w:line="360" w:lineRule="auto"/>
              <w:ind w:left="0"/>
              <w:jc w:val="center"/>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技术文件组成</w:t>
            </w:r>
          </w:p>
        </w:tc>
        <w:tc>
          <w:tcPr>
            <w:tcW w:w="3890" w:type="pct"/>
            <w:noWrap w:val="0"/>
            <w:vAlign w:val="center"/>
          </w:tcPr>
          <w:p w14:paraId="1B6DB255">
            <w:pPr>
              <w:keepNext w:val="0"/>
              <w:keepLines w:val="0"/>
              <w:pageBreakBefore w:val="0"/>
              <w:widowControl w:val="0"/>
              <w:kinsoku/>
              <w:wordWrap/>
              <w:overflowPunct/>
              <w:topLinePunct w:val="0"/>
              <w:autoSpaceDE/>
              <w:autoSpaceDN/>
              <w:bidi w:val="0"/>
              <w:adjustRightInd/>
              <w:snapToGrid w:val="0"/>
              <w:spacing w:line="360" w:lineRule="auto"/>
              <w:ind w:left="0"/>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1.服务需求偏离表</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格式后附</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rPr>
              <w:t>；</w:t>
            </w:r>
            <w:r>
              <w:rPr>
                <w:rFonts w:hint="eastAsia" w:ascii="宋体" w:hAnsi="宋体" w:eastAsia="宋体" w:cs="宋体"/>
                <w:b/>
                <w:bCs/>
                <w:color w:val="auto"/>
                <w:sz w:val="22"/>
                <w:szCs w:val="22"/>
                <w:highlight w:val="none"/>
              </w:rPr>
              <w:t>（必须提供，否则响应文件按无效响应处理）</w:t>
            </w:r>
          </w:p>
          <w:p w14:paraId="745070E7">
            <w:pPr>
              <w:keepNext w:val="0"/>
              <w:keepLines w:val="0"/>
              <w:pageBreakBefore w:val="0"/>
              <w:widowControl w:val="0"/>
              <w:kinsoku/>
              <w:wordWrap/>
              <w:overflowPunct/>
              <w:topLinePunct w:val="0"/>
              <w:autoSpaceDE/>
              <w:autoSpaceDN/>
              <w:bidi w:val="0"/>
              <w:adjustRightInd/>
              <w:snapToGrid w:val="0"/>
              <w:spacing w:line="360" w:lineRule="auto"/>
              <w:ind w:left="0"/>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2.服务方案（竞标人</w:t>
            </w:r>
            <w:r>
              <w:rPr>
                <w:rFonts w:hint="eastAsia" w:ascii="宋体" w:hAnsi="宋体" w:cs="宋体"/>
                <w:color w:val="auto"/>
                <w:sz w:val="22"/>
                <w:szCs w:val="22"/>
                <w:highlight w:val="none"/>
                <w:lang w:val="en-US" w:eastAsia="zh-CN"/>
              </w:rPr>
              <w:t>可</w:t>
            </w:r>
            <w:r>
              <w:rPr>
                <w:rFonts w:hint="eastAsia" w:ascii="宋体" w:hAnsi="宋体" w:eastAsia="宋体" w:cs="宋体"/>
                <w:color w:val="auto"/>
                <w:sz w:val="22"/>
                <w:szCs w:val="22"/>
                <w:highlight w:val="none"/>
              </w:rPr>
              <w:t>根据</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rPr>
              <w:t>第四章  评标方法及评分标准</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rPr>
              <w:t>要求编制）；</w:t>
            </w:r>
          </w:p>
          <w:p w14:paraId="16191E1A">
            <w:pPr>
              <w:keepNext w:val="0"/>
              <w:keepLines w:val="0"/>
              <w:pageBreakBefore w:val="0"/>
              <w:widowControl w:val="0"/>
              <w:kinsoku/>
              <w:wordWrap/>
              <w:overflowPunct/>
              <w:topLinePunct w:val="0"/>
              <w:autoSpaceDE/>
              <w:autoSpaceDN/>
              <w:bidi w:val="0"/>
              <w:adjustRightInd/>
              <w:snapToGrid w:val="0"/>
              <w:spacing w:line="360" w:lineRule="auto"/>
              <w:ind w:left="0"/>
              <w:jc w:val="both"/>
              <w:textAlignment w:val="auto"/>
              <w:rPr>
                <w:rFonts w:hint="eastAsia" w:ascii="宋体" w:hAnsi="宋体" w:eastAsia="宋体" w:cs="宋体"/>
                <w:b/>
                <w:color w:val="auto"/>
                <w:sz w:val="22"/>
                <w:szCs w:val="22"/>
                <w:highlight w:val="none"/>
                <w:lang w:eastAsia="zh-CN"/>
              </w:rPr>
            </w:pPr>
            <w:r>
              <w:rPr>
                <w:rFonts w:hint="eastAsia" w:ascii="宋体" w:hAnsi="宋体" w:eastAsia="宋体" w:cs="宋体"/>
                <w:color w:val="auto"/>
                <w:sz w:val="22"/>
                <w:szCs w:val="22"/>
                <w:highlight w:val="none"/>
              </w:rPr>
              <w:t>3.售后服务方案；</w:t>
            </w:r>
            <w:r>
              <w:rPr>
                <w:rFonts w:hint="eastAsia" w:ascii="宋体" w:hAnsi="宋体" w:eastAsia="宋体" w:cs="宋体"/>
                <w:b/>
                <w:color w:val="auto"/>
                <w:sz w:val="22"/>
                <w:szCs w:val="22"/>
                <w:highlight w:val="none"/>
              </w:rPr>
              <w:t>（必须提供，否则作无效投标处理）</w:t>
            </w:r>
            <w:r>
              <w:rPr>
                <w:rFonts w:hint="eastAsia" w:ascii="宋体" w:hAnsi="宋体" w:eastAsia="宋体" w:cs="宋体"/>
                <w:b/>
                <w:color w:val="auto"/>
                <w:sz w:val="22"/>
                <w:szCs w:val="22"/>
                <w:highlight w:val="none"/>
                <w:lang w:eastAsia="zh-CN"/>
              </w:rPr>
              <w:t>；</w:t>
            </w:r>
          </w:p>
          <w:p w14:paraId="2A400F57">
            <w:pPr>
              <w:keepNext w:val="0"/>
              <w:keepLines w:val="0"/>
              <w:pageBreakBefore w:val="0"/>
              <w:widowControl w:val="0"/>
              <w:kinsoku/>
              <w:wordWrap/>
              <w:overflowPunct/>
              <w:topLinePunct w:val="0"/>
              <w:autoSpaceDE/>
              <w:autoSpaceDN/>
              <w:bidi w:val="0"/>
              <w:adjustRightInd/>
              <w:snapToGrid w:val="0"/>
              <w:spacing w:line="360" w:lineRule="auto"/>
              <w:ind w:left="0"/>
              <w:jc w:val="both"/>
              <w:textAlignment w:val="auto"/>
              <w:rPr>
                <w:rFonts w:hint="eastAsia" w:ascii="宋体" w:hAnsi="宋体" w:eastAsia="宋体" w:cs="宋体"/>
                <w:b/>
                <w:color w:val="auto"/>
                <w:sz w:val="22"/>
                <w:szCs w:val="22"/>
                <w:highlight w:val="none"/>
                <w:lang w:eastAsia="zh-CN"/>
              </w:rPr>
            </w:pPr>
            <w:r>
              <w:rPr>
                <w:rFonts w:hint="eastAsia" w:ascii="宋体" w:hAnsi="宋体" w:eastAsia="宋体" w:cs="宋体"/>
                <w:b w:val="0"/>
                <w:color w:val="auto"/>
                <w:sz w:val="22"/>
                <w:szCs w:val="22"/>
                <w:highlight w:val="none"/>
                <w:lang w:val="en-US" w:eastAsia="zh-CN"/>
              </w:rPr>
              <w:t>4.</w:t>
            </w:r>
            <w:r>
              <w:rPr>
                <w:rFonts w:hint="eastAsia" w:ascii="宋体" w:hAnsi="宋体" w:eastAsia="宋体" w:cs="宋体"/>
                <w:b w:val="0"/>
                <w:color w:val="auto"/>
                <w:sz w:val="22"/>
                <w:szCs w:val="22"/>
                <w:highlight w:val="none"/>
                <w:lang w:eastAsia="zh-CN"/>
              </w:rPr>
              <w:t>项目实施人员一览表；</w:t>
            </w:r>
          </w:p>
          <w:p w14:paraId="58FD17B8">
            <w:pPr>
              <w:keepNext w:val="0"/>
              <w:keepLines w:val="0"/>
              <w:pageBreakBefore w:val="0"/>
              <w:widowControl w:val="0"/>
              <w:kinsoku/>
              <w:wordWrap/>
              <w:overflowPunct/>
              <w:topLinePunct w:val="0"/>
              <w:autoSpaceDE/>
              <w:autoSpaceDN/>
              <w:bidi w:val="0"/>
              <w:adjustRightInd/>
              <w:snapToGrid w:val="0"/>
              <w:spacing w:line="360" w:lineRule="auto"/>
              <w:ind w:left="0"/>
              <w:jc w:val="both"/>
              <w:textAlignment w:val="auto"/>
              <w:rPr>
                <w:rFonts w:hint="eastAsia" w:ascii="宋体" w:hAnsi="宋体" w:eastAsia="宋体" w:cs="宋体"/>
                <w:b w:val="0"/>
                <w:color w:val="auto"/>
                <w:sz w:val="22"/>
                <w:szCs w:val="22"/>
                <w:highlight w:val="none"/>
                <w:lang w:eastAsia="zh-CN"/>
              </w:rPr>
            </w:pPr>
            <w:r>
              <w:rPr>
                <w:rFonts w:hint="eastAsia" w:ascii="宋体" w:hAnsi="宋体" w:eastAsia="宋体" w:cs="宋体"/>
                <w:b w:val="0"/>
                <w:color w:val="auto"/>
                <w:sz w:val="22"/>
                <w:szCs w:val="22"/>
                <w:highlight w:val="none"/>
                <w:lang w:eastAsia="zh-CN"/>
              </w:rPr>
              <w:t>5.</w:t>
            </w:r>
            <w:r>
              <w:rPr>
                <w:rFonts w:hint="eastAsia" w:ascii="宋体" w:hAnsi="宋体" w:eastAsia="宋体" w:cs="宋体"/>
                <w:b w:val="0"/>
                <w:bCs w:val="0"/>
                <w:color w:val="auto"/>
                <w:spacing w:val="0"/>
                <w:sz w:val="22"/>
                <w:szCs w:val="22"/>
                <w:highlight w:val="none"/>
                <w:lang w:val="en-US" w:eastAsia="zh-CN"/>
              </w:rPr>
              <w:t>供应商</w:t>
            </w:r>
            <w:r>
              <w:rPr>
                <w:rFonts w:hint="eastAsia" w:ascii="宋体" w:hAnsi="宋体" w:eastAsia="宋体" w:cs="宋体"/>
                <w:b w:val="0"/>
                <w:color w:val="auto"/>
                <w:sz w:val="22"/>
                <w:szCs w:val="22"/>
                <w:highlight w:val="none"/>
                <w:lang w:eastAsia="zh-CN"/>
              </w:rPr>
              <w:t>对本项目的合理化建议和改进措施；</w:t>
            </w:r>
          </w:p>
          <w:p w14:paraId="7E5E8A52">
            <w:pPr>
              <w:keepNext w:val="0"/>
              <w:keepLines w:val="0"/>
              <w:pageBreakBefore w:val="0"/>
              <w:widowControl w:val="0"/>
              <w:kinsoku/>
              <w:wordWrap/>
              <w:overflowPunct/>
              <w:topLinePunct w:val="0"/>
              <w:autoSpaceDE/>
              <w:autoSpaceDN/>
              <w:bidi w:val="0"/>
              <w:adjustRightInd/>
              <w:snapToGrid w:val="0"/>
              <w:spacing w:line="360" w:lineRule="auto"/>
              <w:ind w:left="0"/>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6</w:t>
            </w:r>
            <w:r>
              <w:rPr>
                <w:rFonts w:hint="eastAsia" w:ascii="宋体" w:hAnsi="宋体" w:eastAsia="宋体" w:cs="宋体"/>
                <w:color w:val="auto"/>
                <w:sz w:val="22"/>
                <w:szCs w:val="22"/>
                <w:highlight w:val="none"/>
              </w:rPr>
              <w:t>.供应商认为需要提供的其他有关资料。</w:t>
            </w:r>
          </w:p>
          <w:p w14:paraId="248FC7A7">
            <w:pPr>
              <w:keepNext w:val="0"/>
              <w:keepLines w:val="0"/>
              <w:pageBreakBefore w:val="0"/>
              <w:widowControl w:val="0"/>
              <w:kinsoku/>
              <w:wordWrap/>
              <w:overflowPunct/>
              <w:topLinePunct w:val="0"/>
              <w:autoSpaceDE/>
              <w:autoSpaceDN/>
              <w:bidi w:val="0"/>
              <w:adjustRightInd/>
              <w:snapToGrid w:val="0"/>
              <w:spacing w:line="360" w:lineRule="auto"/>
              <w:ind w:left="0"/>
              <w:jc w:val="both"/>
              <w:textAlignment w:val="auto"/>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rPr>
              <w:t>注：以上标明“必须提供”的材料属于复印件的扫描件的，必须加盖供应商</w:t>
            </w:r>
            <w:r>
              <w:rPr>
                <w:rFonts w:hint="eastAsia" w:ascii="宋体" w:hAnsi="宋体" w:eastAsia="宋体" w:cs="宋体"/>
                <w:b/>
                <w:color w:val="auto"/>
                <w:sz w:val="22"/>
                <w:szCs w:val="22"/>
                <w:highlight w:val="none"/>
                <w:lang w:eastAsia="zh-CN"/>
              </w:rPr>
              <w:t>公章（或电子签章）</w:t>
            </w:r>
            <w:r>
              <w:rPr>
                <w:rFonts w:hint="eastAsia" w:ascii="宋体" w:hAnsi="宋体" w:eastAsia="宋体" w:cs="宋体"/>
                <w:b/>
                <w:color w:val="auto"/>
                <w:sz w:val="22"/>
                <w:szCs w:val="22"/>
                <w:highlight w:val="none"/>
              </w:rPr>
              <w:t>，否则响应文件按无效响应处理。</w:t>
            </w:r>
          </w:p>
        </w:tc>
      </w:tr>
      <w:tr w14:paraId="437F4F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462" w:type="pct"/>
            <w:noWrap w:val="0"/>
            <w:vAlign w:val="center"/>
          </w:tcPr>
          <w:p w14:paraId="4656EF47">
            <w:pPr>
              <w:keepNext w:val="0"/>
              <w:keepLines w:val="0"/>
              <w:pageBreakBefore w:val="0"/>
              <w:widowControl w:val="0"/>
              <w:kinsoku/>
              <w:wordWrap/>
              <w:overflowPunct/>
              <w:topLinePunct w:val="0"/>
              <w:autoSpaceDE/>
              <w:autoSpaceDN/>
              <w:bidi w:val="0"/>
              <w:adjustRightInd/>
              <w:snapToGrid w:val="0"/>
              <w:spacing w:line="360" w:lineRule="auto"/>
              <w:ind w:lef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12.1.2</w:t>
            </w:r>
          </w:p>
        </w:tc>
        <w:tc>
          <w:tcPr>
            <w:tcW w:w="646" w:type="pct"/>
            <w:noWrap w:val="0"/>
            <w:vAlign w:val="center"/>
          </w:tcPr>
          <w:p w14:paraId="23F6C064">
            <w:pPr>
              <w:keepNext w:val="0"/>
              <w:keepLines w:val="0"/>
              <w:pageBreakBefore w:val="0"/>
              <w:widowControl w:val="0"/>
              <w:kinsoku/>
              <w:wordWrap/>
              <w:overflowPunct/>
              <w:topLinePunct w:val="0"/>
              <w:autoSpaceDE/>
              <w:autoSpaceDN/>
              <w:bidi w:val="0"/>
              <w:adjustRightInd/>
              <w:snapToGrid w:val="0"/>
              <w:spacing w:line="360" w:lineRule="auto"/>
              <w:ind w:left="0"/>
              <w:jc w:val="center"/>
              <w:textAlignment w:val="auto"/>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报价文件组成</w:t>
            </w:r>
          </w:p>
        </w:tc>
        <w:tc>
          <w:tcPr>
            <w:tcW w:w="3890" w:type="pct"/>
            <w:noWrap w:val="0"/>
            <w:vAlign w:val="center"/>
          </w:tcPr>
          <w:p w14:paraId="4FF4C66A">
            <w:pPr>
              <w:keepNext w:val="0"/>
              <w:keepLines w:val="0"/>
              <w:pageBreakBefore w:val="0"/>
              <w:widowControl w:val="0"/>
              <w:kinsoku/>
              <w:wordWrap/>
              <w:overflowPunct/>
              <w:topLinePunct w:val="0"/>
              <w:autoSpaceDE/>
              <w:autoSpaceDN/>
              <w:bidi w:val="0"/>
              <w:adjustRightInd/>
              <w:snapToGrid w:val="0"/>
              <w:spacing w:line="360" w:lineRule="auto"/>
              <w:ind w:left="0"/>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1.响应函</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格式后附</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rPr>
              <w:t>；</w:t>
            </w:r>
            <w:r>
              <w:rPr>
                <w:rFonts w:hint="eastAsia" w:ascii="宋体" w:hAnsi="宋体" w:eastAsia="宋体" w:cs="宋体"/>
                <w:b/>
                <w:bCs/>
                <w:color w:val="auto"/>
                <w:sz w:val="22"/>
                <w:szCs w:val="22"/>
                <w:highlight w:val="none"/>
              </w:rPr>
              <w:t>（必须提供，否则响应文件按无效响应处理）</w:t>
            </w:r>
          </w:p>
          <w:p w14:paraId="193093B1">
            <w:pPr>
              <w:keepNext w:val="0"/>
              <w:keepLines w:val="0"/>
              <w:pageBreakBefore w:val="0"/>
              <w:widowControl w:val="0"/>
              <w:kinsoku/>
              <w:wordWrap/>
              <w:overflowPunct/>
              <w:topLinePunct w:val="0"/>
              <w:autoSpaceDE/>
              <w:autoSpaceDN/>
              <w:bidi w:val="0"/>
              <w:adjustRightInd/>
              <w:snapToGrid w:val="0"/>
              <w:spacing w:line="360" w:lineRule="auto"/>
              <w:ind w:left="0"/>
              <w:jc w:val="both"/>
              <w:textAlignment w:val="auto"/>
              <w:rPr>
                <w:rFonts w:hint="eastAsia" w:ascii="宋体" w:hAnsi="宋体" w:eastAsia="宋体" w:cs="宋体"/>
                <w:b w:val="0"/>
                <w:bCs w:val="0"/>
                <w:color w:val="auto"/>
                <w:sz w:val="22"/>
                <w:szCs w:val="22"/>
                <w:highlight w:val="none"/>
                <w:u w:val="none"/>
                <w:lang w:val="en-US" w:eastAsia="zh-CN"/>
              </w:rPr>
            </w:pPr>
            <w:r>
              <w:rPr>
                <w:rFonts w:hint="eastAsia" w:ascii="宋体" w:hAnsi="宋体" w:eastAsia="宋体" w:cs="宋体"/>
                <w:color w:val="auto"/>
                <w:sz w:val="22"/>
                <w:szCs w:val="22"/>
                <w:highlight w:val="none"/>
              </w:rPr>
              <w:t>2.响应报价表</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格式后附</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rPr>
              <w:t>；</w:t>
            </w:r>
            <w:r>
              <w:rPr>
                <w:rFonts w:hint="eastAsia" w:ascii="宋体" w:hAnsi="宋体" w:eastAsia="宋体" w:cs="宋体"/>
                <w:b/>
                <w:bCs/>
                <w:color w:val="auto"/>
                <w:sz w:val="22"/>
                <w:szCs w:val="22"/>
                <w:highlight w:val="none"/>
              </w:rPr>
              <w:t>（必须提供，否则响应文件按无效响应处理）</w:t>
            </w:r>
          </w:p>
          <w:p w14:paraId="4254A894">
            <w:pPr>
              <w:keepNext w:val="0"/>
              <w:keepLines w:val="0"/>
              <w:pageBreakBefore w:val="0"/>
              <w:widowControl w:val="0"/>
              <w:kinsoku/>
              <w:wordWrap/>
              <w:overflowPunct/>
              <w:topLinePunct w:val="0"/>
              <w:autoSpaceDE/>
              <w:autoSpaceDN/>
              <w:bidi w:val="0"/>
              <w:adjustRightInd/>
              <w:snapToGrid w:val="0"/>
              <w:spacing w:line="360" w:lineRule="auto"/>
              <w:ind w:left="0"/>
              <w:jc w:val="both"/>
              <w:textAlignment w:val="auto"/>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val="en-US" w:eastAsia="zh-CN"/>
              </w:rPr>
              <w:t>3</w:t>
            </w:r>
            <w:r>
              <w:rPr>
                <w:rFonts w:hint="eastAsia" w:ascii="宋体" w:hAnsi="宋体" w:eastAsia="宋体" w:cs="宋体"/>
                <w:color w:val="auto"/>
                <w:sz w:val="22"/>
                <w:szCs w:val="22"/>
                <w:highlight w:val="none"/>
              </w:rPr>
              <w:t>.供应商针对报价需要说明的其他文件和说明。</w:t>
            </w:r>
          </w:p>
          <w:p w14:paraId="56C8E4BA">
            <w:pPr>
              <w:keepNext w:val="0"/>
              <w:keepLines w:val="0"/>
              <w:pageBreakBefore w:val="0"/>
              <w:widowControl w:val="0"/>
              <w:kinsoku/>
              <w:wordWrap/>
              <w:overflowPunct/>
              <w:topLinePunct w:val="0"/>
              <w:autoSpaceDE/>
              <w:autoSpaceDN/>
              <w:bidi w:val="0"/>
              <w:adjustRightInd/>
              <w:snapToGrid w:val="0"/>
              <w:spacing w:line="360" w:lineRule="auto"/>
              <w:ind w:left="0"/>
              <w:jc w:val="both"/>
              <w:textAlignment w:val="auto"/>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rPr>
              <w:t>注：以上标明“必须提供”的材料属于复印件的扫描件的，必须加盖供应商</w:t>
            </w:r>
            <w:r>
              <w:rPr>
                <w:rFonts w:hint="eastAsia" w:ascii="宋体" w:hAnsi="宋体" w:eastAsia="宋体" w:cs="宋体"/>
                <w:b/>
                <w:color w:val="auto"/>
                <w:sz w:val="22"/>
                <w:szCs w:val="22"/>
                <w:highlight w:val="none"/>
                <w:lang w:eastAsia="zh-CN"/>
              </w:rPr>
              <w:t>公章（或电子签章）</w:t>
            </w:r>
            <w:r>
              <w:rPr>
                <w:rFonts w:hint="eastAsia" w:ascii="宋体" w:hAnsi="宋体" w:eastAsia="宋体" w:cs="宋体"/>
                <w:b/>
                <w:color w:val="auto"/>
                <w:sz w:val="22"/>
                <w:szCs w:val="22"/>
                <w:highlight w:val="none"/>
              </w:rPr>
              <w:t>，否则响应文件按无效响应处理。</w:t>
            </w:r>
          </w:p>
        </w:tc>
      </w:tr>
      <w:tr w14:paraId="1DD130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462" w:type="pct"/>
            <w:noWrap w:val="0"/>
            <w:vAlign w:val="center"/>
          </w:tcPr>
          <w:p w14:paraId="62BA2431">
            <w:pPr>
              <w:keepNext w:val="0"/>
              <w:keepLines w:val="0"/>
              <w:pageBreakBefore w:val="0"/>
              <w:widowControl w:val="0"/>
              <w:kinsoku/>
              <w:wordWrap/>
              <w:overflowPunct/>
              <w:topLinePunct w:val="0"/>
              <w:autoSpaceDE/>
              <w:autoSpaceDN/>
              <w:bidi w:val="0"/>
              <w:adjustRightInd/>
              <w:snapToGrid w:val="0"/>
              <w:spacing w:line="360" w:lineRule="auto"/>
              <w:ind w:lef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15.2</w:t>
            </w:r>
          </w:p>
        </w:tc>
        <w:tc>
          <w:tcPr>
            <w:tcW w:w="646" w:type="pct"/>
            <w:noWrap w:val="0"/>
            <w:vAlign w:val="center"/>
          </w:tcPr>
          <w:p w14:paraId="14D7D486">
            <w:pPr>
              <w:keepNext w:val="0"/>
              <w:keepLines w:val="0"/>
              <w:pageBreakBefore w:val="0"/>
              <w:widowControl w:val="0"/>
              <w:kinsoku/>
              <w:wordWrap/>
              <w:overflowPunct/>
              <w:topLinePunct w:val="0"/>
              <w:autoSpaceDE/>
              <w:autoSpaceDN/>
              <w:bidi w:val="0"/>
              <w:adjustRightInd/>
              <w:snapToGrid w:val="0"/>
              <w:spacing w:line="360" w:lineRule="auto"/>
              <w:ind w:lef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响应报价要求</w:t>
            </w:r>
          </w:p>
        </w:tc>
        <w:tc>
          <w:tcPr>
            <w:tcW w:w="3890" w:type="pct"/>
            <w:noWrap w:val="0"/>
            <w:vAlign w:val="center"/>
          </w:tcPr>
          <w:p w14:paraId="69C646C3">
            <w:pPr>
              <w:keepNext w:val="0"/>
              <w:keepLines w:val="0"/>
              <w:pageBreakBefore w:val="0"/>
              <w:widowControl w:val="0"/>
              <w:kinsoku/>
              <w:wordWrap/>
              <w:overflowPunct/>
              <w:topLinePunct w:val="0"/>
              <w:autoSpaceDE/>
              <w:autoSpaceDN/>
              <w:bidi w:val="0"/>
              <w:adjustRightInd/>
              <w:snapToGrid w:val="0"/>
              <w:spacing w:line="360" w:lineRule="auto"/>
              <w:ind w:left="0"/>
              <w:jc w:val="both"/>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投标报价是履行合同的最终价格，必须包含满足本次投标全部采购需求所应提供的服务，以及伴随的货物和工程（如有）的价格；包含投标服务、货物、工程的成本、运输（含保险）、安装（如有）、调试、检验、技术服务、培训、税费等所有费用。（采购需求另有约定的，从其约定）</w:t>
            </w:r>
          </w:p>
          <w:p w14:paraId="49DD9B1A">
            <w:pPr>
              <w:keepNext w:val="0"/>
              <w:keepLines w:val="0"/>
              <w:pageBreakBefore w:val="0"/>
              <w:widowControl w:val="0"/>
              <w:kinsoku/>
              <w:wordWrap/>
              <w:overflowPunct/>
              <w:topLinePunct w:val="0"/>
              <w:autoSpaceDE/>
              <w:autoSpaceDN/>
              <w:bidi w:val="0"/>
              <w:adjustRightInd/>
              <w:snapToGrid w:val="0"/>
              <w:spacing w:line="360" w:lineRule="auto"/>
              <w:ind w:left="0"/>
              <w:jc w:val="both"/>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w:t>
            </w:r>
            <w:r>
              <w:rPr>
                <w:rFonts w:hint="eastAsia" w:ascii="宋体" w:hAnsi="宋体" w:eastAsia="宋体" w:cs="宋体"/>
                <w:b/>
                <w:color w:val="auto"/>
                <w:sz w:val="22"/>
                <w:szCs w:val="22"/>
                <w:highlight w:val="none"/>
                <w:lang w:val="en-US" w:eastAsia="zh-CN"/>
              </w:rPr>
              <w:t>本采购文件</w:t>
            </w:r>
            <w:r>
              <w:rPr>
                <w:rFonts w:hint="eastAsia" w:ascii="宋体" w:hAnsi="宋体" w:eastAsia="宋体" w:cs="宋体"/>
                <w:b/>
                <w:color w:val="auto"/>
                <w:sz w:val="22"/>
                <w:szCs w:val="22"/>
                <w:highlight w:val="none"/>
              </w:rPr>
              <w:t>第二章</w:t>
            </w:r>
            <w:r>
              <w:rPr>
                <w:rFonts w:hint="eastAsia" w:ascii="宋体" w:hAnsi="宋体" w:eastAsia="宋体" w:cs="宋体"/>
                <w:b/>
                <w:color w:val="auto"/>
                <w:sz w:val="22"/>
                <w:szCs w:val="22"/>
                <w:highlight w:val="none"/>
                <w:lang w:eastAsia="zh-CN"/>
              </w:rPr>
              <w:t>“</w:t>
            </w:r>
            <w:r>
              <w:rPr>
                <w:rFonts w:hint="eastAsia" w:ascii="宋体" w:hAnsi="宋体" w:eastAsia="宋体" w:cs="宋体"/>
                <w:b/>
                <w:color w:val="auto"/>
                <w:sz w:val="22"/>
                <w:szCs w:val="22"/>
                <w:highlight w:val="none"/>
              </w:rPr>
              <w:t>采购需求</w:t>
            </w:r>
            <w:r>
              <w:rPr>
                <w:rFonts w:hint="eastAsia" w:ascii="宋体" w:hAnsi="宋体" w:eastAsia="宋体" w:cs="宋体"/>
                <w:b/>
                <w:color w:val="auto"/>
                <w:sz w:val="22"/>
                <w:szCs w:val="22"/>
                <w:highlight w:val="none"/>
                <w:lang w:eastAsia="zh-CN"/>
              </w:rPr>
              <w:t>”</w:t>
            </w:r>
            <w:r>
              <w:rPr>
                <w:rFonts w:hint="eastAsia" w:ascii="宋体" w:hAnsi="宋体" w:eastAsia="宋体" w:cs="宋体"/>
                <w:b/>
                <w:color w:val="auto"/>
                <w:sz w:val="22"/>
                <w:szCs w:val="22"/>
                <w:highlight w:val="none"/>
              </w:rPr>
              <w:t>另有约定的，从其约定</w:t>
            </w:r>
            <w:r>
              <w:rPr>
                <w:rFonts w:hint="eastAsia" w:ascii="宋体" w:hAnsi="宋体" w:eastAsia="宋体" w:cs="宋体"/>
                <w:b/>
                <w:color w:val="auto"/>
                <w:sz w:val="22"/>
                <w:szCs w:val="22"/>
                <w:highlight w:val="none"/>
                <w:lang w:eastAsia="zh-CN"/>
              </w:rPr>
              <w:t>；响应报价</w:t>
            </w:r>
            <w:r>
              <w:rPr>
                <w:rFonts w:hint="eastAsia" w:ascii="宋体" w:hAnsi="宋体" w:eastAsia="宋体" w:cs="宋体"/>
                <w:b/>
                <w:color w:val="auto"/>
                <w:sz w:val="22"/>
                <w:szCs w:val="22"/>
                <w:highlight w:val="none"/>
                <w:lang w:val="en-US" w:eastAsia="zh-CN"/>
              </w:rPr>
              <w:t>范围如有不完整，</w:t>
            </w:r>
            <w:r>
              <w:rPr>
                <w:rFonts w:hint="eastAsia" w:ascii="宋体" w:hAnsi="宋体" w:eastAsia="宋体" w:cs="宋体"/>
                <w:b/>
                <w:color w:val="auto"/>
                <w:sz w:val="22"/>
                <w:szCs w:val="22"/>
                <w:highlight w:val="none"/>
              </w:rPr>
              <w:t>响应文件按无效响应处理</w:t>
            </w:r>
            <w:r>
              <w:rPr>
                <w:rFonts w:hint="eastAsia" w:ascii="宋体" w:hAnsi="宋体" w:eastAsia="宋体" w:cs="宋体"/>
                <w:b/>
                <w:color w:val="auto"/>
                <w:sz w:val="22"/>
                <w:szCs w:val="22"/>
                <w:highlight w:val="none"/>
                <w:lang w:eastAsia="zh-CN"/>
              </w:rPr>
              <w:t>）</w:t>
            </w:r>
          </w:p>
        </w:tc>
      </w:tr>
      <w:tr w14:paraId="70C91A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462" w:type="pct"/>
            <w:noWrap w:val="0"/>
            <w:vAlign w:val="center"/>
          </w:tcPr>
          <w:p w14:paraId="4F21E349">
            <w:pPr>
              <w:keepNext w:val="0"/>
              <w:keepLines w:val="0"/>
              <w:pageBreakBefore w:val="0"/>
              <w:widowControl w:val="0"/>
              <w:kinsoku/>
              <w:wordWrap/>
              <w:overflowPunct/>
              <w:topLinePunct w:val="0"/>
              <w:autoSpaceDE/>
              <w:autoSpaceDN/>
              <w:bidi w:val="0"/>
              <w:adjustRightInd/>
              <w:snapToGrid w:val="0"/>
              <w:spacing w:line="360" w:lineRule="auto"/>
              <w:ind w:lef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16.2</w:t>
            </w:r>
          </w:p>
        </w:tc>
        <w:tc>
          <w:tcPr>
            <w:tcW w:w="646" w:type="pct"/>
            <w:noWrap w:val="0"/>
            <w:vAlign w:val="center"/>
          </w:tcPr>
          <w:p w14:paraId="4219F23B">
            <w:pPr>
              <w:keepNext w:val="0"/>
              <w:keepLines w:val="0"/>
              <w:pageBreakBefore w:val="0"/>
              <w:widowControl w:val="0"/>
              <w:kinsoku/>
              <w:wordWrap/>
              <w:overflowPunct/>
              <w:topLinePunct w:val="0"/>
              <w:autoSpaceDE/>
              <w:autoSpaceDN/>
              <w:bidi w:val="0"/>
              <w:adjustRightInd/>
              <w:snapToGrid w:val="0"/>
              <w:spacing w:line="360" w:lineRule="auto"/>
              <w:ind w:lef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竞标有效期</w:t>
            </w:r>
          </w:p>
        </w:tc>
        <w:tc>
          <w:tcPr>
            <w:tcW w:w="3890" w:type="pct"/>
            <w:noWrap w:val="0"/>
            <w:vAlign w:val="center"/>
          </w:tcPr>
          <w:p w14:paraId="284CCFDA">
            <w:pPr>
              <w:keepNext w:val="0"/>
              <w:keepLines w:val="0"/>
              <w:pageBreakBefore w:val="0"/>
              <w:widowControl w:val="0"/>
              <w:tabs>
                <w:tab w:val="left" w:pos="720"/>
                <w:tab w:val="left" w:pos="840"/>
              </w:tabs>
              <w:kinsoku/>
              <w:wordWrap/>
              <w:overflowPunct/>
              <w:topLinePunct w:val="0"/>
              <w:autoSpaceDE/>
              <w:autoSpaceDN/>
              <w:bidi w:val="0"/>
              <w:adjustRightInd/>
              <w:snapToGrid w:val="0"/>
              <w:spacing w:line="360" w:lineRule="auto"/>
              <w:ind w:left="0" w:hanging="297" w:hangingChars="135"/>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自首次响应文件提交截止之日起</w:t>
            </w:r>
            <w:r>
              <w:rPr>
                <w:rFonts w:hint="eastAsia" w:ascii="宋体" w:hAnsi="宋体" w:eastAsia="宋体" w:cs="宋体"/>
                <w:color w:val="auto"/>
                <w:sz w:val="22"/>
                <w:szCs w:val="22"/>
                <w:highlight w:val="none"/>
                <w:u w:val="single"/>
              </w:rPr>
              <w:t xml:space="preserve"> 90 </w:t>
            </w:r>
            <w:r>
              <w:rPr>
                <w:rFonts w:hint="eastAsia" w:ascii="宋体" w:hAnsi="宋体" w:eastAsia="宋体" w:cs="宋体"/>
                <w:color w:val="auto"/>
                <w:sz w:val="22"/>
                <w:szCs w:val="22"/>
                <w:highlight w:val="none"/>
              </w:rPr>
              <w:t>日。</w:t>
            </w:r>
          </w:p>
        </w:tc>
      </w:tr>
      <w:tr w14:paraId="6C175E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462" w:type="pct"/>
            <w:noWrap w:val="0"/>
            <w:vAlign w:val="center"/>
          </w:tcPr>
          <w:p w14:paraId="292F62E0">
            <w:pPr>
              <w:keepNext w:val="0"/>
              <w:keepLines w:val="0"/>
              <w:pageBreakBefore w:val="0"/>
              <w:widowControl w:val="0"/>
              <w:kinsoku/>
              <w:wordWrap/>
              <w:overflowPunct/>
              <w:topLinePunct w:val="0"/>
              <w:autoSpaceDE/>
              <w:autoSpaceDN/>
              <w:bidi w:val="0"/>
              <w:adjustRightInd/>
              <w:snapToGrid w:val="0"/>
              <w:spacing w:line="360" w:lineRule="auto"/>
              <w:ind w:lef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17.1</w:t>
            </w:r>
          </w:p>
        </w:tc>
        <w:tc>
          <w:tcPr>
            <w:tcW w:w="646" w:type="pct"/>
            <w:noWrap w:val="0"/>
            <w:vAlign w:val="center"/>
          </w:tcPr>
          <w:p w14:paraId="08868633">
            <w:pPr>
              <w:keepNext w:val="0"/>
              <w:keepLines w:val="0"/>
              <w:pageBreakBefore w:val="0"/>
              <w:widowControl w:val="0"/>
              <w:kinsoku/>
              <w:wordWrap/>
              <w:overflowPunct/>
              <w:topLinePunct w:val="0"/>
              <w:autoSpaceDE/>
              <w:autoSpaceDN/>
              <w:bidi w:val="0"/>
              <w:adjustRightInd/>
              <w:snapToGrid w:val="0"/>
              <w:spacing w:line="360" w:lineRule="auto"/>
              <w:ind w:lef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磋商保证金</w:t>
            </w:r>
          </w:p>
        </w:tc>
        <w:tc>
          <w:tcPr>
            <w:tcW w:w="3890" w:type="pct"/>
            <w:noWrap w:val="0"/>
            <w:vAlign w:val="center"/>
          </w:tcPr>
          <w:p w14:paraId="30DF43EF">
            <w:pPr>
              <w:pStyle w:val="86"/>
              <w:keepNext w:val="0"/>
              <w:keepLines/>
              <w:pageBreakBefore w:val="0"/>
              <w:widowControl w:val="0"/>
              <w:kinsoku/>
              <w:wordWrap/>
              <w:overflowPunct/>
              <w:topLinePunct w:val="0"/>
              <w:autoSpaceDE/>
              <w:autoSpaceDN/>
              <w:bidi w:val="0"/>
              <w:adjustRightInd/>
              <w:snapToGrid/>
              <w:spacing w:line="360" w:lineRule="auto"/>
              <w:ind w:right="0"/>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收取磋商保证金，具体规定如下：</w:t>
            </w:r>
          </w:p>
          <w:p w14:paraId="0EA1246B">
            <w:pPr>
              <w:pStyle w:val="86"/>
              <w:keepNext w:val="0"/>
              <w:keepLines/>
              <w:pageBreakBefore w:val="0"/>
              <w:widowControl w:val="0"/>
              <w:kinsoku/>
              <w:wordWrap/>
              <w:overflowPunct/>
              <w:topLinePunct w:val="0"/>
              <w:autoSpaceDE/>
              <w:autoSpaceDN/>
              <w:bidi w:val="0"/>
              <w:adjustRightInd/>
              <w:snapToGrid/>
              <w:spacing w:line="360" w:lineRule="auto"/>
              <w:ind w:right="0"/>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1.磋商保证金金额：详见本项目竞争性磋商公告。</w:t>
            </w:r>
          </w:p>
          <w:p w14:paraId="553C3566">
            <w:pPr>
              <w:pStyle w:val="86"/>
              <w:keepNext w:val="0"/>
              <w:keepLines/>
              <w:pageBreakBefore w:val="0"/>
              <w:widowControl w:val="0"/>
              <w:kinsoku/>
              <w:wordWrap/>
              <w:overflowPunct/>
              <w:topLinePunct w:val="0"/>
              <w:autoSpaceDE/>
              <w:autoSpaceDN/>
              <w:bidi w:val="0"/>
              <w:adjustRightInd/>
              <w:snapToGrid/>
              <w:spacing w:line="360" w:lineRule="auto"/>
              <w:ind w:right="0"/>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2.提交磋商保证金的方式：供应商应于响应文件递交截止时间前将磋商保证金足额缴纳至以下账户（可以转账、电汇、支票、汇票、本票、保函、保险等非现金形式提交，禁止采用现钞方式）：</w:t>
            </w:r>
          </w:p>
          <w:p w14:paraId="6ECE6465">
            <w:pPr>
              <w:pStyle w:val="86"/>
              <w:keepNext w:val="0"/>
              <w:keepLines/>
              <w:pageBreakBefore w:val="0"/>
              <w:widowControl w:val="0"/>
              <w:kinsoku/>
              <w:wordWrap/>
              <w:overflowPunct/>
              <w:topLinePunct w:val="0"/>
              <w:autoSpaceDE/>
              <w:autoSpaceDN/>
              <w:bidi w:val="0"/>
              <w:adjustRightInd/>
              <w:snapToGrid/>
              <w:spacing w:line="360" w:lineRule="auto"/>
              <w:ind w:left="0" w:right="0" w:firstLine="440" w:firstLineChars="200"/>
              <w:jc w:val="both"/>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开户名称：</w:t>
            </w:r>
            <w:r>
              <w:rPr>
                <w:rFonts w:hint="eastAsia" w:ascii="宋体" w:hAnsi="宋体" w:eastAsia="宋体" w:cs="宋体"/>
                <w:color w:val="auto"/>
                <w:sz w:val="22"/>
                <w:szCs w:val="22"/>
                <w:highlight w:val="none"/>
                <w:lang w:eastAsia="zh-CN"/>
              </w:rPr>
              <w:t>广西桂工建设管理咨询有限公司南宁分公司</w:t>
            </w:r>
          </w:p>
          <w:p w14:paraId="0435C7D6">
            <w:pPr>
              <w:pStyle w:val="86"/>
              <w:keepNext w:val="0"/>
              <w:keepLines/>
              <w:pageBreakBefore w:val="0"/>
              <w:widowControl w:val="0"/>
              <w:kinsoku/>
              <w:wordWrap/>
              <w:overflowPunct/>
              <w:topLinePunct w:val="0"/>
              <w:autoSpaceDE/>
              <w:autoSpaceDN/>
              <w:bidi w:val="0"/>
              <w:adjustRightInd/>
              <w:snapToGrid/>
              <w:spacing w:line="360" w:lineRule="auto"/>
              <w:ind w:left="0" w:right="0" w:firstLine="440" w:firstLineChars="200"/>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开户银行：中国建设银行股份有限公司南宁朝阳支行</w:t>
            </w:r>
          </w:p>
          <w:p w14:paraId="1DF082EE">
            <w:pPr>
              <w:pStyle w:val="86"/>
              <w:keepNext w:val="0"/>
              <w:keepLines/>
              <w:pageBreakBefore w:val="0"/>
              <w:widowControl w:val="0"/>
              <w:kinsoku/>
              <w:wordWrap/>
              <w:overflowPunct/>
              <w:topLinePunct w:val="0"/>
              <w:autoSpaceDE/>
              <w:autoSpaceDN/>
              <w:bidi w:val="0"/>
              <w:adjustRightInd/>
              <w:snapToGrid/>
              <w:spacing w:line="360" w:lineRule="auto"/>
              <w:ind w:left="0" w:right="0" w:firstLine="440" w:firstLineChars="200"/>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银行账号：4505 0160 4473 0999 9666</w:t>
            </w:r>
          </w:p>
          <w:p w14:paraId="6D552EF2">
            <w:pPr>
              <w:pStyle w:val="86"/>
              <w:keepNext w:val="0"/>
              <w:keepLines/>
              <w:pageBreakBefore w:val="0"/>
              <w:widowControl w:val="0"/>
              <w:kinsoku/>
              <w:wordWrap/>
              <w:overflowPunct/>
              <w:topLinePunct w:val="0"/>
              <w:autoSpaceDE/>
              <w:autoSpaceDN/>
              <w:bidi w:val="0"/>
              <w:adjustRightInd/>
              <w:snapToGrid/>
              <w:spacing w:line="360" w:lineRule="auto"/>
              <w:ind w:right="0"/>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2.1.磋商保证金采用</w:t>
            </w:r>
            <w:r>
              <w:rPr>
                <w:rFonts w:hint="eastAsia" w:ascii="宋体" w:hAnsi="宋体" w:eastAsia="宋体" w:cs="宋体"/>
                <w:color w:val="auto"/>
                <w:sz w:val="22"/>
                <w:szCs w:val="22"/>
                <w:highlight w:val="none"/>
                <w:u w:val="single"/>
              </w:rPr>
              <w:t>转账、电汇</w:t>
            </w:r>
            <w:r>
              <w:rPr>
                <w:rFonts w:hint="eastAsia" w:ascii="宋体" w:hAnsi="宋体" w:eastAsia="宋体" w:cs="宋体"/>
                <w:color w:val="auto"/>
                <w:sz w:val="22"/>
                <w:szCs w:val="22"/>
                <w:highlight w:val="none"/>
              </w:rPr>
              <w:t>形式提交的，办理磋商保证金汇款或转账手续时，请务必在银行进账单或电汇单的用途或空白栏上注明项目名称及项目编号，以免耽误竞标；磋商保证金必须从供应商银行账户转入到指定银行账户（由于转账当天不一定能够达账，供应商交纳磋商保证金时应充分考虑保证金到达采购代理账户上的时间，为避免因磋商保证金未达账而导致竞标被拒绝，建议至少提前3个工作日转账）。</w:t>
            </w:r>
          </w:p>
          <w:p w14:paraId="35E1ACBC">
            <w:pPr>
              <w:pStyle w:val="86"/>
              <w:keepNext w:val="0"/>
              <w:keepLines/>
              <w:pageBreakBefore w:val="0"/>
              <w:widowControl w:val="0"/>
              <w:kinsoku/>
              <w:wordWrap/>
              <w:overflowPunct/>
              <w:topLinePunct w:val="0"/>
              <w:autoSpaceDE/>
              <w:autoSpaceDN/>
              <w:bidi w:val="0"/>
              <w:adjustRightInd/>
              <w:snapToGrid/>
              <w:spacing w:line="360" w:lineRule="auto"/>
              <w:ind w:right="0"/>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2.2.磋商保证金采用</w:t>
            </w:r>
            <w:r>
              <w:rPr>
                <w:rFonts w:hint="eastAsia" w:ascii="宋体" w:hAnsi="宋体" w:eastAsia="宋体" w:cs="宋体"/>
                <w:color w:val="auto"/>
                <w:sz w:val="22"/>
                <w:szCs w:val="22"/>
                <w:highlight w:val="none"/>
                <w:u w:val="single"/>
              </w:rPr>
              <w:t>支票、汇票、本票、保函、保险</w:t>
            </w:r>
            <w:r>
              <w:rPr>
                <w:rFonts w:hint="eastAsia" w:ascii="宋体" w:hAnsi="宋体" w:eastAsia="宋体" w:cs="宋体"/>
                <w:color w:val="auto"/>
                <w:sz w:val="22"/>
                <w:szCs w:val="22"/>
                <w:highlight w:val="none"/>
              </w:rPr>
              <w:t>等形式提交的，须在响应文件递交截止时间前采用现场提交的方式将“磋商保证金缴纳凭证原件”提交至</w:t>
            </w:r>
            <w:r>
              <w:rPr>
                <w:rFonts w:hint="eastAsia" w:ascii="宋体" w:hAnsi="宋体" w:eastAsia="宋体" w:cs="宋体"/>
                <w:color w:val="auto"/>
                <w:sz w:val="22"/>
                <w:szCs w:val="22"/>
                <w:highlight w:val="none"/>
                <w:lang w:val="en-US" w:eastAsia="zh-CN"/>
              </w:rPr>
              <w:t>柳州市公共资源交易服务中心开标室</w:t>
            </w:r>
            <w:r>
              <w:rPr>
                <w:rFonts w:hint="eastAsia" w:ascii="宋体" w:hAnsi="宋体" w:eastAsia="宋体" w:cs="宋体"/>
                <w:color w:val="auto"/>
                <w:sz w:val="22"/>
                <w:szCs w:val="22"/>
                <w:highlight w:val="none"/>
              </w:rPr>
              <w:t>。提交的凭证无效，或者含有不能满足相关法规规定的投标保证要求的情形的，将被视为无效磋商保证金。</w:t>
            </w:r>
          </w:p>
          <w:p w14:paraId="79DC7BA1">
            <w:pPr>
              <w:pStyle w:val="86"/>
              <w:keepNext w:val="0"/>
              <w:keepLines/>
              <w:pageBreakBefore w:val="0"/>
              <w:widowControl w:val="0"/>
              <w:kinsoku/>
              <w:wordWrap/>
              <w:overflowPunct/>
              <w:topLinePunct w:val="0"/>
              <w:autoSpaceDE/>
              <w:autoSpaceDN/>
              <w:bidi w:val="0"/>
              <w:adjustRightInd/>
              <w:snapToGrid/>
              <w:spacing w:line="360" w:lineRule="auto"/>
              <w:ind w:right="0"/>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2.3.磋商担保函或磋商保证保险函须开具给供应商（保险受益人须为招标人）。</w:t>
            </w:r>
          </w:p>
          <w:p w14:paraId="4A3478B1">
            <w:pPr>
              <w:pStyle w:val="86"/>
              <w:keepNext w:val="0"/>
              <w:keepLines/>
              <w:pageBreakBefore w:val="0"/>
              <w:widowControl w:val="0"/>
              <w:kinsoku/>
              <w:wordWrap/>
              <w:overflowPunct/>
              <w:topLinePunct w:val="0"/>
              <w:autoSpaceDE/>
              <w:autoSpaceDN/>
              <w:bidi w:val="0"/>
              <w:adjustRightInd/>
              <w:snapToGrid/>
              <w:spacing w:line="360" w:lineRule="auto"/>
              <w:ind w:right="0"/>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3.磋商保证金有效期：与响应有效期一致。</w:t>
            </w:r>
          </w:p>
          <w:p w14:paraId="0B1D7D34">
            <w:pPr>
              <w:keepNext w:val="0"/>
              <w:keepLines w:val="0"/>
              <w:pageBreakBefore w:val="0"/>
              <w:widowControl w:val="0"/>
              <w:kinsoku/>
              <w:wordWrap/>
              <w:overflowPunct/>
              <w:topLinePunct w:val="0"/>
              <w:autoSpaceDE/>
              <w:autoSpaceDN/>
              <w:bidi w:val="0"/>
              <w:adjustRightInd/>
              <w:snapToGrid w:val="0"/>
              <w:spacing w:line="360" w:lineRule="auto"/>
              <w:ind w:left="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4.未按规定提交磋商保证金的，相关响应无效。</w:t>
            </w:r>
          </w:p>
        </w:tc>
      </w:tr>
      <w:tr w14:paraId="6BC256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462" w:type="pct"/>
            <w:vMerge w:val="restart"/>
            <w:noWrap w:val="0"/>
            <w:vAlign w:val="center"/>
          </w:tcPr>
          <w:p w14:paraId="02D250B4">
            <w:pPr>
              <w:keepNext w:val="0"/>
              <w:keepLines w:val="0"/>
              <w:pageBreakBefore w:val="0"/>
              <w:widowControl w:val="0"/>
              <w:kinsoku/>
              <w:wordWrap/>
              <w:overflowPunct/>
              <w:topLinePunct w:val="0"/>
              <w:autoSpaceDE/>
              <w:autoSpaceDN/>
              <w:bidi w:val="0"/>
              <w:adjustRightInd/>
              <w:snapToGrid w:val="0"/>
              <w:spacing w:line="360" w:lineRule="auto"/>
              <w:ind w:lef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20.1</w:t>
            </w:r>
          </w:p>
        </w:tc>
        <w:tc>
          <w:tcPr>
            <w:tcW w:w="646" w:type="pct"/>
            <w:noWrap w:val="0"/>
            <w:vAlign w:val="center"/>
          </w:tcPr>
          <w:p w14:paraId="6D3E6225">
            <w:pPr>
              <w:keepNext w:val="0"/>
              <w:keepLines w:val="0"/>
              <w:pageBreakBefore w:val="0"/>
              <w:widowControl w:val="0"/>
              <w:kinsoku/>
              <w:wordWrap/>
              <w:overflowPunct/>
              <w:topLinePunct w:val="0"/>
              <w:autoSpaceDE/>
              <w:autoSpaceDN/>
              <w:bidi w:val="0"/>
              <w:adjustRightInd/>
              <w:snapToGrid w:val="0"/>
              <w:spacing w:line="360" w:lineRule="auto"/>
              <w:ind w:lef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首次响应文件提交</w:t>
            </w:r>
            <w:r>
              <w:rPr>
                <w:rFonts w:hint="eastAsia" w:ascii="宋体" w:hAnsi="宋体" w:eastAsia="宋体" w:cs="宋体"/>
                <w:color w:val="auto"/>
                <w:sz w:val="22"/>
                <w:szCs w:val="22"/>
                <w:highlight w:val="none"/>
                <w:lang w:val="en-US" w:eastAsia="zh-CN"/>
              </w:rPr>
              <w:t>截止</w:t>
            </w:r>
            <w:r>
              <w:rPr>
                <w:rFonts w:hint="eastAsia" w:ascii="宋体" w:hAnsi="宋体" w:eastAsia="宋体" w:cs="宋体"/>
                <w:color w:val="auto"/>
                <w:sz w:val="22"/>
                <w:szCs w:val="22"/>
                <w:highlight w:val="none"/>
              </w:rPr>
              <w:t>时间</w:t>
            </w:r>
          </w:p>
        </w:tc>
        <w:tc>
          <w:tcPr>
            <w:tcW w:w="3890" w:type="pct"/>
            <w:noWrap w:val="0"/>
            <w:vAlign w:val="center"/>
          </w:tcPr>
          <w:p w14:paraId="543FDB21">
            <w:pPr>
              <w:keepNext w:val="0"/>
              <w:keepLines w:val="0"/>
              <w:pageBreakBefore w:val="0"/>
              <w:widowControl w:val="0"/>
              <w:kinsoku/>
              <w:wordWrap/>
              <w:overflowPunct/>
              <w:topLinePunct w:val="0"/>
              <w:autoSpaceDE/>
              <w:autoSpaceDN/>
              <w:bidi w:val="0"/>
              <w:adjustRightInd/>
              <w:snapToGrid w:val="0"/>
              <w:spacing w:line="360" w:lineRule="auto"/>
              <w:ind w:left="0"/>
              <w:jc w:val="both"/>
              <w:textAlignment w:val="auto"/>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详见竞争性磋商公告。</w:t>
            </w:r>
          </w:p>
        </w:tc>
      </w:tr>
      <w:tr w14:paraId="087005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462" w:type="pct"/>
            <w:vMerge w:val="continue"/>
            <w:noWrap w:val="0"/>
            <w:vAlign w:val="center"/>
          </w:tcPr>
          <w:p w14:paraId="67B09738">
            <w:pPr>
              <w:keepNext w:val="0"/>
              <w:keepLines w:val="0"/>
              <w:pageBreakBefore w:val="0"/>
              <w:widowControl w:val="0"/>
              <w:kinsoku/>
              <w:wordWrap/>
              <w:overflowPunct/>
              <w:topLinePunct w:val="0"/>
              <w:autoSpaceDE/>
              <w:autoSpaceDN/>
              <w:bidi w:val="0"/>
              <w:adjustRightInd/>
              <w:snapToGrid w:val="0"/>
              <w:spacing w:line="360" w:lineRule="auto"/>
              <w:ind w:left="0"/>
              <w:jc w:val="center"/>
              <w:textAlignment w:val="auto"/>
              <w:rPr>
                <w:rFonts w:hint="eastAsia" w:ascii="宋体" w:hAnsi="宋体" w:eastAsia="宋体" w:cs="宋体"/>
                <w:color w:val="auto"/>
                <w:sz w:val="22"/>
                <w:szCs w:val="22"/>
                <w:highlight w:val="none"/>
              </w:rPr>
            </w:pPr>
          </w:p>
        </w:tc>
        <w:tc>
          <w:tcPr>
            <w:tcW w:w="646" w:type="pct"/>
            <w:noWrap w:val="0"/>
            <w:vAlign w:val="center"/>
          </w:tcPr>
          <w:p w14:paraId="154D37D5">
            <w:pPr>
              <w:keepNext w:val="0"/>
              <w:keepLines w:val="0"/>
              <w:pageBreakBefore w:val="0"/>
              <w:widowControl w:val="0"/>
              <w:kinsoku/>
              <w:wordWrap/>
              <w:overflowPunct/>
              <w:topLinePunct w:val="0"/>
              <w:autoSpaceDE/>
              <w:autoSpaceDN/>
              <w:bidi w:val="0"/>
              <w:adjustRightInd/>
              <w:snapToGrid w:val="0"/>
              <w:spacing w:line="360" w:lineRule="auto"/>
              <w:ind w:lef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首次响应文件提交地点</w:t>
            </w:r>
          </w:p>
        </w:tc>
        <w:tc>
          <w:tcPr>
            <w:tcW w:w="3890" w:type="pct"/>
            <w:noWrap w:val="0"/>
            <w:vAlign w:val="center"/>
          </w:tcPr>
          <w:p w14:paraId="78EF60C0">
            <w:pPr>
              <w:keepNext w:val="0"/>
              <w:keepLines w:val="0"/>
              <w:pageBreakBefore w:val="0"/>
              <w:widowControl w:val="0"/>
              <w:kinsoku/>
              <w:wordWrap/>
              <w:overflowPunct/>
              <w:topLinePunct w:val="0"/>
              <w:autoSpaceDE/>
              <w:autoSpaceDN/>
              <w:bidi w:val="0"/>
              <w:adjustRightInd/>
              <w:snapToGrid w:val="0"/>
              <w:spacing w:line="360" w:lineRule="auto"/>
              <w:ind w:left="0"/>
              <w:jc w:val="both"/>
              <w:textAlignment w:val="auto"/>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详见竞争性磋商公告。</w:t>
            </w:r>
          </w:p>
        </w:tc>
      </w:tr>
      <w:tr w14:paraId="61A800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462" w:type="pct"/>
            <w:noWrap w:val="0"/>
            <w:vAlign w:val="center"/>
          </w:tcPr>
          <w:p w14:paraId="5AF6DE6B">
            <w:pPr>
              <w:keepNext w:val="0"/>
              <w:keepLines w:val="0"/>
              <w:pageBreakBefore w:val="0"/>
              <w:widowControl w:val="0"/>
              <w:kinsoku/>
              <w:wordWrap/>
              <w:overflowPunct/>
              <w:topLinePunct w:val="0"/>
              <w:autoSpaceDE/>
              <w:autoSpaceDN/>
              <w:bidi w:val="0"/>
              <w:adjustRightInd/>
              <w:snapToGrid w:val="0"/>
              <w:spacing w:line="360" w:lineRule="auto"/>
              <w:ind w:lef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20.6</w:t>
            </w:r>
          </w:p>
        </w:tc>
        <w:tc>
          <w:tcPr>
            <w:tcW w:w="646" w:type="pct"/>
            <w:noWrap w:val="0"/>
            <w:vAlign w:val="center"/>
          </w:tcPr>
          <w:p w14:paraId="2A7C330B">
            <w:pPr>
              <w:keepNext w:val="0"/>
              <w:keepLines w:val="0"/>
              <w:pageBreakBefore w:val="0"/>
              <w:widowControl w:val="0"/>
              <w:kinsoku/>
              <w:wordWrap/>
              <w:overflowPunct/>
              <w:topLinePunct w:val="0"/>
              <w:autoSpaceDE/>
              <w:autoSpaceDN/>
              <w:bidi w:val="0"/>
              <w:adjustRightInd/>
              <w:snapToGrid w:val="0"/>
              <w:spacing w:line="360" w:lineRule="auto"/>
              <w:ind w:lef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备份响应文件</w:t>
            </w:r>
          </w:p>
        </w:tc>
        <w:tc>
          <w:tcPr>
            <w:tcW w:w="3890" w:type="pct"/>
            <w:noWrap w:val="0"/>
            <w:vAlign w:val="center"/>
          </w:tcPr>
          <w:p w14:paraId="22BEECDB">
            <w:pPr>
              <w:keepNext w:val="0"/>
              <w:keepLines w:val="0"/>
              <w:pageBreakBefore w:val="0"/>
              <w:widowControl w:val="0"/>
              <w:kinsoku/>
              <w:wordWrap/>
              <w:overflowPunct/>
              <w:topLinePunct w:val="0"/>
              <w:autoSpaceDE/>
              <w:autoSpaceDN/>
              <w:bidi w:val="0"/>
              <w:adjustRightInd/>
              <w:snapToGrid w:val="0"/>
              <w:spacing w:line="360" w:lineRule="auto"/>
              <w:ind w:left="0"/>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val="en-US" w:eastAsia="zh-CN"/>
              </w:rPr>
              <w:t>供应商在在线上传加密文件后可以在开标前向代理机构提供加密副本文件（与加密文件同时生成的），当解密时间内供应商由于非人为操作导致无法解密的，可以由代理机构用备份文件进行异常处理</w:t>
            </w:r>
            <w:r>
              <w:rPr>
                <w:rFonts w:hint="eastAsia" w:ascii="宋体" w:hAnsi="宋体" w:eastAsia="宋体" w:cs="宋体"/>
                <w:color w:val="auto"/>
                <w:sz w:val="22"/>
                <w:szCs w:val="22"/>
                <w:highlight w:val="none"/>
              </w:rPr>
              <w:t>。</w:t>
            </w:r>
          </w:p>
        </w:tc>
      </w:tr>
      <w:tr w14:paraId="066912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462" w:type="pct"/>
            <w:vMerge w:val="restart"/>
            <w:noWrap w:val="0"/>
            <w:vAlign w:val="center"/>
          </w:tcPr>
          <w:p w14:paraId="7AF0791C">
            <w:pPr>
              <w:keepNext w:val="0"/>
              <w:keepLines w:val="0"/>
              <w:pageBreakBefore w:val="0"/>
              <w:widowControl w:val="0"/>
              <w:kinsoku/>
              <w:wordWrap/>
              <w:overflowPunct/>
              <w:topLinePunct w:val="0"/>
              <w:autoSpaceDE/>
              <w:autoSpaceDN/>
              <w:bidi w:val="0"/>
              <w:adjustRightInd/>
              <w:snapToGrid w:val="0"/>
              <w:spacing w:line="360" w:lineRule="auto"/>
              <w:ind w:lef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26.2</w:t>
            </w:r>
          </w:p>
        </w:tc>
        <w:tc>
          <w:tcPr>
            <w:tcW w:w="646" w:type="pct"/>
            <w:noWrap w:val="0"/>
            <w:vAlign w:val="center"/>
          </w:tcPr>
          <w:p w14:paraId="7BA9BAB0">
            <w:pPr>
              <w:keepNext w:val="0"/>
              <w:keepLines w:val="0"/>
              <w:pageBreakBefore w:val="0"/>
              <w:widowControl w:val="0"/>
              <w:kinsoku/>
              <w:wordWrap/>
              <w:overflowPunct/>
              <w:topLinePunct w:val="0"/>
              <w:autoSpaceDE/>
              <w:autoSpaceDN/>
              <w:bidi w:val="0"/>
              <w:adjustRightInd/>
              <w:snapToGrid w:val="0"/>
              <w:spacing w:line="360" w:lineRule="auto"/>
              <w:ind w:left="0"/>
              <w:jc w:val="both"/>
              <w:textAlignment w:val="auto"/>
              <w:rPr>
                <w:rFonts w:hint="eastAsia" w:ascii="宋体" w:hAnsi="宋体" w:eastAsia="宋体" w:cs="宋体"/>
                <w:b/>
                <w:color w:val="auto"/>
                <w:sz w:val="22"/>
                <w:szCs w:val="22"/>
                <w:highlight w:val="none"/>
              </w:rPr>
            </w:pPr>
            <w:r>
              <w:rPr>
                <w:rFonts w:hint="eastAsia" w:ascii="宋体" w:hAnsi="宋体" w:eastAsia="宋体" w:cs="宋体"/>
                <w:b w:val="0"/>
                <w:bCs/>
                <w:color w:val="auto"/>
                <w:sz w:val="22"/>
                <w:szCs w:val="22"/>
                <w:highlight w:val="none"/>
              </w:rPr>
              <w:t>负偏离要求</w:t>
            </w:r>
          </w:p>
        </w:tc>
        <w:tc>
          <w:tcPr>
            <w:tcW w:w="3890" w:type="pct"/>
            <w:noWrap w:val="0"/>
            <w:vAlign w:val="center"/>
          </w:tcPr>
          <w:p w14:paraId="2B1F0FB7">
            <w:pPr>
              <w:keepNext w:val="0"/>
              <w:keepLines w:val="0"/>
              <w:pageBreakBefore w:val="0"/>
              <w:widowControl w:val="0"/>
              <w:kinsoku/>
              <w:wordWrap/>
              <w:overflowPunct/>
              <w:topLinePunct w:val="0"/>
              <w:autoSpaceDE/>
              <w:autoSpaceDN/>
              <w:bidi w:val="0"/>
              <w:adjustRightInd/>
              <w:snapToGrid w:val="0"/>
              <w:spacing w:line="360" w:lineRule="auto"/>
              <w:ind w:left="0"/>
              <w:jc w:val="both"/>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 xml:space="preserve">商务条款评审中允许负偏离的条款数为 </w:t>
            </w:r>
            <w:r>
              <w:rPr>
                <w:rFonts w:hint="eastAsia" w:ascii="宋体" w:hAnsi="宋体" w:eastAsia="宋体" w:cs="宋体"/>
                <w:b/>
                <w:color w:val="auto"/>
                <w:sz w:val="22"/>
                <w:szCs w:val="22"/>
                <w:highlight w:val="none"/>
                <w:lang w:val="en-US" w:eastAsia="zh-CN"/>
              </w:rPr>
              <w:t>0</w:t>
            </w:r>
            <w:r>
              <w:rPr>
                <w:rFonts w:hint="eastAsia" w:ascii="宋体" w:hAnsi="宋体" w:eastAsia="宋体" w:cs="宋体"/>
                <w:b/>
                <w:color w:val="auto"/>
                <w:sz w:val="22"/>
                <w:szCs w:val="22"/>
                <w:highlight w:val="none"/>
              </w:rPr>
              <w:t xml:space="preserve"> 项</w:t>
            </w:r>
            <w:r>
              <w:rPr>
                <w:rFonts w:hint="eastAsia" w:ascii="宋体" w:hAnsi="宋体" w:eastAsia="宋体" w:cs="宋体"/>
                <w:b/>
                <w:color w:val="auto"/>
                <w:sz w:val="22"/>
                <w:szCs w:val="22"/>
                <w:highlight w:val="none"/>
                <w:lang w:eastAsia="zh-CN"/>
              </w:rPr>
              <w:t>，</w:t>
            </w:r>
            <w:r>
              <w:rPr>
                <w:rFonts w:hint="eastAsia" w:ascii="宋体" w:hAnsi="宋体" w:eastAsia="宋体" w:cs="宋体"/>
                <w:b/>
                <w:color w:val="auto"/>
                <w:sz w:val="22"/>
                <w:szCs w:val="22"/>
                <w:highlight w:val="none"/>
                <w:lang w:val="en-US" w:eastAsia="zh-CN"/>
              </w:rPr>
              <w:t>若超出，</w:t>
            </w:r>
            <w:r>
              <w:rPr>
                <w:rFonts w:hint="eastAsia" w:ascii="宋体" w:hAnsi="宋体" w:eastAsia="宋体" w:cs="宋体"/>
                <w:b/>
                <w:color w:val="auto"/>
                <w:sz w:val="22"/>
                <w:szCs w:val="22"/>
                <w:highlight w:val="none"/>
              </w:rPr>
              <w:t>作无效响应处理。</w:t>
            </w:r>
          </w:p>
          <w:p w14:paraId="30402461">
            <w:pPr>
              <w:keepNext w:val="0"/>
              <w:keepLines w:val="0"/>
              <w:pageBreakBefore w:val="0"/>
              <w:widowControl w:val="0"/>
              <w:kinsoku/>
              <w:wordWrap/>
              <w:overflowPunct/>
              <w:topLinePunct w:val="0"/>
              <w:autoSpaceDE/>
              <w:autoSpaceDN/>
              <w:bidi w:val="0"/>
              <w:adjustRightInd/>
              <w:snapToGrid w:val="0"/>
              <w:spacing w:line="360" w:lineRule="auto"/>
              <w:ind w:left="0"/>
              <w:jc w:val="both"/>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 xml:space="preserve">服务需求评审中允许负偏离的条款数为 </w:t>
            </w:r>
            <w:r>
              <w:rPr>
                <w:rFonts w:hint="eastAsia" w:ascii="宋体" w:hAnsi="宋体" w:cs="宋体"/>
                <w:b/>
                <w:color w:val="auto"/>
                <w:sz w:val="22"/>
                <w:szCs w:val="22"/>
                <w:highlight w:val="none"/>
                <w:lang w:val="en-US" w:eastAsia="zh-CN"/>
              </w:rPr>
              <w:t>0</w:t>
            </w:r>
            <w:r>
              <w:rPr>
                <w:rFonts w:hint="eastAsia" w:ascii="宋体" w:hAnsi="宋体" w:eastAsia="宋体" w:cs="宋体"/>
                <w:b/>
                <w:color w:val="auto"/>
                <w:sz w:val="22"/>
                <w:szCs w:val="22"/>
                <w:highlight w:val="none"/>
              </w:rPr>
              <w:t xml:space="preserve"> 项</w:t>
            </w:r>
            <w:r>
              <w:rPr>
                <w:rFonts w:hint="eastAsia" w:ascii="宋体" w:hAnsi="宋体" w:eastAsia="宋体" w:cs="宋体"/>
                <w:b/>
                <w:color w:val="auto"/>
                <w:sz w:val="22"/>
                <w:szCs w:val="22"/>
                <w:highlight w:val="none"/>
                <w:lang w:eastAsia="zh-CN"/>
              </w:rPr>
              <w:t>，</w:t>
            </w:r>
            <w:r>
              <w:rPr>
                <w:rFonts w:hint="eastAsia" w:ascii="宋体" w:hAnsi="宋体" w:eastAsia="宋体" w:cs="宋体"/>
                <w:b/>
                <w:color w:val="auto"/>
                <w:sz w:val="22"/>
                <w:szCs w:val="22"/>
                <w:highlight w:val="none"/>
                <w:lang w:val="en-US" w:eastAsia="zh-CN"/>
              </w:rPr>
              <w:t>若超出，</w:t>
            </w:r>
            <w:r>
              <w:rPr>
                <w:rFonts w:hint="eastAsia" w:ascii="宋体" w:hAnsi="宋体" w:eastAsia="宋体" w:cs="宋体"/>
                <w:b/>
                <w:color w:val="auto"/>
                <w:sz w:val="22"/>
                <w:szCs w:val="22"/>
                <w:highlight w:val="none"/>
              </w:rPr>
              <w:t>作无效响应处理。</w:t>
            </w:r>
          </w:p>
        </w:tc>
      </w:tr>
      <w:tr w14:paraId="726CFF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462" w:type="pct"/>
            <w:vMerge w:val="continue"/>
            <w:noWrap w:val="0"/>
            <w:vAlign w:val="center"/>
          </w:tcPr>
          <w:p w14:paraId="7BE2B910">
            <w:pPr>
              <w:keepNext w:val="0"/>
              <w:keepLines w:val="0"/>
              <w:pageBreakBefore w:val="0"/>
              <w:widowControl w:val="0"/>
              <w:kinsoku/>
              <w:wordWrap/>
              <w:overflowPunct/>
              <w:topLinePunct w:val="0"/>
              <w:autoSpaceDE/>
              <w:autoSpaceDN/>
              <w:bidi w:val="0"/>
              <w:adjustRightInd/>
              <w:snapToGrid w:val="0"/>
              <w:spacing w:line="360" w:lineRule="auto"/>
              <w:ind w:left="0"/>
              <w:jc w:val="center"/>
              <w:textAlignment w:val="auto"/>
              <w:rPr>
                <w:rFonts w:hint="eastAsia" w:ascii="宋体" w:hAnsi="宋体" w:eastAsia="宋体" w:cs="宋体"/>
                <w:color w:val="auto"/>
                <w:sz w:val="22"/>
                <w:szCs w:val="22"/>
                <w:highlight w:val="none"/>
              </w:rPr>
            </w:pPr>
          </w:p>
        </w:tc>
        <w:tc>
          <w:tcPr>
            <w:tcW w:w="646" w:type="pct"/>
            <w:noWrap w:val="0"/>
            <w:vAlign w:val="center"/>
          </w:tcPr>
          <w:p w14:paraId="59CC62B0">
            <w:pPr>
              <w:keepNext w:val="0"/>
              <w:keepLines w:val="0"/>
              <w:pageBreakBefore w:val="0"/>
              <w:widowControl w:val="0"/>
              <w:kinsoku/>
              <w:wordWrap/>
              <w:overflowPunct/>
              <w:topLinePunct w:val="0"/>
              <w:autoSpaceDE/>
              <w:autoSpaceDN/>
              <w:bidi w:val="0"/>
              <w:adjustRightInd/>
              <w:snapToGrid w:val="0"/>
              <w:spacing w:line="360" w:lineRule="auto"/>
              <w:ind w:lef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磋商的顺序</w:t>
            </w:r>
          </w:p>
        </w:tc>
        <w:tc>
          <w:tcPr>
            <w:tcW w:w="3890" w:type="pct"/>
            <w:noWrap w:val="0"/>
            <w:vAlign w:val="center"/>
          </w:tcPr>
          <w:p w14:paraId="397CAFD9">
            <w:pPr>
              <w:keepNext w:val="0"/>
              <w:keepLines w:val="0"/>
              <w:pageBreakBefore w:val="0"/>
              <w:widowControl w:val="0"/>
              <w:kinsoku/>
              <w:wordWrap/>
              <w:overflowPunct/>
              <w:topLinePunct w:val="0"/>
              <w:autoSpaceDE/>
              <w:autoSpaceDN/>
              <w:bidi w:val="0"/>
              <w:adjustRightInd/>
              <w:snapToGrid w:val="0"/>
              <w:spacing w:line="360" w:lineRule="auto"/>
              <w:ind w:left="0"/>
              <w:jc w:val="both"/>
              <w:textAlignment w:val="auto"/>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随机排序。</w:t>
            </w:r>
          </w:p>
        </w:tc>
      </w:tr>
      <w:tr w14:paraId="75BD51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462" w:type="pct"/>
            <w:noWrap w:val="0"/>
            <w:vAlign w:val="center"/>
          </w:tcPr>
          <w:p w14:paraId="2EBFDF8B">
            <w:pPr>
              <w:keepNext w:val="0"/>
              <w:keepLines w:val="0"/>
              <w:pageBreakBefore w:val="0"/>
              <w:widowControl w:val="0"/>
              <w:kinsoku/>
              <w:wordWrap/>
              <w:overflowPunct/>
              <w:topLinePunct w:val="0"/>
              <w:autoSpaceDE/>
              <w:autoSpaceDN/>
              <w:bidi w:val="0"/>
              <w:adjustRightInd/>
              <w:snapToGrid w:val="0"/>
              <w:spacing w:line="360" w:lineRule="auto"/>
              <w:ind w:lef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28</w:t>
            </w:r>
          </w:p>
        </w:tc>
        <w:tc>
          <w:tcPr>
            <w:tcW w:w="646" w:type="pct"/>
            <w:noWrap w:val="0"/>
            <w:vAlign w:val="center"/>
          </w:tcPr>
          <w:p w14:paraId="18598135">
            <w:pPr>
              <w:keepNext w:val="0"/>
              <w:keepLines w:val="0"/>
              <w:pageBreakBefore w:val="0"/>
              <w:widowControl w:val="0"/>
              <w:kinsoku/>
              <w:wordWrap/>
              <w:overflowPunct/>
              <w:topLinePunct w:val="0"/>
              <w:autoSpaceDE/>
              <w:autoSpaceDN/>
              <w:bidi w:val="0"/>
              <w:adjustRightInd/>
              <w:snapToGrid w:val="0"/>
              <w:spacing w:line="360" w:lineRule="auto"/>
              <w:ind w:lef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履约保证金</w:t>
            </w:r>
          </w:p>
        </w:tc>
        <w:tc>
          <w:tcPr>
            <w:tcW w:w="3890" w:type="pct"/>
            <w:noWrap w:val="0"/>
            <w:vAlign w:val="center"/>
          </w:tcPr>
          <w:p w14:paraId="08AF4CBA">
            <w:pPr>
              <w:keepNext w:val="0"/>
              <w:keepLines w:val="0"/>
              <w:pageBreakBefore w:val="0"/>
              <w:widowControl w:val="0"/>
              <w:kinsoku/>
              <w:wordWrap/>
              <w:overflowPunct/>
              <w:topLinePunct w:val="0"/>
              <w:autoSpaceDE/>
              <w:autoSpaceDN/>
              <w:bidi w:val="0"/>
              <w:adjustRightInd/>
              <w:snapToGrid w:val="0"/>
              <w:spacing w:line="360" w:lineRule="auto"/>
              <w:ind w:left="0"/>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本项目不收取履约保证金</w:t>
            </w:r>
          </w:p>
        </w:tc>
      </w:tr>
      <w:tr w14:paraId="12184C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462" w:type="pct"/>
            <w:noWrap w:val="0"/>
            <w:vAlign w:val="center"/>
          </w:tcPr>
          <w:p w14:paraId="564D9DD5">
            <w:pPr>
              <w:keepNext w:val="0"/>
              <w:keepLines w:val="0"/>
              <w:pageBreakBefore w:val="0"/>
              <w:widowControl w:val="0"/>
              <w:kinsoku/>
              <w:wordWrap/>
              <w:overflowPunct/>
              <w:topLinePunct w:val="0"/>
              <w:autoSpaceDE/>
              <w:autoSpaceDN/>
              <w:bidi w:val="0"/>
              <w:adjustRightInd/>
              <w:snapToGrid w:val="0"/>
              <w:spacing w:line="360" w:lineRule="auto"/>
              <w:ind w:lef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29.5</w:t>
            </w:r>
          </w:p>
        </w:tc>
        <w:tc>
          <w:tcPr>
            <w:tcW w:w="646" w:type="pct"/>
            <w:noWrap w:val="0"/>
            <w:vAlign w:val="center"/>
          </w:tcPr>
          <w:p w14:paraId="67235928">
            <w:pPr>
              <w:keepNext w:val="0"/>
              <w:keepLines w:val="0"/>
              <w:pageBreakBefore w:val="0"/>
              <w:widowControl w:val="0"/>
              <w:kinsoku/>
              <w:wordWrap/>
              <w:overflowPunct/>
              <w:topLinePunct w:val="0"/>
              <w:autoSpaceDE/>
              <w:autoSpaceDN/>
              <w:bidi w:val="0"/>
              <w:adjustRightInd/>
              <w:snapToGrid w:val="0"/>
              <w:spacing w:line="360" w:lineRule="auto"/>
              <w:ind w:lef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签订电子采购合同</w:t>
            </w:r>
          </w:p>
        </w:tc>
        <w:tc>
          <w:tcPr>
            <w:tcW w:w="3890" w:type="pct"/>
            <w:noWrap w:val="0"/>
            <w:vAlign w:val="center"/>
          </w:tcPr>
          <w:p w14:paraId="5D19E2F5">
            <w:pPr>
              <w:keepNext w:val="0"/>
              <w:keepLines w:val="0"/>
              <w:pageBreakBefore w:val="0"/>
              <w:widowControl w:val="0"/>
              <w:kinsoku/>
              <w:wordWrap/>
              <w:overflowPunct/>
              <w:topLinePunct w:val="0"/>
              <w:autoSpaceDE/>
              <w:autoSpaceDN/>
              <w:bidi w:val="0"/>
              <w:adjustRightInd/>
              <w:snapToGrid w:val="0"/>
              <w:spacing w:line="360" w:lineRule="auto"/>
              <w:ind w:left="0"/>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成交供应商领取电子成交通知书后，在规定的日期、时间、地点，由法定代表人或其授权代表与采购人代表签订电子采购合同。</w:t>
            </w:r>
          </w:p>
        </w:tc>
      </w:tr>
      <w:tr w14:paraId="2C4D22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462" w:type="pct"/>
            <w:vMerge w:val="restart"/>
            <w:noWrap w:val="0"/>
            <w:vAlign w:val="center"/>
          </w:tcPr>
          <w:p w14:paraId="196D5D21">
            <w:pPr>
              <w:keepNext w:val="0"/>
              <w:keepLines w:val="0"/>
              <w:pageBreakBefore w:val="0"/>
              <w:widowControl w:val="0"/>
              <w:kinsoku/>
              <w:wordWrap/>
              <w:overflowPunct/>
              <w:topLinePunct w:val="0"/>
              <w:autoSpaceDE/>
              <w:autoSpaceDN/>
              <w:bidi w:val="0"/>
              <w:adjustRightInd/>
              <w:snapToGrid w:val="0"/>
              <w:spacing w:line="360" w:lineRule="auto"/>
              <w:ind w:lef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31.2</w:t>
            </w:r>
          </w:p>
        </w:tc>
        <w:tc>
          <w:tcPr>
            <w:tcW w:w="646" w:type="pct"/>
            <w:noWrap w:val="0"/>
            <w:vAlign w:val="center"/>
          </w:tcPr>
          <w:p w14:paraId="04224974">
            <w:pPr>
              <w:keepNext w:val="0"/>
              <w:keepLines w:val="0"/>
              <w:pageBreakBefore w:val="0"/>
              <w:widowControl w:val="0"/>
              <w:kinsoku/>
              <w:wordWrap/>
              <w:overflowPunct/>
              <w:topLinePunct w:val="0"/>
              <w:autoSpaceDE/>
              <w:autoSpaceDN/>
              <w:bidi w:val="0"/>
              <w:adjustRightInd/>
              <w:snapToGrid w:val="0"/>
              <w:spacing w:line="360" w:lineRule="auto"/>
              <w:ind w:lef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接收质疑函方式</w:t>
            </w:r>
          </w:p>
        </w:tc>
        <w:tc>
          <w:tcPr>
            <w:tcW w:w="3890" w:type="pct"/>
            <w:noWrap w:val="0"/>
            <w:vAlign w:val="center"/>
          </w:tcPr>
          <w:p w14:paraId="1033E62C">
            <w:pPr>
              <w:keepNext w:val="0"/>
              <w:keepLines w:val="0"/>
              <w:pageBreakBefore w:val="0"/>
              <w:widowControl w:val="0"/>
              <w:kinsoku/>
              <w:wordWrap/>
              <w:overflowPunct/>
              <w:topLinePunct w:val="0"/>
              <w:autoSpaceDE/>
              <w:autoSpaceDN/>
              <w:bidi w:val="0"/>
              <w:adjustRightInd/>
              <w:snapToGrid w:val="0"/>
              <w:spacing w:line="360" w:lineRule="auto"/>
              <w:ind w:left="0"/>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以书面形式</w:t>
            </w:r>
          </w:p>
        </w:tc>
      </w:tr>
      <w:tr w14:paraId="094648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462" w:type="pct"/>
            <w:vMerge w:val="continue"/>
            <w:noWrap w:val="0"/>
            <w:vAlign w:val="center"/>
          </w:tcPr>
          <w:p w14:paraId="77B14668">
            <w:pPr>
              <w:keepNext w:val="0"/>
              <w:keepLines w:val="0"/>
              <w:pageBreakBefore w:val="0"/>
              <w:widowControl w:val="0"/>
              <w:kinsoku/>
              <w:wordWrap/>
              <w:overflowPunct/>
              <w:topLinePunct w:val="0"/>
              <w:autoSpaceDE/>
              <w:autoSpaceDN/>
              <w:bidi w:val="0"/>
              <w:adjustRightInd/>
              <w:snapToGrid w:val="0"/>
              <w:spacing w:line="360" w:lineRule="auto"/>
              <w:ind w:left="0"/>
              <w:jc w:val="center"/>
              <w:textAlignment w:val="auto"/>
              <w:rPr>
                <w:rFonts w:hint="eastAsia" w:ascii="宋体" w:hAnsi="宋体" w:eastAsia="宋体" w:cs="宋体"/>
                <w:color w:val="auto"/>
                <w:sz w:val="22"/>
                <w:szCs w:val="22"/>
                <w:highlight w:val="none"/>
              </w:rPr>
            </w:pPr>
          </w:p>
        </w:tc>
        <w:tc>
          <w:tcPr>
            <w:tcW w:w="646" w:type="pct"/>
            <w:noWrap w:val="0"/>
            <w:vAlign w:val="center"/>
          </w:tcPr>
          <w:p w14:paraId="14B97DCA">
            <w:pPr>
              <w:keepNext w:val="0"/>
              <w:keepLines w:val="0"/>
              <w:pageBreakBefore w:val="0"/>
              <w:widowControl w:val="0"/>
              <w:kinsoku/>
              <w:wordWrap/>
              <w:overflowPunct/>
              <w:topLinePunct w:val="0"/>
              <w:autoSpaceDE/>
              <w:autoSpaceDN/>
              <w:bidi w:val="0"/>
              <w:adjustRightInd/>
              <w:snapToGrid w:val="0"/>
              <w:spacing w:line="360" w:lineRule="auto"/>
              <w:ind w:lef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质疑联系部门及联系方式</w:t>
            </w:r>
          </w:p>
        </w:tc>
        <w:tc>
          <w:tcPr>
            <w:tcW w:w="3890" w:type="pct"/>
            <w:noWrap w:val="0"/>
            <w:vAlign w:val="center"/>
          </w:tcPr>
          <w:p w14:paraId="3FB2BFC7">
            <w:pPr>
              <w:keepNext w:val="0"/>
              <w:keepLines w:val="0"/>
              <w:pageBreakBefore w:val="0"/>
              <w:widowControl w:val="0"/>
              <w:kinsoku/>
              <w:wordWrap/>
              <w:overflowPunct/>
              <w:topLinePunct w:val="0"/>
              <w:autoSpaceDE/>
              <w:autoSpaceDN/>
              <w:bidi w:val="0"/>
              <w:adjustRightInd/>
              <w:snapToGrid w:val="0"/>
              <w:spacing w:line="360" w:lineRule="auto"/>
              <w:ind w:left="0"/>
              <w:jc w:val="both"/>
              <w:textAlignment w:val="auto"/>
              <w:rPr>
                <w:rFonts w:hint="eastAsia" w:ascii="宋体" w:hAnsi="宋体" w:eastAsia="宋体" w:cs="宋体"/>
                <w:color w:val="auto"/>
                <w:sz w:val="22"/>
                <w:szCs w:val="22"/>
                <w:highlight w:val="none"/>
                <w:u w:val="none"/>
              </w:rPr>
            </w:pPr>
            <w:r>
              <w:rPr>
                <w:rFonts w:hint="eastAsia" w:ascii="宋体" w:hAnsi="宋体" w:cs="宋体"/>
                <w:color w:val="auto"/>
                <w:sz w:val="22"/>
                <w:szCs w:val="22"/>
                <w:highlight w:val="none"/>
                <w:u w:val="none"/>
                <w:lang w:eastAsia="zh-CN"/>
              </w:rPr>
              <w:t>广西桂工建设管理咨询有限公司</w:t>
            </w:r>
          </w:p>
          <w:p w14:paraId="15BD91AC">
            <w:pPr>
              <w:keepNext w:val="0"/>
              <w:keepLines w:val="0"/>
              <w:pageBreakBefore w:val="0"/>
              <w:widowControl w:val="0"/>
              <w:kinsoku/>
              <w:wordWrap/>
              <w:overflowPunct/>
              <w:topLinePunct w:val="0"/>
              <w:autoSpaceDE/>
              <w:autoSpaceDN/>
              <w:bidi w:val="0"/>
              <w:adjustRightInd/>
              <w:snapToGrid w:val="0"/>
              <w:spacing w:line="360" w:lineRule="auto"/>
              <w:ind w:left="0"/>
              <w:jc w:val="both"/>
              <w:textAlignment w:val="auto"/>
              <w:rPr>
                <w:rFonts w:hint="eastAsia" w:ascii="宋体" w:hAnsi="宋体" w:eastAsia="宋体" w:cs="宋体"/>
                <w:color w:val="auto"/>
                <w:sz w:val="22"/>
                <w:szCs w:val="22"/>
                <w:highlight w:val="none"/>
                <w:u w:val="none"/>
                <w:lang w:eastAsia="zh-CN"/>
              </w:rPr>
            </w:pPr>
            <w:r>
              <w:rPr>
                <w:rFonts w:hint="eastAsia" w:ascii="宋体" w:hAnsi="宋体" w:eastAsia="宋体" w:cs="宋体"/>
                <w:color w:val="auto"/>
                <w:sz w:val="22"/>
                <w:szCs w:val="22"/>
                <w:highlight w:val="none"/>
                <w:u w:val="none"/>
              </w:rPr>
              <w:t>联系电话：</w:t>
            </w:r>
            <w:r>
              <w:rPr>
                <w:rFonts w:hint="eastAsia" w:ascii="宋体" w:hAnsi="宋体" w:cs="宋体"/>
                <w:color w:val="auto"/>
                <w:sz w:val="22"/>
                <w:szCs w:val="22"/>
                <w:highlight w:val="none"/>
                <w:u w:val="none"/>
                <w:lang w:eastAsia="zh-CN"/>
              </w:rPr>
              <w:t>0772-2611777</w:t>
            </w:r>
          </w:p>
          <w:p w14:paraId="2D6DD124">
            <w:pPr>
              <w:keepNext w:val="0"/>
              <w:keepLines w:val="0"/>
              <w:pageBreakBefore w:val="0"/>
              <w:widowControl w:val="0"/>
              <w:kinsoku/>
              <w:wordWrap/>
              <w:overflowPunct/>
              <w:topLinePunct w:val="0"/>
              <w:autoSpaceDE/>
              <w:autoSpaceDN/>
              <w:bidi w:val="0"/>
              <w:adjustRightInd/>
              <w:snapToGrid w:val="0"/>
              <w:spacing w:line="360" w:lineRule="auto"/>
              <w:ind w:left="0"/>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u w:val="none"/>
              </w:rPr>
              <w:t>通讯地址：</w:t>
            </w:r>
            <w:r>
              <w:rPr>
                <w:rFonts w:hint="eastAsia" w:ascii="宋体" w:hAnsi="宋体" w:cs="宋体"/>
                <w:color w:val="auto"/>
                <w:sz w:val="22"/>
                <w:szCs w:val="22"/>
                <w:highlight w:val="none"/>
                <w:u w:val="none"/>
                <w:lang w:eastAsia="zh-CN"/>
              </w:rPr>
              <w:t>中国（广西）自由贸易试验区南宁片区庆歌路20号富雅•国际商务大厦B栋十三层1301</w:t>
            </w:r>
          </w:p>
        </w:tc>
      </w:tr>
      <w:tr w14:paraId="1D0A1F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462" w:type="pct"/>
            <w:vMerge w:val="continue"/>
            <w:noWrap w:val="0"/>
            <w:vAlign w:val="center"/>
          </w:tcPr>
          <w:p w14:paraId="29FBBFAF">
            <w:pPr>
              <w:keepNext w:val="0"/>
              <w:keepLines w:val="0"/>
              <w:pageBreakBefore w:val="0"/>
              <w:widowControl w:val="0"/>
              <w:kinsoku/>
              <w:wordWrap/>
              <w:overflowPunct/>
              <w:topLinePunct w:val="0"/>
              <w:autoSpaceDE/>
              <w:autoSpaceDN/>
              <w:bidi w:val="0"/>
              <w:adjustRightInd/>
              <w:snapToGrid w:val="0"/>
              <w:spacing w:line="360" w:lineRule="auto"/>
              <w:ind w:left="0"/>
              <w:jc w:val="center"/>
              <w:textAlignment w:val="auto"/>
              <w:rPr>
                <w:rFonts w:hint="eastAsia" w:ascii="宋体" w:hAnsi="宋体" w:eastAsia="宋体" w:cs="宋体"/>
                <w:color w:val="auto"/>
                <w:sz w:val="22"/>
                <w:szCs w:val="22"/>
                <w:highlight w:val="none"/>
              </w:rPr>
            </w:pPr>
          </w:p>
        </w:tc>
        <w:tc>
          <w:tcPr>
            <w:tcW w:w="646" w:type="pct"/>
            <w:noWrap w:val="0"/>
            <w:vAlign w:val="center"/>
          </w:tcPr>
          <w:p w14:paraId="20F95B0C">
            <w:pPr>
              <w:keepNext w:val="0"/>
              <w:keepLines w:val="0"/>
              <w:pageBreakBefore w:val="0"/>
              <w:widowControl w:val="0"/>
              <w:kinsoku/>
              <w:wordWrap/>
              <w:overflowPunct/>
              <w:topLinePunct w:val="0"/>
              <w:autoSpaceDE/>
              <w:autoSpaceDN/>
              <w:bidi w:val="0"/>
              <w:adjustRightInd/>
              <w:snapToGrid w:val="0"/>
              <w:spacing w:line="360" w:lineRule="auto"/>
              <w:ind w:lef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现场提交质疑办理业务时间</w:t>
            </w:r>
          </w:p>
        </w:tc>
        <w:tc>
          <w:tcPr>
            <w:tcW w:w="3890" w:type="pct"/>
            <w:noWrap w:val="0"/>
            <w:vAlign w:val="center"/>
          </w:tcPr>
          <w:p w14:paraId="6F14E490">
            <w:pPr>
              <w:keepNext w:val="0"/>
              <w:keepLines w:val="0"/>
              <w:pageBreakBefore w:val="0"/>
              <w:widowControl w:val="0"/>
              <w:kinsoku/>
              <w:wordWrap/>
              <w:overflowPunct/>
              <w:topLinePunct w:val="0"/>
              <w:autoSpaceDE/>
              <w:autoSpaceDN/>
              <w:bidi w:val="0"/>
              <w:adjustRightInd/>
              <w:snapToGrid w:val="0"/>
              <w:spacing w:line="360" w:lineRule="auto"/>
              <w:ind w:left="0"/>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质疑期内每个工作日</w:t>
            </w:r>
            <w:r>
              <w:rPr>
                <w:rFonts w:hint="eastAsia" w:ascii="宋体" w:hAnsi="宋体" w:eastAsia="宋体" w:cs="宋体"/>
                <w:color w:val="auto"/>
                <w:sz w:val="22"/>
                <w:szCs w:val="22"/>
                <w:highlight w:val="none"/>
                <w:u w:val="single"/>
              </w:rPr>
              <w:t>0</w:t>
            </w:r>
            <w:r>
              <w:rPr>
                <w:rFonts w:hint="eastAsia" w:ascii="宋体" w:hAnsi="宋体" w:eastAsia="宋体" w:cs="宋体"/>
                <w:color w:val="auto"/>
                <w:sz w:val="22"/>
                <w:szCs w:val="22"/>
                <w:highlight w:val="none"/>
                <w:u w:val="single"/>
                <w:lang w:val="en-US" w:eastAsia="zh-CN"/>
              </w:rPr>
              <w:t>9</w:t>
            </w:r>
            <w:r>
              <w:rPr>
                <w:rFonts w:hint="eastAsia" w:ascii="宋体" w:hAnsi="宋体" w:eastAsia="宋体" w:cs="宋体"/>
                <w:color w:val="auto"/>
                <w:sz w:val="22"/>
                <w:szCs w:val="22"/>
                <w:highlight w:val="none"/>
              </w:rPr>
              <w:t>时</w:t>
            </w:r>
            <w:r>
              <w:rPr>
                <w:rFonts w:hint="eastAsia" w:ascii="宋体" w:hAnsi="宋体" w:eastAsia="宋体" w:cs="宋体"/>
                <w:color w:val="auto"/>
                <w:sz w:val="22"/>
                <w:szCs w:val="22"/>
                <w:highlight w:val="none"/>
                <w:u w:val="single"/>
              </w:rPr>
              <w:t>00</w:t>
            </w:r>
            <w:r>
              <w:rPr>
                <w:rFonts w:hint="eastAsia" w:ascii="宋体" w:hAnsi="宋体" w:eastAsia="宋体" w:cs="宋体"/>
                <w:color w:val="auto"/>
                <w:sz w:val="22"/>
                <w:szCs w:val="22"/>
                <w:highlight w:val="none"/>
              </w:rPr>
              <w:t>分到</w:t>
            </w:r>
            <w:r>
              <w:rPr>
                <w:rFonts w:hint="eastAsia" w:ascii="宋体" w:hAnsi="宋体" w:eastAsia="宋体" w:cs="宋体"/>
                <w:color w:val="auto"/>
                <w:sz w:val="22"/>
                <w:szCs w:val="22"/>
                <w:highlight w:val="none"/>
                <w:u w:val="single"/>
              </w:rPr>
              <w:t>12</w:t>
            </w:r>
            <w:r>
              <w:rPr>
                <w:rFonts w:hint="eastAsia" w:ascii="宋体" w:hAnsi="宋体" w:eastAsia="宋体" w:cs="宋体"/>
                <w:color w:val="auto"/>
                <w:sz w:val="22"/>
                <w:szCs w:val="22"/>
                <w:highlight w:val="none"/>
              </w:rPr>
              <w:t>时</w:t>
            </w:r>
            <w:r>
              <w:rPr>
                <w:rFonts w:hint="eastAsia" w:ascii="宋体" w:hAnsi="宋体" w:eastAsia="宋体" w:cs="宋体"/>
                <w:color w:val="auto"/>
                <w:sz w:val="22"/>
                <w:szCs w:val="22"/>
                <w:highlight w:val="none"/>
                <w:u w:val="single"/>
              </w:rPr>
              <w:t>00</w:t>
            </w:r>
            <w:r>
              <w:rPr>
                <w:rFonts w:hint="eastAsia" w:ascii="宋体" w:hAnsi="宋体" w:eastAsia="宋体" w:cs="宋体"/>
                <w:color w:val="auto"/>
                <w:sz w:val="22"/>
                <w:szCs w:val="22"/>
                <w:highlight w:val="none"/>
              </w:rPr>
              <w:t>分，</w:t>
            </w:r>
            <w:r>
              <w:rPr>
                <w:rFonts w:hint="eastAsia" w:ascii="宋体" w:hAnsi="宋体" w:eastAsia="宋体" w:cs="宋体"/>
                <w:color w:val="auto"/>
                <w:sz w:val="22"/>
                <w:szCs w:val="22"/>
                <w:highlight w:val="none"/>
                <w:u w:val="single"/>
              </w:rPr>
              <w:t>15</w:t>
            </w:r>
            <w:r>
              <w:rPr>
                <w:rFonts w:hint="eastAsia" w:ascii="宋体" w:hAnsi="宋体" w:eastAsia="宋体" w:cs="宋体"/>
                <w:color w:val="auto"/>
                <w:sz w:val="22"/>
                <w:szCs w:val="22"/>
                <w:highlight w:val="none"/>
              </w:rPr>
              <w:t>时</w:t>
            </w:r>
            <w:r>
              <w:rPr>
                <w:rFonts w:hint="eastAsia" w:ascii="宋体" w:hAnsi="宋体" w:eastAsia="宋体" w:cs="宋体"/>
                <w:color w:val="auto"/>
                <w:sz w:val="22"/>
                <w:szCs w:val="22"/>
                <w:highlight w:val="none"/>
                <w:u w:val="single"/>
              </w:rPr>
              <w:t>00</w:t>
            </w:r>
            <w:r>
              <w:rPr>
                <w:rFonts w:hint="eastAsia" w:ascii="宋体" w:hAnsi="宋体" w:eastAsia="宋体" w:cs="宋体"/>
                <w:color w:val="auto"/>
                <w:sz w:val="22"/>
                <w:szCs w:val="22"/>
                <w:highlight w:val="none"/>
              </w:rPr>
              <w:t>分到</w:t>
            </w:r>
            <w:r>
              <w:rPr>
                <w:rFonts w:hint="eastAsia" w:ascii="宋体" w:hAnsi="宋体" w:eastAsia="宋体" w:cs="宋体"/>
                <w:color w:val="auto"/>
                <w:sz w:val="22"/>
                <w:szCs w:val="22"/>
                <w:highlight w:val="none"/>
                <w:u w:val="single"/>
              </w:rPr>
              <w:t>18</w:t>
            </w:r>
            <w:r>
              <w:rPr>
                <w:rFonts w:hint="eastAsia" w:ascii="宋体" w:hAnsi="宋体" w:eastAsia="宋体" w:cs="宋体"/>
                <w:color w:val="auto"/>
                <w:sz w:val="22"/>
                <w:szCs w:val="22"/>
                <w:highlight w:val="none"/>
              </w:rPr>
              <w:t>时</w:t>
            </w:r>
            <w:r>
              <w:rPr>
                <w:rFonts w:hint="eastAsia" w:ascii="宋体" w:hAnsi="宋体" w:eastAsia="宋体" w:cs="宋体"/>
                <w:color w:val="auto"/>
                <w:sz w:val="22"/>
                <w:szCs w:val="22"/>
                <w:highlight w:val="none"/>
                <w:u w:val="single"/>
              </w:rPr>
              <w:t>00</w:t>
            </w:r>
            <w:r>
              <w:rPr>
                <w:rFonts w:hint="eastAsia" w:ascii="宋体" w:hAnsi="宋体" w:eastAsia="宋体" w:cs="宋体"/>
                <w:color w:val="auto"/>
                <w:sz w:val="22"/>
                <w:szCs w:val="22"/>
                <w:highlight w:val="none"/>
              </w:rPr>
              <w:t>分</w:t>
            </w:r>
          </w:p>
        </w:tc>
      </w:tr>
      <w:tr w14:paraId="53C90B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7" w:hRule="atLeast"/>
          <w:jc w:val="center"/>
        </w:trPr>
        <w:tc>
          <w:tcPr>
            <w:tcW w:w="462" w:type="pct"/>
            <w:noWrap w:val="0"/>
            <w:vAlign w:val="center"/>
          </w:tcPr>
          <w:p w14:paraId="3520187D">
            <w:pPr>
              <w:keepNext w:val="0"/>
              <w:keepLines w:val="0"/>
              <w:pageBreakBefore w:val="0"/>
              <w:widowControl w:val="0"/>
              <w:kinsoku/>
              <w:wordWrap/>
              <w:overflowPunct/>
              <w:topLinePunct w:val="0"/>
              <w:autoSpaceDE/>
              <w:autoSpaceDN/>
              <w:bidi w:val="0"/>
              <w:adjustRightInd/>
              <w:snapToGrid w:val="0"/>
              <w:spacing w:line="360" w:lineRule="auto"/>
              <w:ind w:lef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31.6</w:t>
            </w:r>
          </w:p>
        </w:tc>
        <w:tc>
          <w:tcPr>
            <w:tcW w:w="646" w:type="pct"/>
            <w:noWrap w:val="0"/>
            <w:vAlign w:val="center"/>
          </w:tcPr>
          <w:p w14:paraId="19A58FAD">
            <w:pPr>
              <w:keepNext w:val="0"/>
              <w:keepLines w:val="0"/>
              <w:pageBreakBefore w:val="0"/>
              <w:widowControl w:val="0"/>
              <w:kinsoku/>
              <w:wordWrap/>
              <w:overflowPunct/>
              <w:topLinePunct w:val="0"/>
              <w:autoSpaceDE/>
              <w:autoSpaceDN/>
              <w:bidi w:val="0"/>
              <w:adjustRightInd/>
              <w:snapToGrid w:val="0"/>
              <w:spacing w:line="360" w:lineRule="auto"/>
              <w:ind w:lef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受理投诉方式</w:t>
            </w:r>
          </w:p>
        </w:tc>
        <w:tc>
          <w:tcPr>
            <w:tcW w:w="3890" w:type="pct"/>
            <w:noWrap w:val="0"/>
            <w:vAlign w:val="center"/>
          </w:tcPr>
          <w:p w14:paraId="160AC7FA">
            <w:pPr>
              <w:keepNext w:val="0"/>
              <w:keepLines w:val="0"/>
              <w:pageBreakBefore w:val="0"/>
              <w:widowControl w:val="0"/>
              <w:kinsoku/>
              <w:wordWrap/>
              <w:overflowPunct/>
              <w:topLinePunct w:val="0"/>
              <w:autoSpaceDE/>
              <w:autoSpaceDN/>
              <w:bidi w:val="0"/>
              <w:adjustRightInd/>
              <w:snapToGrid w:val="0"/>
              <w:spacing w:line="360" w:lineRule="auto"/>
              <w:ind w:left="0"/>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1、受理方式：纸质方式受理，投诉书正、副本（经过质疑的事项才可投诉）。</w:t>
            </w:r>
          </w:p>
          <w:p w14:paraId="0EC131EB">
            <w:pPr>
              <w:keepNext w:val="0"/>
              <w:keepLines w:val="0"/>
              <w:pageBreakBefore w:val="0"/>
              <w:widowControl w:val="0"/>
              <w:kinsoku/>
              <w:wordWrap/>
              <w:overflowPunct/>
              <w:topLinePunct w:val="0"/>
              <w:autoSpaceDE/>
              <w:autoSpaceDN/>
              <w:bidi w:val="0"/>
              <w:adjustRightInd/>
              <w:snapToGrid w:val="0"/>
              <w:spacing w:line="360" w:lineRule="auto"/>
              <w:ind w:left="0"/>
              <w:jc w:val="both"/>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2、</w:t>
            </w:r>
            <w:r>
              <w:rPr>
                <w:rFonts w:hint="eastAsia" w:ascii="宋体" w:hAnsi="宋体" w:eastAsia="宋体" w:cs="宋体"/>
                <w:color w:val="auto"/>
                <w:sz w:val="22"/>
                <w:szCs w:val="22"/>
                <w:highlight w:val="none"/>
                <w:lang w:val="en-US" w:eastAsia="zh-CN"/>
              </w:rPr>
              <w:t>受理单位：</w:t>
            </w:r>
            <w:r>
              <w:rPr>
                <w:rFonts w:hint="eastAsia" w:ascii="宋体" w:hAnsi="宋体" w:cs="宋体"/>
                <w:bCs/>
                <w:color w:val="auto"/>
                <w:sz w:val="22"/>
                <w:szCs w:val="22"/>
                <w:highlight w:val="none"/>
                <w:lang w:eastAsia="zh-CN"/>
              </w:rPr>
              <w:t>柳城县财政局</w:t>
            </w:r>
          </w:p>
        </w:tc>
      </w:tr>
      <w:tr w14:paraId="325409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462" w:type="pct"/>
            <w:noWrap w:val="0"/>
            <w:vAlign w:val="center"/>
          </w:tcPr>
          <w:p w14:paraId="49D112AA">
            <w:pPr>
              <w:keepNext w:val="0"/>
              <w:keepLines w:val="0"/>
              <w:pageBreakBefore w:val="0"/>
              <w:widowControl w:val="0"/>
              <w:kinsoku/>
              <w:wordWrap/>
              <w:overflowPunct/>
              <w:topLinePunct w:val="0"/>
              <w:autoSpaceDE/>
              <w:autoSpaceDN/>
              <w:bidi w:val="0"/>
              <w:adjustRightInd/>
              <w:snapToGrid w:val="0"/>
              <w:spacing w:line="360" w:lineRule="auto"/>
              <w:ind w:lef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33</w:t>
            </w:r>
          </w:p>
        </w:tc>
        <w:tc>
          <w:tcPr>
            <w:tcW w:w="646" w:type="pct"/>
            <w:noWrap w:val="0"/>
            <w:vAlign w:val="center"/>
          </w:tcPr>
          <w:p w14:paraId="7179CD1C">
            <w:pPr>
              <w:keepNext w:val="0"/>
              <w:keepLines w:val="0"/>
              <w:pageBreakBefore w:val="0"/>
              <w:widowControl w:val="0"/>
              <w:kinsoku/>
              <w:wordWrap/>
              <w:overflowPunct/>
              <w:topLinePunct w:val="0"/>
              <w:autoSpaceDE/>
              <w:autoSpaceDN/>
              <w:bidi w:val="0"/>
              <w:adjustRightInd/>
              <w:snapToGrid w:val="0"/>
              <w:spacing w:line="360" w:lineRule="auto"/>
              <w:ind w:lef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采购代理费</w:t>
            </w:r>
          </w:p>
        </w:tc>
        <w:tc>
          <w:tcPr>
            <w:tcW w:w="3890" w:type="pct"/>
            <w:noWrap w:val="0"/>
            <w:vAlign w:val="center"/>
          </w:tcPr>
          <w:p w14:paraId="684FAFBA">
            <w:pPr>
              <w:keepNext w:val="0"/>
              <w:keepLines w:val="0"/>
              <w:pageBreakBefore w:val="0"/>
              <w:widowControl w:val="0"/>
              <w:kinsoku/>
              <w:wordWrap/>
              <w:overflowPunct/>
              <w:topLinePunct w:val="0"/>
              <w:autoSpaceDE/>
              <w:autoSpaceDN/>
              <w:bidi w:val="0"/>
              <w:adjustRightInd/>
              <w:snapToGrid w:val="0"/>
              <w:spacing w:line="360" w:lineRule="auto"/>
              <w:ind w:left="0"/>
              <w:textAlignment w:val="auto"/>
              <w:rPr>
                <w:rFonts w:hint="eastAsia" w:ascii="宋体" w:hAnsi="宋体" w:eastAsia="宋体" w:cs="宋体"/>
                <w:color w:val="auto"/>
                <w:kern w:val="0"/>
                <w:sz w:val="22"/>
                <w:szCs w:val="22"/>
                <w:highlight w:val="none"/>
                <w:u w:val="none"/>
              </w:rPr>
            </w:pPr>
            <w:r>
              <w:rPr>
                <w:rFonts w:hint="eastAsia" w:ascii="宋体" w:hAnsi="宋体" w:eastAsia="宋体" w:cs="宋体"/>
                <w:color w:val="auto"/>
                <w:kern w:val="0"/>
                <w:sz w:val="22"/>
                <w:szCs w:val="22"/>
                <w:highlight w:val="none"/>
                <w:u w:val="none"/>
              </w:rPr>
              <w:t>本项目代理服务费按原国家发展计划委员会文件计价格[2002]1980号“国家计委关于印发《招标代理服务收费管理暂行办法》的通知”及国家发改委（发改价格[2015]299号文）规定标准收取，由成交供应商向采购代理机构支付。成交供应商在领取成交通知书前，一次性向采购代理机构付清全部代理服务费。</w:t>
            </w:r>
          </w:p>
        </w:tc>
      </w:tr>
      <w:tr w14:paraId="4D703E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462" w:type="pct"/>
            <w:noWrap w:val="0"/>
            <w:vAlign w:val="center"/>
          </w:tcPr>
          <w:p w14:paraId="04DB3819">
            <w:pPr>
              <w:keepNext w:val="0"/>
              <w:keepLines w:val="0"/>
              <w:pageBreakBefore w:val="0"/>
              <w:widowControl w:val="0"/>
              <w:kinsoku/>
              <w:wordWrap/>
              <w:overflowPunct/>
              <w:topLinePunct w:val="0"/>
              <w:autoSpaceDE/>
              <w:autoSpaceDN/>
              <w:bidi w:val="0"/>
              <w:adjustRightInd/>
              <w:snapToGrid w:val="0"/>
              <w:spacing w:line="360" w:lineRule="auto"/>
              <w:ind w:lef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34.1</w:t>
            </w:r>
          </w:p>
        </w:tc>
        <w:tc>
          <w:tcPr>
            <w:tcW w:w="646" w:type="pct"/>
            <w:noWrap w:val="0"/>
            <w:vAlign w:val="center"/>
          </w:tcPr>
          <w:p w14:paraId="4CB35085">
            <w:pPr>
              <w:keepNext w:val="0"/>
              <w:keepLines w:val="0"/>
              <w:pageBreakBefore w:val="0"/>
              <w:widowControl w:val="0"/>
              <w:kinsoku/>
              <w:wordWrap/>
              <w:overflowPunct/>
              <w:topLinePunct w:val="0"/>
              <w:autoSpaceDE/>
              <w:autoSpaceDN/>
              <w:bidi w:val="0"/>
              <w:adjustRightInd/>
              <w:snapToGrid w:val="0"/>
              <w:spacing w:line="360" w:lineRule="auto"/>
              <w:ind w:lef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解释</w:t>
            </w:r>
          </w:p>
        </w:tc>
        <w:tc>
          <w:tcPr>
            <w:tcW w:w="3890" w:type="pct"/>
            <w:noWrap w:val="0"/>
            <w:vAlign w:val="center"/>
          </w:tcPr>
          <w:p w14:paraId="72597545">
            <w:pPr>
              <w:keepNext w:val="0"/>
              <w:keepLines w:val="0"/>
              <w:pageBreakBefore w:val="0"/>
              <w:widowControl w:val="0"/>
              <w:kinsoku/>
              <w:wordWrap/>
              <w:overflowPunct/>
              <w:topLinePunct w:val="0"/>
              <w:autoSpaceDE/>
              <w:autoSpaceDN/>
              <w:bidi w:val="0"/>
              <w:adjustRightInd/>
              <w:snapToGrid w:val="0"/>
              <w:spacing w:line="360" w:lineRule="auto"/>
              <w:ind w:left="0"/>
              <w:jc w:val="both"/>
              <w:textAlignment w:val="auto"/>
              <w:rPr>
                <w:rFonts w:hint="eastAsia" w:ascii="宋体" w:hAnsi="宋体" w:eastAsia="宋体" w:cs="宋体"/>
                <w:b/>
                <w:color w:val="auto"/>
                <w:kern w:val="0"/>
                <w:sz w:val="22"/>
                <w:szCs w:val="22"/>
                <w:highlight w:val="none"/>
              </w:rPr>
            </w:pPr>
            <w:r>
              <w:rPr>
                <w:rFonts w:hint="eastAsia" w:ascii="宋体" w:hAnsi="宋体" w:eastAsia="宋体" w:cs="宋体"/>
                <w:b/>
                <w:color w:val="auto"/>
                <w:kern w:val="0"/>
                <w:sz w:val="22"/>
                <w:szCs w:val="22"/>
                <w:highlight w:val="none"/>
              </w:rPr>
              <w:t>解释权：</w:t>
            </w:r>
            <w:r>
              <w:rPr>
                <w:rFonts w:hint="eastAsia" w:ascii="宋体" w:hAnsi="宋体" w:eastAsia="宋体" w:cs="宋体"/>
                <w:color w:val="auto"/>
                <w:kern w:val="0"/>
                <w:sz w:val="22"/>
                <w:szCs w:val="22"/>
                <w:highlight w:val="none"/>
              </w:rPr>
              <w:t>构成本磋商文件的各个组成文件应互为解释，互为说明；除磋商文件中有特别规定外，仅适用于竞标阶段的规定，按更正公告（澄清公告）、竞争性磋商公告、供应商须知、采购需求、评审程序、评审方法和评审标准、响应文件格式、合同文本的先后顺序解释；同一组成文件中就同一事项的规定或者约定不一致的，以编排顺序在后者为准；同一组成文件不同版本之间有不一致的，以形成时间在后者为准；更正公告（澄清公告）与同步更新的磋商文件不一致时以更正公告（澄清公告）为准。按本款前述规定仍不能形成结论的，</w:t>
            </w:r>
            <w:r>
              <w:rPr>
                <w:rFonts w:hint="eastAsia" w:ascii="宋体" w:hAnsi="宋体" w:eastAsia="宋体" w:cs="宋体"/>
                <w:b/>
                <w:color w:val="auto"/>
                <w:kern w:val="0"/>
                <w:sz w:val="22"/>
                <w:szCs w:val="22"/>
                <w:highlight w:val="none"/>
              </w:rPr>
              <w:t>由采购人或者采购代理机构负责解释。</w:t>
            </w:r>
          </w:p>
          <w:p w14:paraId="58CACDB7">
            <w:pPr>
              <w:keepNext w:val="0"/>
              <w:keepLines w:val="0"/>
              <w:pageBreakBefore w:val="0"/>
              <w:widowControl w:val="0"/>
              <w:kinsoku/>
              <w:wordWrap/>
              <w:overflowPunct/>
              <w:topLinePunct w:val="0"/>
              <w:autoSpaceDE/>
              <w:autoSpaceDN/>
              <w:bidi w:val="0"/>
              <w:adjustRightInd/>
              <w:snapToGrid w:val="0"/>
              <w:spacing w:line="360" w:lineRule="auto"/>
              <w:ind w:left="0"/>
              <w:jc w:val="both"/>
              <w:textAlignment w:val="auto"/>
              <w:rPr>
                <w:rFonts w:hint="eastAsia" w:ascii="宋体" w:hAnsi="宋体" w:eastAsia="宋体" w:cs="宋体"/>
                <w:color w:val="auto"/>
                <w:sz w:val="22"/>
                <w:szCs w:val="22"/>
                <w:highlight w:val="none"/>
              </w:rPr>
            </w:pPr>
            <w:r>
              <w:rPr>
                <w:rFonts w:hint="eastAsia" w:ascii="宋体" w:hAnsi="宋体" w:eastAsia="宋体" w:cs="宋体"/>
                <w:b/>
                <w:color w:val="auto"/>
                <w:kern w:val="0"/>
                <w:sz w:val="22"/>
                <w:szCs w:val="22"/>
                <w:highlight w:val="none"/>
              </w:rPr>
              <w:t>法律责任：</w:t>
            </w:r>
            <w:r>
              <w:rPr>
                <w:rFonts w:hint="eastAsia" w:ascii="宋体" w:hAnsi="宋体" w:eastAsia="宋体" w:cs="宋体"/>
                <w:color w:val="auto"/>
                <w:kern w:val="0"/>
                <w:sz w:val="22"/>
                <w:szCs w:val="22"/>
                <w:highlight w:val="none"/>
              </w:rPr>
              <w:t>本采购文件根据《中华人民共和国政府采购法》、《中华人民共和国民法典》；《中华人民共和国政府采购法实施条例》、《政府采购竞争性磋商采购方式管理暂行办法》等有关法律、法规编制，参与本项目的各政府采购当事人依法享有上述法律法规所赋予的权利与义务。</w:t>
            </w:r>
          </w:p>
        </w:tc>
      </w:tr>
      <w:tr w14:paraId="17C320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462" w:type="pct"/>
            <w:noWrap w:val="0"/>
            <w:vAlign w:val="center"/>
          </w:tcPr>
          <w:p w14:paraId="36472E55">
            <w:pPr>
              <w:keepNext w:val="0"/>
              <w:keepLines w:val="0"/>
              <w:pageBreakBefore w:val="0"/>
              <w:widowControl w:val="0"/>
              <w:kinsoku/>
              <w:wordWrap/>
              <w:overflowPunct/>
              <w:topLinePunct w:val="0"/>
              <w:autoSpaceDE/>
              <w:autoSpaceDN/>
              <w:bidi w:val="0"/>
              <w:adjustRightInd/>
              <w:snapToGrid w:val="0"/>
              <w:spacing w:line="360" w:lineRule="auto"/>
              <w:ind w:lef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34.2</w:t>
            </w:r>
          </w:p>
        </w:tc>
        <w:tc>
          <w:tcPr>
            <w:tcW w:w="646" w:type="pct"/>
            <w:noWrap w:val="0"/>
            <w:vAlign w:val="center"/>
          </w:tcPr>
          <w:p w14:paraId="6CEA5F3D">
            <w:pPr>
              <w:keepNext w:val="0"/>
              <w:keepLines w:val="0"/>
              <w:pageBreakBefore w:val="0"/>
              <w:widowControl w:val="0"/>
              <w:kinsoku/>
              <w:wordWrap/>
              <w:overflowPunct/>
              <w:topLinePunct w:val="0"/>
              <w:autoSpaceDE/>
              <w:autoSpaceDN/>
              <w:bidi w:val="0"/>
              <w:adjustRightInd/>
              <w:snapToGrid w:val="0"/>
              <w:spacing w:line="360" w:lineRule="auto"/>
              <w:ind w:lef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其他</w:t>
            </w:r>
          </w:p>
        </w:tc>
        <w:tc>
          <w:tcPr>
            <w:tcW w:w="3890" w:type="pct"/>
            <w:noWrap w:val="0"/>
            <w:vAlign w:val="center"/>
          </w:tcPr>
          <w:p w14:paraId="004821FA">
            <w:pPr>
              <w:keepNext w:val="0"/>
              <w:keepLines w:val="0"/>
              <w:pageBreakBefore w:val="0"/>
              <w:widowControl w:val="0"/>
              <w:kinsoku/>
              <w:wordWrap/>
              <w:overflowPunct/>
              <w:topLinePunct w:val="0"/>
              <w:autoSpaceDE/>
              <w:autoSpaceDN/>
              <w:bidi w:val="0"/>
              <w:adjustRightInd/>
              <w:snapToGrid w:val="0"/>
              <w:spacing w:line="360" w:lineRule="auto"/>
              <w:ind w:left="0"/>
              <w:jc w:val="both"/>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本磋商文件中描述供应商的“公章”是指根据我国对公章的管理规定，用供应商法定主体行为名称制作的印章，除本磋商文件有特殊规定外，供应商的财务章、部门章、分公司章、工会章、合同章、竞标/投标专用章、业务专用章及银行的转账章、现金收讫章、现金付讫章等其他形式印章均不能代替公章。</w:t>
            </w:r>
          </w:p>
          <w:p w14:paraId="2F960CDA">
            <w:pPr>
              <w:keepNext w:val="0"/>
              <w:keepLines w:val="0"/>
              <w:pageBreakBefore w:val="0"/>
              <w:widowControl w:val="0"/>
              <w:kinsoku/>
              <w:wordWrap/>
              <w:overflowPunct/>
              <w:topLinePunct w:val="0"/>
              <w:autoSpaceDE/>
              <w:autoSpaceDN/>
              <w:bidi w:val="0"/>
              <w:adjustRightInd/>
              <w:snapToGrid w:val="0"/>
              <w:spacing w:line="360" w:lineRule="auto"/>
              <w:ind w:left="0"/>
              <w:jc w:val="both"/>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12692A1C">
            <w:pPr>
              <w:keepNext w:val="0"/>
              <w:keepLines w:val="0"/>
              <w:pageBreakBefore w:val="0"/>
              <w:widowControl w:val="0"/>
              <w:kinsoku/>
              <w:wordWrap/>
              <w:overflowPunct/>
              <w:topLinePunct w:val="0"/>
              <w:autoSpaceDE/>
              <w:autoSpaceDN/>
              <w:bidi w:val="0"/>
              <w:adjustRightInd/>
              <w:snapToGrid w:val="0"/>
              <w:spacing w:line="360" w:lineRule="auto"/>
              <w:ind w:left="0"/>
              <w:jc w:val="both"/>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3.本磋商文件中描述供应商的“签字”是指供应商的法定代表人或者委托代理人亲自在文件规定签署处亲笔写上个人的名字的行为，私章、签字章、印鉴、影印等其他形式均不能代替亲笔签字。</w:t>
            </w:r>
          </w:p>
          <w:p w14:paraId="5E61E7D7">
            <w:pPr>
              <w:keepNext w:val="0"/>
              <w:keepLines w:val="0"/>
              <w:pageBreakBefore w:val="0"/>
              <w:widowControl w:val="0"/>
              <w:kinsoku/>
              <w:wordWrap/>
              <w:overflowPunct/>
              <w:topLinePunct w:val="0"/>
              <w:autoSpaceDE/>
              <w:autoSpaceDN/>
              <w:bidi w:val="0"/>
              <w:adjustRightInd/>
              <w:snapToGrid w:val="0"/>
              <w:spacing w:line="360" w:lineRule="auto"/>
              <w:ind w:left="0"/>
              <w:jc w:val="both"/>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4.自然人竞标的，磋商文件规定盖公章处由自然人摁手指指印。</w:t>
            </w:r>
          </w:p>
          <w:p w14:paraId="4E199766">
            <w:pPr>
              <w:keepNext w:val="0"/>
              <w:keepLines w:val="0"/>
              <w:pageBreakBefore w:val="0"/>
              <w:widowControl w:val="0"/>
              <w:kinsoku/>
              <w:wordWrap/>
              <w:overflowPunct/>
              <w:topLinePunct w:val="0"/>
              <w:autoSpaceDE/>
              <w:autoSpaceDN/>
              <w:bidi w:val="0"/>
              <w:adjustRightInd/>
              <w:snapToGrid w:val="0"/>
              <w:spacing w:line="360" w:lineRule="auto"/>
              <w:ind w:left="0"/>
              <w:jc w:val="both"/>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5.本磋商文件所称的“以上”“以下”“以内”“届满”，包括本数；所称的“不满”“超过”“以外”，不包括本数。</w:t>
            </w:r>
          </w:p>
        </w:tc>
      </w:tr>
    </w:tbl>
    <w:p w14:paraId="5E970354">
      <w:pPr>
        <w:keepNext/>
        <w:keepLines/>
        <w:spacing w:before="260" w:after="260" w:line="420" w:lineRule="exact"/>
        <w:jc w:val="center"/>
        <w:outlineLvl w:val="1"/>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br w:type="page"/>
      </w:r>
      <w:bookmarkStart w:id="31" w:name="_Toc5715"/>
      <w:r>
        <w:rPr>
          <w:rFonts w:hint="eastAsia" w:ascii="宋体" w:hAnsi="宋体" w:eastAsia="宋体" w:cs="宋体"/>
          <w:b/>
          <w:bCs w:val="0"/>
          <w:color w:val="auto"/>
          <w:sz w:val="24"/>
          <w:szCs w:val="24"/>
          <w:highlight w:val="none"/>
        </w:rPr>
        <w:t>第二节 供应商须知正文</w:t>
      </w:r>
      <w:bookmarkEnd w:id="31"/>
    </w:p>
    <w:p w14:paraId="2C8E7B50">
      <w:pPr>
        <w:keepNext/>
        <w:keepLines/>
        <w:pageBreakBefore w:val="0"/>
        <w:widowControl w:val="0"/>
        <w:kinsoku/>
        <w:wordWrap/>
        <w:overflowPunct/>
        <w:topLinePunct w:val="0"/>
        <w:autoSpaceDE/>
        <w:autoSpaceDN/>
        <w:bidi w:val="0"/>
        <w:adjustRightInd/>
        <w:snapToGrid/>
        <w:spacing w:line="360" w:lineRule="auto"/>
        <w:ind w:firstLine="482" w:firstLineChars="200"/>
        <w:outlineLvl w:val="2"/>
        <w:rPr>
          <w:rFonts w:hint="eastAsia" w:asciiTheme="minorEastAsia" w:hAnsiTheme="minorEastAsia" w:eastAsiaTheme="minorEastAsia" w:cstheme="minorEastAsia"/>
          <w:bCs/>
          <w:color w:val="auto"/>
          <w:sz w:val="22"/>
          <w:szCs w:val="22"/>
          <w:highlight w:val="none"/>
        </w:rPr>
      </w:pPr>
      <w:bookmarkStart w:id="32" w:name="_Toc12165"/>
      <w:r>
        <w:rPr>
          <w:rFonts w:hint="eastAsia" w:asciiTheme="minorEastAsia" w:hAnsiTheme="minorEastAsia" w:eastAsiaTheme="minorEastAsia" w:cstheme="minorEastAsia"/>
          <w:b/>
          <w:bCs w:val="0"/>
          <w:color w:val="auto"/>
          <w:sz w:val="24"/>
          <w:szCs w:val="24"/>
          <w:highlight w:val="none"/>
        </w:rPr>
        <w:t>一、总则</w:t>
      </w:r>
      <w:bookmarkEnd w:id="32"/>
    </w:p>
    <w:p w14:paraId="7E15DD53">
      <w:pPr>
        <w:pageBreakBefore w:val="0"/>
        <w:widowControl w:val="0"/>
        <w:kinsoku/>
        <w:wordWrap/>
        <w:overflowPunct/>
        <w:topLinePunct w:val="0"/>
        <w:autoSpaceDE/>
        <w:autoSpaceDN/>
        <w:bidi w:val="0"/>
        <w:adjustRightInd/>
        <w:snapToGrid/>
        <w:spacing w:line="360" w:lineRule="auto"/>
        <w:ind w:firstLine="442" w:firstLineChars="200"/>
        <w:rPr>
          <w:rFonts w:hint="eastAsia" w:asciiTheme="minorEastAsia" w:hAnsiTheme="minorEastAsia" w:eastAsiaTheme="minorEastAsia" w:cstheme="minorEastAsia"/>
          <w:b/>
          <w:bCs/>
          <w:color w:val="auto"/>
          <w:sz w:val="22"/>
          <w:szCs w:val="22"/>
          <w:highlight w:val="none"/>
        </w:rPr>
      </w:pPr>
      <w:r>
        <w:rPr>
          <w:rFonts w:hint="eastAsia" w:asciiTheme="minorEastAsia" w:hAnsiTheme="minorEastAsia" w:eastAsiaTheme="minorEastAsia" w:cstheme="minorEastAsia"/>
          <w:b/>
          <w:bCs/>
          <w:color w:val="auto"/>
          <w:sz w:val="22"/>
          <w:szCs w:val="22"/>
          <w:highlight w:val="none"/>
        </w:rPr>
        <w:t>1.适用范围</w:t>
      </w:r>
    </w:p>
    <w:p w14:paraId="565CFB85">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1.1本项目采购人、采购代理机构、供应商、磋商小组的相关行为均受《中华人民共和国政府采购法》《中华人民共和国政府采购法实施条例》《政府采购竞争性磋商采购方式管理暂行办法》《财政部关于政府采购竞争性磋商采购方式管理暂行办法有关问题的补充通知》及本项目本级和上级财政部门政府采购有关规定的约束和保护。</w:t>
      </w:r>
    </w:p>
    <w:p w14:paraId="1855B706">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1.2</w:t>
      </w:r>
      <w:r>
        <w:rPr>
          <w:rFonts w:hint="eastAsia" w:asciiTheme="minorEastAsia" w:hAnsiTheme="minorEastAsia" w:eastAsiaTheme="minorEastAsia" w:cstheme="minorEastAsia"/>
          <w:color w:val="auto"/>
          <w:spacing w:val="-6"/>
          <w:sz w:val="22"/>
          <w:szCs w:val="22"/>
          <w:highlight w:val="none"/>
        </w:rPr>
        <w:t>本竞争性磋商文件（以下简称磋商文件）适用于本项目的所有采购程序和环节（法律、法规另有规定的，从其规定）。</w:t>
      </w:r>
    </w:p>
    <w:p w14:paraId="3171AE2C">
      <w:pPr>
        <w:pageBreakBefore w:val="0"/>
        <w:widowControl w:val="0"/>
        <w:kinsoku/>
        <w:wordWrap/>
        <w:overflowPunct/>
        <w:topLinePunct w:val="0"/>
        <w:autoSpaceDE/>
        <w:autoSpaceDN/>
        <w:bidi w:val="0"/>
        <w:adjustRightInd/>
        <w:snapToGrid/>
        <w:spacing w:line="360" w:lineRule="auto"/>
        <w:ind w:firstLine="442" w:firstLineChars="200"/>
        <w:rPr>
          <w:rFonts w:hint="eastAsia" w:asciiTheme="minorEastAsia" w:hAnsiTheme="minorEastAsia" w:eastAsiaTheme="minorEastAsia" w:cstheme="minorEastAsia"/>
          <w:b/>
          <w:bCs/>
          <w:color w:val="auto"/>
          <w:sz w:val="22"/>
          <w:szCs w:val="22"/>
          <w:highlight w:val="none"/>
        </w:rPr>
      </w:pPr>
      <w:r>
        <w:rPr>
          <w:rFonts w:hint="eastAsia" w:asciiTheme="minorEastAsia" w:hAnsiTheme="minorEastAsia" w:eastAsiaTheme="minorEastAsia" w:cstheme="minorEastAsia"/>
          <w:b/>
          <w:bCs/>
          <w:color w:val="auto"/>
          <w:sz w:val="22"/>
          <w:szCs w:val="22"/>
          <w:highlight w:val="none"/>
        </w:rPr>
        <w:t>2.定义</w:t>
      </w:r>
    </w:p>
    <w:p w14:paraId="34136103">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2.1“采购人”是指依法进行政府采购的国家机关、事业单位、团体组织。</w:t>
      </w:r>
    </w:p>
    <w:p w14:paraId="13508420">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u w:val="single"/>
        </w:rPr>
      </w:pPr>
      <w:r>
        <w:rPr>
          <w:rFonts w:hint="eastAsia" w:asciiTheme="minorEastAsia" w:hAnsiTheme="minorEastAsia" w:eastAsiaTheme="minorEastAsia" w:cstheme="minorEastAsia"/>
          <w:color w:val="auto"/>
          <w:sz w:val="22"/>
          <w:szCs w:val="22"/>
          <w:highlight w:val="none"/>
        </w:rPr>
        <w:t>2.2“采购代理机构”是指政府采购集中采购机构和集中采购机构以外的采购代理机构。</w:t>
      </w:r>
    </w:p>
    <w:p w14:paraId="4BAB5C88">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2.3“供应商”是指向采购人提供货物、工程或者服务的法人、其他组织或者自然人。</w:t>
      </w:r>
    </w:p>
    <w:p w14:paraId="5CD71977">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2.4“服务”是指除货物和工程以外的其他政府采购对象。</w:t>
      </w:r>
    </w:p>
    <w:p w14:paraId="5787C46B">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2.5“竞标”是指供应商按照本项目竞争性磋商公告或者邀请函规定的方式获取磋商文件、提交响应文件并希望获得标的的行为。</w:t>
      </w:r>
    </w:p>
    <w:p w14:paraId="43565C3E">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2.6“响应文件”</w:t>
      </w:r>
      <w:r>
        <w:rPr>
          <w:rFonts w:hint="eastAsia" w:asciiTheme="minorEastAsia" w:hAnsiTheme="minorEastAsia" w:eastAsiaTheme="minorEastAsia" w:cstheme="minorEastAsia"/>
          <w:color w:val="auto"/>
          <w:spacing w:val="-6"/>
          <w:sz w:val="22"/>
          <w:szCs w:val="22"/>
          <w:highlight w:val="none"/>
        </w:rPr>
        <w:t>是指：供应商根据本磋商文件要求，编制包含资格证明、报价商务技术等所有内容的文件。</w:t>
      </w:r>
    </w:p>
    <w:p w14:paraId="5E59E201">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2.7“实质性要求”是指磋商文件中已经指明不满足则响应文件按无效响应处理的条款，或者不能负偏离的条款，或者采购需求中带“</w:t>
      </w:r>
      <w:r>
        <w:rPr>
          <w:rFonts w:hint="eastAsia" w:asciiTheme="minorEastAsia" w:hAnsiTheme="minorEastAsia" w:eastAsiaTheme="minorEastAsia" w:cstheme="minorEastAsia"/>
          <w:color w:val="auto"/>
          <w:sz w:val="22"/>
          <w:szCs w:val="22"/>
          <w:highlight w:val="none"/>
          <w:lang w:eastAsia="zh-CN"/>
        </w:rPr>
        <w:t>▲</w:t>
      </w:r>
      <w:r>
        <w:rPr>
          <w:rFonts w:hint="eastAsia" w:asciiTheme="minorEastAsia" w:hAnsiTheme="minorEastAsia" w:eastAsiaTheme="minorEastAsia" w:cstheme="minorEastAsia"/>
          <w:color w:val="auto"/>
          <w:sz w:val="22"/>
          <w:szCs w:val="22"/>
          <w:highlight w:val="none"/>
        </w:rPr>
        <w:t>”的条款。</w:t>
      </w:r>
    </w:p>
    <w:p w14:paraId="0C45CF44">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2.8“正偏离”，是指响应文件对磋商文件“采购需求”中有关条款作出的响应优于条款要求并有利于采购人的情形。</w:t>
      </w:r>
    </w:p>
    <w:p w14:paraId="173D36F0">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2.9“负偏离”，是指响应文件对磋商文件“采购需求”中有关条款作出的响应不满足条款要求，导致采购人要求不能得到满足的情形。</w:t>
      </w:r>
    </w:p>
    <w:p w14:paraId="3D21D27F">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2.10“允许负偏离的条款”是指采购需求中的不属于“实质性要求”的条款。</w:t>
      </w:r>
    </w:p>
    <w:p w14:paraId="45FD00DA">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2.11“书面形式”是指合同书、信件和数据电文（包括电报、电传、传真、电子数据交换和电子邮件）等可以有形地表现所载内容的形式。</w:t>
      </w:r>
    </w:p>
    <w:p w14:paraId="648C8233">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2.12“首次报价”是指供应商提交的首次响应文件中的报价。</w:t>
      </w:r>
    </w:p>
    <w:p w14:paraId="45780BC5">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2.13“评审报价”是指供应商提交的最后报价并经修正（如有）和政策功能价格扣除（如有）后的价格。</w:t>
      </w:r>
    </w:p>
    <w:p w14:paraId="7D6BD8BB">
      <w:pPr>
        <w:pageBreakBefore w:val="0"/>
        <w:widowControl w:val="0"/>
        <w:kinsoku/>
        <w:wordWrap/>
        <w:overflowPunct/>
        <w:topLinePunct w:val="0"/>
        <w:autoSpaceDE/>
        <w:autoSpaceDN/>
        <w:bidi w:val="0"/>
        <w:adjustRightInd/>
        <w:snapToGrid/>
        <w:spacing w:line="360" w:lineRule="auto"/>
        <w:ind w:firstLine="442" w:firstLineChars="200"/>
        <w:rPr>
          <w:rFonts w:hint="eastAsia" w:asciiTheme="minorEastAsia" w:hAnsiTheme="minorEastAsia" w:eastAsiaTheme="minorEastAsia" w:cstheme="minorEastAsia"/>
          <w:b/>
          <w:bCs/>
          <w:color w:val="auto"/>
          <w:sz w:val="22"/>
          <w:szCs w:val="22"/>
          <w:highlight w:val="none"/>
        </w:rPr>
      </w:pPr>
      <w:r>
        <w:rPr>
          <w:rFonts w:hint="eastAsia" w:asciiTheme="minorEastAsia" w:hAnsiTheme="minorEastAsia" w:eastAsiaTheme="minorEastAsia" w:cstheme="minorEastAsia"/>
          <w:b/>
          <w:bCs/>
          <w:color w:val="auto"/>
          <w:sz w:val="22"/>
          <w:szCs w:val="22"/>
          <w:highlight w:val="none"/>
        </w:rPr>
        <w:t>3.供应商的资格条件</w:t>
      </w:r>
    </w:p>
    <w:p w14:paraId="7E3C1D79">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供应商的资格条件详见“供应商须知前附表”。</w:t>
      </w:r>
    </w:p>
    <w:p w14:paraId="13B992E0">
      <w:pPr>
        <w:pageBreakBefore w:val="0"/>
        <w:widowControl w:val="0"/>
        <w:kinsoku/>
        <w:wordWrap/>
        <w:overflowPunct/>
        <w:topLinePunct w:val="0"/>
        <w:autoSpaceDE/>
        <w:autoSpaceDN/>
        <w:bidi w:val="0"/>
        <w:adjustRightInd/>
        <w:snapToGrid/>
        <w:spacing w:line="360" w:lineRule="auto"/>
        <w:ind w:firstLine="442" w:firstLineChars="200"/>
        <w:rPr>
          <w:rFonts w:hint="eastAsia" w:asciiTheme="minorEastAsia" w:hAnsiTheme="minorEastAsia" w:eastAsiaTheme="minorEastAsia" w:cstheme="minorEastAsia"/>
          <w:b/>
          <w:bCs/>
          <w:color w:val="auto"/>
          <w:sz w:val="22"/>
          <w:szCs w:val="22"/>
          <w:highlight w:val="none"/>
        </w:rPr>
      </w:pPr>
      <w:r>
        <w:rPr>
          <w:rFonts w:hint="eastAsia" w:asciiTheme="minorEastAsia" w:hAnsiTheme="minorEastAsia" w:eastAsiaTheme="minorEastAsia" w:cstheme="minorEastAsia"/>
          <w:b/>
          <w:bCs/>
          <w:color w:val="auto"/>
          <w:sz w:val="22"/>
          <w:szCs w:val="22"/>
          <w:highlight w:val="none"/>
        </w:rPr>
        <w:t>4.磋商费用</w:t>
      </w:r>
    </w:p>
    <w:p w14:paraId="63211EA3">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供应商应承担参与本次采购活动有关的所有费用，包括但不限于、勘查现场、编制和提交响应文件、参加磋商与应答、签订合同等，不论竞标结果如何，均应自行承担。</w:t>
      </w:r>
    </w:p>
    <w:p w14:paraId="137EFA69">
      <w:pPr>
        <w:pageBreakBefore w:val="0"/>
        <w:widowControl w:val="0"/>
        <w:kinsoku/>
        <w:wordWrap/>
        <w:overflowPunct/>
        <w:topLinePunct w:val="0"/>
        <w:autoSpaceDE/>
        <w:autoSpaceDN/>
        <w:bidi w:val="0"/>
        <w:adjustRightInd/>
        <w:snapToGrid/>
        <w:spacing w:line="360" w:lineRule="auto"/>
        <w:ind w:firstLine="442" w:firstLineChars="200"/>
        <w:rPr>
          <w:rFonts w:hint="eastAsia" w:asciiTheme="minorEastAsia" w:hAnsiTheme="minorEastAsia" w:eastAsiaTheme="minorEastAsia" w:cstheme="minorEastAsia"/>
          <w:b/>
          <w:bCs/>
          <w:color w:val="auto"/>
          <w:sz w:val="22"/>
          <w:szCs w:val="22"/>
          <w:highlight w:val="none"/>
        </w:rPr>
      </w:pPr>
      <w:r>
        <w:rPr>
          <w:rFonts w:hint="eastAsia" w:asciiTheme="minorEastAsia" w:hAnsiTheme="minorEastAsia" w:eastAsiaTheme="minorEastAsia" w:cstheme="minorEastAsia"/>
          <w:b/>
          <w:bCs/>
          <w:color w:val="auto"/>
          <w:sz w:val="22"/>
          <w:szCs w:val="22"/>
          <w:highlight w:val="none"/>
        </w:rPr>
        <w:t>5.联合体竞标</w:t>
      </w:r>
    </w:p>
    <w:p w14:paraId="393725E7">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5.1本项目是否接受联合体竞标，详见“供应商须知前附表”。</w:t>
      </w:r>
    </w:p>
    <w:p w14:paraId="773C2969">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5.2如接受联合体竞标，联合体竞标要求详见“供应商须知前附表”。</w:t>
      </w:r>
    </w:p>
    <w:p w14:paraId="2EC34FB2">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bCs/>
          <w:color w:val="auto"/>
          <w:sz w:val="22"/>
          <w:szCs w:val="22"/>
          <w:highlight w:val="none"/>
        </w:rPr>
      </w:pPr>
      <w:r>
        <w:rPr>
          <w:rFonts w:hint="eastAsia" w:asciiTheme="minorEastAsia" w:hAnsiTheme="minorEastAsia" w:eastAsiaTheme="minorEastAsia" w:cstheme="minorEastAsia"/>
          <w:color w:val="auto"/>
          <w:sz w:val="22"/>
          <w:szCs w:val="22"/>
          <w:highlight w:val="none"/>
        </w:rPr>
        <w:t>5.3</w:t>
      </w:r>
      <w:r>
        <w:rPr>
          <w:rFonts w:hint="eastAsia" w:asciiTheme="minorEastAsia" w:hAnsiTheme="minorEastAsia" w:eastAsiaTheme="minorEastAsia" w:cstheme="minorEastAsia"/>
          <w:bCs/>
          <w:color w:val="auto"/>
          <w:sz w:val="22"/>
          <w:szCs w:val="22"/>
          <w:highlight w:val="none"/>
        </w:rPr>
        <w:t>根据</w:t>
      </w:r>
      <w:r>
        <w:rPr>
          <w:rFonts w:hint="eastAsia" w:asciiTheme="minorEastAsia" w:hAnsiTheme="minorEastAsia" w:eastAsiaTheme="minorEastAsia" w:cstheme="minorEastAsia"/>
          <w:bCs/>
          <w:color w:val="auto"/>
          <w:sz w:val="22"/>
          <w:szCs w:val="22"/>
          <w:highlight w:val="none"/>
          <w:lang w:eastAsia="zh-CN"/>
        </w:rPr>
        <w:t>《政府采购促进中小企业发展管理办法》</w:t>
      </w:r>
      <w:r>
        <w:rPr>
          <w:rFonts w:hint="eastAsia" w:asciiTheme="minorEastAsia" w:hAnsiTheme="minorEastAsia" w:eastAsiaTheme="minorEastAsia" w:cstheme="minorEastAsia"/>
          <w:bCs/>
          <w:color w:val="auto"/>
          <w:sz w:val="22"/>
          <w:szCs w:val="22"/>
          <w:highlight w:val="none"/>
        </w:rPr>
        <w:t>（财库[2020]46号）第九条规定，</w:t>
      </w:r>
      <w:r>
        <w:rPr>
          <w:rFonts w:hint="eastAsia" w:asciiTheme="minorEastAsia" w:hAnsiTheme="minorEastAsia" w:eastAsiaTheme="minorEastAsia" w:cstheme="minorEastAsia"/>
          <w:bCs/>
          <w:color w:val="auto"/>
          <w:sz w:val="22"/>
          <w:szCs w:val="22"/>
          <w:highlight w:val="none"/>
          <w:lang w:val="en-US" w:eastAsia="zh-CN"/>
        </w:rPr>
        <w:t>结合</w:t>
      </w:r>
      <w:r>
        <w:rPr>
          <w:rFonts w:hint="eastAsia" w:asciiTheme="minorEastAsia" w:hAnsiTheme="minorEastAsia" w:eastAsiaTheme="minorEastAsia" w:cstheme="minorEastAsia"/>
          <w:color w:val="auto"/>
          <w:sz w:val="22"/>
          <w:szCs w:val="22"/>
          <w:highlight w:val="none"/>
          <w:lang w:eastAsia="zh-CN"/>
        </w:rPr>
        <w:t>《关于进一步加大政府采购支持中小企业力度的通知》（</w:t>
      </w:r>
      <w:r>
        <w:rPr>
          <w:rFonts w:hint="eastAsia" w:asciiTheme="minorEastAsia" w:hAnsiTheme="minorEastAsia" w:eastAsiaTheme="minorEastAsia" w:cstheme="minorEastAsia"/>
          <w:color w:val="auto"/>
          <w:sz w:val="22"/>
          <w:szCs w:val="22"/>
          <w:highlight w:val="none"/>
        </w:rPr>
        <w:t>财库〔2022〕19号</w:t>
      </w:r>
      <w:r>
        <w:rPr>
          <w:rFonts w:hint="eastAsia" w:asciiTheme="minorEastAsia" w:hAnsiTheme="minorEastAsia" w:eastAsiaTheme="minorEastAsia" w:cstheme="minorEastAsia"/>
          <w:color w:val="auto"/>
          <w:sz w:val="22"/>
          <w:szCs w:val="22"/>
          <w:highlight w:val="none"/>
          <w:lang w:eastAsia="zh-CN"/>
        </w:rPr>
        <w:t>）</w:t>
      </w:r>
      <w:r>
        <w:rPr>
          <w:rFonts w:hint="eastAsia" w:asciiTheme="minorEastAsia" w:hAnsiTheme="minorEastAsia" w:eastAsiaTheme="minorEastAsia" w:cstheme="minorEastAsia"/>
          <w:color w:val="auto"/>
          <w:sz w:val="22"/>
          <w:szCs w:val="22"/>
          <w:highlight w:val="none"/>
          <w:lang w:val="en-US" w:eastAsia="zh-CN"/>
        </w:rPr>
        <w:t>的要求</w:t>
      </w:r>
      <w:r>
        <w:rPr>
          <w:rFonts w:hint="eastAsia" w:asciiTheme="minorEastAsia" w:hAnsiTheme="minorEastAsia" w:eastAsiaTheme="minorEastAsia" w:cstheme="minorEastAsia"/>
          <w:color w:val="auto"/>
          <w:sz w:val="22"/>
          <w:szCs w:val="22"/>
          <w:highlight w:val="none"/>
          <w:lang w:eastAsia="zh-CN"/>
        </w:rPr>
        <w:t>，</w:t>
      </w:r>
      <w:r>
        <w:rPr>
          <w:rFonts w:hint="eastAsia" w:asciiTheme="minorEastAsia" w:hAnsiTheme="minorEastAsia" w:eastAsiaTheme="minorEastAsia" w:cstheme="minorEastAsia"/>
          <w:bCs/>
          <w:color w:val="auto"/>
          <w:sz w:val="22"/>
          <w:szCs w:val="22"/>
          <w:highlight w:val="none"/>
        </w:rPr>
        <w:t xml:space="preserve">接受大中型企业与小微企业组成联合体的采购项目，对于联合协议约定小微企业的合同份额占到合同总金额 30%以上的，采购人、采购代理机构应当对联合体的报价给予 </w:t>
      </w:r>
      <w:r>
        <w:rPr>
          <w:rFonts w:hint="eastAsia" w:asciiTheme="minorEastAsia" w:hAnsiTheme="minorEastAsia" w:eastAsiaTheme="minorEastAsia" w:cstheme="minorEastAsia"/>
          <w:bCs/>
          <w:color w:val="auto"/>
          <w:sz w:val="22"/>
          <w:szCs w:val="22"/>
          <w:highlight w:val="none"/>
          <w:lang w:val="en-US" w:eastAsia="zh-CN"/>
        </w:rPr>
        <w:t>4</w:t>
      </w:r>
      <w:r>
        <w:rPr>
          <w:rFonts w:hint="eastAsia" w:asciiTheme="minorEastAsia" w:hAnsiTheme="minorEastAsia" w:eastAsiaTheme="minorEastAsia" w:cstheme="minorEastAsia"/>
          <w:bCs/>
          <w:color w:val="auto"/>
          <w:sz w:val="22"/>
          <w:szCs w:val="22"/>
          <w:highlight w:val="none"/>
        </w:rPr>
        <w:t>%-</w:t>
      </w:r>
      <w:r>
        <w:rPr>
          <w:rFonts w:hint="eastAsia" w:asciiTheme="minorEastAsia" w:hAnsiTheme="minorEastAsia" w:eastAsiaTheme="minorEastAsia" w:cstheme="minorEastAsia"/>
          <w:bCs/>
          <w:color w:val="auto"/>
          <w:sz w:val="22"/>
          <w:szCs w:val="22"/>
          <w:highlight w:val="none"/>
          <w:lang w:val="en-US" w:eastAsia="zh-CN"/>
        </w:rPr>
        <w:t>6</w:t>
      </w:r>
      <w:r>
        <w:rPr>
          <w:rFonts w:hint="eastAsia" w:asciiTheme="minorEastAsia" w:hAnsiTheme="minorEastAsia" w:eastAsiaTheme="minorEastAsia" w:cstheme="minorEastAsia"/>
          <w:bCs/>
          <w:color w:val="auto"/>
          <w:sz w:val="22"/>
          <w:szCs w:val="22"/>
          <w:highlight w:val="none"/>
        </w:rPr>
        <w:t>%（工程项目为 1%—2%）的扣除，用扣除后的价格参加评审。组成联合体的小微企业与联合体内其他企业、分包企业之间存在直接控股、管理关系的，不享受价格扣除优惠政策。</w:t>
      </w:r>
    </w:p>
    <w:p w14:paraId="79CC438E">
      <w:pPr>
        <w:pageBreakBefore w:val="0"/>
        <w:widowControl w:val="0"/>
        <w:kinsoku/>
        <w:wordWrap/>
        <w:overflowPunct/>
        <w:topLinePunct w:val="0"/>
        <w:autoSpaceDE/>
        <w:autoSpaceDN/>
        <w:bidi w:val="0"/>
        <w:adjustRightInd/>
        <w:snapToGrid/>
        <w:spacing w:line="360" w:lineRule="auto"/>
        <w:ind w:firstLine="442" w:firstLineChars="200"/>
        <w:rPr>
          <w:rFonts w:hint="eastAsia" w:asciiTheme="minorEastAsia" w:hAnsiTheme="minorEastAsia" w:eastAsiaTheme="minorEastAsia" w:cstheme="minorEastAsia"/>
          <w:b/>
          <w:bCs/>
          <w:color w:val="auto"/>
          <w:sz w:val="22"/>
          <w:szCs w:val="22"/>
          <w:highlight w:val="none"/>
        </w:rPr>
      </w:pPr>
      <w:r>
        <w:rPr>
          <w:rFonts w:hint="eastAsia" w:asciiTheme="minorEastAsia" w:hAnsiTheme="minorEastAsia" w:eastAsiaTheme="minorEastAsia" w:cstheme="minorEastAsia"/>
          <w:b/>
          <w:bCs/>
          <w:color w:val="auto"/>
          <w:sz w:val="22"/>
          <w:szCs w:val="22"/>
          <w:highlight w:val="none"/>
        </w:rPr>
        <w:t>6.转包与分包</w:t>
      </w:r>
    </w:p>
    <w:p w14:paraId="2AB54972">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6.1本项目是否允许分包详见“供应商须知前附表”，本项目不允许违法分包。</w:t>
      </w:r>
    </w:p>
    <w:p w14:paraId="2FCCAF8B">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6.2</w:t>
      </w:r>
      <w:r>
        <w:rPr>
          <w:rFonts w:hint="eastAsia" w:asciiTheme="minorEastAsia" w:hAnsiTheme="minorEastAsia" w:eastAsiaTheme="minorEastAsia" w:cstheme="minorEastAsia"/>
          <w:bCs/>
          <w:color w:val="auto"/>
          <w:sz w:val="22"/>
          <w:szCs w:val="22"/>
          <w:highlight w:val="none"/>
        </w:rPr>
        <w:t>根据</w:t>
      </w:r>
      <w:r>
        <w:rPr>
          <w:rFonts w:hint="eastAsia" w:asciiTheme="minorEastAsia" w:hAnsiTheme="minorEastAsia" w:eastAsiaTheme="minorEastAsia" w:cstheme="minorEastAsia"/>
          <w:bCs/>
          <w:color w:val="auto"/>
          <w:sz w:val="22"/>
          <w:szCs w:val="22"/>
          <w:highlight w:val="none"/>
          <w:lang w:eastAsia="zh-CN"/>
        </w:rPr>
        <w:t>《政府采购促进中小企业发展管理办法》</w:t>
      </w:r>
      <w:r>
        <w:rPr>
          <w:rFonts w:hint="eastAsia" w:asciiTheme="minorEastAsia" w:hAnsiTheme="minorEastAsia" w:eastAsiaTheme="minorEastAsia" w:cstheme="minorEastAsia"/>
          <w:bCs/>
          <w:color w:val="auto"/>
          <w:sz w:val="22"/>
          <w:szCs w:val="22"/>
          <w:highlight w:val="none"/>
        </w:rPr>
        <w:t>（财库[2020]46号）第九条规定，</w:t>
      </w:r>
      <w:r>
        <w:rPr>
          <w:rFonts w:hint="eastAsia" w:asciiTheme="minorEastAsia" w:hAnsiTheme="minorEastAsia" w:eastAsiaTheme="minorEastAsia" w:cstheme="minorEastAsia"/>
          <w:bCs/>
          <w:color w:val="auto"/>
          <w:sz w:val="22"/>
          <w:szCs w:val="22"/>
          <w:highlight w:val="none"/>
          <w:lang w:val="en-US" w:eastAsia="zh-CN"/>
        </w:rPr>
        <w:t>结合</w:t>
      </w:r>
      <w:r>
        <w:rPr>
          <w:rFonts w:hint="eastAsia" w:asciiTheme="minorEastAsia" w:hAnsiTheme="minorEastAsia" w:eastAsiaTheme="minorEastAsia" w:cstheme="minorEastAsia"/>
          <w:color w:val="auto"/>
          <w:sz w:val="22"/>
          <w:szCs w:val="22"/>
          <w:highlight w:val="none"/>
          <w:lang w:eastAsia="zh-CN"/>
        </w:rPr>
        <w:t>《关于进一步加大政府采购支持中小企业力度的通知》（</w:t>
      </w:r>
      <w:r>
        <w:rPr>
          <w:rFonts w:hint="eastAsia" w:asciiTheme="minorEastAsia" w:hAnsiTheme="minorEastAsia" w:eastAsiaTheme="minorEastAsia" w:cstheme="minorEastAsia"/>
          <w:color w:val="auto"/>
          <w:sz w:val="22"/>
          <w:szCs w:val="22"/>
          <w:highlight w:val="none"/>
        </w:rPr>
        <w:t>财库〔2022〕19号</w:t>
      </w:r>
      <w:r>
        <w:rPr>
          <w:rFonts w:hint="eastAsia" w:asciiTheme="minorEastAsia" w:hAnsiTheme="minorEastAsia" w:eastAsiaTheme="minorEastAsia" w:cstheme="minorEastAsia"/>
          <w:color w:val="auto"/>
          <w:sz w:val="22"/>
          <w:szCs w:val="22"/>
          <w:highlight w:val="none"/>
          <w:lang w:eastAsia="zh-CN"/>
        </w:rPr>
        <w:t>）</w:t>
      </w:r>
      <w:r>
        <w:rPr>
          <w:rFonts w:hint="eastAsia" w:asciiTheme="minorEastAsia" w:hAnsiTheme="minorEastAsia" w:eastAsiaTheme="minorEastAsia" w:cstheme="minorEastAsia"/>
          <w:color w:val="auto"/>
          <w:sz w:val="22"/>
          <w:szCs w:val="22"/>
          <w:highlight w:val="none"/>
          <w:lang w:val="en-US" w:eastAsia="zh-CN"/>
        </w:rPr>
        <w:t>的要求</w:t>
      </w:r>
      <w:r>
        <w:rPr>
          <w:rFonts w:hint="eastAsia" w:asciiTheme="minorEastAsia" w:hAnsiTheme="minorEastAsia" w:eastAsiaTheme="minorEastAsia" w:cstheme="minorEastAsia"/>
          <w:color w:val="auto"/>
          <w:sz w:val="22"/>
          <w:szCs w:val="22"/>
          <w:highlight w:val="none"/>
          <w:lang w:eastAsia="zh-CN"/>
        </w:rPr>
        <w:t>，</w:t>
      </w:r>
      <w:r>
        <w:rPr>
          <w:rFonts w:hint="eastAsia" w:asciiTheme="minorEastAsia" w:hAnsiTheme="minorEastAsia" w:eastAsiaTheme="minorEastAsia" w:cstheme="minorEastAsia"/>
          <w:bCs/>
          <w:color w:val="auto"/>
          <w:sz w:val="22"/>
          <w:szCs w:val="22"/>
          <w:highlight w:val="none"/>
        </w:rPr>
        <w:t>允许大中型企业向一家或者多家小微企业分包的采购项目，对于分包意向协议约定小微企业的合同份额占到合同总金额 30%以上的，采购人、采购代理机构应当对大中型企业的报价给予</w:t>
      </w:r>
      <w:r>
        <w:rPr>
          <w:rFonts w:hint="eastAsia" w:asciiTheme="minorEastAsia" w:hAnsiTheme="minorEastAsia" w:eastAsiaTheme="minorEastAsia" w:cstheme="minorEastAsia"/>
          <w:bCs/>
          <w:color w:val="auto"/>
          <w:sz w:val="22"/>
          <w:szCs w:val="22"/>
          <w:highlight w:val="none"/>
          <w:lang w:val="en-US" w:eastAsia="zh-CN"/>
        </w:rPr>
        <w:t>4</w:t>
      </w:r>
      <w:r>
        <w:rPr>
          <w:rFonts w:hint="eastAsia" w:asciiTheme="minorEastAsia" w:hAnsiTheme="minorEastAsia" w:eastAsiaTheme="minorEastAsia" w:cstheme="minorEastAsia"/>
          <w:bCs/>
          <w:color w:val="auto"/>
          <w:sz w:val="22"/>
          <w:szCs w:val="22"/>
          <w:highlight w:val="none"/>
        </w:rPr>
        <w:t>%-</w:t>
      </w:r>
      <w:r>
        <w:rPr>
          <w:rFonts w:hint="eastAsia" w:asciiTheme="minorEastAsia" w:hAnsiTheme="minorEastAsia" w:eastAsiaTheme="minorEastAsia" w:cstheme="minorEastAsia"/>
          <w:bCs/>
          <w:color w:val="auto"/>
          <w:sz w:val="22"/>
          <w:szCs w:val="22"/>
          <w:highlight w:val="none"/>
          <w:lang w:val="en-US" w:eastAsia="zh-CN"/>
        </w:rPr>
        <w:t>6</w:t>
      </w:r>
      <w:r>
        <w:rPr>
          <w:rFonts w:hint="eastAsia" w:asciiTheme="minorEastAsia" w:hAnsiTheme="minorEastAsia" w:eastAsiaTheme="minorEastAsia" w:cstheme="minorEastAsia"/>
          <w:bCs/>
          <w:color w:val="auto"/>
          <w:sz w:val="22"/>
          <w:szCs w:val="22"/>
          <w:highlight w:val="none"/>
        </w:rPr>
        <w:t>%的扣除，用扣除后的价格参加评审。接受分包的小微企业与分包企业之间存在直接控股、管理关系的，不享受价格扣除优惠政策。</w:t>
      </w:r>
    </w:p>
    <w:p w14:paraId="2A5ABE53">
      <w:pPr>
        <w:pageBreakBefore w:val="0"/>
        <w:widowControl w:val="0"/>
        <w:kinsoku/>
        <w:wordWrap/>
        <w:overflowPunct/>
        <w:topLinePunct w:val="0"/>
        <w:autoSpaceDE/>
        <w:autoSpaceDN/>
        <w:bidi w:val="0"/>
        <w:adjustRightInd/>
        <w:snapToGrid/>
        <w:spacing w:line="360" w:lineRule="auto"/>
        <w:ind w:firstLine="442" w:firstLineChars="200"/>
        <w:rPr>
          <w:rFonts w:hint="eastAsia" w:asciiTheme="minorEastAsia" w:hAnsiTheme="minorEastAsia" w:eastAsiaTheme="minorEastAsia" w:cstheme="minorEastAsia"/>
          <w:b/>
          <w:bCs/>
          <w:color w:val="auto"/>
          <w:sz w:val="22"/>
          <w:szCs w:val="22"/>
          <w:highlight w:val="none"/>
        </w:rPr>
      </w:pPr>
      <w:bookmarkStart w:id="33" w:name="_Toc254970532"/>
      <w:bookmarkStart w:id="34" w:name="_Toc254970673"/>
      <w:r>
        <w:rPr>
          <w:rFonts w:hint="eastAsia" w:asciiTheme="minorEastAsia" w:hAnsiTheme="minorEastAsia" w:eastAsiaTheme="minorEastAsia" w:cstheme="minorEastAsia"/>
          <w:b/>
          <w:bCs/>
          <w:color w:val="auto"/>
          <w:sz w:val="22"/>
          <w:szCs w:val="22"/>
          <w:highlight w:val="none"/>
        </w:rPr>
        <w:t>7.特别说明</w:t>
      </w:r>
      <w:bookmarkEnd w:id="33"/>
      <w:bookmarkEnd w:id="34"/>
    </w:p>
    <w:p w14:paraId="278ED0FE">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bookmarkStart w:id="35" w:name="_8.1提供相同品牌产品且通过资格审查、符合性审查的不同投标人参加同一合"/>
      <w:bookmarkEnd w:id="35"/>
      <w:r>
        <w:rPr>
          <w:rFonts w:hint="eastAsia" w:asciiTheme="minorEastAsia" w:hAnsiTheme="minorEastAsia" w:eastAsiaTheme="minorEastAsia" w:cstheme="minorEastAsia"/>
          <w:color w:val="auto"/>
          <w:sz w:val="22"/>
          <w:szCs w:val="22"/>
          <w:highlight w:val="none"/>
        </w:rPr>
        <w:t>7.1</w:t>
      </w:r>
      <w:bookmarkStart w:id="36" w:name="_Hlk65832145"/>
      <w:r>
        <w:rPr>
          <w:rFonts w:hint="eastAsia" w:asciiTheme="minorEastAsia" w:hAnsiTheme="minorEastAsia" w:eastAsiaTheme="minorEastAsia" w:cstheme="minorEastAsia"/>
          <w:color w:val="auto"/>
          <w:sz w:val="22"/>
          <w:szCs w:val="22"/>
          <w:highlight w:val="none"/>
        </w:rPr>
        <w:t>如果本磋商文件要求提供供应商或制造商的资格、信誉、荣誉、业绩与企业认证等材料的，资格、信誉、荣誉、业绩与企业认证等必须为供应商或者制造商所拥有或自身获得。</w:t>
      </w:r>
    </w:p>
    <w:bookmarkEnd w:id="36"/>
    <w:p w14:paraId="6001CE2F">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7.2供应商应仔细阅读磋商文件的所有内容，按照磋商文件的要求提交响应文件，并对所提供的全部资料的真实性承担法律责任。</w:t>
      </w:r>
    </w:p>
    <w:p w14:paraId="03883C6A">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7.3供应商在竞标活动中提供任何疑似虚假材料，将报监管部门查处；签订合同后发现的，成交供应商须依照《</w:t>
      </w:r>
      <w:r>
        <w:rPr>
          <w:rFonts w:hint="eastAsia" w:asciiTheme="minorEastAsia" w:hAnsiTheme="minorEastAsia" w:eastAsiaTheme="minorEastAsia" w:cstheme="minorEastAsia"/>
          <w:color w:val="auto"/>
          <w:sz w:val="22"/>
          <w:szCs w:val="22"/>
          <w:highlight w:val="none"/>
          <w:lang w:eastAsia="zh-CN"/>
        </w:rPr>
        <w:t>中华人民共和国民法典</w:t>
      </w:r>
      <w:r>
        <w:rPr>
          <w:rFonts w:hint="eastAsia" w:asciiTheme="minorEastAsia" w:hAnsiTheme="minorEastAsia" w:eastAsiaTheme="minorEastAsia" w:cstheme="minorEastAsia"/>
          <w:color w:val="auto"/>
          <w:sz w:val="22"/>
          <w:szCs w:val="22"/>
          <w:highlight w:val="none"/>
        </w:rPr>
        <w:t>》规定赔偿采购人，且民事赔偿并不免除违法供应商的行政与刑事责任。</w:t>
      </w:r>
    </w:p>
    <w:p w14:paraId="14257EA5">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7.4在政府采购活动中，采购人员及相关人员与供应商有下列利害关系之一的，应当回避：</w:t>
      </w:r>
    </w:p>
    <w:p w14:paraId="0E283612">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（1）参加采购活动前3年内与供应商存在劳动关系；</w:t>
      </w:r>
    </w:p>
    <w:p w14:paraId="0F4023AC">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（2）参加采购活动前3年内担任供应商的董事、监事；</w:t>
      </w:r>
    </w:p>
    <w:p w14:paraId="7C48CAFE">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（3）参加采购活动前3年内是供应商的控股股东或者实际控制人；</w:t>
      </w:r>
    </w:p>
    <w:p w14:paraId="62D772B6">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（4）与供应商的法定代表人或者负责人有夫妻、直系血亲、三代以内旁系血亲或者近姻亲关系；</w:t>
      </w:r>
    </w:p>
    <w:p w14:paraId="1805D279">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（5）与供应商有其他可能影响政府采购活动公平、公正进行的关系。</w:t>
      </w:r>
    </w:p>
    <w:p w14:paraId="3AD1CA75">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2A4B3335">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7.5有下列情形之一的视为供应商相互串通竞标，响应文件将被视为无效：</w:t>
      </w:r>
    </w:p>
    <w:p w14:paraId="5CD9D3F4">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（1）不同供应商的响应文件由同一单位或者个人编制；或者不同供应商报名的IP地址一致的；或者编制响应文件硬件设备CPU编号、硬盘编号、网卡地址一致的情况。</w:t>
      </w:r>
    </w:p>
    <w:p w14:paraId="23B01740">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（2）不同供应商委托同一单位或者个人办理竞标事宜；</w:t>
      </w:r>
    </w:p>
    <w:p w14:paraId="6286D569">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（3）不同的供应商的响应文件载明的项目管理员为同一个人；</w:t>
      </w:r>
    </w:p>
    <w:p w14:paraId="70799959">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（4）不同供应商的响应文件异常一致或者报价呈规律性差异；</w:t>
      </w:r>
    </w:p>
    <w:p w14:paraId="6EA6AF86">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（5）不同供应商的响应文件相互混装；</w:t>
      </w:r>
    </w:p>
    <w:p w14:paraId="6264AE10">
      <w:pPr>
        <w:pageBreakBefore w:val="0"/>
        <w:widowControl w:val="0"/>
        <w:tabs>
          <w:tab w:val="left" w:pos="6931"/>
        </w:tabs>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（6）不同供应商的磋商保证金从同一单位或者个人账户转出。</w:t>
      </w:r>
      <w:r>
        <w:rPr>
          <w:rFonts w:hint="eastAsia" w:asciiTheme="minorEastAsia" w:hAnsiTheme="minorEastAsia" w:eastAsiaTheme="minorEastAsia" w:cstheme="minorEastAsia"/>
          <w:color w:val="auto"/>
          <w:sz w:val="22"/>
          <w:szCs w:val="22"/>
          <w:highlight w:val="none"/>
        </w:rPr>
        <w:tab/>
      </w:r>
    </w:p>
    <w:p w14:paraId="2FFDE959">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7.6供应商有下列情形之一的，属于恶意串通行为，将报同级监督管理部门：</w:t>
      </w:r>
    </w:p>
    <w:p w14:paraId="27F271B2">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（1）供应商直接或者间接从采购人或者采购代理机构处获得其他供应商的相关信息并修改其响应文件；</w:t>
      </w:r>
    </w:p>
    <w:p w14:paraId="1E4AD367">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（2）供应商按照采购人或者采购代理机构的授意撤换、修改响应文件；</w:t>
      </w:r>
    </w:p>
    <w:p w14:paraId="24AE4152">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（3）供应商之间协商报价、技术方案等响应文件或者响应文件的实质性内容；</w:t>
      </w:r>
    </w:p>
    <w:p w14:paraId="128D7892">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（4）属于同一集团、协会、商会等组织成员的供应商按照该组织要求协同参加政府采购活动；</w:t>
      </w:r>
    </w:p>
    <w:p w14:paraId="73F5BB90">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（5）供应商之间事先约定一致抬高或者压低报价，或者在政府采购活动中事先约定轮流以高价位或者低价位成交，或者事先约定由某一特定供应商成交，然后再参加竞标；</w:t>
      </w:r>
    </w:p>
    <w:p w14:paraId="77836891">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（6）供应商之间商定部分供应商放弃参加政府采购活动或者放弃成交；</w:t>
      </w:r>
    </w:p>
    <w:p w14:paraId="12BEABA3">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（7）供应商与采购人或者采购代理机构之间、供应商相互之间，为谋求特定供应商成交或者排斥其他供应商的其他串通行为。</w:t>
      </w:r>
    </w:p>
    <w:p w14:paraId="44C33546">
      <w:pPr>
        <w:keepNext/>
        <w:keepLines/>
        <w:pageBreakBefore w:val="0"/>
        <w:widowControl w:val="0"/>
        <w:kinsoku/>
        <w:wordWrap/>
        <w:overflowPunct/>
        <w:topLinePunct w:val="0"/>
        <w:autoSpaceDE/>
        <w:autoSpaceDN/>
        <w:bidi w:val="0"/>
        <w:adjustRightInd/>
        <w:snapToGrid/>
        <w:spacing w:line="360" w:lineRule="auto"/>
        <w:ind w:firstLine="482" w:firstLineChars="200"/>
        <w:outlineLvl w:val="2"/>
        <w:rPr>
          <w:rFonts w:hint="eastAsia" w:asciiTheme="minorEastAsia" w:hAnsiTheme="minorEastAsia" w:eastAsiaTheme="minorEastAsia" w:cstheme="minorEastAsia"/>
          <w:color w:val="auto"/>
          <w:sz w:val="22"/>
          <w:szCs w:val="22"/>
          <w:highlight w:val="none"/>
        </w:rPr>
      </w:pPr>
      <w:bookmarkStart w:id="37" w:name="_Toc29811"/>
      <w:bookmarkStart w:id="38" w:name="_Toc254970675"/>
      <w:bookmarkStart w:id="39" w:name="_Toc254970534"/>
      <w:r>
        <w:rPr>
          <w:rFonts w:hint="eastAsia" w:asciiTheme="minorEastAsia" w:hAnsiTheme="minorEastAsia" w:eastAsiaTheme="minorEastAsia" w:cstheme="minorEastAsia"/>
          <w:b/>
          <w:bCs/>
          <w:color w:val="auto"/>
          <w:sz w:val="24"/>
          <w:szCs w:val="24"/>
          <w:highlight w:val="none"/>
        </w:rPr>
        <w:t>二、磋商文件</w:t>
      </w:r>
      <w:bookmarkEnd w:id="37"/>
      <w:bookmarkEnd w:id="38"/>
      <w:bookmarkEnd w:id="39"/>
    </w:p>
    <w:p w14:paraId="0EFDD9AF">
      <w:pPr>
        <w:pageBreakBefore w:val="0"/>
        <w:widowControl w:val="0"/>
        <w:kinsoku/>
        <w:wordWrap/>
        <w:overflowPunct/>
        <w:topLinePunct w:val="0"/>
        <w:autoSpaceDE/>
        <w:autoSpaceDN/>
        <w:bidi w:val="0"/>
        <w:adjustRightInd/>
        <w:snapToGrid/>
        <w:spacing w:line="360" w:lineRule="auto"/>
        <w:ind w:firstLine="442" w:firstLineChars="200"/>
        <w:rPr>
          <w:rFonts w:hint="eastAsia" w:asciiTheme="minorEastAsia" w:hAnsiTheme="minorEastAsia" w:eastAsiaTheme="minorEastAsia" w:cstheme="minorEastAsia"/>
          <w:b/>
          <w:bCs/>
          <w:color w:val="auto"/>
          <w:sz w:val="22"/>
          <w:szCs w:val="22"/>
          <w:highlight w:val="none"/>
        </w:rPr>
      </w:pPr>
      <w:r>
        <w:rPr>
          <w:rFonts w:hint="eastAsia" w:asciiTheme="minorEastAsia" w:hAnsiTheme="minorEastAsia" w:eastAsiaTheme="minorEastAsia" w:cstheme="minorEastAsia"/>
          <w:b/>
          <w:bCs/>
          <w:color w:val="auto"/>
          <w:sz w:val="22"/>
          <w:szCs w:val="22"/>
          <w:highlight w:val="none"/>
        </w:rPr>
        <w:t>8.磋商文件的构成</w:t>
      </w:r>
    </w:p>
    <w:p w14:paraId="797086A1">
      <w:pPr>
        <w:pageBreakBefore w:val="0"/>
        <w:widowControl w:val="0"/>
        <w:kinsoku/>
        <w:wordWrap/>
        <w:overflowPunct/>
        <w:topLinePunct w:val="0"/>
        <w:autoSpaceDE/>
        <w:autoSpaceDN/>
        <w:bidi w:val="0"/>
        <w:adjustRightInd/>
        <w:snapToGrid/>
        <w:spacing w:line="360" w:lineRule="auto"/>
        <w:ind w:firstLine="440" w:firstLineChars="200"/>
        <w:jc w:val="left"/>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第一章 竞争性磋商公告；</w:t>
      </w:r>
    </w:p>
    <w:p w14:paraId="55F909F8">
      <w:pPr>
        <w:pageBreakBefore w:val="0"/>
        <w:widowControl w:val="0"/>
        <w:kinsoku/>
        <w:wordWrap/>
        <w:overflowPunct/>
        <w:topLinePunct w:val="0"/>
        <w:autoSpaceDE/>
        <w:autoSpaceDN/>
        <w:bidi w:val="0"/>
        <w:adjustRightInd/>
        <w:snapToGrid/>
        <w:spacing w:line="360" w:lineRule="auto"/>
        <w:ind w:firstLine="440" w:firstLineChars="200"/>
        <w:jc w:val="left"/>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第二章 采购需求；</w:t>
      </w:r>
    </w:p>
    <w:p w14:paraId="713B96EE">
      <w:pPr>
        <w:pageBreakBefore w:val="0"/>
        <w:widowControl w:val="0"/>
        <w:kinsoku/>
        <w:wordWrap/>
        <w:overflowPunct/>
        <w:topLinePunct w:val="0"/>
        <w:autoSpaceDE/>
        <w:autoSpaceDN/>
        <w:bidi w:val="0"/>
        <w:adjustRightInd/>
        <w:snapToGrid/>
        <w:spacing w:line="360" w:lineRule="auto"/>
        <w:ind w:firstLine="440" w:firstLineChars="200"/>
        <w:jc w:val="left"/>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 xml:space="preserve">第三章 供应商须知； </w:t>
      </w:r>
    </w:p>
    <w:p w14:paraId="5976F7E8">
      <w:pPr>
        <w:pageBreakBefore w:val="0"/>
        <w:widowControl w:val="0"/>
        <w:kinsoku/>
        <w:wordWrap/>
        <w:overflowPunct/>
        <w:topLinePunct w:val="0"/>
        <w:autoSpaceDE/>
        <w:autoSpaceDN/>
        <w:bidi w:val="0"/>
        <w:adjustRightInd/>
        <w:snapToGrid/>
        <w:spacing w:line="360" w:lineRule="auto"/>
        <w:ind w:firstLine="440" w:firstLineChars="200"/>
        <w:jc w:val="left"/>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第四章 评审程序、评审方法和评审标准；</w:t>
      </w:r>
    </w:p>
    <w:p w14:paraId="0DF01CDA">
      <w:pPr>
        <w:pageBreakBefore w:val="0"/>
        <w:widowControl w:val="0"/>
        <w:kinsoku/>
        <w:wordWrap/>
        <w:overflowPunct/>
        <w:topLinePunct w:val="0"/>
        <w:autoSpaceDE/>
        <w:autoSpaceDN/>
        <w:bidi w:val="0"/>
        <w:adjustRightInd/>
        <w:snapToGrid/>
        <w:spacing w:line="360" w:lineRule="auto"/>
        <w:ind w:firstLine="440" w:firstLineChars="200"/>
        <w:jc w:val="left"/>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第五章 响应文件格式；</w:t>
      </w:r>
    </w:p>
    <w:p w14:paraId="1E6102E0">
      <w:pPr>
        <w:pageBreakBefore w:val="0"/>
        <w:widowControl w:val="0"/>
        <w:kinsoku/>
        <w:wordWrap/>
        <w:overflowPunct/>
        <w:topLinePunct w:val="0"/>
        <w:autoSpaceDE/>
        <w:autoSpaceDN/>
        <w:bidi w:val="0"/>
        <w:adjustRightInd/>
        <w:snapToGrid/>
        <w:spacing w:line="360" w:lineRule="auto"/>
        <w:ind w:firstLine="440" w:firstLineChars="200"/>
        <w:jc w:val="left"/>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第六章 合同文本；</w:t>
      </w:r>
    </w:p>
    <w:p w14:paraId="4409BBAD">
      <w:pPr>
        <w:pageBreakBefore w:val="0"/>
        <w:widowControl w:val="0"/>
        <w:kinsoku/>
        <w:wordWrap/>
        <w:overflowPunct/>
        <w:topLinePunct w:val="0"/>
        <w:autoSpaceDE/>
        <w:autoSpaceDN/>
        <w:bidi w:val="0"/>
        <w:adjustRightInd/>
        <w:snapToGrid/>
        <w:spacing w:line="360" w:lineRule="auto"/>
        <w:ind w:firstLine="440" w:firstLineChars="200"/>
        <w:jc w:val="left"/>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第七章 质疑、投诉材料格式。</w:t>
      </w:r>
    </w:p>
    <w:p w14:paraId="29912C55">
      <w:pPr>
        <w:pStyle w:val="30"/>
        <w:pageBreakBefore w:val="0"/>
        <w:widowControl w:val="0"/>
        <w:kinsoku/>
        <w:wordWrap/>
        <w:overflowPunct/>
        <w:topLinePunct w:val="0"/>
        <w:autoSpaceDE/>
        <w:autoSpaceDN/>
        <w:bidi w:val="0"/>
        <w:adjustRightInd/>
        <w:snapToGrid/>
        <w:spacing w:line="360" w:lineRule="auto"/>
        <w:rPr>
          <w:rFonts w:hint="eastAsia" w:asciiTheme="minorEastAsia" w:hAnsiTheme="minorEastAsia" w:eastAsiaTheme="minorEastAsia" w:cstheme="minorEastAsia"/>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第八章 政府采购合同验收书范本</w:t>
      </w:r>
    </w:p>
    <w:p w14:paraId="3F2C4FF4">
      <w:pPr>
        <w:pageBreakBefore w:val="0"/>
        <w:widowControl w:val="0"/>
        <w:kinsoku/>
        <w:wordWrap/>
        <w:overflowPunct/>
        <w:topLinePunct w:val="0"/>
        <w:autoSpaceDE/>
        <w:autoSpaceDN/>
        <w:bidi w:val="0"/>
        <w:adjustRightInd/>
        <w:snapToGrid/>
        <w:spacing w:line="360" w:lineRule="auto"/>
        <w:ind w:firstLine="442" w:firstLineChars="200"/>
        <w:rPr>
          <w:rFonts w:hint="eastAsia" w:asciiTheme="minorEastAsia" w:hAnsiTheme="minorEastAsia" w:eastAsiaTheme="minorEastAsia" w:cstheme="minorEastAsia"/>
          <w:b/>
          <w:bCs/>
          <w:color w:val="auto"/>
          <w:sz w:val="22"/>
          <w:szCs w:val="22"/>
          <w:highlight w:val="none"/>
        </w:rPr>
      </w:pPr>
      <w:r>
        <w:rPr>
          <w:rFonts w:hint="eastAsia" w:asciiTheme="minorEastAsia" w:hAnsiTheme="minorEastAsia" w:eastAsiaTheme="minorEastAsia" w:cstheme="minorEastAsia"/>
          <w:b/>
          <w:bCs/>
          <w:color w:val="auto"/>
          <w:sz w:val="22"/>
          <w:szCs w:val="22"/>
          <w:highlight w:val="none"/>
        </w:rPr>
        <w:t>9.供应商的询问</w:t>
      </w:r>
    </w:p>
    <w:p w14:paraId="0262EB0F">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供应商应认真阅读磋商文件的采购需求，如供应商对磋商文件有疑问的，如要求采购人作出澄清或者修改的，供应商尽应在提交首次响应文件截止之日前，以书面形式向采购人、采购代理机构提出。</w:t>
      </w:r>
    </w:p>
    <w:p w14:paraId="55E1FE69">
      <w:pPr>
        <w:pageBreakBefore w:val="0"/>
        <w:widowControl w:val="0"/>
        <w:kinsoku/>
        <w:wordWrap/>
        <w:overflowPunct/>
        <w:topLinePunct w:val="0"/>
        <w:autoSpaceDE/>
        <w:autoSpaceDN/>
        <w:bidi w:val="0"/>
        <w:adjustRightInd/>
        <w:snapToGrid/>
        <w:spacing w:line="360" w:lineRule="auto"/>
        <w:ind w:firstLine="442" w:firstLineChars="200"/>
        <w:rPr>
          <w:rFonts w:hint="eastAsia" w:asciiTheme="minorEastAsia" w:hAnsiTheme="minorEastAsia" w:eastAsiaTheme="minorEastAsia" w:cstheme="minorEastAsia"/>
          <w:b/>
          <w:bCs/>
          <w:color w:val="auto"/>
          <w:sz w:val="22"/>
          <w:szCs w:val="22"/>
          <w:highlight w:val="none"/>
        </w:rPr>
      </w:pPr>
      <w:r>
        <w:rPr>
          <w:rFonts w:hint="eastAsia" w:asciiTheme="minorEastAsia" w:hAnsiTheme="minorEastAsia" w:eastAsiaTheme="minorEastAsia" w:cstheme="minorEastAsia"/>
          <w:b/>
          <w:bCs/>
          <w:color w:val="auto"/>
          <w:sz w:val="22"/>
          <w:szCs w:val="22"/>
          <w:highlight w:val="none"/>
        </w:rPr>
        <w:t>10.磋商文件的澄清和修改</w:t>
      </w:r>
    </w:p>
    <w:p w14:paraId="45A2867A">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10.1已获取磋商文件的潜在供应商，若有问题需要澄清，应于应标截止时间前，以书面形式向采购代理机构提出，采购代理机构与采购人研究后，对认为有必要回答的问题，按照本章10.3的内容处理。</w:t>
      </w:r>
    </w:p>
    <w:p w14:paraId="0981FE8C">
      <w:pPr>
        <w:pageBreakBefore w:val="0"/>
        <w:widowControl w:val="0"/>
        <w:kinsoku/>
        <w:wordWrap/>
        <w:overflowPunct/>
        <w:topLinePunct w:val="0"/>
        <w:autoSpaceDE/>
        <w:autoSpaceDN/>
        <w:bidi w:val="0"/>
        <w:adjustRightInd/>
        <w:snapToGrid/>
        <w:spacing w:line="360" w:lineRule="auto"/>
        <w:ind w:firstLine="442" w:firstLineChars="200"/>
        <w:rPr>
          <w:rFonts w:hint="eastAsia" w:asciiTheme="minorEastAsia" w:hAnsiTheme="minorEastAsia" w:eastAsiaTheme="minorEastAsia" w:cstheme="minorEastAsia"/>
          <w:b/>
          <w:color w:val="auto"/>
          <w:sz w:val="22"/>
          <w:szCs w:val="22"/>
          <w:highlight w:val="none"/>
        </w:rPr>
      </w:pPr>
      <w:r>
        <w:rPr>
          <w:rFonts w:hint="eastAsia" w:asciiTheme="minorEastAsia" w:hAnsiTheme="minorEastAsia" w:eastAsiaTheme="minorEastAsia" w:cstheme="minorEastAsia"/>
          <w:b/>
          <w:color w:val="auto"/>
          <w:sz w:val="22"/>
          <w:szCs w:val="22"/>
          <w:highlight w:val="none"/>
        </w:rPr>
        <w:t>10.2采购人或者采购代理机构可以对已发出的磋商文件进行必要的澄清或者修改，但不得改变采购标的和资格条件。澄清或者修改应当在原公告发布媒体上发布澄清公告。澄清或者修改的内容为磋商文件的组成部分。</w:t>
      </w:r>
    </w:p>
    <w:p w14:paraId="2A697EB7">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10.3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或者磋商小组在提交首次响应文件截止之日3个工作日前，以书面形式（目前为网上公告和系统短信等形式）通知所有获取磋商文件的供应商，不足3个工作日的，应当顺延提交首次响应文件截止之日。</w:t>
      </w:r>
    </w:p>
    <w:p w14:paraId="53EC2C53">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10.4</w:t>
      </w:r>
      <w:r>
        <w:rPr>
          <w:rFonts w:hint="eastAsia" w:asciiTheme="minorEastAsia" w:hAnsiTheme="minorEastAsia" w:eastAsiaTheme="minorEastAsia" w:cstheme="minorEastAsia"/>
          <w:color w:val="auto"/>
          <w:sz w:val="22"/>
          <w:szCs w:val="22"/>
          <w:highlight w:val="none"/>
          <w:shd w:val="clear" w:color="auto" w:fill="FFFFFF"/>
        </w:rPr>
        <w:t>采购信息更正公告的内容应当包括采购人和采购代理机构名称、地址、联系方式，原公告的采购项目名称及首次公告日期，更正事项、内容及日期，采购项目联系人和电话。</w:t>
      </w:r>
    </w:p>
    <w:p w14:paraId="145AF53D">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10.5采购人和采购代理机构可以视采购具体情况，变更提交首次响应文件截止时间和</w:t>
      </w:r>
      <w:r>
        <w:rPr>
          <w:rFonts w:hint="eastAsia" w:asciiTheme="minorEastAsia" w:hAnsiTheme="minorEastAsia" w:eastAsiaTheme="minorEastAsia" w:cstheme="minorEastAsia"/>
          <w:color w:val="auto"/>
          <w:sz w:val="22"/>
          <w:szCs w:val="22"/>
          <w:highlight w:val="none"/>
          <w:lang w:val="en-US" w:eastAsia="zh-CN"/>
        </w:rPr>
        <w:t>磋商</w:t>
      </w:r>
      <w:r>
        <w:rPr>
          <w:rFonts w:hint="eastAsia" w:asciiTheme="minorEastAsia" w:hAnsiTheme="minorEastAsia" w:eastAsiaTheme="minorEastAsia" w:cstheme="minorEastAsia"/>
          <w:color w:val="auto"/>
          <w:sz w:val="22"/>
          <w:szCs w:val="22"/>
          <w:highlight w:val="none"/>
        </w:rPr>
        <w:t>时间，将变更时间将在“采购文件公告”中“七、其他补充事宜</w:t>
      </w:r>
      <w:r>
        <w:rPr>
          <w:rFonts w:hint="eastAsia" w:asciiTheme="minorEastAsia" w:hAnsiTheme="minorEastAsia" w:eastAsiaTheme="minorEastAsia" w:cstheme="minorEastAsia"/>
          <w:color w:val="auto"/>
          <w:sz w:val="22"/>
          <w:szCs w:val="22"/>
          <w:highlight w:val="none"/>
          <w:lang w:val="en-US" w:eastAsia="zh-CN"/>
        </w:rPr>
        <w:t xml:space="preserve">   </w:t>
      </w:r>
      <w:r>
        <w:rPr>
          <w:rFonts w:hint="eastAsia" w:asciiTheme="minorEastAsia" w:hAnsiTheme="minorEastAsia" w:eastAsiaTheme="minorEastAsia" w:cstheme="minorEastAsia"/>
          <w:color w:val="auto"/>
          <w:sz w:val="22"/>
          <w:szCs w:val="22"/>
          <w:highlight w:val="none"/>
        </w:rPr>
        <w:t>网上查询地址”规定的政府采购信息发布媒体上发布更正公告。</w:t>
      </w:r>
    </w:p>
    <w:p w14:paraId="1B19FB7E">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lang w:eastAsia="zh-CN"/>
        </w:rPr>
        <w:t>▲</w:t>
      </w:r>
      <w:r>
        <w:rPr>
          <w:rFonts w:hint="eastAsia" w:asciiTheme="minorEastAsia" w:hAnsiTheme="minorEastAsia" w:eastAsiaTheme="minorEastAsia" w:cstheme="minorEastAsia"/>
          <w:b/>
          <w:color w:val="auto"/>
          <w:kern w:val="0"/>
          <w:sz w:val="22"/>
          <w:szCs w:val="22"/>
          <w:highlight w:val="none"/>
        </w:rPr>
        <w:t>响应文件未按磋商文件的澄清、修改的内容编制，又不符合实质性要求的，其响应文件作无效处理。</w:t>
      </w:r>
    </w:p>
    <w:p w14:paraId="5F284936">
      <w:pPr>
        <w:keepNext/>
        <w:keepLines/>
        <w:pageBreakBefore w:val="0"/>
        <w:widowControl w:val="0"/>
        <w:kinsoku/>
        <w:wordWrap/>
        <w:overflowPunct/>
        <w:topLinePunct w:val="0"/>
        <w:autoSpaceDE/>
        <w:autoSpaceDN/>
        <w:bidi w:val="0"/>
        <w:adjustRightInd/>
        <w:snapToGrid/>
        <w:spacing w:line="360" w:lineRule="auto"/>
        <w:ind w:firstLine="482" w:firstLineChars="200"/>
        <w:outlineLvl w:val="2"/>
        <w:rPr>
          <w:rFonts w:hint="eastAsia" w:asciiTheme="minorEastAsia" w:hAnsiTheme="minorEastAsia" w:eastAsiaTheme="minorEastAsia" w:cstheme="minorEastAsia"/>
          <w:color w:val="auto"/>
          <w:sz w:val="22"/>
          <w:szCs w:val="22"/>
          <w:highlight w:val="none"/>
        </w:rPr>
      </w:pPr>
      <w:bookmarkStart w:id="40" w:name="_Toc12429"/>
      <w:r>
        <w:rPr>
          <w:rFonts w:hint="eastAsia" w:asciiTheme="minorEastAsia" w:hAnsiTheme="minorEastAsia" w:eastAsiaTheme="minorEastAsia" w:cstheme="minorEastAsia"/>
          <w:b/>
          <w:bCs/>
          <w:color w:val="auto"/>
          <w:sz w:val="24"/>
          <w:szCs w:val="24"/>
          <w:highlight w:val="none"/>
        </w:rPr>
        <w:t>三、响应文件的编制</w:t>
      </w:r>
      <w:bookmarkEnd w:id="40"/>
    </w:p>
    <w:p w14:paraId="2A656E38">
      <w:pPr>
        <w:pageBreakBefore w:val="0"/>
        <w:widowControl w:val="0"/>
        <w:kinsoku/>
        <w:wordWrap/>
        <w:overflowPunct/>
        <w:topLinePunct w:val="0"/>
        <w:autoSpaceDE/>
        <w:autoSpaceDN/>
        <w:bidi w:val="0"/>
        <w:adjustRightInd/>
        <w:snapToGrid/>
        <w:spacing w:line="360" w:lineRule="auto"/>
        <w:ind w:firstLine="442" w:firstLineChars="200"/>
        <w:rPr>
          <w:rFonts w:hint="eastAsia" w:asciiTheme="minorEastAsia" w:hAnsiTheme="minorEastAsia" w:eastAsiaTheme="minorEastAsia" w:cstheme="minorEastAsia"/>
          <w:b/>
          <w:bCs/>
          <w:color w:val="auto"/>
          <w:sz w:val="22"/>
          <w:szCs w:val="22"/>
          <w:highlight w:val="none"/>
        </w:rPr>
      </w:pPr>
      <w:r>
        <w:rPr>
          <w:rFonts w:hint="eastAsia" w:asciiTheme="minorEastAsia" w:hAnsiTheme="minorEastAsia" w:eastAsiaTheme="minorEastAsia" w:cstheme="minorEastAsia"/>
          <w:b/>
          <w:bCs/>
          <w:color w:val="auto"/>
          <w:sz w:val="22"/>
          <w:szCs w:val="22"/>
          <w:highlight w:val="none"/>
        </w:rPr>
        <w:t>11.响应文件的编制原则</w:t>
      </w:r>
    </w:p>
    <w:p w14:paraId="6931D0D4">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供应商必须按照磋商文件的要求编制响应文件，并对其提交的响应文件的真实性、合法性承担法律责任。响应文件必须对磋商文件作出实质性响应。</w:t>
      </w:r>
    </w:p>
    <w:p w14:paraId="457BF228">
      <w:pPr>
        <w:pageBreakBefore w:val="0"/>
        <w:widowControl w:val="0"/>
        <w:kinsoku/>
        <w:wordWrap/>
        <w:overflowPunct/>
        <w:topLinePunct w:val="0"/>
        <w:autoSpaceDE/>
        <w:autoSpaceDN/>
        <w:bidi w:val="0"/>
        <w:adjustRightInd/>
        <w:snapToGrid/>
        <w:spacing w:line="360" w:lineRule="auto"/>
        <w:ind w:firstLine="442" w:firstLineChars="200"/>
        <w:rPr>
          <w:rFonts w:hint="eastAsia" w:asciiTheme="minorEastAsia" w:hAnsiTheme="minorEastAsia" w:eastAsiaTheme="minorEastAsia" w:cstheme="minorEastAsia"/>
          <w:b/>
          <w:bCs/>
          <w:color w:val="auto"/>
          <w:sz w:val="22"/>
          <w:szCs w:val="22"/>
          <w:highlight w:val="none"/>
        </w:rPr>
      </w:pPr>
      <w:r>
        <w:rPr>
          <w:rFonts w:hint="eastAsia" w:asciiTheme="minorEastAsia" w:hAnsiTheme="minorEastAsia" w:eastAsiaTheme="minorEastAsia" w:cstheme="minorEastAsia"/>
          <w:b/>
          <w:bCs/>
          <w:color w:val="auto"/>
          <w:sz w:val="22"/>
          <w:szCs w:val="22"/>
          <w:highlight w:val="none"/>
        </w:rPr>
        <w:t>12.响应文件的组成</w:t>
      </w:r>
    </w:p>
    <w:p w14:paraId="703ECF9D">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12.1响应文件由资格证明文件、报价文件、商务技术文件三部分组成。</w:t>
      </w:r>
    </w:p>
    <w:p w14:paraId="557B874F">
      <w:pPr>
        <w:pageBreakBefore w:val="0"/>
        <w:widowControl w:val="0"/>
        <w:kinsoku/>
        <w:wordWrap/>
        <w:overflowPunct/>
        <w:topLinePunct w:val="0"/>
        <w:autoSpaceDE/>
        <w:autoSpaceDN/>
        <w:bidi w:val="0"/>
        <w:adjustRightInd/>
        <w:snapToGrid/>
        <w:spacing w:line="360" w:lineRule="auto"/>
        <w:ind w:left="420" w:leftChars="200"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12.1.1资格证明文件：详见须知前附表</w:t>
      </w:r>
    </w:p>
    <w:p w14:paraId="5FF09C91">
      <w:pPr>
        <w:pageBreakBefore w:val="0"/>
        <w:widowControl w:val="0"/>
        <w:kinsoku/>
        <w:wordWrap/>
        <w:overflowPunct/>
        <w:topLinePunct w:val="0"/>
        <w:autoSpaceDE/>
        <w:autoSpaceDN/>
        <w:bidi w:val="0"/>
        <w:adjustRightInd/>
        <w:snapToGrid/>
        <w:spacing w:line="360" w:lineRule="auto"/>
        <w:ind w:left="420" w:leftChars="200"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12.1.2商务技术文件：详见须知前附表</w:t>
      </w:r>
    </w:p>
    <w:p w14:paraId="35ECFCB3">
      <w:pPr>
        <w:pageBreakBefore w:val="0"/>
        <w:widowControl w:val="0"/>
        <w:kinsoku/>
        <w:wordWrap/>
        <w:overflowPunct/>
        <w:topLinePunct w:val="0"/>
        <w:autoSpaceDE/>
        <w:autoSpaceDN/>
        <w:bidi w:val="0"/>
        <w:adjustRightInd/>
        <w:snapToGrid/>
        <w:spacing w:line="360" w:lineRule="auto"/>
        <w:ind w:left="420" w:leftChars="200"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12.1.3报价文件：详见须知前附表</w:t>
      </w:r>
    </w:p>
    <w:p w14:paraId="66BDF7F7">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12.2响应文件电子版：详见须知前附表</w:t>
      </w:r>
    </w:p>
    <w:p w14:paraId="1A8343CF">
      <w:pPr>
        <w:pageBreakBefore w:val="0"/>
        <w:widowControl w:val="0"/>
        <w:kinsoku/>
        <w:wordWrap/>
        <w:overflowPunct/>
        <w:topLinePunct w:val="0"/>
        <w:autoSpaceDE/>
        <w:autoSpaceDN/>
        <w:bidi w:val="0"/>
        <w:adjustRightInd/>
        <w:snapToGrid/>
        <w:spacing w:line="360" w:lineRule="auto"/>
        <w:ind w:firstLine="442" w:firstLineChars="200"/>
        <w:rPr>
          <w:rFonts w:hint="eastAsia" w:asciiTheme="minorEastAsia" w:hAnsiTheme="minorEastAsia" w:eastAsiaTheme="minorEastAsia" w:cstheme="minorEastAsia"/>
          <w:b/>
          <w:bCs/>
          <w:color w:val="auto"/>
          <w:sz w:val="22"/>
          <w:szCs w:val="22"/>
          <w:highlight w:val="none"/>
        </w:rPr>
      </w:pPr>
      <w:r>
        <w:rPr>
          <w:rFonts w:hint="eastAsia" w:asciiTheme="minorEastAsia" w:hAnsiTheme="minorEastAsia" w:eastAsiaTheme="minorEastAsia" w:cstheme="minorEastAsia"/>
          <w:b/>
          <w:bCs/>
          <w:color w:val="auto"/>
          <w:sz w:val="22"/>
          <w:szCs w:val="22"/>
          <w:highlight w:val="none"/>
        </w:rPr>
        <w:t>13.计量单位</w:t>
      </w:r>
    </w:p>
    <w:p w14:paraId="73FBBFD8">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磋商文件已有明确规定的，使用磋商文件规定的计量单位；磋商文件没有规定的，应采用中华人民共和国法定计量单位，货币种类为人民币，否则视同未响应。</w:t>
      </w:r>
    </w:p>
    <w:p w14:paraId="02E0934A">
      <w:pPr>
        <w:pageBreakBefore w:val="0"/>
        <w:widowControl w:val="0"/>
        <w:kinsoku/>
        <w:wordWrap/>
        <w:overflowPunct/>
        <w:topLinePunct w:val="0"/>
        <w:autoSpaceDE/>
        <w:autoSpaceDN/>
        <w:bidi w:val="0"/>
        <w:adjustRightInd/>
        <w:snapToGrid/>
        <w:spacing w:line="360" w:lineRule="auto"/>
        <w:ind w:firstLine="442" w:firstLineChars="200"/>
        <w:rPr>
          <w:rFonts w:hint="eastAsia" w:asciiTheme="minorEastAsia" w:hAnsiTheme="minorEastAsia" w:eastAsiaTheme="minorEastAsia" w:cstheme="minorEastAsia"/>
          <w:b/>
          <w:bCs/>
          <w:color w:val="auto"/>
          <w:sz w:val="22"/>
          <w:szCs w:val="22"/>
          <w:highlight w:val="none"/>
        </w:rPr>
      </w:pPr>
      <w:r>
        <w:rPr>
          <w:rFonts w:hint="eastAsia" w:asciiTheme="minorEastAsia" w:hAnsiTheme="minorEastAsia" w:eastAsiaTheme="minorEastAsia" w:cstheme="minorEastAsia"/>
          <w:b/>
          <w:bCs/>
          <w:color w:val="auto"/>
          <w:sz w:val="22"/>
          <w:szCs w:val="22"/>
          <w:highlight w:val="none"/>
        </w:rPr>
        <w:t>14.竞标的风险</w:t>
      </w:r>
    </w:p>
    <w:p w14:paraId="0131AFF4">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供应商没有按照磋商文件要求提供全部资料，或者供应商没有对磋商文件在各方面作出实质性响应可能导致其响应无效，是供应商应当考虑的风险。</w:t>
      </w:r>
    </w:p>
    <w:p w14:paraId="74103D93">
      <w:pPr>
        <w:pageBreakBefore w:val="0"/>
        <w:widowControl w:val="0"/>
        <w:kinsoku/>
        <w:wordWrap/>
        <w:overflowPunct/>
        <w:topLinePunct w:val="0"/>
        <w:autoSpaceDE/>
        <w:autoSpaceDN/>
        <w:bidi w:val="0"/>
        <w:adjustRightInd/>
        <w:snapToGrid/>
        <w:spacing w:line="360" w:lineRule="auto"/>
        <w:ind w:firstLine="442" w:firstLineChars="200"/>
        <w:rPr>
          <w:rFonts w:hint="eastAsia" w:asciiTheme="minorEastAsia" w:hAnsiTheme="minorEastAsia" w:eastAsiaTheme="minorEastAsia" w:cstheme="minorEastAsia"/>
          <w:b/>
          <w:bCs/>
          <w:color w:val="auto"/>
          <w:sz w:val="22"/>
          <w:szCs w:val="22"/>
          <w:highlight w:val="none"/>
        </w:rPr>
      </w:pPr>
      <w:r>
        <w:rPr>
          <w:rFonts w:hint="eastAsia" w:asciiTheme="minorEastAsia" w:hAnsiTheme="minorEastAsia" w:eastAsiaTheme="minorEastAsia" w:cstheme="minorEastAsia"/>
          <w:b/>
          <w:bCs/>
          <w:color w:val="auto"/>
          <w:sz w:val="22"/>
          <w:szCs w:val="22"/>
          <w:highlight w:val="none"/>
        </w:rPr>
        <w:t>15.响应报价要求和构成</w:t>
      </w:r>
    </w:p>
    <w:p w14:paraId="557AF87F">
      <w:pPr>
        <w:pageBreakBefore w:val="0"/>
        <w:widowControl w:val="0"/>
        <w:tabs>
          <w:tab w:val="left" w:pos="2492"/>
        </w:tabs>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15.1响应报价应按“第五章 响应文件格式”中“响应报价表”格式填写。</w:t>
      </w:r>
    </w:p>
    <w:p w14:paraId="3CE4BA21">
      <w:pPr>
        <w:pageBreakBefore w:val="0"/>
        <w:widowControl w:val="0"/>
        <w:tabs>
          <w:tab w:val="left" w:pos="2492"/>
        </w:tabs>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15.2响应报价的价格构成见“供应商须知前附表”。</w:t>
      </w:r>
    </w:p>
    <w:p w14:paraId="6A5F26D2">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15.3响应报价要求</w:t>
      </w:r>
    </w:p>
    <w:p w14:paraId="5008A0E4">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15.3.1供应商的响应报价应符合以下要求，否则响应文件按无效响应处理：</w:t>
      </w:r>
    </w:p>
    <w:p w14:paraId="74A3D57B">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（1）供应商必须就“采购需求”中所竞标的全部内容分别作完整唯一总价报价，不得存在漏项报价；</w:t>
      </w:r>
    </w:p>
    <w:p w14:paraId="0C202A7B">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（2）供应商必须就所竞标</w:t>
      </w:r>
      <w:r>
        <w:rPr>
          <w:rFonts w:hint="eastAsia" w:asciiTheme="minorEastAsia" w:hAnsiTheme="minorEastAsia" w:eastAsiaTheme="minorEastAsia" w:cstheme="minorEastAsia"/>
          <w:color w:val="auto"/>
          <w:sz w:val="22"/>
          <w:szCs w:val="22"/>
          <w:highlight w:val="none"/>
          <w:lang w:val="en-US" w:eastAsia="zh-CN"/>
        </w:rPr>
        <w:t>的</w:t>
      </w:r>
      <w:r>
        <w:rPr>
          <w:rFonts w:hint="eastAsia" w:asciiTheme="minorEastAsia" w:hAnsiTheme="minorEastAsia" w:eastAsiaTheme="minorEastAsia" w:cstheme="minorEastAsia"/>
          <w:color w:val="auto"/>
          <w:sz w:val="22"/>
          <w:szCs w:val="22"/>
          <w:highlight w:val="none"/>
        </w:rPr>
        <w:t>内容作唯一报价。</w:t>
      </w:r>
    </w:p>
    <w:p w14:paraId="74AEA057">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15.3.2响应报价（包含首次报价、最后报价）超过所竞标规定的采购预算金额或者最高限价的，其响应文件将作无效处理。</w:t>
      </w:r>
    </w:p>
    <w:p w14:paraId="0B7C808E">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15.3.3</w:t>
      </w:r>
      <w:bookmarkStart w:id="41" w:name="_Hlk42592874"/>
      <w:r>
        <w:rPr>
          <w:rFonts w:hint="eastAsia" w:asciiTheme="minorEastAsia" w:hAnsiTheme="minorEastAsia" w:eastAsiaTheme="minorEastAsia" w:cstheme="minorEastAsia"/>
          <w:color w:val="auto"/>
          <w:sz w:val="22"/>
          <w:szCs w:val="22"/>
          <w:highlight w:val="none"/>
        </w:rPr>
        <w:t>响应报价（包含首次报价、最后报价）超过分项采购预算金额或者最高限价的，其响应文件将作无效处理。</w:t>
      </w:r>
    </w:p>
    <w:bookmarkEnd w:id="41"/>
    <w:p w14:paraId="29B44B97">
      <w:pPr>
        <w:pageBreakBefore w:val="0"/>
        <w:widowControl w:val="0"/>
        <w:kinsoku/>
        <w:wordWrap/>
        <w:overflowPunct/>
        <w:topLinePunct w:val="0"/>
        <w:autoSpaceDE/>
        <w:autoSpaceDN/>
        <w:bidi w:val="0"/>
        <w:adjustRightInd/>
        <w:snapToGrid/>
        <w:spacing w:line="360" w:lineRule="auto"/>
        <w:ind w:firstLine="442" w:firstLineChars="200"/>
        <w:rPr>
          <w:rFonts w:hint="eastAsia" w:asciiTheme="minorEastAsia" w:hAnsiTheme="minorEastAsia" w:eastAsiaTheme="minorEastAsia" w:cstheme="minorEastAsia"/>
          <w:b/>
          <w:bCs/>
          <w:color w:val="auto"/>
          <w:sz w:val="22"/>
          <w:szCs w:val="22"/>
          <w:highlight w:val="none"/>
        </w:rPr>
      </w:pPr>
      <w:r>
        <w:rPr>
          <w:rFonts w:hint="eastAsia" w:asciiTheme="minorEastAsia" w:hAnsiTheme="minorEastAsia" w:eastAsiaTheme="minorEastAsia" w:cstheme="minorEastAsia"/>
          <w:b/>
          <w:bCs/>
          <w:color w:val="auto"/>
          <w:sz w:val="22"/>
          <w:szCs w:val="22"/>
          <w:highlight w:val="none"/>
        </w:rPr>
        <w:t>16.竞标有效期</w:t>
      </w:r>
    </w:p>
    <w:p w14:paraId="3F02CAAE">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16.1竞标有效期是指为保证采购人有足够的时间在提交响应文件后完成评审、确定成交供应商、合同签订等工作而要求供应商提交的响应文件在一定时间内保持有效的期限。</w:t>
      </w:r>
    </w:p>
    <w:p w14:paraId="2EB7492B">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16.2 竞标有效期应由供应商按“供应商须知前附表”规定的期限作出响应。</w:t>
      </w:r>
    </w:p>
    <w:p w14:paraId="3971B4FF">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16.3供应商的响应文件在竞标有效期内均保持有效。</w:t>
      </w:r>
    </w:p>
    <w:p w14:paraId="6156C269">
      <w:pPr>
        <w:pageBreakBefore w:val="0"/>
        <w:widowControl w:val="0"/>
        <w:kinsoku/>
        <w:wordWrap/>
        <w:overflowPunct/>
        <w:topLinePunct w:val="0"/>
        <w:autoSpaceDE/>
        <w:autoSpaceDN/>
        <w:bidi w:val="0"/>
        <w:adjustRightInd/>
        <w:snapToGrid/>
        <w:spacing w:line="360" w:lineRule="auto"/>
        <w:ind w:firstLine="442" w:firstLineChars="200"/>
        <w:rPr>
          <w:rFonts w:hint="eastAsia" w:asciiTheme="minorEastAsia" w:hAnsiTheme="minorEastAsia" w:eastAsiaTheme="minorEastAsia" w:cstheme="minorEastAsia"/>
          <w:b/>
          <w:bCs/>
          <w:color w:val="auto"/>
          <w:sz w:val="22"/>
          <w:szCs w:val="22"/>
          <w:highlight w:val="none"/>
        </w:rPr>
      </w:pPr>
      <w:r>
        <w:rPr>
          <w:rFonts w:hint="eastAsia" w:asciiTheme="minorEastAsia" w:hAnsiTheme="minorEastAsia" w:eastAsiaTheme="minorEastAsia" w:cstheme="minorEastAsia"/>
          <w:b/>
          <w:bCs/>
          <w:color w:val="auto"/>
          <w:sz w:val="22"/>
          <w:szCs w:val="22"/>
          <w:highlight w:val="none"/>
        </w:rPr>
        <w:t>17.磋商保证金</w:t>
      </w:r>
    </w:p>
    <w:p w14:paraId="671F153E">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bCs/>
          <w:color w:val="auto"/>
          <w:sz w:val="22"/>
          <w:szCs w:val="22"/>
          <w:highlight w:val="none"/>
          <w:lang w:eastAsia="zh-CN"/>
        </w:rPr>
      </w:pPr>
      <w:r>
        <w:rPr>
          <w:rFonts w:hint="eastAsia" w:asciiTheme="minorEastAsia" w:hAnsiTheme="minorEastAsia" w:eastAsiaTheme="minorEastAsia" w:cstheme="minorEastAsia"/>
          <w:bCs/>
          <w:color w:val="auto"/>
          <w:sz w:val="22"/>
          <w:szCs w:val="22"/>
          <w:highlight w:val="none"/>
          <w:lang w:eastAsia="zh-CN"/>
        </w:rPr>
        <w:t>17.1提交</w:t>
      </w:r>
      <w:r>
        <w:rPr>
          <w:rFonts w:hint="eastAsia" w:asciiTheme="minorEastAsia" w:hAnsiTheme="minorEastAsia" w:eastAsiaTheme="minorEastAsia" w:cstheme="minorEastAsia"/>
          <w:bCs/>
          <w:color w:val="auto"/>
          <w:sz w:val="22"/>
          <w:szCs w:val="22"/>
          <w:highlight w:val="none"/>
          <w:lang w:val="en-US" w:eastAsia="zh-CN"/>
        </w:rPr>
        <w:t>磋商</w:t>
      </w:r>
      <w:r>
        <w:rPr>
          <w:rFonts w:hint="eastAsia" w:asciiTheme="minorEastAsia" w:hAnsiTheme="minorEastAsia" w:eastAsiaTheme="minorEastAsia" w:cstheme="minorEastAsia"/>
          <w:bCs/>
          <w:color w:val="auto"/>
          <w:sz w:val="22"/>
          <w:szCs w:val="22"/>
          <w:highlight w:val="none"/>
          <w:lang w:eastAsia="zh-CN"/>
        </w:rPr>
        <w:t>保证金的要求详见采购文件“供应商须知前附表”。</w:t>
      </w:r>
    </w:p>
    <w:p w14:paraId="33164B2D">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bCs/>
          <w:color w:val="auto"/>
          <w:sz w:val="22"/>
          <w:szCs w:val="22"/>
          <w:highlight w:val="none"/>
          <w:lang w:eastAsia="zh-CN"/>
        </w:rPr>
      </w:pPr>
      <w:r>
        <w:rPr>
          <w:rFonts w:hint="eastAsia" w:asciiTheme="minorEastAsia" w:hAnsiTheme="minorEastAsia" w:eastAsiaTheme="minorEastAsia" w:cstheme="minorEastAsia"/>
          <w:bCs/>
          <w:color w:val="auto"/>
          <w:sz w:val="22"/>
          <w:szCs w:val="22"/>
          <w:highlight w:val="none"/>
          <w:lang w:eastAsia="zh-CN"/>
        </w:rPr>
        <w:t>17.2</w:t>
      </w:r>
      <w:r>
        <w:rPr>
          <w:rFonts w:hint="eastAsia" w:asciiTheme="minorEastAsia" w:hAnsiTheme="minorEastAsia" w:eastAsiaTheme="minorEastAsia" w:cstheme="minorEastAsia"/>
          <w:bCs/>
          <w:color w:val="auto"/>
          <w:sz w:val="22"/>
          <w:szCs w:val="22"/>
          <w:highlight w:val="none"/>
          <w:lang w:val="en-US" w:eastAsia="zh-CN"/>
        </w:rPr>
        <w:t>磋商</w:t>
      </w:r>
      <w:r>
        <w:rPr>
          <w:rFonts w:hint="eastAsia" w:asciiTheme="minorEastAsia" w:hAnsiTheme="minorEastAsia" w:eastAsiaTheme="minorEastAsia" w:cstheme="minorEastAsia"/>
          <w:bCs/>
          <w:color w:val="auto"/>
          <w:sz w:val="22"/>
          <w:szCs w:val="22"/>
          <w:highlight w:val="none"/>
          <w:lang w:eastAsia="zh-CN"/>
        </w:rPr>
        <w:t>保证金退还：除采购文件规定不予退还保证金的情形外，未成交供应商的</w:t>
      </w:r>
      <w:r>
        <w:rPr>
          <w:rFonts w:hint="eastAsia" w:asciiTheme="minorEastAsia" w:hAnsiTheme="minorEastAsia" w:eastAsiaTheme="minorEastAsia" w:cstheme="minorEastAsia"/>
          <w:bCs/>
          <w:color w:val="auto"/>
          <w:sz w:val="22"/>
          <w:szCs w:val="22"/>
          <w:highlight w:val="none"/>
          <w:lang w:val="en-US" w:eastAsia="zh-CN"/>
        </w:rPr>
        <w:t>磋商</w:t>
      </w:r>
      <w:r>
        <w:rPr>
          <w:rFonts w:hint="eastAsia" w:asciiTheme="minorEastAsia" w:hAnsiTheme="minorEastAsia" w:eastAsiaTheme="minorEastAsia" w:cstheme="minorEastAsia"/>
          <w:bCs/>
          <w:color w:val="auto"/>
          <w:sz w:val="22"/>
          <w:szCs w:val="22"/>
          <w:highlight w:val="none"/>
          <w:lang w:eastAsia="zh-CN"/>
        </w:rPr>
        <w:t>保证金在成交通知书发出后</w:t>
      </w:r>
      <w:r>
        <w:rPr>
          <w:rFonts w:hint="eastAsia" w:asciiTheme="minorEastAsia" w:hAnsiTheme="minorEastAsia" w:eastAsiaTheme="minorEastAsia" w:cstheme="minorEastAsia"/>
          <w:bCs/>
          <w:color w:val="auto"/>
          <w:sz w:val="22"/>
          <w:szCs w:val="22"/>
          <w:highlight w:val="none"/>
          <w:lang w:val="en-US" w:eastAsia="zh-CN"/>
        </w:rPr>
        <w:t>五</w:t>
      </w:r>
      <w:r>
        <w:rPr>
          <w:rFonts w:hint="eastAsia" w:asciiTheme="minorEastAsia" w:hAnsiTheme="minorEastAsia" w:eastAsiaTheme="minorEastAsia" w:cstheme="minorEastAsia"/>
          <w:bCs/>
          <w:color w:val="auto"/>
          <w:sz w:val="22"/>
          <w:szCs w:val="22"/>
          <w:highlight w:val="none"/>
          <w:lang w:eastAsia="zh-CN"/>
        </w:rPr>
        <w:t>个工作日内退还，成交供应商的</w:t>
      </w:r>
      <w:r>
        <w:rPr>
          <w:rFonts w:hint="eastAsia" w:asciiTheme="minorEastAsia" w:hAnsiTheme="minorEastAsia" w:eastAsiaTheme="minorEastAsia" w:cstheme="minorEastAsia"/>
          <w:bCs/>
          <w:color w:val="auto"/>
          <w:sz w:val="22"/>
          <w:szCs w:val="22"/>
          <w:highlight w:val="none"/>
          <w:lang w:val="en-US" w:eastAsia="zh-CN"/>
        </w:rPr>
        <w:t>磋商</w:t>
      </w:r>
      <w:r>
        <w:rPr>
          <w:rFonts w:hint="eastAsia" w:asciiTheme="minorEastAsia" w:hAnsiTheme="minorEastAsia" w:eastAsiaTheme="minorEastAsia" w:cstheme="minorEastAsia"/>
          <w:bCs/>
          <w:color w:val="auto"/>
          <w:sz w:val="22"/>
          <w:szCs w:val="22"/>
          <w:highlight w:val="none"/>
          <w:lang w:eastAsia="zh-CN"/>
        </w:rPr>
        <w:t>保证金在与采购人签订合同后</w:t>
      </w:r>
      <w:r>
        <w:rPr>
          <w:rFonts w:hint="eastAsia" w:asciiTheme="minorEastAsia" w:hAnsiTheme="minorEastAsia" w:eastAsiaTheme="minorEastAsia" w:cstheme="minorEastAsia"/>
          <w:bCs/>
          <w:color w:val="auto"/>
          <w:sz w:val="22"/>
          <w:szCs w:val="22"/>
          <w:highlight w:val="none"/>
          <w:lang w:val="en-US" w:eastAsia="zh-CN"/>
        </w:rPr>
        <w:t>五</w:t>
      </w:r>
      <w:r>
        <w:rPr>
          <w:rFonts w:hint="eastAsia" w:asciiTheme="minorEastAsia" w:hAnsiTheme="minorEastAsia" w:eastAsiaTheme="minorEastAsia" w:cstheme="minorEastAsia"/>
          <w:bCs/>
          <w:color w:val="auto"/>
          <w:sz w:val="22"/>
          <w:szCs w:val="22"/>
          <w:highlight w:val="none"/>
          <w:lang w:eastAsia="zh-CN"/>
        </w:rPr>
        <w:t>个工作日内退还。[支票、汇票、本票形式</w:t>
      </w:r>
      <w:r>
        <w:rPr>
          <w:rFonts w:hint="eastAsia" w:asciiTheme="minorEastAsia" w:hAnsiTheme="minorEastAsia" w:eastAsiaTheme="minorEastAsia" w:cstheme="minorEastAsia"/>
          <w:bCs/>
          <w:color w:val="auto"/>
          <w:sz w:val="22"/>
          <w:szCs w:val="22"/>
          <w:highlight w:val="none"/>
          <w:lang w:val="en-US" w:eastAsia="zh-CN"/>
        </w:rPr>
        <w:t>磋商</w:t>
      </w:r>
      <w:r>
        <w:rPr>
          <w:rFonts w:hint="eastAsia" w:asciiTheme="minorEastAsia" w:hAnsiTheme="minorEastAsia" w:eastAsiaTheme="minorEastAsia" w:cstheme="minorEastAsia"/>
          <w:bCs/>
          <w:color w:val="auto"/>
          <w:sz w:val="22"/>
          <w:szCs w:val="22"/>
          <w:highlight w:val="none"/>
          <w:lang w:eastAsia="zh-CN"/>
        </w:rPr>
        <w:t>保证金的退还方式：</w:t>
      </w:r>
      <w:r>
        <w:rPr>
          <w:rFonts w:hint="eastAsia" w:asciiTheme="minorEastAsia" w:hAnsiTheme="minorEastAsia" w:eastAsiaTheme="minorEastAsia" w:cstheme="minorEastAsia"/>
          <w:bCs/>
          <w:color w:val="auto"/>
          <w:sz w:val="22"/>
          <w:szCs w:val="22"/>
          <w:highlight w:val="none"/>
          <w:lang w:val="en-US" w:eastAsia="zh-CN"/>
        </w:rPr>
        <w:t>供应商</w:t>
      </w:r>
      <w:r>
        <w:rPr>
          <w:rFonts w:hint="eastAsia" w:asciiTheme="minorEastAsia" w:hAnsiTheme="minorEastAsia" w:eastAsiaTheme="minorEastAsia" w:cstheme="minorEastAsia"/>
          <w:bCs/>
          <w:color w:val="auto"/>
          <w:sz w:val="22"/>
          <w:szCs w:val="22"/>
          <w:highlight w:val="none"/>
          <w:lang w:eastAsia="zh-CN"/>
        </w:rPr>
        <w:t>应在自接到采购代理机构通知日起（成交通知书发出当日通知未成交供应商；与采购人签订合同当日通知成交供应商）的</w:t>
      </w:r>
      <w:r>
        <w:rPr>
          <w:rFonts w:hint="eastAsia" w:asciiTheme="minorEastAsia" w:hAnsiTheme="minorEastAsia" w:eastAsiaTheme="minorEastAsia" w:cstheme="minorEastAsia"/>
          <w:bCs/>
          <w:color w:val="auto"/>
          <w:sz w:val="22"/>
          <w:szCs w:val="22"/>
          <w:highlight w:val="none"/>
          <w:lang w:val="en-US" w:eastAsia="zh-CN"/>
        </w:rPr>
        <w:t>五</w:t>
      </w:r>
      <w:r>
        <w:rPr>
          <w:rFonts w:hint="eastAsia" w:asciiTheme="minorEastAsia" w:hAnsiTheme="minorEastAsia" w:eastAsiaTheme="minorEastAsia" w:cstheme="minorEastAsia"/>
          <w:bCs/>
          <w:color w:val="auto"/>
          <w:sz w:val="22"/>
          <w:szCs w:val="22"/>
          <w:highlight w:val="none"/>
          <w:lang w:eastAsia="zh-CN"/>
        </w:rPr>
        <w:t>个工作日内自行前往采购代理机构处领取原件。</w:t>
      </w:r>
      <w:r>
        <w:rPr>
          <w:rFonts w:hint="eastAsia" w:asciiTheme="minorEastAsia" w:hAnsiTheme="minorEastAsia" w:eastAsiaTheme="minorEastAsia" w:cstheme="minorEastAsia"/>
          <w:bCs/>
          <w:color w:val="auto"/>
          <w:sz w:val="22"/>
          <w:szCs w:val="22"/>
          <w:highlight w:val="none"/>
          <w:lang w:val="en-US" w:eastAsia="zh-CN"/>
        </w:rPr>
        <w:t>供应商</w:t>
      </w:r>
      <w:r>
        <w:rPr>
          <w:rFonts w:hint="eastAsia" w:asciiTheme="minorEastAsia" w:hAnsiTheme="minorEastAsia" w:eastAsiaTheme="minorEastAsia" w:cstheme="minorEastAsia"/>
          <w:bCs/>
          <w:color w:val="auto"/>
          <w:sz w:val="22"/>
          <w:szCs w:val="22"/>
          <w:highlight w:val="none"/>
          <w:lang w:eastAsia="zh-CN"/>
        </w:rPr>
        <w:t>因自身原因逾期领取所造成的后果由</w:t>
      </w:r>
      <w:r>
        <w:rPr>
          <w:rFonts w:hint="eastAsia" w:asciiTheme="minorEastAsia" w:hAnsiTheme="minorEastAsia" w:eastAsiaTheme="minorEastAsia" w:cstheme="minorEastAsia"/>
          <w:bCs/>
          <w:color w:val="auto"/>
          <w:sz w:val="22"/>
          <w:szCs w:val="22"/>
          <w:highlight w:val="none"/>
          <w:lang w:val="en-US" w:eastAsia="zh-CN"/>
        </w:rPr>
        <w:t>供应商</w:t>
      </w:r>
      <w:r>
        <w:rPr>
          <w:rFonts w:hint="eastAsia" w:asciiTheme="minorEastAsia" w:hAnsiTheme="minorEastAsia" w:eastAsiaTheme="minorEastAsia" w:cstheme="minorEastAsia"/>
          <w:bCs/>
          <w:color w:val="auto"/>
          <w:sz w:val="22"/>
          <w:szCs w:val="22"/>
          <w:highlight w:val="none"/>
          <w:lang w:eastAsia="zh-CN"/>
        </w:rPr>
        <w:t>自行承担。]</w:t>
      </w:r>
    </w:p>
    <w:p w14:paraId="232CA95E">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b w:val="0"/>
          <w:bCs w:val="0"/>
          <w:color w:val="auto"/>
          <w:sz w:val="22"/>
          <w:szCs w:val="22"/>
          <w:highlight w:val="none"/>
        </w:rPr>
      </w:pPr>
      <w:r>
        <w:rPr>
          <w:rFonts w:hint="eastAsia" w:asciiTheme="minorEastAsia" w:hAnsiTheme="minorEastAsia" w:eastAsiaTheme="minorEastAsia" w:cstheme="minorEastAsia"/>
          <w:b w:val="0"/>
          <w:bCs w:val="0"/>
          <w:color w:val="auto"/>
          <w:sz w:val="22"/>
          <w:szCs w:val="22"/>
          <w:highlight w:val="none"/>
        </w:rPr>
        <w:t>17.3磋商保证金不计息。</w:t>
      </w:r>
    </w:p>
    <w:p w14:paraId="325AA59D">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b w:val="0"/>
          <w:bCs w:val="0"/>
          <w:color w:val="auto"/>
          <w:sz w:val="22"/>
          <w:szCs w:val="22"/>
          <w:highlight w:val="none"/>
        </w:rPr>
      </w:pPr>
      <w:r>
        <w:rPr>
          <w:rFonts w:hint="eastAsia" w:asciiTheme="minorEastAsia" w:hAnsiTheme="minorEastAsia" w:eastAsiaTheme="minorEastAsia" w:cstheme="minorEastAsia"/>
          <w:b w:val="0"/>
          <w:bCs w:val="0"/>
          <w:color w:val="auto"/>
          <w:sz w:val="22"/>
          <w:szCs w:val="22"/>
          <w:highlight w:val="none"/>
        </w:rPr>
        <w:t xml:space="preserve">17.4供应商有下列情形之一的，磋商保证金将不予退还： </w:t>
      </w:r>
    </w:p>
    <w:p w14:paraId="124E5747">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b w:val="0"/>
          <w:bCs w:val="0"/>
          <w:color w:val="auto"/>
          <w:sz w:val="22"/>
          <w:szCs w:val="22"/>
          <w:highlight w:val="none"/>
        </w:rPr>
      </w:pPr>
      <w:r>
        <w:rPr>
          <w:rFonts w:hint="eastAsia" w:asciiTheme="minorEastAsia" w:hAnsiTheme="minorEastAsia" w:eastAsiaTheme="minorEastAsia" w:cstheme="minorEastAsia"/>
          <w:b w:val="0"/>
          <w:bCs w:val="0"/>
          <w:color w:val="auto"/>
          <w:sz w:val="22"/>
          <w:szCs w:val="22"/>
          <w:highlight w:val="none"/>
        </w:rPr>
        <w:t>（1）供应商在提交响应文件截止时间后撤回响应文件的；</w:t>
      </w:r>
    </w:p>
    <w:p w14:paraId="010E9B1C">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b w:val="0"/>
          <w:bCs w:val="0"/>
          <w:color w:val="auto"/>
          <w:sz w:val="22"/>
          <w:szCs w:val="22"/>
          <w:highlight w:val="none"/>
        </w:rPr>
      </w:pPr>
      <w:r>
        <w:rPr>
          <w:rFonts w:hint="eastAsia" w:asciiTheme="minorEastAsia" w:hAnsiTheme="minorEastAsia" w:eastAsiaTheme="minorEastAsia" w:cstheme="minorEastAsia"/>
          <w:b w:val="0"/>
          <w:bCs w:val="0"/>
          <w:color w:val="auto"/>
          <w:sz w:val="22"/>
          <w:szCs w:val="22"/>
          <w:highlight w:val="none"/>
        </w:rPr>
        <w:t>（2）供应商在响应文件中提供虚假材料的；</w:t>
      </w:r>
    </w:p>
    <w:p w14:paraId="749EE478">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b w:val="0"/>
          <w:bCs w:val="0"/>
          <w:color w:val="auto"/>
          <w:sz w:val="22"/>
          <w:szCs w:val="22"/>
          <w:highlight w:val="none"/>
        </w:rPr>
      </w:pPr>
      <w:r>
        <w:rPr>
          <w:rFonts w:hint="eastAsia" w:asciiTheme="minorEastAsia" w:hAnsiTheme="minorEastAsia" w:eastAsiaTheme="minorEastAsia" w:cstheme="minorEastAsia"/>
          <w:b w:val="0"/>
          <w:bCs w:val="0"/>
          <w:color w:val="auto"/>
          <w:sz w:val="22"/>
          <w:szCs w:val="22"/>
          <w:highlight w:val="none"/>
        </w:rPr>
        <w:t>（3）除因不可抗力或者磋商文件认可的情形以外，成交供应商不与采购人签订合同的；</w:t>
      </w:r>
    </w:p>
    <w:p w14:paraId="5979C26C">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b w:val="0"/>
          <w:bCs w:val="0"/>
          <w:color w:val="auto"/>
          <w:sz w:val="22"/>
          <w:szCs w:val="22"/>
          <w:highlight w:val="none"/>
        </w:rPr>
      </w:pPr>
      <w:r>
        <w:rPr>
          <w:rFonts w:hint="eastAsia" w:asciiTheme="minorEastAsia" w:hAnsiTheme="minorEastAsia" w:eastAsiaTheme="minorEastAsia" w:cstheme="minorEastAsia"/>
          <w:b w:val="0"/>
          <w:bCs w:val="0"/>
          <w:color w:val="auto"/>
          <w:sz w:val="22"/>
          <w:szCs w:val="22"/>
          <w:highlight w:val="none"/>
        </w:rPr>
        <w:t>（4）供应商与采购人、其他供应商或者采购代理机构恶意串通的；</w:t>
      </w:r>
    </w:p>
    <w:p w14:paraId="7B7AFCD1">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b/>
          <w:bCs/>
          <w:color w:val="auto"/>
          <w:sz w:val="22"/>
          <w:szCs w:val="22"/>
          <w:highlight w:val="none"/>
        </w:rPr>
      </w:pPr>
      <w:r>
        <w:rPr>
          <w:rFonts w:hint="eastAsia" w:asciiTheme="minorEastAsia" w:hAnsiTheme="minorEastAsia" w:eastAsiaTheme="minorEastAsia" w:cstheme="minorEastAsia"/>
          <w:b w:val="0"/>
          <w:bCs w:val="0"/>
          <w:color w:val="auto"/>
          <w:sz w:val="22"/>
          <w:szCs w:val="22"/>
          <w:highlight w:val="none"/>
        </w:rPr>
        <w:t>（5）磋商文件规定的其他情形。</w:t>
      </w:r>
    </w:p>
    <w:p w14:paraId="2D8F629D">
      <w:pPr>
        <w:pageBreakBefore w:val="0"/>
        <w:widowControl w:val="0"/>
        <w:kinsoku/>
        <w:wordWrap/>
        <w:overflowPunct/>
        <w:topLinePunct w:val="0"/>
        <w:autoSpaceDE/>
        <w:autoSpaceDN/>
        <w:bidi w:val="0"/>
        <w:adjustRightInd/>
        <w:snapToGrid/>
        <w:spacing w:line="360" w:lineRule="auto"/>
        <w:ind w:firstLine="442" w:firstLineChars="200"/>
        <w:rPr>
          <w:rFonts w:hint="eastAsia" w:asciiTheme="minorEastAsia" w:hAnsiTheme="minorEastAsia" w:eastAsiaTheme="minorEastAsia" w:cstheme="minorEastAsia"/>
          <w:b/>
          <w:bCs/>
          <w:color w:val="auto"/>
          <w:sz w:val="22"/>
          <w:szCs w:val="22"/>
          <w:highlight w:val="none"/>
        </w:rPr>
      </w:pPr>
      <w:r>
        <w:rPr>
          <w:rFonts w:hint="eastAsia" w:asciiTheme="minorEastAsia" w:hAnsiTheme="minorEastAsia" w:eastAsiaTheme="minorEastAsia" w:cstheme="minorEastAsia"/>
          <w:b/>
          <w:bCs/>
          <w:color w:val="auto"/>
          <w:sz w:val="22"/>
          <w:szCs w:val="22"/>
          <w:highlight w:val="none"/>
        </w:rPr>
        <w:t>18.响应文件编制的要求</w:t>
      </w:r>
    </w:p>
    <w:p w14:paraId="1D0E91B3">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18.1各供应商在编制响应文件时请按照磋商文件“第五章 响应文件格式”规定的格式进行，混乱的编排导致响应文件被误读或磋商小组查找不到有效文件是供应商的风险。不完整、编排混乱导致响应文件被误读、漏读或者查找不到相关内容的，由此引发的后果由供应商承担。</w:t>
      </w:r>
    </w:p>
    <w:p w14:paraId="7ACA23CA">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18.2响应文件应按资格证明、报价分别编制，商务技术文件合并编制，本磋商只接受电子版响应文件，要求见本章“12.2响应文件电子版要求”。</w:t>
      </w:r>
    </w:p>
    <w:p w14:paraId="25323063">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18.</w:t>
      </w:r>
      <w:bookmarkStart w:id="42" w:name="_Hlk65832699"/>
      <w:r>
        <w:rPr>
          <w:rFonts w:hint="eastAsia" w:asciiTheme="minorEastAsia" w:hAnsiTheme="minorEastAsia" w:eastAsiaTheme="minorEastAsia" w:cstheme="minorEastAsia"/>
          <w:color w:val="auto"/>
          <w:sz w:val="22"/>
          <w:szCs w:val="22"/>
          <w:highlight w:val="none"/>
        </w:rPr>
        <w:t>3响应文件须由供应商在</w:t>
      </w:r>
      <w:r>
        <w:rPr>
          <w:rFonts w:hint="eastAsia" w:asciiTheme="minorEastAsia" w:hAnsiTheme="minorEastAsia" w:eastAsiaTheme="minorEastAsia" w:cstheme="minorEastAsia"/>
          <w:color w:val="auto"/>
          <w:kern w:val="0"/>
          <w:sz w:val="22"/>
          <w:szCs w:val="22"/>
          <w:highlight w:val="none"/>
          <w:lang w:val="zh-CN"/>
        </w:rPr>
        <w:t>“</w:t>
      </w:r>
      <w:r>
        <w:rPr>
          <w:rFonts w:hint="eastAsia" w:asciiTheme="minorEastAsia" w:hAnsiTheme="minorEastAsia" w:eastAsiaTheme="minorEastAsia" w:cstheme="minorEastAsia"/>
          <w:color w:val="auto"/>
          <w:sz w:val="22"/>
          <w:szCs w:val="22"/>
          <w:highlight w:val="none"/>
        </w:rPr>
        <w:t>第五章 响应文件格式</w:t>
      </w:r>
      <w:r>
        <w:rPr>
          <w:rFonts w:hint="eastAsia" w:asciiTheme="minorEastAsia" w:hAnsiTheme="minorEastAsia" w:eastAsiaTheme="minorEastAsia" w:cstheme="minorEastAsia"/>
          <w:color w:val="auto"/>
          <w:kern w:val="0"/>
          <w:sz w:val="22"/>
          <w:szCs w:val="22"/>
          <w:highlight w:val="none"/>
          <w:lang w:val="zh-CN"/>
        </w:rPr>
        <w:t>”</w:t>
      </w:r>
      <w:r>
        <w:rPr>
          <w:rFonts w:hint="eastAsia" w:asciiTheme="minorEastAsia" w:hAnsiTheme="minorEastAsia" w:eastAsiaTheme="minorEastAsia" w:cstheme="minorEastAsia"/>
          <w:color w:val="auto"/>
          <w:sz w:val="22"/>
          <w:szCs w:val="22"/>
          <w:highlight w:val="none"/>
        </w:rPr>
        <w:t>规定位置进行签署、盖章</w:t>
      </w:r>
      <w:bookmarkEnd w:id="42"/>
      <w:r>
        <w:rPr>
          <w:rFonts w:hint="eastAsia" w:asciiTheme="minorEastAsia" w:hAnsiTheme="minorEastAsia" w:eastAsiaTheme="minorEastAsia" w:cstheme="minorEastAsia"/>
          <w:color w:val="auto"/>
          <w:sz w:val="22"/>
          <w:szCs w:val="22"/>
          <w:highlight w:val="none"/>
        </w:rPr>
        <w:t>，否则其响应文件按无效响应处理。骑缝盖公章不视为在规定位置盖章。</w:t>
      </w:r>
    </w:p>
    <w:p w14:paraId="6CAEEFCA">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18.4响应文件中标注的供应商名称应与营业执照（事业单位法人证书、执业许可证、自然人身份证）及电子公章一致，否则其响应文件按无效响应处理。</w:t>
      </w:r>
    </w:p>
    <w:p w14:paraId="00B7A443">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18.5响应文件应避免涂改、行间插字或者删除，否则其响应文件按无效响应处理。</w:t>
      </w:r>
    </w:p>
    <w:p w14:paraId="0F7F97D1">
      <w:pPr>
        <w:pageBreakBefore w:val="0"/>
        <w:widowControl w:val="0"/>
        <w:kinsoku/>
        <w:wordWrap/>
        <w:overflowPunct/>
        <w:topLinePunct w:val="0"/>
        <w:autoSpaceDE/>
        <w:autoSpaceDN/>
        <w:bidi w:val="0"/>
        <w:adjustRightInd/>
        <w:snapToGrid/>
        <w:spacing w:line="360" w:lineRule="auto"/>
        <w:ind w:firstLine="442" w:firstLineChars="200"/>
        <w:rPr>
          <w:rFonts w:hint="eastAsia" w:asciiTheme="minorEastAsia" w:hAnsiTheme="minorEastAsia" w:eastAsiaTheme="minorEastAsia" w:cstheme="minorEastAsia"/>
          <w:b/>
          <w:bCs/>
          <w:color w:val="auto"/>
          <w:sz w:val="22"/>
          <w:szCs w:val="22"/>
          <w:highlight w:val="none"/>
        </w:rPr>
      </w:pPr>
      <w:r>
        <w:rPr>
          <w:rFonts w:hint="eastAsia" w:asciiTheme="minorEastAsia" w:hAnsiTheme="minorEastAsia" w:eastAsiaTheme="minorEastAsia" w:cstheme="minorEastAsia"/>
          <w:b/>
          <w:bCs/>
          <w:color w:val="auto"/>
          <w:sz w:val="22"/>
          <w:szCs w:val="22"/>
          <w:highlight w:val="none"/>
        </w:rPr>
        <w:t>19.响应文件的密封和标记</w:t>
      </w:r>
    </w:p>
    <w:p w14:paraId="37C75FB8">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kern w:val="0"/>
          <w:sz w:val="22"/>
          <w:szCs w:val="22"/>
          <w:highlight w:val="none"/>
          <w:lang w:val="zh-CN"/>
        </w:rPr>
      </w:pPr>
      <w:r>
        <w:rPr>
          <w:rFonts w:hint="eastAsia" w:asciiTheme="minorEastAsia" w:hAnsiTheme="minorEastAsia" w:eastAsiaTheme="minorEastAsia" w:cstheme="minorEastAsia"/>
          <w:color w:val="auto"/>
          <w:kern w:val="0"/>
          <w:sz w:val="22"/>
          <w:szCs w:val="22"/>
          <w:highlight w:val="none"/>
          <w:lang w:val="zh-CN"/>
        </w:rPr>
        <w:t>19.1供应商进行电子交易应安装客户端软件—“广西政府采购云平台电子交易客户端”，并按照磋商文件和电子交易平台的要求编制并加密响应文件。供应商未按规定加密的响应文件，电子交易平台将拒收并提示。</w:t>
      </w:r>
    </w:p>
    <w:p w14:paraId="7EEB90B6">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kern w:val="0"/>
          <w:sz w:val="22"/>
          <w:szCs w:val="22"/>
          <w:highlight w:val="none"/>
          <w:lang w:val="zh-CN"/>
        </w:rPr>
      </w:pPr>
      <w:r>
        <w:rPr>
          <w:rFonts w:hint="eastAsia" w:asciiTheme="minorEastAsia" w:hAnsiTheme="minorEastAsia" w:eastAsiaTheme="minorEastAsia" w:cstheme="minorEastAsia"/>
          <w:color w:val="auto"/>
          <w:kern w:val="0"/>
          <w:sz w:val="22"/>
          <w:szCs w:val="22"/>
          <w:highlight w:val="none"/>
          <w:lang w:val="zh-CN"/>
        </w:rPr>
        <w:t>19.2使用“广西政府采购云平台电子交易客户端”需要提前申领CA数字证书，申领流程见该项目采购公告附件。</w:t>
      </w:r>
    </w:p>
    <w:p w14:paraId="237C0919">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19.3为确保网上操作合法、有效和安全，供应商应当在响应文件提交截止时间前完成在“政府采购云平台”的身份认证，确保在电子交易过程中能够对相关数据电文进行加密和使用电子签名。</w:t>
      </w:r>
    </w:p>
    <w:p w14:paraId="4830D3BB">
      <w:pPr>
        <w:pageBreakBefore w:val="0"/>
        <w:widowControl w:val="0"/>
        <w:kinsoku/>
        <w:wordWrap/>
        <w:overflowPunct/>
        <w:topLinePunct w:val="0"/>
        <w:autoSpaceDE/>
        <w:autoSpaceDN/>
        <w:bidi w:val="0"/>
        <w:adjustRightInd/>
        <w:snapToGrid/>
        <w:spacing w:line="360" w:lineRule="auto"/>
        <w:ind w:firstLine="442" w:firstLineChars="200"/>
        <w:rPr>
          <w:rFonts w:hint="eastAsia" w:asciiTheme="minorEastAsia" w:hAnsiTheme="minorEastAsia" w:eastAsiaTheme="minorEastAsia" w:cstheme="minorEastAsia"/>
          <w:b/>
          <w:bCs/>
          <w:color w:val="auto"/>
          <w:sz w:val="22"/>
          <w:szCs w:val="22"/>
          <w:highlight w:val="none"/>
        </w:rPr>
      </w:pPr>
      <w:r>
        <w:rPr>
          <w:rFonts w:hint="eastAsia" w:asciiTheme="minorEastAsia" w:hAnsiTheme="minorEastAsia" w:eastAsiaTheme="minorEastAsia" w:cstheme="minorEastAsia"/>
          <w:b/>
          <w:bCs/>
          <w:color w:val="auto"/>
          <w:sz w:val="22"/>
          <w:szCs w:val="22"/>
          <w:highlight w:val="none"/>
        </w:rPr>
        <w:t>20.响应文件的提交</w:t>
      </w:r>
    </w:p>
    <w:p w14:paraId="30B7ACB5">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20.1供应商必须在“供应商须知前附表”规定的时间和地点提交响应文件。</w:t>
      </w:r>
    </w:p>
    <w:p w14:paraId="0A417836">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20.2 在响应文件提交截止时间以后，不能补充、修改响应文件。</w:t>
      </w:r>
    </w:p>
    <w:p w14:paraId="2B802BB6">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20.3 在提交“最后报价”后，供应商不能退出</w:t>
      </w:r>
      <w:r>
        <w:rPr>
          <w:rFonts w:hint="eastAsia" w:asciiTheme="minorEastAsia" w:hAnsiTheme="minorEastAsia" w:eastAsiaTheme="minorEastAsia" w:cstheme="minorEastAsia"/>
          <w:color w:val="auto"/>
          <w:sz w:val="22"/>
          <w:szCs w:val="22"/>
          <w:highlight w:val="none"/>
          <w:lang w:val="en-US" w:eastAsia="zh-CN"/>
        </w:rPr>
        <w:t>磋商</w:t>
      </w:r>
      <w:r>
        <w:rPr>
          <w:rFonts w:hint="eastAsia" w:asciiTheme="minorEastAsia" w:hAnsiTheme="minorEastAsia" w:eastAsiaTheme="minorEastAsia" w:cstheme="minorEastAsia"/>
          <w:color w:val="auto"/>
          <w:sz w:val="22"/>
          <w:szCs w:val="22"/>
          <w:highlight w:val="none"/>
        </w:rPr>
        <w:t>。</w:t>
      </w:r>
    </w:p>
    <w:p w14:paraId="4C301C5A">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20.4 电子交易平台收到响应文件，将妥善保存并即时向供应商发出确认回执通知。在响应文件提交截止时间前，除供应商补充、修改或者撤回响应文件外，任何单位和个人不得解密或提取响应文件。</w:t>
      </w:r>
    </w:p>
    <w:p w14:paraId="3F3994B3">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20.5 采购机构不可视情况延长提交响应文件的截止时间。</w:t>
      </w:r>
    </w:p>
    <w:p w14:paraId="53AE5870">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20.6备份响应文件。</w:t>
      </w:r>
      <w:r>
        <w:rPr>
          <w:rFonts w:hint="eastAsia" w:asciiTheme="minorEastAsia" w:hAnsiTheme="minorEastAsia" w:eastAsiaTheme="minorEastAsia" w:cstheme="minorEastAsia"/>
          <w:bCs/>
          <w:color w:val="auto"/>
          <w:sz w:val="22"/>
          <w:szCs w:val="22"/>
          <w:highlight w:val="none"/>
        </w:rPr>
        <w:t>详见在“供应商须知前附表”。</w:t>
      </w:r>
    </w:p>
    <w:p w14:paraId="76EDFBB9">
      <w:pPr>
        <w:pageBreakBefore w:val="0"/>
        <w:widowControl w:val="0"/>
        <w:kinsoku/>
        <w:wordWrap/>
        <w:overflowPunct/>
        <w:topLinePunct w:val="0"/>
        <w:autoSpaceDE/>
        <w:autoSpaceDN/>
        <w:bidi w:val="0"/>
        <w:adjustRightInd/>
        <w:snapToGrid/>
        <w:spacing w:line="360" w:lineRule="auto"/>
        <w:ind w:firstLine="442" w:firstLineChars="200"/>
        <w:rPr>
          <w:rFonts w:hint="eastAsia" w:asciiTheme="minorEastAsia" w:hAnsiTheme="minorEastAsia" w:eastAsiaTheme="minorEastAsia" w:cstheme="minorEastAsia"/>
          <w:b/>
          <w:bCs/>
          <w:color w:val="auto"/>
          <w:sz w:val="22"/>
          <w:szCs w:val="22"/>
          <w:highlight w:val="none"/>
        </w:rPr>
      </w:pPr>
      <w:r>
        <w:rPr>
          <w:rFonts w:hint="eastAsia" w:asciiTheme="minorEastAsia" w:hAnsiTheme="minorEastAsia" w:eastAsiaTheme="minorEastAsia" w:cstheme="minorEastAsia"/>
          <w:b/>
          <w:bCs/>
          <w:color w:val="auto"/>
          <w:sz w:val="22"/>
          <w:szCs w:val="22"/>
          <w:highlight w:val="none"/>
        </w:rPr>
        <w:t>21.首次响应文件的补充、修改与撤回</w:t>
      </w:r>
    </w:p>
    <w:p w14:paraId="74A9EA10">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文件提交截止时间后提交的响应文件，电子交易平台将拒收。</w:t>
      </w:r>
    </w:p>
    <w:p w14:paraId="0AFAFA48">
      <w:pPr>
        <w:pageBreakBefore w:val="0"/>
        <w:widowControl w:val="0"/>
        <w:kinsoku/>
        <w:wordWrap/>
        <w:overflowPunct/>
        <w:topLinePunct w:val="0"/>
        <w:autoSpaceDE/>
        <w:autoSpaceDN/>
        <w:bidi w:val="0"/>
        <w:adjustRightInd/>
        <w:snapToGrid/>
        <w:spacing w:line="360" w:lineRule="auto"/>
        <w:ind w:firstLine="442" w:firstLineChars="200"/>
        <w:rPr>
          <w:rFonts w:hint="eastAsia" w:asciiTheme="minorEastAsia" w:hAnsiTheme="minorEastAsia" w:eastAsiaTheme="minorEastAsia" w:cstheme="minorEastAsia"/>
          <w:b/>
          <w:bCs/>
          <w:color w:val="auto"/>
          <w:sz w:val="22"/>
          <w:szCs w:val="22"/>
          <w:highlight w:val="none"/>
        </w:rPr>
      </w:pPr>
      <w:bookmarkStart w:id="43" w:name="_Hlk45702405"/>
      <w:r>
        <w:rPr>
          <w:rFonts w:hint="eastAsia" w:asciiTheme="minorEastAsia" w:hAnsiTheme="minorEastAsia" w:eastAsiaTheme="minorEastAsia" w:cstheme="minorEastAsia"/>
          <w:b/>
          <w:bCs/>
          <w:color w:val="auto"/>
          <w:sz w:val="22"/>
          <w:szCs w:val="22"/>
          <w:highlight w:val="none"/>
        </w:rPr>
        <w:t>22.首次响应文件的退回</w:t>
      </w:r>
    </w:p>
    <w:p w14:paraId="6ADDD092">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在首次响应文件提交截止时间止提交响应文件的供应商不足3家时电子响应文件由代理机构在“</w:t>
      </w:r>
      <w:r>
        <w:rPr>
          <w:rFonts w:hint="eastAsia" w:asciiTheme="minorEastAsia" w:hAnsiTheme="minorEastAsia" w:eastAsiaTheme="minorEastAsia" w:cstheme="minorEastAsia"/>
          <w:color w:val="auto"/>
          <w:sz w:val="22"/>
          <w:szCs w:val="22"/>
          <w:highlight w:val="none"/>
          <w:lang w:eastAsia="zh-CN"/>
        </w:rPr>
        <w:t>广西政府采购云平台</w:t>
      </w:r>
      <w:r>
        <w:rPr>
          <w:rFonts w:hint="eastAsia" w:asciiTheme="minorEastAsia" w:hAnsiTheme="minorEastAsia" w:eastAsiaTheme="minorEastAsia" w:cstheme="minorEastAsia"/>
          <w:color w:val="auto"/>
          <w:sz w:val="22"/>
          <w:szCs w:val="22"/>
          <w:highlight w:val="none"/>
        </w:rPr>
        <w:t>”平台操作退回，除此之外采购人和采购代理机构对已提交的电子响应文件概不退回。</w:t>
      </w:r>
    </w:p>
    <w:p w14:paraId="4EE973A6">
      <w:pPr>
        <w:pageBreakBefore w:val="0"/>
        <w:widowControl w:val="0"/>
        <w:kinsoku/>
        <w:wordWrap/>
        <w:overflowPunct/>
        <w:topLinePunct w:val="0"/>
        <w:autoSpaceDE/>
        <w:autoSpaceDN/>
        <w:bidi w:val="0"/>
        <w:adjustRightInd/>
        <w:snapToGrid/>
        <w:spacing w:line="360" w:lineRule="auto"/>
        <w:ind w:firstLine="442" w:firstLineChars="200"/>
        <w:rPr>
          <w:rFonts w:hint="eastAsia" w:asciiTheme="minorEastAsia" w:hAnsiTheme="minorEastAsia" w:eastAsiaTheme="minorEastAsia" w:cstheme="minorEastAsia"/>
          <w:b/>
          <w:bCs/>
          <w:color w:val="auto"/>
          <w:sz w:val="22"/>
          <w:szCs w:val="22"/>
          <w:highlight w:val="none"/>
        </w:rPr>
      </w:pPr>
      <w:r>
        <w:rPr>
          <w:rFonts w:hint="eastAsia" w:asciiTheme="minorEastAsia" w:hAnsiTheme="minorEastAsia" w:eastAsiaTheme="minorEastAsia" w:cstheme="minorEastAsia"/>
          <w:b/>
          <w:bCs/>
          <w:color w:val="auto"/>
          <w:sz w:val="22"/>
          <w:szCs w:val="22"/>
          <w:highlight w:val="none"/>
        </w:rPr>
        <w:t>23.截止时间后的撤回</w:t>
      </w:r>
    </w:p>
    <w:bookmarkEnd w:id="43"/>
    <w:p w14:paraId="2FF9175F">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供应商在首次响应文件提交截止时间后向采购人、采购代理机构书面申请撤回响应文件的，将根据本须知正文17.4的规定不予退还其磋商保证金。</w:t>
      </w:r>
    </w:p>
    <w:p w14:paraId="3D55E220">
      <w:pPr>
        <w:keepNext/>
        <w:keepLines/>
        <w:pageBreakBefore w:val="0"/>
        <w:widowControl w:val="0"/>
        <w:kinsoku/>
        <w:wordWrap/>
        <w:overflowPunct/>
        <w:topLinePunct w:val="0"/>
        <w:autoSpaceDE/>
        <w:autoSpaceDN/>
        <w:bidi w:val="0"/>
        <w:adjustRightInd/>
        <w:snapToGrid/>
        <w:spacing w:line="360" w:lineRule="auto"/>
        <w:ind w:firstLine="482" w:firstLineChars="200"/>
        <w:outlineLvl w:val="2"/>
        <w:rPr>
          <w:rFonts w:hint="eastAsia" w:asciiTheme="minorEastAsia" w:hAnsiTheme="minorEastAsia" w:eastAsiaTheme="minorEastAsia" w:cstheme="minorEastAsia"/>
          <w:color w:val="auto"/>
          <w:sz w:val="22"/>
          <w:szCs w:val="22"/>
          <w:highlight w:val="none"/>
        </w:rPr>
      </w:pPr>
      <w:bookmarkStart w:id="44" w:name="_Toc26182"/>
      <w:r>
        <w:rPr>
          <w:rFonts w:hint="eastAsia" w:asciiTheme="minorEastAsia" w:hAnsiTheme="minorEastAsia" w:eastAsiaTheme="minorEastAsia" w:cstheme="minorEastAsia"/>
          <w:b/>
          <w:bCs/>
          <w:color w:val="auto"/>
          <w:sz w:val="24"/>
          <w:szCs w:val="24"/>
          <w:highlight w:val="none"/>
        </w:rPr>
        <w:t>四、评审及磋商</w:t>
      </w:r>
      <w:bookmarkEnd w:id="44"/>
    </w:p>
    <w:p w14:paraId="4636F997">
      <w:pPr>
        <w:pageBreakBefore w:val="0"/>
        <w:widowControl w:val="0"/>
        <w:kinsoku/>
        <w:wordWrap/>
        <w:overflowPunct/>
        <w:topLinePunct w:val="0"/>
        <w:autoSpaceDE/>
        <w:autoSpaceDN/>
        <w:bidi w:val="0"/>
        <w:adjustRightInd/>
        <w:snapToGrid/>
        <w:spacing w:line="360" w:lineRule="auto"/>
        <w:ind w:firstLine="442" w:firstLineChars="200"/>
        <w:rPr>
          <w:rFonts w:hint="eastAsia" w:asciiTheme="minorEastAsia" w:hAnsiTheme="minorEastAsia" w:eastAsiaTheme="minorEastAsia" w:cstheme="minorEastAsia"/>
          <w:b/>
          <w:bCs/>
          <w:color w:val="auto"/>
          <w:sz w:val="22"/>
          <w:szCs w:val="22"/>
          <w:highlight w:val="none"/>
        </w:rPr>
      </w:pPr>
      <w:r>
        <w:rPr>
          <w:rFonts w:hint="eastAsia" w:asciiTheme="minorEastAsia" w:hAnsiTheme="minorEastAsia" w:eastAsiaTheme="minorEastAsia" w:cstheme="minorEastAsia"/>
          <w:b/>
          <w:bCs/>
          <w:color w:val="auto"/>
          <w:sz w:val="22"/>
          <w:szCs w:val="22"/>
          <w:highlight w:val="none"/>
        </w:rPr>
        <w:t>24.磋商小组成立</w:t>
      </w:r>
    </w:p>
    <w:p w14:paraId="7CF65434">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24.1磋商小组由采购人代表和评审专家共3人以上单数组成，其中评审专家人数不得少于磋商小组成员总数的2/3。采购人代表不得以评审专家身份参加本部门或者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5人以上单数组成。</w:t>
      </w:r>
    </w:p>
    <w:p w14:paraId="38DD5262">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24.2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14:paraId="59C8ECA3">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lang w:val="en-US" w:eastAsia="zh-CN"/>
        </w:rPr>
        <w:t>24.3</w:t>
      </w:r>
      <w:r>
        <w:rPr>
          <w:rFonts w:hint="eastAsia" w:asciiTheme="minorEastAsia" w:hAnsiTheme="minorEastAsia" w:eastAsiaTheme="minorEastAsia" w:cstheme="minorEastAsia"/>
          <w:color w:val="auto"/>
          <w:sz w:val="22"/>
          <w:szCs w:val="22"/>
          <w:highlight w:val="none"/>
        </w:rPr>
        <w:t>本项目磋商小组由评审专家</w:t>
      </w:r>
      <w:r>
        <w:rPr>
          <w:rFonts w:hint="eastAsia" w:asciiTheme="minorEastAsia" w:hAnsiTheme="minorEastAsia" w:eastAsiaTheme="minorEastAsia" w:cstheme="minorEastAsia"/>
          <w:color w:val="auto"/>
          <w:sz w:val="22"/>
          <w:szCs w:val="22"/>
          <w:highlight w:val="none"/>
          <w:u w:val="single"/>
          <w:lang w:val="en-US" w:eastAsia="zh-CN"/>
        </w:rPr>
        <w:t xml:space="preserve"> </w:t>
      </w:r>
      <w:r>
        <w:rPr>
          <w:rFonts w:hint="eastAsia" w:asciiTheme="minorEastAsia" w:hAnsiTheme="minorEastAsia" w:eastAsiaTheme="minorEastAsia" w:cstheme="minorEastAsia"/>
          <w:color w:val="auto"/>
          <w:sz w:val="22"/>
          <w:szCs w:val="22"/>
          <w:highlight w:val="none"/>
          <w:u w:val="single"/>
        </w:rPr>
        <w:t xml:space="preserve"> 2</w:t>
      </w:r>
      <w:r>
        <w:rPr>
          <w:rFonts w:hint="eastAsia" w:asciiTheme="minorEastAsia" w:hAnsiTheme="minorEastAsia" w:eastAsiaTheme="minorEastAsia" w:cstheme="minorEastAsia"/>
          <w:color w:val="auto"/>
          <w:sz w:val="22"/>
          <w:szCs w:val="22"/>
          <w:highlight w:val="none"/>
          <w:u w:val="single"/>
          <w:lang w:val="en-US" w:eastAsia="zh-CN"/>
        </w:rPr>
        <w:t xml:space="preserve">  </w:t>
      </w:r>
      <w:r>
        <w:rPr>
          <w:rFonts w:hint="eastAsia" w:asciiTheme="minorEastAsia" w:hAnsiTheme="minorEastAsia" w:eastAsiaTheme="minorEastAsia" w:cstheme="minorEastAsia"/>
          <w:color w:val="auto"/>
          <w:sz w:val="22"/>
          <w:szCs w:val="22"/>
          <w:highlight w:val="none"/>
        </w:rPr>
        <w:t>人和采购人代表</w:t>
      </w:r>
      <w:r>
        <w:rPr>
          <w:rFonts w:hint="eastAsia" w:asciiTheme="minorEastAsia" w:hAnsiTheme="minorEastAsia" w:eastAsiaTheme="minorEastAsia" w:cstheme="minorEastAsia"/>
          <w:color w:val="auto"/>
          <w:sz w:val="22"/>
          <w:szCs w:val="22"/>
          <w:highlight w:val="none"/>
          <w:u w:val="single"/>
          <w:lang w:val="en-US" w:eastAsia="zh-CN"/>
        </w:rPr>
        <w:t xml:space="preserve"> </w:t>
      </w:r>
      <w:r>
        <w:rPr>
          <w:rFonts w:hint="eastAsia" w:asciiTheme="minorEastAsia" w:hAnsiTheme="minorEastAsia" w:eastAsiaTheme="minorEastAsia" w:cstheme="minorEastAsia"/>
          <w:color w:val="auto"/>
          <w:sz w:val="22"/>
          <w:szCs w:val="22"/>
          <w:highlight w:val="none"/>
          <w:u w:val="single"/>
        </w:rPr>
        <w:t xml:space="preserve"> 1 </w:t>
      </w:r>
      <w:r>
        <w:rPr>
          <w:rFonts w:hint="eastAsia" w:asciiTheme="minorEastAsia" w:hAnsiTheme="minorEastAsia" w:eastAsiaTheme="minorEastAsia" w:cstheme="minorEastAsia"/>
          <w:color w:val="auto"/>
          <w:sz w:val="22"/>
          <w:szCs w:val="22"/>
          <w:highlight w:val="none"/>
          <w:u w:val="single"/>
          <w:lang w:val="en-US" w:eastAsia="zh-CN"/>
        </w:rPr>
        <w:t xml:space="preserve"> </w:t>
      </w:r>
      <w:r>
        <w:rPr>
          <w:rFonts w:hint="eastAsia" w:asciiTheme="minorEastAsia" w:hAnsiTheme="minorEastAsia" w:eastAsiaTheme="minorEastAsia" w:cstheme="minorEastAsia"/>
          <w:color w:val="auto"/>
          <w:sz w:val="22"/>
          <w:szCs w:val="22"/>
          <w:highlight w:val="none"/>
        </w:rPr>
        <w:t>人，共</w:t>
      </w:r>
      <w:r>
        <w:rPr>
          <w:rFonts w:hint="eastAsia" w:asciiTheme="minorEastAsia" w:hAnsiTheme="minorEastAsia" w:eastAsiaTheme="minorEastAsia" w:cstheme="minorEastAsia"/>
          <w:color w:val="auto"/>
          <w:sz w:val="22"/>
          <w:szCs w:val="22"/>
          <w:highlight w:val="none"/>
          <w:u w:val="single"/>
          <w:lang w:val="en-US" w:eastAsia="zh-CN"/>
        </w:rPr>
        <w:t xml:space="preserve"> </w:t>
      </w:r>
      <w:r>
        <w:rPr>
          <w:rFonts w:hint="eastAsia" w:asciiTheme="minorEastAsia" w:hAnsiTheme="minorEastAsia" w:eastAsiaTheme="minorEastAsia" w:cstheme="minorEastAsia"/>
          <w:color w:val="auto"/>
          <w:sz w:val="22"/>
          <w:szCs w:val="22"/>
          <w:highlight w:val="none"/>
          <w:u w:val="single"/>
        </w:rPr>
        <w:t xml:space="preserve"> 3</w:t>
      </w:r>
      <w:r>
        <w:rPr>
          <w:rFonts w:hint="eastAsia" w:asciiTheme="minorEastAsia" w:hAnsiTheme="minorEastAsia" w:eastAsiaTheme="minorEastAsia" w:cstheme="minorEastAsia"/>
          <w:color w:val="auto"/>
          <w:sz w:val="22"/>
          <w:szCs w:val="22"/>
          <w:highlight w:val="none"/>
          <w:u w:val="single"/>
          <w:lang w:val="en-US" w:eastAsia="zh-CN"/>
        </w:rPr>
        <w:t xml:space="preserve">  </w:t>
      </w:r>
      <w:r>
        <w:rPr>
          <w:rFonts w:hint="eastAsia" w:asciiTheme="minorEastAsia" w:hAnsiTheme="minorEastAsia" w:eastAsiaTheme="minorEastAsia" w:cstheme="minorEastAsia"/>
          <w:color w:val="auto"/>
          <w:sz w:val="22"/>
          <w:szCs w:val="22"/>
          <w:highlight w:val="none"/>
        </w:rPr>
        <w:t>人组成。</w:t>
      </w:r>
    </w:p>
    <w:p w14:paraId="39DCD1F3">
      <w:pPr>
        <w:pageBreakBefore w:val="0"/>
        <w:widowControl w:val="0"/>
        <w:kinsoku/>
        <w:wordWrap/>
        <w:overflowPunct/>
        <w:topLinePunct w:val="0"/>
        <w:autoSpaceDE/>
        <w:autoSpaceDN/>
        <w:bidi w:val="0"/>
        <w:adjustRightInd/>
        <w:snapToGrid/>
        <w:spacing w:line="360" w:lineRule="auto"/>
        <w:ind w:firstLine="442" w:firstLineChars="200"/>
        <w:rPr>
          <w:rFonts w:hint="eastAsia" w:asciiTheme="minorEastAsia" w:hAnsiTheme="minorEastAsia" w:eastAsiaTheme="minorEastAsia" w:cstheme="minorEastAsia"/>
          <w:b/>
          <w:bCs/>
          <w:color w:val="auto"/>
          <w:sz w:val="22"/>
          <w:szCs w:val="22"/>
          <w:highlight w:val="none"/>
        </w:rPr>
      </w:pPr>
      <w:r>
        <w:rPr>
          <w:rFonts w:hint="eastAsia" w:asciiTheme="minorEastAsia" w:hAnsiTheme="minorEastAsia" w:eastAsiaTheme="minorEastAsia" w:cstheme="minorEastAsia"/>
          <w:b/>
          <w:bCs/>
          <w:color w:val="auto"/>
          <w:sz w:val="22"/>
          <w:szCs w:val="22"/>
          <w:highlight w:val="none"/>
        </w:rPr>
        <w:t>25.首次响应文件的开启</w:t>
      </w:r>
    </w:p>
    <w:p w14:paraId="62717D8F">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25.1首次响应文件由磋商小组或者采购代理机构在“供应商须知前附表”规定的时间开启。</w:t>
      </w:r>
    </w:p>
    <w:p w14:paraId="7EAAB14D">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bCs/>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 xml:space="preserve">25.2 </w:t>
      </w:r>
      <w:r>
        <w:rPr>
          <w:rFonts w:hint="eastAsia" w:asciiTheme="minorEastAsia" w:hAnsiTheme="minorEastAsia" w:eastAsiaTheme="minorEastAsia" w:cstheme="minorEastAsia"/>
          <w:bCs/>
          <w:color w:val="auto"/>
          <w:kern w:val="0"/>
          <w:sz w:val="22"/>
          <w:szCs w:val="22"/>
          <w:highlight w:val="none"/>
        </w:rPr>
        <w:t>响应文件解密</w:t>
      </w:r>
    </w:p>
    <w:p w14:paraId="3A050DC5">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bCs/>
          <w:color w:val="auto"/>
          <w:kern w:val="0"/>
          <w:sz w:val="22"/>
          <w:szCs w:val="22"/>
          <w:highlight w:val="none"/>
        </w:rPr>
        <w:t>采购代理机构将在“供应商须知前附表”规定的时</w:t>
      </w:r>
      <w:r>
        <w:rPr>
          <w:rFonts w:hint="eastAsia" w:asciiTheme="minorEastAsia" w:hAnsiTheme="minorEastAsia" w:eastAsiaTheme="minorEastAsia" w:cstheme="minorEastAsia"/>
          <w:color w:val="auto"/>
          <w:kern w:val="0"/>
          <w:sz w:val="22"/>
          <w:szCs w:val="22"/>
          <w:highlight w:val="none"/>
        </w:rPr>
        <w:t>间通过电子交易平台组织响应文件开启，采购机构依托电子交易平台发起开始解密指令，供应商的法定代表人或其委托代理人</w:t>
      </w:r>
      <w:r>
        <w:rPr>
          <w:rFonts w:hint="eastAsia" w:asciiTheme="minorEastAsia" w:hAnsiTheme="minorEastAsia" w:eastAsiaTheme="minorEastAsia" w:cstheme="minorEastAsia"/>
          <w:b/>
          <w:color w:val="auto"/>
          <w:kern w:val="0"/>
          <w:sz w:val="22"/>
          <w:szCs w:val="22"/>
          <w:highlight w:val="none"/>
        </w:rPr>
        <w:t>须携带加密时所用的CA锁按平台提示和采购文件的规定登录到“</w:t>
      </w:r>
      <w:r>
        <w:rPr>
          <w:rFonts w:hint="eastAsia" w:asciiTheme="minorEastAsia" w:hAnsiTheme="minorEastAsia" w:eastAsiaTheme="minorEastAsia" w:cstheme="minorEastAsia"/>
          <w:b/>
          <w:color w:val="auto"/>
          <w:kern w:val="0"/>
          <w:sz w:val="22"/>
          <w:szCs w:val="22"/>
          <w:highlight w:val="none"/>
          <w:lang w:eastAsia="zh-CN"/>
        </w:rPr>
        <w:t>广西政府采购云平台</w:t>
      </w:r>
      <w:r>
        <w:rPr>
          <w:rFonts w:hint="eastAsia" w:asciiTheme="minorEastAsia" w:hAnsiTheme="minorEastAsia" w:eastAsiaTheme="minorEastAsia" w:cstheme="minorEastAsia"/>
          <w:b/>
          <w:color w:val="auto"/>
          <w:kern w:val="0"/>
          <w:sz w:val="22"/>
          <w:szCs w:val="22"/>
          <w:highlight w:val="none"/>
        </w:rPr>
        <w:t>”平台电子开标大厅签到并在发起解密指令之时起30分钟内完成对电子响应文件在线解密</w:t>
      </w:r>
      <w:r>
        <w:rPr>
          <w:rFonts w:hint="eastAsia" w:asciiTheme="minorEastAsia" w:hAnsiTheme="minorEastAsia" w:eastAsiaTheme="minorEastAsia" w:cstheme="minorEastAsia"/>
          <w:color w:val="auto"/>
          <w:kern w:val="0"/>
          <w:sz w:val="22"/>
          <w:szCs w:val="22"/>
          <w:highlight w:val="none"/>
        </w:rPr>
        <w:t>。发起解密指令之时起5分钟内供应商还未进行解密的，代理机构要通知供应商，供应商没预留联系方式或预留联系方式无效，导致代理机构无法联系到供应商进行解密的，</w:t>
      </w:r>
      <w:r>
        <w:rPr>
          <w:rFonts w:hint="eastAsia" w:asciiTheme="minorEastAsia" w:hAnsiTheme="minorEastAsia" w:eastAsiaTheme="minorEastAsia" w:cstheme="minorEastAsia"/>
          <w:b/>
          <w:color w:val="auto"/>
          <w:kern w:val="0"/>
          <w:sz w:val="22"/>
          <w:szCs w:val="22"/>
          <w:highlight w:val="none"/>
        </w:rPr>
        <w:t>视为响应文件无效。</w:t>
      </w:r>
      <w:r>
        <w:rPr>
          <w:rFonts w:hint="eastAsia" w:asciiTheme="minorEastAsia" w:hAnsiTheme="minorEastAsia" w:eastAsiaTheme="minorEastAsia" w:cstheme="minorEastAsia"/>
          <w:color w:val="auto"/>
          <w:kern w:val="0"/>
          <w:sz w:val="22"/>
          <w:szCs w:val="22"/>
          <w:highlight w:val="none"/>
        </w:rPr>
        <w:t>（解密</w:t>
      </w:r>
      <w:r>
        <w:rPr>
          <w:rFonts w:hint="eastAsia" w:asciiTheme="minorEastAsia" w:hAnsiTheme="minorEastAsia" w:eastAsiaTheme="minorEastAsia" w:cstheme="minorEastAsia"/>
          <w:bCs/>
          <w:color w:val="auto"/>
          <w:kern w:val="0"/>
          <w:sz w:val="22"/>
          <w:szCs w:val="22"/>
          <w:highlight w:val="none"/>
        </w:rPr>
        <w:t>异常情况处理：详见本章</w:t>
      </w:r>
      <w:r>
        <w:rPr>
          <w:rFonts w:hint="eastAsia" w:asciiTheme="minorEastAsia" w:hAnsiTheme="minorEastAsia" w:eastAsiaTheme="minorEastAsia" w:cstheme="minorEastAsia"/>
          <w:color w:val="auto"/>
          <w:kern w:val="0"/>
          <w:sz w:val="22"/>
          <w:szCs w:val="22"/>
          <w:highlight w:val="none"/>
        </w:rPr>
        <w:t>26.</w:t>
      </w:r>
      <w:r>
        <w:rPr>
          <w:rFonts w:hint="eastAsia" w:asciiTheme="minorEastAsia" w:hAnsiTheme="minorEastAsia" w:eastAsiaTheme="minorEastAsia" w:cstheme="minorEastAsia"/>
          <w:color w:val="auto"/>
          <w:kern w:val="0"/>
          <w:sz w:val="22"/>
          <w:szCs w:val="22"/>
          <w:highlight w:val="none"/>
          <w:lang w:val="en-US" w:eastAsia="zh-CN"/>
        </w:rPr>
        <w:t>4</w:t>
      </w:r>
      <w:r>
        <w:rPr>
          <w:rFonts w:hint="eastAsia" w:asciiTheme="minorEastAsia" w:hAnsiTheme="minorEastAsia" w:eastAsiaTheme="minorEastAsia" w:cstheme="minorEastAsia"/>
          <w:color w:val="auto"/>
          <w:kern w:val="0"/>
          <w:sz w:val="22"/>
          <w:szCs w:val="22"/>
          <w:highlight w:val="none"/>
        </w:rPr>
        <w:t xml:space="preserve"> 电子交易活动的中止。）</w:t>
      </w:r>
    </w:p>
    <w:p w14:paraId="7894EEA0">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如</w:t>
      </w:r>
      <w:r>
        <w:rPr>
          <w:rFonts w:hint="eastAsia" w:asciiTheme="minorEastAsia" w:hAnsiTheme="minorEastAsia" w:eastAsiaTheme="minorEastAsia" w:cstheme="minorEastAsia"/>
          <w:bCs/>
          <w:color w:val="auto"/>
          <w:kern w:val="0"/>
          <w:sz w:val="22"/>
          <w:szCs w:val="22"/>
          <w:highlight w:val="none"/>
        </w:rPr>
        <w:t>供应商成功解密响应文件，但未在“</w:t>
      </w:r>
      <w:r>
        <w:rPr>
          <w:rFonts w:hint="eastAsia" w:asciiTheme="minorEastAsia" w:hAnsiTheme="minorEastAsia" w:eastAsiaTheme="minorEastAsia" w:cstheme="minorEastAsia"/>
          <w:bCs/>
          <w:color w:val="auto"/>
          <w:kern w:val="0"/>
          <w:sz w:val="22"/>
          <w:szCs w:val="22"/>
          <w:highlight w:val="none"/>
          <w:lang w:eastAsia="zh-CN"/>
        </w:rPr>
        <w:t>广西政府采购云平台</w:t>
      </w:r>
      <w:r>
        <w:rPr>
          <w:rFonts w:hint="eastAsia" w:asciiTheme="minorEastAsia" w:hAnsiTheme="minorEastAsia" w:eastAsiaTheme="minorEastAsia" w:cstheme="minorEastAsia"/>
          <w:bCs/>
          <w:color w:val="auto"/>
          <w:kern w:val="0"/>
          <w:sz w:val="22"/>
          <w:szCs w:val="22"/>
          <w:highlight w:val="none"/>
        </w:rPr>
        <w:t>”电子开标大厅参加</w:t>
      </w:r>
      <w:r>
        <w:rPr>
          <w:rFonts w:hint="eastAsia" w:asciiTheme="minorEastAsia" w:hAnsiTheme="minorEastAsia" w:eastAsiaTheme="minorEastAsia" w:cstheme="minorEastAsia"/>
          <w:bCs/>
          <w:color w:val="auto"/>
          <w:kern w:val="0"/>
          <w:sz w:val="22"/>
          <w:szCs w:val="22"/>
          <w:highlight w:val="none"/>
          <w:lang w:eastAsia="zh-CN"/>
        </w:rPr>
        <w:t>磋商</w:t>
      </w:r>
      <w:r>
        <w:rPr>
          <w:rFonts w:hint="eastAsia" w:asciiTheme="minorEastAsia" w:hAnsiTheme="minorEastAsia" w:eastAsiaTheme="minorEastAsia" w:cstheme="minorEastAsia"/>
          <w:bCs/>
          <w:color w:val="auto"/>
          <w:kern w:val="0"/>
          <w:sz w:val="22"/>
          <w:szCs w:val="22"/>
          <w:highlight w:val="none"/>
        </w:rPr>
        <w:t>的，视同认可</w:t>
      </w:r>
      <w:r>
        <w:rPr>
          <w:rFonts w:hint="eastAsia" w:asciiTheme="minorEastAsia" w:hAnsiTheme="minorEastAsia" w:eastAsiaTheme="minorEastAsia" w:cstheme="minorEastAsia"/>
          <w:bCs/>
          <w:color w:val="auto"/>
          <w:kern w:val="0"/>
          <w:sz w:val="22"/>
          <w:szCs w:val="22"/>
          <w:highlight w:val="none"/>
          <w:lang w:eastAsia="zh-CN"/>
        </w:rPr>
        <w:t>磋商</w:t>
      </w:r>
      <w:r>
        <w:rPr>
          <w:rFonts w:hint="eastAsia" w:asciiTheme="minorEastAsia" w:hAnsiTheme="minorEastAsia" w:eastAsiaTheme="minorEastAsia" w:cstheme="minorEastAsia"/>
          <w:bCs/>
          <w:color w:val="auto"/>
          <w:kern w:val="0"/>
          <w:sz w:val="22"/>
          <w:szCs w:val="22"/>
          <w:highlight w:val="none"/>
        </w:rPr>
        <w:t>过程和结果，</w:t>
      </w:r>
      <w:r>
        <w:rPr>
          <w:rFonts w:hint="eastAsia" w:asciiTheme="minorEastAsia" w:hAnsiTheme="minorEastAsia" w:eastAsiaTheme="minorEastAsia" w:cstheme="minorEastAsia"/>
          <w:color w:val="auto"/>
          <w:kern w:val="0"/>
          <w:sz w:val="22"/>
          <w:szCs w:val="22"/>
          <w:highlight w:val="none"/>
        </w:rPr>
        <w:t>由此产生的后果由供应商自行负责。参与</w:t>
      </w:r>
      <w:r>
        <w:rPr>
          <w:rFonts w:hint="eastAsia" w:asciiTheme="minorEastAsia" w:hAnsiTheme="minorEastAsia" w:eastAsiaTheme="minorEastAsia" w:cstheme="minorEastAsia"/>
          <w:color w:val="auto"/>
          <w:kern w:val="0"/>
          <w:sz w:val="22"/>
          <w:szCs w:val="22"/>
          <w:highlight w:val="none"/>
          <w:lang w:eastAsia="zh-CN"/>
        </w:rPr>
        <w:t>磋商</w:t>
      </w:r>
      <w:r>
        <w:rPr>
          <w:rFonts w:hint="eastAsia" w:asciiTheme="minorEastAsia" w:hAnsiTheme="minorEastAsia" w:eastAsiaTheme="minorEastAsia" w:cstheme="minorEastAsia"/>
          <w:color w:val="auto"/>
          <w:kern w:val="0"/>
          <w:sz w:val="22"/>
          <w:szCs w:val="22"/>
          <w:highlight w:val="none"/>
        </w:rPr>
        <w:t>的供应商不足3家的，不得</w:t>
      </w:r>
      <w:r>
        <w:rPr>
          <w:rFonts w:hint="eastAsia" w:asciiTheme="minorEastAsia" w:hAnsiTheme="minorEastAsia" w:eastAsiaTheme="minorEastAsia" w:cstheme="minorEastAsia"/>
          <w:color w:val="auto"/>
          <w:kern w:val="0"/>
          <w:sz w:val="22"/>
          <w:szCs w:val="22"/>
          <w:highlight w:val="none"/>
          <w:lang w:eastAsia="zh-CN"/>
        </w:rPr>
        <w:t>磋商</w:t>
      </w:r>
      <w:r>
        <w:rPr>
          <w:rFonts w:hint="eastAsia" w:asciiTheme="minorEastAsia" w:hAnsiTheme="minorEastAsia" w:eastAsiaTheme="minorEastAsia" w:cstheme="minorEastAsia"/>
          <w:color w:val="auto"/>
          <w:kern w:val="0"/>
          <w:sz w:val="22"/>
          <w:szCs w:val="22"/>
          <w:highlight w:val="none"/>
        </w:rPr>
        <w:t>。</w:t>
      </w:r>
    </w:p>
    <w:p w14:paraId="7D5EE49B">
      <w:pPr>
        <w:pageBreakBefore w:val="0"/>
        <w:widowControl w:val="0"/>
        <w:kinsoku/>
        <w:wordWrap/>
        <w:overflowPunct/>
        <w:topLinePunct w:val="0"/>
        <w:autoSpaceDE/>
        <w:autoSpaceDN/>
        <w:bidi w:val="0"/>
        <w:adjustRightInd/>
        <w:snapToGrid/>
        <w:spacing w:line="360" w:lineRule="auto"/>
        <w:ind w:firstLine="442" w:firstLineChars="200"/>
        <w:rPr>
          <w:rFonts w:hint="eastAsia" w:asciiTheme="minorEastAsia" w:hAnsiTheme="minorEastAsia" w:eastAsiaTheme="minorEastAsia" w:cstheme="minorEastAsia"/>
          <w:b/>
          <w:bCs/>
          <w:color w:val="auto"/>
          <w:sz w:val="22"/>
          <w:szCs w:val="22"/>
          <w:highlight w:val="none"/>
        </w:rPr>
      </w:pPr>
      <w:r>
        <w:rPr>
          <w:rFonts w:hint="eastAsia" w:asciiTheme="minorEastAsia" w:hAnsiTheme="minorEastAsia" w:eastAsiaTheme="minorEastAsia" w:cstheme="minorEastAsia"/>
          <w:b/>
          <w:bCs/>
          <w:color w:val="auto"/>
          <w:sz w:val="22"/>
          <w:szCs w:val="22"/>
          <w:highlight w:val="none"/>
        </w:rPr>
        <w:t>26.评审程序、评审方法和评审标准</w:t>
      </w:r>
    </w:p>
    <w:p w14:paraId="0E174846">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26.1磋商小组按照“第四章 评审程序、评审方法和评审标准”规定的方法、评审因素、标准和程序对响应文件进行评审。</w:t>
      </w:r>
    </w:p>
    <w:p w14:paraId="7D1E63ED">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26.2磋商文件内容违反国家有关强制性规定的，磋商小组应当停止评审并向采购人或者采购代理机构说明情况，并在评审报告中书面体现。</w:t>
      </w:r>
    </w:p>
    <w:p w14:paraId="2F604BB2">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26.</w:t>
      </w:r>
      <w:r>
        <w:rPr>
          <w:rFonts w:hint="eastAsia" w:asciiTheme="minorEastAsia" w:hAnsiTheme="minorEastAsia" w:eastAsiaTheme="minorEastAsia" w:cstheme="minorEastAsia"/>
          <w:color w:val="auto"/>
          <w:sz w:val="22"/>
          <w:szCs w:val="22"/>
          <w:highlight w:val="none"/>
          <w:lang w:val="en-US" w:eastAsia="zh-CN"/>
        </w:rPr>
        <w:t>3</w:t>
      </w:r>
      <w:r>
        <w:rPr>
          <w:rFonts w:hint="eastAsia" w:asciiTheme="minorEastAsia" w:hAnsiTheme="minorEastAsia" w:eastAsiaTheme="minorEastAsia" w:cstheme="minorEastAsia"/>
          <w:color w:val="auto"/>
          <w:sz w:val="22"/>
          <w:szCs w:val="22"/>
          <w:highlight w:val="none"/>
        </w:rPr>
        <w:t>采购需求负偏离要求及磋商顺序详见“供应商须知前附表”。</w:t>
      </w:r>
    </w:p>
    <w:p w14:paraId="6DA65471">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26.</w:t>
      </w:r>
      <w:r>
        <w:rPr>
          <w:rFonts w:hint="eastAsia" w:asciiTheme="minorEastAsia" w:hAnsiTheme="minorEastAsia" w:eastAsiaTheme="minorEastAsia" w:cstheme="minorEastAsia"/>
          <w:color w:val="auto"/>
          <w:sz w:val="22"/>
          <w:szCs w:val="22"/>
          <w:highlight w:val="none"/>
          <w:lang w:val="en-US" w:eastAsia="zh-CN"/>
        </w:rPr>
        <w:t>4</w:t>
      </w:r>
      <w:r>
        <w:rPr>
          <w:rFonts w:hint="eastAsia" w:asciiTheme="minorEastAsia" w:hAnsiTheme="minorEastAsia" w:eastAsiaTheme="minorEastAsia" w:cstheme="minorEastAsia"/>
          <w:color w:val="auto"/>
          <w:sz w:val="22"/>
          <w:szCs w:val="22"/>
          <w:highlight w:val="none"/>
        </w:rPr>
        <w:t>电子交易活动的中止。采购过程中出现以下情形，导致电子交易平台无法正常运行，或者无法保证电子交易的公平、公正和安全时，采购机构可中止电子交易活动：</w:t>
      </w:r>
    </w:p>
    <w:p w14:paraId="5050048E">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 xml:space="preserve">（1）电子交易平台发生故障而无法登录访问的； </w:t>
      </w:r>
    </w:p>
    <w:p w14:paraId="0950DC16">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（2）电子交易平台应用或数据库出现错误，不能进行正常操作的；</w:t>
      </w:r>
    </w:p>
    <w:p w14:paraId="3D8AB317">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（3）电子交易平台发现严重安全漏洞，有潜在泄密危险的；</w:t>
      </w:r>
    </w:p>
    <w:p w14:paraId="257AE65A">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 xml:space="preserve">（4）病毒发作导致不能进行正常操作的； </w:t>
      </w:r>
    </w:p>
    <w:p w14:paraId="3E6F8E33">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w:t>
      </w:r>
      <w:r>
        <w:rPr>
          <w:rFonts w:hint="eastAsia" w:asciiTheme="minorEastAsia" w:hAnsiTheme="minorEastAsia" w:eastAsiaTheme="minorEastAsia" w:cstheme="minorEastAsia"/>
          <w:color w:val="auto"/>
          <w:sz w:val="22"/>
          <w:szCs w:val="22"/>
          <w:highlight w:val="none"/>
          <w:lang w:val="en-US" w:eastAsia="zh-CN"/>
        </w:rPr>
        <w:t>5</w:t>
      </w:r>
      <w:r>
        <w:rPr>
          <w:rFonts w:hint="eastAsia" w:asciiTheme="minorEastAsia" w:hAnsiTheme="minorEastAsia" w:eastAsiaTheme="minorEastAsia" w:cstheme="minorEastAsia"/>
          <w:color w:val="auto"/>
          <w:sz w:val="22"/>
          <w:szCs w:val="22"/>
          <w:highlight w:val="none"/>
        </w:rPr>
        <w:t>）其他无法保证电子交易的公平、公正和安全的情况。</w:t>
      </w:r>
    </w:p>
    <w:p w14:paraId="0402E634">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26.</w:t>
      </w:r>
      <w:r>
        <w:rPr>
          <w:rFonts w:hint="eastAsia" w:asciiTheme="minorEastAsia" w:hAnsiTheme="minorEastAsia" w:eastAsiaTheme="minorEastAsia" w:cstheme="minorEastAsia"/>
          <w:color w:val="auto"/>
          <w:sz w:val="22"/>
          <w:szCs w:val="22"/>
          <w:highlight w:val="none"/>
          <w:lang w:val="en-US" w:eastAsia="zh-CN"/>
        </w:rPr>
        <w:t>5</w:t>
      </w:r>
      <w:r>
        <w:rPr>
          <w:rFonts w:hint="eastAsia" w:asciiTheme="minorEastAsia" w:hAnsiTheme="minorEastAsia" w:eastAsiaTheme="minorEastAsia" w:cstheme="minorEastAsia"/>
          <w:color w:val="auto"/>
          <w:sz w:val="22"/>
          <w:szCs w:val="22"/>
          <w:highlight w:val="none"/>
        </w:rPr>
        <w:t>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14:paraId="2A793EF7">
      <w:pPr>
        <w:keepNext/>
        <w:keepLines/>
        <w:pageBreakBefore w:val="0"/>
        <w:widowControl w:val="0"/>
        <w:kinsoku/>
        <w:wordWrap/>
        <w:overflowPunct/>
        <w:topLinePunct w:val="0"/>
        <w:autoSpaceDE/>
        <w:autoSpaceDN/>
        <w:bidi w:val="0"/>
        <w:adjustRightInd/>
        <w:snapToGrid/>
        <w:spacing w:line="360" w:lineRule="auto"/>
        <w:ind w:firstLine="482" w:firstLineChars="200"/>
        <w:outlineLvl w:val="2"/>
        <w:rPr>
          <w:rFonts w:hint="eastAsia" w:asciiTheme="minorEastAsia" w:hAnsiTheme="minorEastAsia" w:eastAsiaTheme="minorEastAsia" w:cstheme="minorEastAsia"/>
          <w:color w:val="auto"/>
          <w:sz w:val="22"/>
          <w:szCs w:val="22"/>
          <w:highlight w:val="none"/>
        </w:rPr>
      </w:pPr>
      <w:bookmarkStart w:id="45" w:name="_Toc9972"/>
      <w:r>
        <w:rPr>
          <w:rFonts w:hint="eastAsia" w:asciiTheme="minorEastAsia" w:hAnsiTheme="minorEastAsia" w:eastAsiaTheme="minorEastAsia" w:cstheme="minorEastAsia"/>
          <w:b/>
          <w:bCs/>
          <w:color w:val="auto"/>
          <w:sz w:val="24"/>
          <w:szCs w:val="24"/>
          <w:highlight w:val="none"/>
        </w:rPr>
        <w:t>五、成交及合同</w:t>
      </w:r>
      <w:bookmarkEnd w:id="45"/>
    </w:p>
    <w:p w14:paraId="60D71D4A">
      <w:pPr>
        <w:pageBreakBefore w:val="0"/>
        <w:widowControl w:val="0"/>
        <w:kinsoku/>
        <w:wordWrap/>
        <w:overflowPunct/>
        <w:topLinePunct w:val="0"/>
        <w:autoSpaceDE/>
        <w:autoSpaceDN/>
        <w:bidi w:val="0"/>
        <w:adjustRightInd/>
        <w:snapToGrid/>
        <w:spacing w:line="360" w:lineRule="auto"/>
        <w:ind w:firstLine="442" w:firstLineChars="200"/>
        <w:rPr>
          <w:rFonts w:hint="eastAsia" w:asciiTheme="minorEastAsia" w:hAnsiTheme="minorEastAsia" w:eastAsiaTheme="minorEastAsia" w:cstheme="minorEastAsia"/>
          <w:b/>
          <w:bCs/>
          <w:color w:val="auto"/>
          <w:sz w:val="22"/>
          <w:szCs w:val="22"/>
          <w:highlight w:val="none"/>
        </w:rPr>
      </w:pPr>
      <w:r>
        <w:rPr>
          <w:rFonts w:hint="eastAsia" w:asciiTheme="minorEastAsia" w:hAnsiTheme="minorEastAsia" w:eastAsiaTheme="minorEastAsia" w:cstheme="minorEastAsia"/>
          <w:b/>
          <w:bCs/>
          <w:color w:val="auto"/>
          <w:sz w:val="22"/>
          <w:szCs w:val="22"/>
          <w:highlight w:val="none"/>
        </w:rPr>
        <w:t>27.确定成交供应商及结果公告</w:t>
      </w:r>
    </w:p>
    <w:p w14:paraId="1B5E168B">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27.1确定成交供应商。</w:t>
      </w:r>
      <w:r>
        <w:rPr>
          <w:rFonts w:hint="eastAsia" w:asciiTheme="minorEastAsia" w:hAnsiTheme="minorEastAsia" w:eastAsiaTheme="minorEastAsia" w:cstheme="minorEastAsia"/>
          <w:color w:val="auto"/>
          <w:kern w:val="0"/>
          <w:sz w:val="22"/>
          <w:szCs w:val="22"/>
          <w:highlight w:val="none"/>
          <w:u w:val="single"/>
        </w:rPr>
        <w:t>由采购人</w:t>
      </w:r>
      <w:r>
        <w:rPr>
          <w:rFonts w:hint="eastAsia" w:asciiTheme="minorEastAsia" w:hAnsiTheme="minorEastAsia" w:eastAsiaTheme="minorEastAsia" w:cstheme="minorEastAsia"/>
          <w:color w:val="auto"/>
          <w:kern w:val="0"/>
          <w:sz w:val="22"/>
          <w:szCs w:val="22"/>
          <w:highlight w:val="none"/>
          <w:u w:val="single"/>
          <w:lang w:val="en-US" w:eastAsia="zh-CN"/>
        </w:rPr>
        <w:t>根据</w:t>
      </w:r>
      <w:r>
        <w:rPr>
          <w:rFonts w:hint="eastAsia" w:asciiTheme="minorEastAsia" w:hAnsiTheme="minorEastAsia" w:eastAsiaTheme="minorEastAsia" w:cstheme="minorEastAsia"/>
          <w:color w:val="auto"/>
          <w:sz w:val="22"/>
          <w:szCs w:val="22"/>
          <w:highlight w:val="none"/>
          <w:u w:val="single"/>
        </w:rPr>
        <w:t>评审报告</w:t>
      </w:r>
      <w:r>
        <w:rPr>
          <w:rFonts w:hint="eastAsia" w:asciiTheme="minorEastAsia" w:hAnsiTheme="minorEastAsia" w:eastAsiaTheme="minorEastAsia" w:cstheme="minorEastAsia"/>
          <w:color w:val="auto"/>
          <w:sz w:val="22"/>
          <w:szCs w:val="22"/>
          <w:highlight w:val="none"/>
          <w:u w:val="single"/>
          <w:lang w:val="en-US" w:eastAsia="zh-CN"/>
        </w:rPr>
        <w:t>确认</w:t>
      </w:r>
      <w:r>
        <w:rPr>
          <w:rFonts w:hint="eastAsia" w:asciiTheme="minorEastAsia" w:hAnsiTheme="minorEastAsia" w:eastAsiaTheme="minorEastAsia" w:cstheme="minorEastAsia"/>
          <w:color w:val="auto"/>
          <w:sz w:val="22"/>
          <w:szCs w:val="22"/>
          <w:highlight w:val="none"/>
          <w:u w:val="single"/>
        </w:rPr>
        <w:t>成交供应商。</w:t>
      </w:r>
    </w:p>
    <w:p w14:paraId="10ADF7FA">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27.2成交通知及成交结果公告。</w:t>
      </w:r>
      <w:r>
        <w:rPr>
          <w:rFonts w:hint="eastAsia" w:asciiTheme="minorEastAsia" w:hAnsiTheme="minorEastAsia" w:eastAsiaTheme="minorEastAsia" w:cstheme="minorEastAsia"/>
          <w:color w:val="auto"/>
          <w:kern w:val="0"/>
          <w:sz w:val="22"/>
          <w:szCs w:val="22"/>
          <w:highlight w:val="none"/>
        </w:rPr>
        <w:t>成交</w:t>
      </w:r>
      <w:r>
        <w:rPr>
          <w:rFonts w:hint="eastAsia" w:asciiTheme="minorEastAsia" w:hAnsiTheme="minorEastAsia" w:eastAsiaTheme="minorEastAsia" w:cstheme="minorEastAsia"/>
          <w:color w:val="auto"/>
          <w:sz w:val="22"/>
          <w:szCs w:val="22"/>
          <w:highlight w:val="none"/>
        </w:rPr>
        <w:t>供应商确定后2个工作日内，在省级以上财政部门指定的媒体上公</w:t>
      </w:r>
      <w:r>
        <w:rPr>
          <w:rFonts w:hint="eastAsia" w:asciiTheme="minorEastAsia" w:hAnsiTheme="minorEastAsia" w:eastAsiaTheme="minorEastAsia" w:cstheme="minorEastAsia"/>
          <w:color w:val="auto"/>
          <w:kern w:val="0"/>
          <w:sz w:val="22"/>
          <w:szCs w:val="22"/>
          <w:highlight w:val="none"/>
        </w:rPr>
        <w:t>告成交结果（成交通知及成交结果公告应使用</w:t>
      </w:r>
      <w:r>
        <w:rPr>
          <w:rFonts w:hint="eastAsia" w:asciiTheme="minorEastAsia" w:hAnsiTheme="minorEastAsia" w:eastAsiaTheme="minorEastAsia" w:cstheme="minorEastAsia"/>
          <w:color w:val="auto"/>
          <w:kern w:val="0"/>
          <w:sz w:val="22"/>
          <w:szCs w:val="22"/>
          <w:highlight w:val="none"/>
          <w:lang w:val="en-US" w:eastAsia="zh-CN"/>
        </w:rPr>
        <w:t>相应</w:t>
      </w:r>
      <w:r>
        <w:rPr>
          <w:rFonts w:hint="eastAsia" w:asciiTheme="minorEastAsia" w:hAnsiTheme="minorEastAsia" w:eastAsiaTheme="minorEastAsia" w:cstheme="minorEastAsia"/>
          <w:color w:val="auto"/>
          <w:kern w:val="0"/>
          <w:sz w:val="22"/>
          <w:szCs w:val="22"/>
          <w:highlight w:val="none"/>
        </w:rPr>
        <w:t>模板进行公告，公告内容除包含《政府采购公告和公示信息格式规范（2020年版）》要求内容外，还应包含采购人专门面向中小企业预留份额情况及成交供应商评审价格、优惠率等内容），</w:t>
      </w:r>
      <w:r>
        <w:rPr>
          <w:rFonts w:hint="eastAsia" w:asciiTheme="minorEastAsia" w:hAnsiTheme="minorEastAsia" w:eastAsiaTheme="minorEastAsia" w:cstheme="minorEastAsia"/>
          <w:color w:val="auto"/>
          <w:sz w:val="22"/>
          <w:szCs w:val="22"/>
          <w:highlight w:val="none"/>
        </w:rPr>
        <w:t>同时向成交供应商发出成交通知书，成交通知书规定签订合同的时间不得超过25日。</w:t>
      </w:r>
    </w:p>
    <w:p w14:paraId="5287560A">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27.3采购人或者采购代理机构发出成交通知书前，应当对成交供应商信用进行查询核实，对列入失信被执行人、重大税收违法</w:t>
      </w:r>
      <w:r>
        <w:rPr>
          <w:rFonts w:hint="eastAsia" w:asciiTheme="minorEastAsia" w:hAnsiTheme="minorEastAsia" w:eastAsiaTheme="minorEastAsia" w:cstheme="minorEastAsia"/>
          <w:color w:val="auto"/>
          <w:sz w:val="22"/>
          <w:szCs w:val="22"/>
          <w:highlight w:val="none"/>
          <w:lang w:val="en-US" w:eastAsia="zh-CN"/>
        </w:rPr>
        <w:t>失信主体</w:t>
      </w:r>
      <w:r>
        <w:rPr>
          <w:rFonts w:hint="eastAsia" w:asciiTheme="minorEastAsia" w:hAnsiTheme="minorEastAsia" w:eastAsiaTheme="minorEastAsia" w:cstheme="minorEastAsia"/>
          <w:color w:val="auto"/>
          <w:sz w:val="22"/>
          <w:szCs w:val="22"/>
          <w:highlight w:val="none"/>
        </w:rPr>
        <w:t>、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竞磋文件一并保存。成交供应商享受《政府采购促进中小企业发展管理办法》（财库〔2020〕46号）规定的中小企业扶持政策的，采购人、采购代理机构应当随成交结果公开成交供应商的《中小企业声明函》。</w:t>
      </w:r>
    </w:p>
    <w:p w14:paraId="681976EB">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27.4采购人、采购代理机构认为供应商对采购过程、成交结果提出的质疑成立且影响或者可能影响成交结果的，合格供应商符合法定数量时，可以从合格的成交候选人中另行确定成交供应商的，应当依法另行确定成交供应商；否则应当重新开展采购活动。</w:t>
      </w:r>
    </w:p>
    <w:p w14:paraId="38EAAE0F">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bCs/>
          <w:color w:val="auto"/>
          <w:sz w:val="22"/>
          <w:szCs w:val="22"/>
          <w:highlight w:val="none"/>
        </w:rPr>
        <w:t>27.5</w:t>
      </w:r>
      <w:r>
        <w:rPr>
          <w:rFonts w:hint="eastAsia" w:asciiTheme="minorEastAsia" w:hAnsiTheme="minorEastAsia" w:eastAsiaTheme="minorEastAsia" w:cstheme="minorEastAsia"/>
          <w:color w:val="auto"/>
          <w:sz w:val="22"/>
          <w:szCs w:val="22"/>
          <w:highlight w:val="none"/>
        </w:rPr>
        <w:t>排名第一的成交候选人放弃成交、因不可抗力提出不能履行合同，采购人可以确定排名第二的成交候选人为成交供应商。排名第二的成交候选人因前款规定的同样原因不能签订合同的，采购人可以确定排名第三的成交候选人为成交供应商。</w:t>
      </w:r>
    </w:p>
    <w:p w14:paraId="3C28CCC3">
      <w:pPr>
        <w:pageBreakBefore w:val="0"/>
        <w:widowControl w:val="0"/>
        <w:kinsoku/>
        <w:wordWrap/>
        <w:overflowPunct/>
        <w:topLinePunct w:val="0"/>
        <w:autoSpaceDE/>
        <w:autoSpaceDN/>
        <w:bidi w:val="0"/>
        <w:adjustRightInd/>
        <w:snapToGrid/>
        <w:spacing w:line="360" w:lineRule="auto"/>
        <w:ind w:firstLine="442" w:firstLineChars="200"/>
        <w:rPr>
          <w:rFonts w:hint="eastAsia" w:asciiTheme="minorEastAsia" w:hAnsiTheme="minorEastAsia" w:eastAsiaTheme="minorEastAsia" w:cstheme="minorEastAsia"/>
          <w:b/>
          <w:bCs/>
          <w:color w:val="auto"/>
          <w:sz w:val="22"/>
          <w:szCs w:val="22"/>
          <w:highlight w:val="none"/>
        </w:rPr>
      </w:pPr>
      <w:r>
        <w:rPr>
          <w:rFonts w:hint="eastAsia" w:asciiTheme="minorEastAsia" w:hAnsiTheme="minorEastAsia" w:eastAsiaTheme="minorEastAsia" w:cstheme="minorEastAsia"/>
          <w:b/>
          <w:bCs/>
          <w:color w:val="auto"/>
          <w:sz w:val="22"/>
          <w:szCs w:val="22"/>
          <w:highlight w:val="none"/>
        </w:rPr>
        <w:t>28.履约保证金</w:t>
      </w:r>
    </w:p>
    <w:p w14:paraId="6440BEE0">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b/>
          <w:bCs/>
          <w:color w:val="auto"/>
          <w:sz w:val="22"/>
          <w:szCs w:val="22"/>
          <w:highlight w:val="none"/>
        </w:rPr>
      </w:pPr>
      <w:r>
        <w:rPr>
          <w:rFonts w:hint="eastAsia" w:asciiTheme="minorEastAsia" w:hAnsiTheme="minorEastAsia" w:eastAsiaTheme="minorEastAsia" w:cstheme="minorEastAsia"/>
          <w:color w:val="auto"/>
          <w:sz w:val="22"/>
          <w:szCs w:val="22"/>
          <w:highlight w:val="none"/>
        </w:rPr>
        <w:t>详见“供应商须知前附表”</w:t>
      </w:r>
    </w:p>
    <w:p w14:paraId="6CABC69F">
      <w:pPr>
        <w:pageBreakBefore w:val="0"/>
        <w:widowControl w:val="0"/>
        <w:kinsoku/>
        <w:wordWrap/>
        <w:overflowPunct/>
        <w:topLinePunct w:val="0"/>
        <w:autoSpaceDE/>
        <w:autoSpaceDN/>
        <w:bidi w:val="0"/>
        <w:adjustRightInd/>
        <w:snapToGrid/>
        <w:spacing w:line="360" w:lineRule="auto"/>
        <w:ind w:firstLine="442" w:firstLineChars="200"/>
        <w:rPr>
          <w:rFonts w:hint="eastAsia" w:asciiTheme="minorEastAsia" w:hAnsiTheme="minorEastAsia" w:eastAsiaTheme="minorEastAsia" w:cstheme="minorEastAsia"/>
          <w:b/>
          <w:bCs/>
          <w:color w:val="auto"/>
          <w:sz w:val="22"/>
          <w:szCs w:val="22"/>
          <w:highlight w:val="none"/>
        </w:rPr>
      </w:pPr>
      <w:r>
        <w:rPr>
          <w:rFonts w:hint="eastAsia" w:asciiTheme="minorEastAsia" w:hAnsiTheme="minorEastAsia" w:eastAsiaTheme="minorEastAsia" w:cstheme="minorEastAsia"/>
          <w:b/>
          <w:bCs/>
          <w:color w:val="auto"/>
          <w:sz w:val="22"/>
          <w:szCs w:val="22"/>
          <w:highlight w:val="none"/>
        </w:rPr>
        <w:t>29.签订合同</w:t>
      </w:r>
    </w:p>
    <w:p w14:paraId="36B25DCC">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kern w:val="0"/>
          <w:sz w:val="22"/>
          <w:szCs w:val="22"/>
          <w:highlight w:val="none"/>
          <w:lang w:val="zh-CN"/>
        </w:rPr>
      </w:pPr>
      <w:r>
        <w:rPr>
          <w:rFonts w:hint="eastAsia" w:asciiTheme="minorEastAsia" w:hAnsiTheme="minorEastAsia" w:eastAsiaTheme="minorEastAsia" w:cstheme="minorEastAsia"/>
          <w:color w:val="auto"/>
          <w:kern w:val="0"/>
          <w:sz w:val="22"/>
          <w:szCs w:val="22"/>
          <w:highlight w:val="none"/>
        </w:rPr>
        <w:t>29.1采购人与成交供应商应当在成交通知书规定的时间内，按照磋商文件确定的合同文本以及采购标的、服务技术、采购金额、采购数量、技术和服务要求等事项签订政府采购合同。</w:t>
      </w:r>
      <w:r>
        <w:rPr>
          <w:rFonts w:hint="eastAsia" w:asciiTheme="minorEastAsia" w:hAnsiTheme="minorEastAsia" w:eastAsiaTheme="minorEastAsia" w:cstheme="minorEastAsia"/>
          <w:color w:val="auto"/>
          <w:kern w:val="0"/>
          <w:sz w:val="22"/>
          <w:szCs w:val="22"/>
          <w:highlight w:val="none"/>
          <w:lang w:val="zh-CN"/>
        </w:rPr>
        <w:t>如成交供应商为联合体的，由联合体成员各方法定代表人或其授权代表与采购人代表签订合同。</w:t>
      </w:r>
    </w:p>
    <w:p w14:paraId="4B38C6DF">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29.2采购人不得向成交供应商提出超出磋商文件以外的任何要求作为签订合同的条件，不得与成交供应商订立背离磋商文件确定的合同文本以及采购标的、服务技术、采购金额、采购数量、技术和服务要求等实质性内容的协议。</w:t>
      </w:r>
    </w:p>
    <w:p w14:paraId="7A125BAE">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29.3成交供应商拒绝签订政府采购合同的，采购人可以按照评审报告推荐的成交候选人名单排序，确定下一候选人为成交供应商，也可以重新开展采购活动。拒绝签订政府采购合同的成交供应商不得参加对该项目重新开展的采购活动。</w:t>
      </w:r>
    </w:p>
    <w:p w14:paraId="6D8311D3">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29.4如签订合同并生效后，供应商无故拒绝或延期，除按照合同条款处理外，列入不良行为记录，并给予通报。</w:t>
      </w:r>
    </w:p>
    <w:p w14:paraId="58775F28">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29.5采购合同由采购人与成交供应商根据磋商文件、响应文件等内容通过政府采购电子交易平台在线签订，自动备案，在线签订须携带的材料见“供应商须知前附表”。</w:t>
      </w:r>
    </w:p>
    <w:p w14:paraId="6628846D">
      <w:pPr>
        <w:pageBreakBefore w:val="0"/>
        <w:widowControl w:val="0"/>
        <w:kinsoku/>
        <w:wordWrap/>
        <w:overflowPunct/>
        <w:topLinePunct w:val="0"/>
        <w:autoSpaceDE/>
        <w:autoSpaceDN/>
        <w:bidi w:val="0"/>
        <w:adjustRightInd/>
        <w:snapToGrid/>
        <w:spacing w:line="360" w:lineRule="auto"/>
        <w:ind w:firstLine="442" w:firstLineChars="200"/>
        <w:rPr>
          <w:rFonts w:hint="eastAsia" w:asciiTheme="minorEastAsia" w:hAnsiTheme="minorEastAsia" w:eastAsiaTheme="minorEastAsia" w:cstheme="minorEastAsia"/>
          <w:b/>
          <w:bCs/>
          <w:color w:val="auto"/>
          <w:sz w:val="22"/>
          <w:szCs w:val="22"/>
          <w:highlight w:val="none"/>
        </w:rPr>
      </w:pPr>
      <w:r>
        <w:rPr>
          <w:rFonts w:hint="eastAsia" w:asciiTheme="minorEastAsia" w:hAnsiTheme="minorEastAsia" w:eastAsiaTheme="minorEastAsia" w:cstheme="minorEastAsia"/>
          <w:b/>
          <w:bCs/>
          <w:color w:val="auto"/>
          <w:sz w:val="22"/>
          <w:szCs w:val="22"/>
          <w:highlight w:val="none"/>
        </w:rPr>
        <w:t>30.政府采购合同公告</w:t>
      </w:r>
    </w:p>
    <w:p w14:paraId="69F8C7A0">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14:paraId="5CEEF257">
      <w:pPr>
        <w:pageBreakBefore w:val="0"/>
        <w:widowControl w:val="0"/>
        <w:kinsoku/>
        <w:wordWrap/>
        <w:overflowPunct/>
        <w:topLinePunct w:val="0"/>
        <w:autoSpaceDE/>
        <w:autoSpaceDN/>
        <w:bidi w:val="0"/>
        <w:adjustRightInd/>
        <w:snapToGrid/>
        <w:spacing w:line="360" w:lineRule="auto"/>
        <w:ind w:firstLine="442" w:firstLineChars="200"/>
        <w:rPr>
          <w:rFonts w:hint="eastAsia" w:asciiTheme="minorEastAsia" w:hAnsiTheme="minorEastAsia" w:eastAsiaTheme="minorEastAsia" w:cstheme="minorEastAsia"/>
          <w:b/>
          <w:bCs/>
          <w:color w:val="auto"/>
          <w:sz w:val="22"/>
          <w:szCs w:val="22"/>
          <w:highlight w:val="none"/>
        </w:rPr>
      </w:pPr>
      <w:r>
        <w:rPr>
          <w:rFonts w:hint="eastAsia" w:asciiTheme="minorEastAsia" w:hAnsiTheme="minorEastAsia" w:eastAsiaTheme="minorEastAsia" w:cstheme="minorEastAsia"/>
          <w:b/>
          <w:bCs/>
          <w:color w:val="auto"/>
          <w:sz w:val="22"/>
          <w:szCs w:val="22"/>
          <w:highlight w:val="none"/>
        </w:rPr>
        <w:t>31.询问、质疑和投诉</w:t>
      </w:r>
    </w:p>
    <w:p w14:paraId="395847F7">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31.1供应商对政府采购活动事项有疑问的，可以向采购人、采购代理机构提出询问，采购人或者采购代理机构应当在3个工作日内对供应商依法提出的询问作出答复。</w:t>
      </w:r>
    </w:p>
    <w:p w14:paraId="32B3B7E6">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b/>
          <w:color w:val="auto"/>
          <w:sz w:val="22"/>
          <w:szCs w:val="22"/>
          <w:highlight w:val="none"/>
        </w:rPr>
      </w:pPr>
      <w:r>
        <w:rPr>
          <w:rFonts w:hint="eastAsia" w:asciiTheme="minorEastAsia" w:hAnsiTheme="minorEastAsia" w:eastAsiaTheme="minorEastAsia" w:cstheme="minorEastAsia"/>
          <w:color w:val="auto"/>
          <w:sz w:val="22"/>
          <w:szCs w:val="22"/>
          <w:highlight w:val="none"/>
        </w:rPr>
        <w:t>31.2供应商认为磋商文件、采购过程或者成交结果使自己的合法权益受到损害的，应当在知道或者应知其权益受到损害之日起7个工作日内，以书面形式向采购人、采购代理机构提出质疑，</w:t>
      </w:r>
      <w:r>
        <w:rPr>
          <w:rFonts w:hint="eastAsia" w:asciiTheme="minorEastAsia" w:hAnsiTheme="minorEastAsia" w:eastAsiaTheme="minorEastAsia" w:cstheme="minorEastAsia"/>
          <w:color w:val="auto"/>
          <w:sz w:val="22"/>
          <w:szCs w:val="22"/>
          <w:highlight w:val="none"/>
          <w:shd w:val="clear" w:color="auto" w:fill="FFFFFF"/>
        </w:rPr>
        <w:t>接收质疑函的方式、联系部门、联系电话和通讯地址等信息详见</w:t>
      </w:r>
      <w:r>
        <w:rPr>
          <w:rFonts w:hint="eastAsia" w:asciiTheme="minorEastAsia" w:hAnsiTheme="minorEastAsia" w:eastAsiaTheme="minorEastAsia" w:cstheme="minorEastAsia"/>
          <w:color w:val="auto"/>
          <w:sz w:val="22"/>
          <w:szCs w:val="22"/>
          <w:highlight w:val="none"/>
        </w:rPr>
        <w:t>“供应商须知前附表”。</w:t>
      </w:r>
      <w:r>
        <w:rPr>
          <w:rFonts w:hint="eastAsia" w:asciiTheme="minorEastAsia" w:hAnsiTheme="minorEastAsia" w:eastAsiaTheme="minorEastAsia" w:cstheme="minorEastAsia"/>
          <w:b/>
          <w:color w:val="auto"/>
          <w:sz w:val="22"/>
          <w:szCs w:val="22"/>
          <w:highlight w:val="none"/>
        </w:rPr>
        <w:t>具体质疑起算时间及处理方式如下：</w:t>
      </w:r>
    </w:p>
    <w:p w14:paraId="49A4A807">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bCs/>
          <w:color w:val="auto"/>
          <w:sz w:val="22"/>
          <w:szCs w:val="22"/>
          <w:highlight w:val="none"/>
        </w:rPr>
      </w:pPr>
      <w:r>
        <w:rPr>
          <w:rFonts w:hint="eastAsia" w:asciiTheme="minorEastAsia" w:hAnsiTheme="minorEastAsia" w:eastAsiaTheme="minorEastAsia" w:cstheme="minorEastAsia"/>
          <w:bCs/>
          <w:color w:val="auto"/>
          <w:sz w:val="22"/>
          <w:szCs w:val="22"/>
          <w:highlight w:val="none"/>
        </w:rPr>
        <w:t>（1）潜在供应商依法获取采购文件后，认为采购文件使自己的权益受到损害的，应当在竞争性磋商采购文件公告期限届满之日起7个工作日内提出质疑。</w:t>
      </w:r>
      <w:r>
        <w:rPr>
          <w:rFonts w:hint="eastAsia" w:asciiTheme="minorEastAsia" w:hAnsiTheme="minorEastAsia" w:eastAsiaTheme="minorEastAsia" w:cstheme="minorEastAsia"/>
          <w:color w:val="auto"/>
          <w:sz w:val="22"/>
          <w:szCs w:val="22"/>
          <w:highlight w:val="none"/>
        </w:rPr>
        <w:t>委托代理协议无特殊约定的，</w:t>
      </w:r>
      <w:r>
        <w:rPr>
          <w:rFonts w:hint="eastAsia" w:asciiTheme="minorEastAsia" w:hAnsiTheme="minorEastAsia" w:eastAsiaTheme="minorEastAsia" w:cstheme="minorEastAsia"/>
          <w:bCs/>
          <w:color w:val="auto"/>
          <w:sz w:val="22"/>
          <w:szCs w:val="22"/>
          <w:highlight w:val="none"/>
        </w:rPr>
        <w:t>对竞争性磋商文件中采购需求（含资格要求、采购预算和评分办法）的质疑由采购人受理并负责答复；对竞争性磋商文件中的采购执行程序的质疑由采购代理机构受理并负责答复。</w:t>
      </w:r>
    </w:p>
    <w:p w14:paraId="518B8C98">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bCs/>
          <w:color w:val="auto"/>
          <w:sz w:val="22"/>
          <w:szCs w:val="22"/>
          <w:highlight w:val="none"/>
        </w:rPr>
      </w:pPr>
      <w:r>
        <w:rPr>
          <w:rFonts w:hint="eastAsia" w:asciiTheme="minorEastAsia" w:hAnsiTheme="minorEastAsia" w:eastAsiaTheme="minorEastAsia" w:cstheme="minorEastAsia"/>
          <w:bCs/>
          <w:color w:val="auto"/>
          <w:sz w:val="22"/>
          <w:szCs w:val="22"/>
          <w:highlight w:val="none"/>
        </w:rPr>
        <w:t>（2）供应商认为采购过程使自己的权益受到损害的，应当在各采购程序环节结束之日起7个工作日内提出质疑。对采购过程中资格审查、符合性审查等具体评审情况的质疑应向采购人或代理机构提出，由采购人或代理机构受理并负责答复；对采购过程中采购执行程序的质疑由采购代理机构受理并负责答复。</w:t>
      </w:r>
    </w:p>
    <w:p w14:paraId="2B89D8F3">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bCs/>
          <w:color w:val="auto"/>
          <w:sz w:val="22"/>
          <w:szCs w:val="22"/>
          <w:highlight w:val="none"/>
        </w:rPr>
      </w:pPr>
      <w:r>
        <w:rPr>
          <w:rFonts w:hint="eastAsia" w:asciiTheme="minorEastAsia" w:hAnsiTheme="minorEastAsia" w:eastAsiaTheme="minorEastAsia" w:cstheme="minorEastAsia"/>
          <w:bCs/>
          <w:color w:val="auto"/>
          <w:sz w:val="22"/>
          <w:szCs w:val="22"/>
          <w:highlight w:val="none"/>
        </w:rPr>
        <w:t>（3）供应商认为成交结果使自己的权益受到损害的，应当在成交结果公告期限届满之日起7个工作日内提出质疑，由采购人受理并负责答复。</w:t>
      </w:r>
    </w:p>
    <w:p w14:paraId="40F9E036">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31.3供应商提出的询问或者质疑超出采购人对采购代理机构委托授权范围的，采购代理机构应当告知供应商向采购人提出。政府采购评审专家应当配合采购人或者采购代理机构答复供应商的询问和质疑。</w:t>
      </w:r>
    </w:p>
    <w:p w14:paraId="03D3DB2B">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31.4供应商提出质疑应当提交质疑函和必要的证明材料，针对同一采购程序环节的质疑必须在法定质疑期内一次性提出。质疑函应当包括下列内容</w:t>
      </w:r>
      <w:r>
        <w:rPr>
          <w:rFonts w:hint="eastAsia" w:asciiTheme="minorEastAsia" w:hAnsiTheme="minorEastAsia" w:eastAsiaTheme="minorEastAsia" w:cstheme="minorEastAsia"/>
          <w:bCs/>
          <w:color w:val="auto"/>
          <w:sz w:val="22"/>
          <w:szCs w:val="22"/>
          <w:highlight w:val="none"/>
        </w:rPr>
        <w:t>（质疑函格式后附）</w:t>
      </w:r>
      <w:r>
        <w:rPr>
          <w:rFonts w:hint="eastAsia" w:asciiTheme="minorEastAsia" w:hAnsiTheme="minorEastAsia" w:eastAsiaTheme="minorEastAsia" w:cstheme="minorEastAsia"/>
          <w:color w:val="auto"/>
          <w:sz w:val="22"/>
          <w:szCs w:val="22"/>
          <w:highlight w:val="none"/>
        </w:rPr>
        <w:t>：</w:t>
      </w:r>
    </w:p>
    <w:p w14:paraId="10EE708F">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（1）供应商的姓名或者名称、地址、邮编、联系人及联系电话；</w:t>
      </w:r>
    </w:p>
    <w:p w14:paraId="5E0CA454">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（2）质疑项目的名称、编号；</w:t>
      </w:r>
    </w:p>
    <w:p w14:paraId="44554183">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（3）具体、明确的质疑事项和与质疑事项相关的请求；</w:t>
      </w:r>
    </w:p>
    <w:p w14:paraId="7B1A4A3B">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（4）事实依据；</w:t>
      </w:r>
    </w:p>
    <w:p w14:paraId="30CC19FD">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（5）必要的法律依据；</w:t>
      </w:r>
    </w:p>
    <w:p w14:paraId="6AF86343">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（6）提出质疑的日期。</w:t>
      </w:r>
    </w:p>
    <w:p w14:paraId="3D9F4477">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供应商为自然人的，应当由本人签字；供应商为法人或者其他组织的，应当由法定代表人、主要负责人，或者其委托代理人签字或者盖章，并加盖公章。</w:t>
      </w:r>
    </w:p>
    <w:p w14:paraId="30157B6E">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31.5采购人、采购代理机构认为供应商质疑不成立，或者成立但未对成交结果构成影响的，继续开展采购活动；认为供应商质疑成立且影响或者可能影响成交结果的，按照下列情况处理：</w:t>
      </w:r>
    </w:p>
    <w:p w14:paraId="05BCCB1E">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（一）对采购文件提出的质疑，依法通过澄清或者修改可以继续开展采购活动的，澄清或者修改采购文件后继续开展采购活动；否则应当修改采购文件后重新开展采购活动。</w:t>
      </w:r>
    </w:p>
    <w:p w14:paraId="04C5BACF">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（二）对采购过程或者成交结果提出的质疑，合格供应商符合法定数量时，可以从合格的成交候选人中另行确定成交供应商的，应当依法另行确定成交供应商；否则应当重新开展采购活动。</w:t>
      </w:r>
    </w:p>
    <w:p w14:paraId="2E9C9C11">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质疑答复导致成交结果改变的，采购人或者采购代理机构应当将有关情况书面报告本级财政部门。</w:t>
      </w:r>
    </w:p>
    <w:p w14:paraId="645E88EA">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31.6投诉的权利。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受理投诉方式见“供应商须知前附表”。</w:t>
      </w:r>
      <w:bookmarkStart w:id="46" w:name="_Toc80205930"/>
    </w:p>
    <w:p w14:paraId="6DF13EFB">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lang w:val="en-US" w:eastAsia="zh-CN"/>
        </w:rPr>
        <w:t>31.7</w:t>
      </w:r>
      <w:r>
        <w:rPr>
          <w:rFonts w:hint="eastAsia" w:asciiTheme="minorEastAsia" w:hAnsiTheme="minorEastAsia" w:eastAsiaTheme="minorEastAsia" w:cstheme="minorEastAsia"/>
          <w:color w:val="auto"/>
          <w:sz w:val="22"/>
          <w:szCs w:val="22"/>
          <w:highlight w:val="none"/>
        </w:rPr>
        <w:t>供应商应明确知悉投诉可能产生的后果并承担相应的责任：</w:t>
      </w:r>
    </w:p>
    <w:p w14:paraId="7C05A314">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按照《政府采购质疑和投诉办法》（中华人民共和国财政部令第94号）第三十七条：投诉人在全国范围12个月内三次以上投诉查无实据的，由财政部门列入不良行为记录名单。</w:t>
      </w:r>
    </w:p>
    <w:p w14:paraId="32612E6A">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投诉人有下列行为之一的，属于虚假、恶意投诉，由财政部门列入不良行为记录名单，禁止其1至3年内参加政府采购活动：</w:t>
      </w:r>
    </w:p>
    <w:p w14:paraId="3A234F4A">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lang w:eastAsia="zh-CN"/>
        </w:rPr>
      </w:pPr>
      <w:r>
        <w:rPr>
          <w:rFonts w:hint="eastAsia" w:asciiTheme="minorEastAsia" w:hAnsiTheme="minorEastAsia" w:eastAsiaTheme="minorEastAsia" w:cstheme="minorEastAsia"/>
          <w:color w:val="auto"/>
          <w:sz w:val="22"/>
          <w:szCs w:val="22"/>
          <w:highlight w:val="none"/>
        </w:rPr>
        <w:t>（一）捏造事实</w:t>
      </w:r>
      <w:r>
        <w:rPr>
          <w:rFonts w:hint="eastAsia" w:asciiTheme="minorEastAsia" w:hAnsiTheme="minorEastAsia" w:eastAsiaTheme="minorEastAsia" w:cstheme="minorEastAsia"/>
          <w:color w:val="auto"/>
          <w:sz w:val="22"/>
          <w:szCs w:val="22"/>
          <w:highlight w:val="none"/>
          <w:lang w:eastAsia="zh-CN"/>
        </w:rPr>
        <w:t>；</w:t>
      </w:r>
    </w:p>
    <w:p w14:paraId="0A27D74B">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lang w:eastAsia="zh-CN"/>
        </w:rPr>
      </w:pPr>
      <w:r>
        <w:rPr>
          <w:rFonts w:hint="eastAsia" w:asciiTheme="minorEastAsia" w:hAnsiTheme="minorEastAsia" w:eastAsiaTheme="minorEastAsia" w:cstheme="minorEastAsia"/>
          <w:color w:val="auto"/>
          <w:sz w:val="22"/>
          <w:szCs w:val="22"/>
          <w:highlight w:val="none"/>
        </w:rPr>
        <w:t>（二）提供虚假材料</w:t>
      </w:r>
      <w:r>
        <w:rPr>
          <w:rFonts w:hint="eastAsia" w:asciiTheme="minorEastAsia" w:hAnsiTheme="minorEastAsia" w:eastAsiaTheme="minorEastAsia" w:cstheme="minorEastAsia"/>
          <w:color w:val="auto"/>
          <w:sz w:val="22"/>
          <w:szCs w:val="22"/>
          <w:highlight w:val="none"/>
          <w:lang w:eastAsia="zh-CN"/>
        </w:rPr>
        <w:t>；</w:t>
      </w:r>
    </w:p>
    <w:p w14:paraId="3955EB41">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lang w:eastAsia="zh-CN"/>
        </w:rPr>
        <w:t>（三）</w:t>
      </w:r>
      <w:r>
        <w:rPr>
          <w:rFonts w:hint="eastAsia" w:asciiTheme="minorEastAsia" w:hAnsiTheme="minorEastAsia" w:eastAsiaTheme="minorEastAsia" w:cstheme="minorEastAsia"/>
          <w:color w:val="auto"/>
          <w:sz w:val="22"/>
          <w:szCs w:val="22"/>
          <w:highlight w:val="none"/>
        </w:rPr>
        <w:t>以非法手段取得证明材料。证据来源的合法性存在明显疑问，投诉人无法证明其取得方式合法的，视为以非法手段取得证明材料。</w:t>
      </w:r>
    </w:p>
    <w:p w14:paraId="596E037B">
      <w:pPr>
        <w:keepNext/>
        <w:keepLines/>
        <w:pageBreakBefore w:val="0"/>
        <w:widowControl w:val="0"/>
        <w:kinsoku/>
        <w:wordWrap/>
        <w:overflowPunct/>
        <w:topLinePunct w:val="0"/>
        <w:autoSpaceDE/>
        <w:autoSpaceDN/>
        <w:bidi w:val="0"/>
        <w:adjustRightInd/>
        <w:snapToGrid/>
        <w:spacing w:line="360" w:lineRule="auto"/>
        <w:ind w:firstLine="482" w:firstLineChars="200"/>
        <w:outlineLvl w:val="2"/>
        <w:rPr>
          <w:rFonts w:hint="eastAsia" w:asciiTheme="minorEastAsia" w:hAnsiTheme="minorEastAsia" w:eastAsiaTheme="minorEastAsia" w:cstheme="minorEastAsia"/>
          <w:color w:val="auto"/>
          <w:sz w:val="22"/>
          <w:szCs w:val="22"/>
          <w:highlight w:val="none"/>
        </w:rPr>
      </w:pPr>
      <w:bookmarkStart w:id="47" w:name="_Toc8074"/>
      <w:r>
        <w:rPr>
          <w:rFonts w:hint="eastAsia" w:asciiTheme="minorEastAsia" w:hAnsiTheme="minorEastAsia" w:eastAsiaTheme="minorEastAsia" w:cstheme="minorEastAsia"/>
          <w:b/>
          <w:bCs/>
          <w:color w:val="auto"/>
          <w:sz w:val="24"/>
          <w:szCs w:val="24"/>
          <w:highlight w:val="none"/>
        </w:rPr>
        <w:t>六、验收</w:t>
      </w:r>
      <w:bookmarkEnd w:id="46"/>
      <w:bookmarkEnd w:id="47"/>
    </w:p>
    <w:p w14:paraId="7565A481">
      <w:pPr>
        <w:pageBreakBefore w:val="0"/>
        <w:widowControl w:val="0"/>
        <w:tabs>
          <w:tab w:val="left" w:pos="0"/>
        </w:tabs>
        <w:kinsoku/>
        <w:wordWrap/>
        <w:overflowPunct/>
        <w:topLinePunct w:val="0"/>
        <w:autoSpaceDE/>
        <w:autoSpaceDN/>
        <w:bidi w:val="0"/>
        <w:adjustRightInd/>
        <w:snapToGrid/>
        <w:spacing w:line="360" w:lineRule="auto"/>
        <w:ind w:firstLine="442" w:firstLineChars="200"/>
        <w:rPr>
          <w:rFonts w:hint="eastAsia" w:asciiTheme="minorEastAsia" w:hAnsiTheme="minorEastAsia" w:eastAsiaTheme="minorEastAsia" w:cstheme="minorEastAsia"/>
          <w:b/>
          <w:bCs/>
          <w:color w:val="auto"/>
          <w:sz w:val="22"/>
          <w:szCs w:val="22"/>
          <w:highlight w:val="none"/>
        </w:rPr>
      </w:pPr>
      <w:r>
        <w:rPr>
          <w:rFonts w:hint="eastAsia" w:asciiTheme="minorEastAsia" w:hAnsiTheme="minorEastAsia" w:eastAsiaTheme="minorEastAsia" w:cstheme="minorEastAsia"/>
          <w:b/>
          <w:bCs/>
          <w:color w:val="auto"/>
          <w:sz w:val="22"/>
          <w:szCs w:val="22"/>
          <w:highlight w:val="none"/>
        </w:rPr>
        <w:t>32.验收</w:t>
      </w:r>
    </w:p>
    <w:p w14:paraId="3BE892AA">
      <w:pPr>
        <w:pageBreakBefore w:val="0"/>
        <w:widowControl w:val="0"/>
        <w:tabs>
          <w:tab w:val="left" w:pos="0"/>
        </w:tabs>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32.1采购人会同实际使用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5799A702">
      <w:pPr>
        <w:pageBreakBefore w:val="0"/>
        <w:widowControl w:val="0"/>
        <w:tabs>
          <w:tab w:val="left" w:pos="0"/>
        </w:tabs>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32.2采购人可以邀请参加本项目的其他供应商或者第三方机构参与验收。参与验收的供应商或者第三方机构的意见作为验收书的参考资料一并存档。</w:t>
      </w:r>
    </w:p>
    <w:p w14:paraId="472C3D37">
      <w:pPr>
        <w:pageBreakBefore w:val="0"/>
        <w:widowControl w:val="0"/>
        <w:tabs>
          <w:tab w:val="left" w:pos="0"/>
        </w:tabs>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32.3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56DD688D">
      <w:pPr>
        <w:pageBreakBefore w:val="0"/>
        <w:widowControl w:val="0"/>
        <w:tabs>
          <w:tab w:val="left" w:pos="0"/>
        </w:tabs>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kern w:val="0"/>
          <w:sz w:val="22"/>
          <w:szCs w:val="22"/>
          <w:highlight w:val="none"/>
        </w:rPr>
        <w:t>32.4验收合格的项目，实际使用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59A4EA73">
      <w:pPr>
        <w:keepNext/>
        <w:keepLines/>
        <w:pageBreakBefore w:val="0"/>
        <w:widowControl w:val="0"/>
        <w:kinsoku/>
        <w:wordWrap/>
        <w:overflowPunct/>
        <w:topLinePunct w:val="0"/>
        <w:autoSpaceDE/>
        <w:autoSpaceDN/>
        <w:bidi w:val="0"/>
        <w:adjustRightInd/>
        <w:snapToGrid/>
        <w:spacing w:line="360" w:lineRule="auto"/>
        <w:ind w:firstLine="482" w:firstLineChars="200"/>
        <w:outlineLvl w:val="2"/>
        <w:rPr>
          <w:rFonts w:hint="eastAsia" w:asciiTheme="minorEastAsia" w:hAnsiTheme="minorEastAsia" w:eastAsiaTheme="minorEastAsia" w:cstheme="minorEastAsia"/>
          <w:color w:val="auto"/>
          <w:sz w:val="22"/>
          <w:szCs w:val="22"/>
          <w:highlight w:val="none"/>
        </w:rPr>
      </w:pPr>
      <w:bookmarkStart w:id="48" w:name="_Toc9558"/>
      <w:r>
        <w:rPr>
          <w:rFonts w:hint="eastAsia" w:asciiTheme="minorEastAsia" w:hAnsiTheme="minorEastAsia" w:eastAsiaTheme="minorEastAsia" w:cstheme="minorEastAsia"/>
          <w:b/>
          <w:bCs/>
          <w:color w:val="auto"/>
          <w:sz w:val="24"/>
          <w:szCs w:val="24"/>
          <w:highlight w:val="none"/>
        </w:rPr>
        <w:t>七、其他事项</w:t>
      </w:r>
      <w:bookmarkEnd w:id="48"/>
    </w:p>
    <w:p w14:paraId="7C993638">
      <w:pPr>
        <w:pageBreakBefore w:val="0"/>
        <w:widowControl w:val="0"/>
        <w:kinsoku/>
        <w:wordWrap/>
        <w:overflowPunct/>
        <w:topLinePunct w:val="0"/>
        <w:autoSpaceDE/>
        <w:autoSpaceDN/>
        <w:bidi w:val="0"/>
        <w:adjustRightInd/>
        <w:snapToGrid/>
        <w:spacing w:line="360" w:lineRule="auto"/>
        <w:ind w:firstLine="442" w:firstLineChars="200"/>
        <w:rPr>
          <w:rFonts w:hint="eastAsia" w:asciiTheme="minorEastAsia" w:hAnsiTheme="minorEastAsia" w:eastAsiaTheme="minorEastAsia" w:cstheme="minorEastAsia"/>
          <w:b/>
          <w:bCs/>
          <w:color w:val="auto"/>
          <w:sz w:val="22"/>
          <w:szCs w:val="22"/>
          <w:highlight w:val="none"/>
        </w:rPr>
      </w:pPr>
      <w:r>
        <w:rPr>
          <w:rFonts w:hint="eastAsia" w:asciiTheme="minorEastAsia" w:hAnsiTheme="minorEastAsia" w:eastAsiaTheme="minorEastAsia" w:cstheme="minorEastAsia"/>
          <w:b/>
          <w:bCs/>
          <w:color w:val="auto"/>
          <w:sz w:val="22"/>
          <w:szCs w:val="22"/>
          <w:highlight w:val="none"/>
        </w:rPr>
        <w:t>33.代理服务费</w:t>
      </w:r>
    </w:p>
    <w:p w14:paraId="5FD9543F">
      <w:pPr>
        <w:pageBreakBefore w:val="0"/>
        <w:widowControl w:val="0"/>
        <w:tabs>
          <w:tab w:val="left" w:pos="2835"/>
        </w:tabs>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代理服务收费标准详见“供应商须知前附表”。</w:t>
      </w:r>
    </w:p>
    <w:p w14:paraId="73319C04">
      <w:pPr>
        <w:pageBreakBefore w:val="0"/>
        <w:widowControl w:val="0"/>
        <w:kinsoku/>
        <w:wordWrap/>
        <w:overflowPunct/>
        <w:topLinePunct w:val="0"/>
        <w:autoSpaceDE/>
        <w:autoSpaceDN/>
        <w:bidi w:val="0"/>
        <w:adjustRightInd/>
        <w:snapToGrid/>
        <w:spacing w:line="360" w:lineRule="auto"/>
        <w:ind w:firstLine="442" w:firstLineChars="200"/>
        <w:rPr>
          <w:rFonts w:hint="eastAsia" w:asciiTheme="minorEastAsia" w:hAnsiTheme="minorEastAsia" w:eastAsiaTheme="minorEastAsia" w:cstheme="minorEastAsia"/>
          <w:b/>
          <w:bCs/>
          <w:color w:val="auto"/>
          <w:sz w:val="22"/>
          <w:szCs w:val="22"/>
          <w:highlight w:val="none"/>
        </w:rPr>
      </w:pPr>
      <w:r>
        <w:rPr>
          <w:rFonts w:hint="eastAsia" w:asciiTheme="minorEastAsia" w:hAnsiTheme="minorEastAsia" w:eastAsiaTheme="minorEastAsia" w:cstheme="minorEastAsia"/>
          <w:b/>
          <w:bCs/>
          <w:color w:val="auto"/>
          <w:sz w:val="22"/>
          <w:szCs w:val="22"/>
          <w:highlight w:val="none"/>
        </w:rPr>
        <w:t>34.需要补充的其他内容</w:t>
      </w:r>
    </w:p>
    <w:p w14:paraId="55395890">
      <w:pPr>
        <w:pageBreakBefore w:val="0"/>
        <w:widowControl w:val="0"/>
        <w:kinsoku/>
        <w:wordWrap/>
        <w:overflowPunct/>
        <w:topLinePunct w:val="0"/>
        <w:autoSpaceDE/>
        <w:autoSpaceDN/>
        <w:bidi w:val="0"/>
        <w:adjustRightInd/>
        <w:snapToGrid/>
        <w:spacing w:line="360" w:lineRule="auto"/>
        <w:ind w:firstLine="440" w:firstLineChars="200"/>
        <w:textAlignment w:val="cente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34.1本磋商文件解释规则详见“供应商须知前附表”。</w:t>
      </w:r>
    </w:p>
    <w:p w14:paraId="76925220">
      <w:pPr>
        <w:pageBreakBefore w:val="0"/>
        <w:widowControl w:val="0"/>
        <w:kinsoku/>
        <w:wordWrap/>
        <w:overflowPunct/>
        <w:topLinePunct w:val="0"/>
        <w:autoSpaceDE/>
        <w:autoSpaceDN/>
        <w:bidi w:val="0"/>
        <w:adjustRightInd/>
        <w:snapToGrid/>
        <w:spacing w:line="360" w:lineRule="auto"/>
        <w:ind w:firstLine="440" w:firstLineChars="200"/>
        <w:textAlignment w:val="cente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34.2其他事项详见“供应商须知前附表”。</w:t>
      </w:r>
    </w:p>
    <w:p w14:paraId="2AC0F6F5">
      <w:pPr>
        <w:pageBreakBefore w:val="0"/>
        <w:widowControl w:val="0"/>
        <w:kinsoku/>
        <w:wordWrap/>
        <w:overflowPunct/>
        <w:topLinePunct w:val="0"/>
        <w:autoSpaceDE/>
        <w:autoSpaceDN/>
        <w:bidi w:val="0"/>
        <w:adjustRightInd/>
        <w:snapToGrid/>
        <w:spacing w:line="360" w:lineRule="auto"/>
        <w:ind w:firstLine="440" w:firstLineChars="200"/>
        <w:textAlignment w:val="cente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34.3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w:t>
      </w:r>
      <w:r>
        <w:rPr>
          <w:rFonts w:hint="eastAsia" w:asciiTheme="minorEastAsia" w:hAnsiTheme="minorEastAsia" w:eastAsiaTheme="minorEastAsia" w:cstheme="minorEastAsia"/>
          <w:color w:val="auto"/>
          <w:kern w:val="0"/>
          <w:sz w:val="22"/>
          <w:szCs w:val="22"/>
          <w:highlight w:val="none"/>
        </w:rPr>
        <w:t>服务由中小企业承接，即提供服务的人员为中小企业依照《中华人民共和国劳动合同法》订立劳动合同的从业人员，不对其中涉及的货物的制造商和工程承建商作出要求的</w:t>
      </w:r>
      <w:r>
        <w:rPr>
          <w:rFonts w:hint="eastAsia" w:asciiTheme="minorEastAsia" w:hAnsiTheme="minorEastAsia" w:eastAsiaTheme="minorEastAsia" w:cstheme="minorEastAsia"/>
          <w:color w:val="auto"/>
          <w:sz w:val="22"/>
          <w:szCs w:val="22"/>
          <w:highlight w:val="none"/>
        </w:rPr>
        <w:t>，享受本文件规定的中小企业扶持政策。</w:t>
      </w:r>
    </w:p>
    <w:p w14:paraId="123EBB86">
      <w:pPr>
        <w:pageBreakBefore w:val="0"/>
        <w:widowControl w:val="0"/>
        <w:kinsoku/>
        <w:wordWrap/>
        <w:overflowPunct/>
        <w:topLinePunct w:val="0"/>
        <w:autoSpaceDE/>
        <w:autoSpaceDN/>
        <w:bidi w:val="0"/>
        <w:adjustRightInd/>
        <w:snapToGrid/>
        <w:spacing w:line="360" w:lineRule="auto"/>
        <w:ind w:firstLine="440" w:firstLineChars="200"/>
        <w:textAlignment w:val="cente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以联合体形式参加政府采购活动，联合体各方均为中小企业的，联合体视同中小企业。其中，联合体各方均为小微企业的，联合体视同小微企业。</w:t>
      </w:r>
    </w:p>
    <w:p w14:paraId="10613244">
      <w:pPr>
        <w:pageBreakBefore w:val="0"/>
        <w:widowControl w:val="0"/>
        <w:kinsoku/>
        <w:wordWrap/>
        <w:overflowPunct/>
        <w:topLinePunct w:val="0"/>
        <w:autoSpaceDE/>
        <w:autoSpaceDN/>
        <w:bidi w:val="0"/>
        <w:adjustRightInd/>
        <w:snapToGrid/>
        <w:spacing w:line="360" w:lineRule="auto"/>
        <w:ind w:firstLine="440" w:firstLineChars="200"/>
        <w:textAlignment w:val="cente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依据本文件规定享受扶持政策获得政府采购合同的，小微企业不得将合同分包给大中型企业，中型企业不得将合同分包给大型企业。</w:t>
      </w:r>
    </w:p>
    <w:p w14:paraId="7E8136AF">
      <w:pPr>
        <w:spacing w:line="360" w:lineRule="auto"/>
        <w:jc w:val="center"/>
        <w:textAlignment w:val="center"/>
        <w:outlineLvl w:val="0"/>
        <w:rPr>
          <w:rFonts w:hint="eastAsia" w:ascii="宋体" w:hAnsi="宋体" w:eastAsia="宋体" w:cs="宋体"/>
          <w:b/>
          <w:bCs/>
          <w:color w:val="auto"/>
          <w:kern w:val="44"/>
          <w:sz w:val="24"/>
          <w:szCs w:val="24"/>
          <w:highlight w:val="none"/>
        </w:rPr>
      </w:pPr>
      <w:r>
        <w:rPr>
          <w:rFonts w:hint="eastAsia" w:ascii="宋体" w:hAnsi="宋体" w:eastAsia="宋体" w:cs="宋体"/>
          <w:b/>
          <w:color w:val="auto"/>
          <w:kern w:val="0"/>
          <w:sz w:val="24"/>
          <w:szCs w:val="24"/>
          <w:highlight w:val="none"/>
        </w:rPr>
        <w:br w:type="page"/>
      </w:r>
      <w:bookmarkStart w:id="49" w:name="_Toc9978"/>
      <w:r>
        <w:rPr>
          <w:rFonts w:hint="eastAsia" w:ascii="宋体" w:hAnsi="宋体" w:eastAsia="宋体" w:cs="宋体"/>
          <w:b/>
          <w:color w:val="auto"/>
          <w:kern w:val="44"/>
          <w:sz w:val="32"/>
          <w:szCs w:val="32"/>
          <w:highlight w:val="none"/>
        </w:rPr>
        <w:t>第四章  评标方法及评分标准</w:t>
      </w:r>
    </w:p>
    <w:p w14:paraId="73C3B057">
      <w:pPr>
        <w:keepNext/>
        <w:keepLines/>
        <w:spacing w:before="260" w:after="260" w:line="416" w:lineRule="auto"/>
        <w:jc w:val="center"/>
        <w:outlineLvl w:val="1"/>
        <w:rPr>
          <w:rFonts w:hint="eastAsia" w:ascii="宋体" w:hAnsi="宋体" w:eastAsia="宋体" w:cs="宋体"/>
          <w:bCs/>
          <w:color w:val="auto"/>
          <w:sz w:val="32"/>
          <w:szCs w:val="32"/>
          <w:highlight w:val="none"/>
        </w:rPr>
      </w:pPr>
      <w:bookmarkStart w:id="50" w:name="_Toc994"/>
      <w:r>
        <w:rPr>
          <w:rFonts w:hint="eastAsia" w:ascii="宋体" w:hAnsi="宋体" w:eastAsia="宋体" w:cs="宋体"/>
          <w:bCs/>
          <w:color w:val="auto"/>
          <w:sz w:val="32"/>
          <w:szCs w:val="32"/>
          <w:highlight w:val="none"/>
        </w:rPr>
        <w:t>第一节 评审程序和评审方法</w:t>
      </w:r>
      <w:bookmarkEnd w:id="50"/>
    </w:p>
    <w:p w14:paraId="35A5689C">
      <w:pPr>
        <w:keepNext w:val="0"/>
        <w:keepLines w:val="0"/>
        <w:pageBreakBefore w:val="0"/>
        <w:kinsoku/>
        <w:wordWrap/>
        <w:overflowPunct/>
        <w:topLinePunct w:val="0"/>
        <w:autoSpaceDE/>
        <w:autoSpaceDN/>
        <w:bidi w:val="0"/>
        <w:adjustRightInd/>
        <w:snapToGrid/>
        <w:spacing w:line="360" w:lineRule="auto"/>
        <w:ind w:firstLine="442" w:firstLineChars="200"/>
        <w:textAlignment w:val="auto"/>
        <w:rPr>
          <w:rFonts w:hint="eastAsia" w:asciiTheme="minorEastAsia" w:hAnsiTheme="minorEastAsia" w:eastAsiaTheme="minorEastAsia" w:cstheme="minorEastAsia"/>
          <w:b/>
          <w:bCs/>
          <w:color w:val="auto"/>
          <w:sz w:val="22"/>
          <w:szCs w:val="22"/>
          <w:highlight w:val="none"/>
        </w:rPr>
      </w:pPr>
      <w:r>
        <w:rPr>
          <w:rFonts w:hint="eastAsia" w:asciiTheme="minorEastAsia" w:hAnsiTheme="minorEastAsia" w:eastAsiaTheme="minorEastAsia" w:cstheme="minorEastAsia"/>
          <w:b/>
          <w:bCs/>
          <w:color w:val="auto"/>
          <w:sz w:val="22"/>
          <w:szCs w:val="22"/>
          <w:highlight w:val="none"/>
        </w:rPr>
        <w:t>1.确认磋商文件</w:t>
      </w:r>
    </w:p>
    <w:p w14:paraId="06CA0523">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由磋商小组确认磋商文件。</w:t>
      </w:r>
    </w:p>
    <w:p w14:paraId="4D241893">
      <w:pPr>
        <w:keepNext w:val="0"/>
        <w:keepLines w:val="0"/>
        <w:pageBreakBefore w:val="0"/>
        <w:kinsoku/>
        <w:wordWrap/>
        <w:overflowPunct/>
        <w:topLinePunct w:val="0"/>
        <w:autoSpaceDE/>
        <w:autoSpaceDN/>
        <w:bidi w:val="0"/>
        <w:adjustRightInd/>
        <w:snapToGrid/>
        <w:spacing w:line="360" w:lineRule="auto"/>
        <w:ind w:firstLine="442" w:firstLineChars="200"/>
        <w:textAlignment w:val="auto"/>
        <w:rPr>
          <w:rFonts w:hint="eastAsia" w:asciiTheme="minorEastAsia" w:hAnsiTheme="minorEastAsia" w:eastAsiaTheme="minorEastAsia" w:cstheme="minorEastAsia"/>
          <w:b/>
          <w:bCs/>
          <w:color w:val="auto"/>
          <w:sz w:val="22"/>
          <w:szCs w:val="22"/>
          <w:highlight w:val="none"/>
        </w:rPr>
      </w:pPr>
      <w:r>
        <w:rPr>
          <w:rFonts w:hint="eastAsia" w:asciiTheme="minorEastAsia" w:hAnsiTheme="minorEastAsia" w:eastAsiaTheme="minorEastAsia" w:cstheme="minorEastAsia"/>
          <w:b/>
          <w:bCs/>
          <w:color w:val="auto"/>
          <w:sz w:val="22"/>
          <w:szCs w:val="22"/>
          <w:highlight w:val="none"/>
        </w:rPr>
        <w:t>2.资格审查</w:t>
      </w:r>
    </w:p>
    <w:p w14:paraId="13425AFF">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2.1响应文件开启后，磋商小组依法对供应商的资格证明文件进行审查。</w:t>
      </w:r>
    </w:p>
    <w:p w14:paraId="51C5B803">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注：采购人代表或者采购代理机构在资格审查结束前，对供应商进行信用查询。</w:t>
      </w:r>
    </w:p>
    <w:p w14:paraId="6C7348DD">
      <w:pPr>
        <w:keepNext w:val="0"/>
        <w:keepLines w:val="0"/>
        <w:pageBreakBefore w:val="0"/>
        <w:kinsoku/>
        <w:wordWrap/>
        <w:overflowPunct/>
        <w:topLinePunct w:val="0"/>
        <w:autoSpaceDE/>
        <w:autoSpaceDN/>
        <w:bidi w:val="0"/>
        <w:adjustRightInd/>
        <w:snapToGrid/>
        <w:spacing w:line="360" w:lineRule="auto"/>
        <w:ind w:firstLine="440" w:firstLineChars="200"/>
        <w:jc w:val="left"/>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（1）查询渠道：“</w:t>
      </w:r>
      <w:r>
        <w:rPr>
          <w:rFonts w:hint="eastAsia" w:asciiTheme="minorEastAsia" w:hAnsiTheme="minorEastAsia" w:eastAsiaTheme="minorEastAsia" w:cstheme="minorEastAsia"/>
          <w:color w:val="auto"/>
          <w:sz w:val="22"/>
          <w:szCs w:val="22"/>
          <w:highlight w:val="none"/>
          <w:lang w:eastAsia="zh-CN"/>
        </w:rPr>
        <w:t>广西政府采购云平台</w:t>
      </w:r>
      <w:r>
        <w:rPr>
          <w:rFonts w:hint="eastAsia" w:asciiTheme="minorEastAsia" w:hAnsiTheme="minorEastAsia" w:eastAsiaTheme="minorEastAsia" w:cstheme="minorEastAsia"/>
          <w:color w:val="auto"/>
          <w:sz w:val="22"/>
          <w:szCs w:val="22"/>
          <w:highlight w:val="none"/>
        </w:rPr>
        <w:t>”平台“信用中国”网站</w:t>
      </w:r>
      <w:r>
        <w:rPr>
          <w:rFonts w:hint="eastAsia" w:asciiTheme="minorEastAsia" w:hAnsiTheme="minorEastAsia" w:eastAsiaTheme="minorEastAsia" w:cstheme="minorEastAsia"/>
          <w:color w:val="auto"/>
          <w:sz w:val="22"/>
          <w:szCs w:val="22"/>
          <w:highlight w:val="none"/>
          <w:lang w:eastAsia="zh-CN"/>
        </w:rPr>
        <w:t>（</w:t>
      </w:r>
      <w:r>
        <w:rPr>
          <w:rFonts w:hint="eastAsia" w:asciiTheme="minorEastAsia" w:hAnsiTheme="minorEastAsia" w:eastAsiaTheme="minorEastAsia" w:cstheme="minorEastAsia"/>
          <w:color w:val="auto"/>
          <w:sz w:val="22"/>
          <w:szCs w:val="22"/>
          <w:highlight w:val="none"/>
        </w:rPr>
        <w:fldChar w:fldCharType="begin"/>
      </w:r>
      <w:r>
        <w:rPr>
          <w:rFonts w:hint="eastAsia" w:asciiTheme="minorEastAsia" w:hAnsiTheme="minorEastAsia" w:eastAsiaTheme="minorEastAsia" w:cstheme="minorEastAsia"/>
          <w:color w:val="auto"/>
          <w:sz w:val="22"/>
          <w:szCs w:val="22"/>
          <w:highlight w:val="none"/>
        </w:rPr>
        <w:instrText xml:space="preserve"> HYPERLINK "http://www.creditchina.gov.cn" </w:instrText>
      </w:r>
      <w:r>
        <w:rPr>
          <w:rFonts w:hint="eastAsia" w:asciiTheme="minorEastAsia" w:hAnsiTheme="minorEastAsia" w:eastAsiaTheme="minorEastAsia" w:cstheme="minorEastAsia"/>
          <w:color w:val="auto"/>
          <w:sz w:val="22"/>
          <w:szCs w:val="22"/>
          <w:highlight w:val="none"/>
        </w:rPr>
        <w:fldChar w:fldCharType="separate"/>
      </w:r>
      <w:r>
        <w:rPr>
          <w:rFonts w:hint="eastAsia" w:asciiTheme="minorEastAsia" w:hAnsiTheme="minorEastAsia" w:eastAsiaTheme="minorEastAsia" w:cstheme="minorEastAsia"/>
          <w:color w:val="auto"/>
          <w:sz w:val="22"/>
          <w:szCs w:val="22"/>
          <w:highlight w:val="none"/>
          <w:u w:val="single"/>
        </w:rPr>
        <w:t>www.creditchina.gov.cn</w:t>
      </w:r>
      <w:r>
        <w:rPr>
          <w:rFonts w:hint="eastAsia" w:asciiTheme="minorEastAsia" w:hAnsiTheme="minorEastAsia" w:eastAsiaTheme="minorEastAsia" w:cstheme="minorEastAsia"/>
          <w:color w:val="auto"/>
          <w:sz w:val="22"/>
          <w:szCs w:val="22"/>
          <w:highlight w:val="none"/>
          <w:u w:val="single"/>
        </w:rPr>
        <w:fldChar w:fldCharType="end"/>
      </w:r>
      <w:r>
        <w:rPr>
          <w:rFonts w:hint="eastAsia" w:asciiTheme="minorEastAsia" w:hAnsiTheme="minorEastAsia" w:eastAsiaTheme="minorEastAsia" w:cstheme="minorEastAsia"/>
          <w:color w:val="auto"/>
          <w:sz w:val="22"/>
          <w:szCs w:val="22"/>
          <w:highlight w:val="none"/>
          <w:lang w:eastAsia="zh-CN"/>
        </w:rPr>
        <w:t>）</w:t>
      </w:r>
      <w:r>
        <w:rPr>
          <w:rFonts w:hint="eastAsia" w:asciiTheme="minorEastAsia" w:hAnsiTheme="minorEastAsia" w:eastAsiaTheme="minorEastAsia" w:cstheme="minorEastAsia"/>
          <w:color w:val="auto"/>
          <w:sz w:val="22"/>
          <w:szCs w:val="22"/>
          <w:highlight w:val="none"/>
        </w:rPr>
        <w:t>、中国政府采购网</w:t>
      </w:r>
      <w:r>
        <w:rPr>
          <w:rFonts w:hint="eastAsia" w:asciiTheme="minorEastAsia" w:hAnsiTheme="minorEastAsia" w:eastAsiaTheme="minorEastAsia" w:cstheme="minorEastAsia"/>
          <w:color w:val="auto"/>
          <w:sz w:val="22"/>
          <w:szCs w:val="22"/>
          <w:highlight w:val="none"/>
          <w:lang w:eastAsia="zh-CN"/>
        </w:rPr>
        <w:t>（</w:t>
      </w:r>
      <w:r>
        <w:rPr>
          <w:rFonts w:hint="eastAsia" w:asciiTheme="minorEastAsia" w:hAnsiTheme="minorEastAsia" w:eastAsiaTheme="minorEastAsia" w:cstheme="minorEastAsia"/>
          <w:color w:val="auto"/>
          <w:sz w:val="22"/>
          <w:szCs w:val="22"/>
          <w:highlight w:val="none"/>
        </w:rPr>
        <w:fldChar w:fldCharType="begin"/>
      </w:r>
      <w:r>
        <w:rPr>
          <w:rFonts w:hint="eastAsia" w:asciiTheme="minorEastAsia" w:hAnsiTheme="minorEastAsia" w:eastAsiaTheme="minorEastAsia" w:cstheme="minorEastAsia"/>
          <w:color w:val="auto"/>
          <w:sz w:val="22"/>
          <w:szCs w:val="22"/>
          <w:highlight w:val="none"/>
        </w:rPr>
        <w:instrText xml:space="preserve"> HYPERLINK "http://www.ccgp.gov.cn" </w:instrText>
      </w:r>
      <w:r>
        <w:rPr>
          <w:rFonts w:hint="eastAsia" w:asciiTheme="minorEastAsia" w:hAnsiTheme="minorEastAsia" w:eastAsiaTheme="minorEastAsia" w:cstheme="minorEastAsia"/>
          <w:color w:val="auto"/>
          <w:sz w:val="22"/>
          <w:szCs w:val="22"/>
          <w:highlight w:val="none"/>
        </w:rPr>
        <w:fldChar w:fldCharType="separate"/>
      </w:r>
      <w:r>
        <w:rPr>
          <w:rFonts w:hint="eastAsia" w:asciiTheme="minorEastAsia" w:hAnsiTheme="minorEastAsia" w:eastAsiaTheme="minorEastAsia" w:cstheme="minorEastAsia"/>
          <w:color w:val="auto"/>
          <w:sz w:val="22"/>
          <w:szCs w:val="22"/>
          <w:highlight w:val="none"/>
          <w:u w:val="single"/>
        </w:rPr>
        <w:t>www.ccgp.gov.cn</w:t>
      </w:r>
      <w:r>
        <w:rPr>
          <w:rFonts w:hint="eastAsia" w:asciiTheme="minorEastAsia" w:hAnsiTheme="minorEastAsia" w:eastAsiaTheme="minorEastAsia" w:cstheme="minorEastAsia"/>
          <w:color w:val="auto"/>
          <w:sz w:val="22"/>
          <w:szCs w:val="22"/>
          <w:highlight w:val="none"/>
          <w:u w:val="single"/>
        </w:rPr>
        <w:fldChar w:fldCharType="end"/>
      </w:r>
      <w:r>
        <w:rPr>
          <w:rFonts w:hint="eastAsia" w:asciiTheme="minorEastAsia" w:hAnsiTheme="minorEastAsia" w:eastAsiaTheme="minorEastAsia" w:cstheme="minorEastAsia"/>
          <w:color w:val="auto"/>
          <w:sz w:val="22"/>
          <w:szCs w:val="22"/>
          <w:highlight w:val="none"/>
          <w:lang w:eastAsia="zh-CN"/>
        </w:rPr>
        <w:t>）</w:t>
      </w:r>
      <w:r>
        <w:rPr>
          <w:rFonts w:hint="eastAsia" w:asciiTheme="minorEastAsia" w:hAnsiTheme="minorEastAsia" w:eastAsiaTheme="minorEastAsia" w:cstheme="minorEastAsia"/>
          <w:color w:val="auto"/>
          <w:sz w:val="22"/>
          <w:szCs w:val="22"/>
          <w:highlight w:val="none"/>
        </w:rPr>
        <w:t>链接入口。</w:t>
      </w:r>
    </w:p>
    <w:p w14:paraId="5A56903F">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（2）信用查询截止时点：资格审查结束前。</w:t>
      </w:r>
    </w:p>
    <w:p w14:paraId="17D5D34E">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查询记录和证据留存方式：在查询网站中直接打印查询记录，截图另存为电子文档作为评审资料保存。</w:t>
      </w:r>
    </w:p>
    <w:p w14:paraId="4836D98A">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（3）信用信息使用规则：对在“信用中国”网站</w:t>
      </w:r>
      <w:r>
        <w:rPr>
          <w:rFonts w:hint="eastAsia" w:asciiTheme="minorEastAsia" w:hAnsiTheme="minorEastAsia" w:eastAsiaTheme="minorEastAsia" w:cstheme="minorEastAsia"/>
          <w:color w:val="auto"/>
          <w:sz w:val="22"/>
          <w:szCs w:val="22"/>
          <w:highlight w:val="none"/>
          <w:lang w:eastAsia="zh-CN"/>
        </w:rPr>
        <w:t>（</w:t>
      </w:r>
      <w:r>
        <w:rPr>
          <w:rFonts w:hint="eastAsia" w:asciiTheme="minorEastAsia" w:hAnsiTheme="minorEastAsia" w:eastAsiaTheme="minorEastAsia" w:cstheme="minorEastAsia"/>
          <w:color w:val="auto"/>
          <w:sz w:val="22"/>
          <w:szCs w:val="22"/>
          <w:highlight w:val="none"/>
        </w:rPr>
        <w:t>www.creditchina.gov.cn</w:t>
      </w:r>
      <w:r>
        <w:rPr>
          <w:rFonts w:hint="eastAsia" w:asciiTheme="minorEastAsia" w:hAnsiTheme="minorEastAsia" w:eastAsiaTheme="minorEastAsia" w:cstheme="minorEastAsia"/>
          <w:color w:val="auto"/>
          <w:sz w:val="22"/>
          <w:szCs w:val="22"/>
          <w:highlight w:val="none"/>
          <w:lang w:eastAsia="zh-CN"/>
        </w:rPr>
        <w:t>）</w:t>
      </w:r>
      <w:r>
        <w:rPr>
          <w:rFonts w:hint="eastAsia" w:asciiTheme="minorEastAsia" w:hAnsiTheme="minorEastAsia" w:eastAsiaTheme="minorEastAsia" w:cstheme="minorEastAsia"/>
          <w:color w:val="auto"/>
          <w:sz w:val="22"/>
          <w:szCs w:val="22"/>
          <w:highlight w:val="none"/>
        </w:rPr>
        <w:t>、中国政府采购网</w:t>
      </w:r>
      <w:r>
        <w:rPr>
          <w:rFonts w:hint="eastAsia" w:asciiTheme="minorEastAsia" w:hAnsiTheme="minorEastAsia" w:eastAsiaTheme="minorEastAsia" w:cstheme="minorEastAsia"/>
          <w:color w:val="auto"/>
          <w:sz w:val="22"/>
          <w:szCs w:val="22"/>
          <w:highlight w:val="none"/>
          <w:lang w:eastAsia="zh-CN"/>
        </w:rPr>
        <w:t>（</w:t>
      </w:r>
      <w:r>
        <w:rPr>
          <w:rFonts w:hint="eastAsia" w:asciiTheme="minorEastAsia" w:hAnsiTheme="minorEastAsia" w:eastAsiaTheme="minorEastAsia" w:cstheme="minorEastAsia"/>
          <w:color w:val="auto"/>
          <w:sz w:val="22"/>
          <w:szCs w:val="22"/>
          <w:highlight w:val="none"/>
        </w:rPr>
        <w:t>www.ccgp.gov.cn</w:t>
      </w:r>
      <w:r>
        <w:rPr>
          <w:rFonts w:hint="eastAsia" w:asciiTheme="minorEastAsia" w:hAnsiTheme="minorEastAsia" w:eastAsiaTheme="minorEastAsia" w:cstheme="minorEastAsia"/>
          <w:color w:val="auto"/>
          <w:sz w:val="22"/>
          <w:szCs w:val="22"/>
          <w:highlight w:val="none"/>
          <w:lang w:eastAsia="zh-CN"/>
        </w:rPr>
        <w:t>）</w:t>
      </w:r>
      <w:r>
        <w:rPr>
          <w:rFonts w:hint="eastAsia" w:asciiTheme="minorEastAsia" w:hAnsiTheme="minorEastAsia" w:eastAsiaTheme="minorEastAsia" w:cstheme="minorEastAsia"/>
          <w:color w:val="auto"/>
          <w:sz w:val="22"/>
          <w:szCs w:val="22"/>
          <w:highlight w:val="none"/>
        </w:rPr>
        <w:t>被列入失信被执行人、重大税收违法</w:t>
      </w:r>
      <w:r>
        <w:rPr>
          <w:rFonts w:hint="eastAsia" w:asciiTheme="minorEastAsia" w:hAnsiTheme="minorEastAsia" w:eastAsiaTheme="minorEastAsia" w:cstheme="minorEastAsia"/>
          <w:color w:val="auto"/>
          <w:sz w:val="22"/>
          <w:szCs w:val="22"/>
          <w:highlight w:val="none"/>
          <w:lang w:val="en-US" w:eastAsia="zh-CN"/>
        </w:rPr>
        <w:t>失信主体</w:t>
      </w:r>
      <w:r>
        <w:rPr>
          <w:rFonts w:hint="eastAsia" w:asciiTheme="minorEastAsia" w:hAnsiTheme="minorEastAsia" w:eastAsiaTheme="minorEastAsia" w:cstheme="minorEastAsia"/>
          <w:color w:val="auto"/>
          <w:sz w:val="22"/>
          <w:szCs w:val="22"/>
          <w:highlight w:val="none"/>
        </w:rPr>
        <w:t>、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306CA69F">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2.2资格审查标准为本磋商文件中载明对供应商资格要求的条件。资格审查采用合格制，凡符合磋商文件规定的供应商资格要求的响应文件均通过资格审查。</w:t>
      </w:r>
    </w:p>
    <w:p w14:paraId="649A8F56">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2.3供应商有下列情形之一的，资格审查不通过，其响应文件按无效响应处理：</w:t>
      </w:r>
    </w:p>
    <w:p w14:paraId="77B21448">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（1）不具备磋商文件中规定的资格要求的；</w:t>
      </w:r>
    </w:p>
    <w:p w14:paraId="6AB45389">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（2）响应文件未提供任一项“供应商须知前附表”资格证明文件规定的“必须提供”的文件资料的；</w:t>
      </w:r>
    </w:p>
    <w:p w14:paraId="5A925DEB">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（3）响应文件提供的资格证明文件出现任一项不符合“供应商须知前附表”资格证明文件规定的“必须提供”的文件资料要求或者无效的。</w:t>
      </w:r>
    </w:p>
    <w:p w14:paraId="7269E18A">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auto"/>
          <w:sz w:val="22"/>
          <w:szCs w:val="22"/>
          <w:highlight w:val="none"/>
        </w:rPr>
      </w:pPr>
      <w:bookmarkStart w:id="51" w:name="_Hlk68601553"/>
      <w:r>
        <w:rPr>
          <w:rFonts w:hint="eastAsia" w:asciiTheme="minorEastAsia" w:hAnsiTheme="minorEastAsia" w:eastAsiaTheme="minorEastAsia" w:cstheme="minorEastAsia"/>
          <w:color w:val="auto"/>
          <w:sz w:val="22"/>
          <w:szCs w:val="22"/>
          <w:highlight w:val="none"/>
        </w:rPr>
        <w:t>（4）同一合同项下的不同供应商，单位负责人为同一人或者存在直接控股、管理关系的；为本项目提供过整体设计、规范编制或者项目管理、监理、检测等服务的。</w:t>
      </w:r>
      <w:bookmarkEnd w:id="51"/>
    </w:p>
    <w:p w14:paraId="6D78D825">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2.4通过资格审查的合格供应商不足3家的，不得进入符合性审查环节，采购人或者采购代理机构应当重新开展采购活动。</w:t>
      </w:r>
    </w:p>
    <w:p w14:paraId="305E2C39">
      <w:pPr>
        <w:keepNext w:val="0"/>
        <w:keepLines w:val="0"/>
        <w:pageBreakBefore w:val="0"/>
        <w:kinsoku/>
        <w:wordWrap/>
        <w:overflowPunct/>
        <w:topLinePunct w:val="0"/>
        <w:autoSpaceDE/>
        <w:autoSpaceDN/>
        <w:bidi w:val="0"/>
        <w:adjustRightInd/>
        <w:snapToGrid/>
        <w:spacing w:line="360" w:lineRule="auto"/>
        <w:ind w:firstLine="442" w:firstLineChars="200"/>
        <w:textAlignment w:val="auto"/>
        <w:rPr>
          <w:rFonts w:hint="eastAsia" w:asciiTheme="minorEastAsia" w:hAnsiTheme="minorEastAsia" w:eastAsiaTheme="minorEastAsia" w:cstheme="minorEastAsia"/>
          <w:b/>
          <w:bCs/>
          <w:color w:val="auto"/>
          <w:sz w:val="22"/>
          <w:szCs w:val="22"/>
          <w:highlight w:val="none"/>
        </w:rPr>
      </w:pPr>
      <w:r>
        <w:rPr>
          <w:rFonts w:hint="eastAsia" w:asciiTheme="minorEastAsia" w:hAnsiTheme="minorEastAsia" w:eastAsiaTheme="minorEastAsia" w:cstheme="minorEastAsia"/>
          <w:b/>
          <w:bCs/>
          <w:color w:val="auto"/>
          <w:sz w:val="22"/>
          <w:szCs w:val="22"/>
          <w:highlight w:val="none"/>
        </w:rPr>
        <w:t>3.符合性审查</w:t>
      </w:r>
    </w:p>
    <w:p w14:paraId="7590D6FA">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3.1由磋商小组对通过资格审查的合格供应商的响应文件的响应报价、商务、技术等实质性要求进行符合性审查，以确定其是否满足磋商文件的实质性要求。</w:t>
      </w:r>
    </w:p>
    <w:p w14:paraId="3390F02E">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3.2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1D489EC0">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auto"/>
          <w:spacing w:val="-6"/>
          <w:sz w:val="22"/>
          <w:szCs w:val="22"/>
          <w:highlight w:val="none"/>
        </w:rPr>
      </w:pPr>
      <w:r>
        <w:rPr>
          <w:rFonts w:hint="eastAsia" w:asciiTheme="minorEastAsia" w:hAnsiTheme="minorEastAsia" w:eastAsiaTheme="minorEastAsia" w:cstheme="minorEastAsia"/>
          <w:color w:val="auto"/>
          <w:sz w:val="22"/>
          <w:szCs w:val="22"/>
          <w:highlight w:val="none"/>
        </w:rPr>
        <w:t>3.3磋商小组要求供应商澄清、说明或者更正响应文件应当以电子澄清函形式作出。供应商的澄清、说明或者更正应当已电子回函形式按照磋商小组的要求作出明确的澄清、说明或者更正，未按磋商小组的要求作出明确澄清、说明或者更正的供应商的响应文件将按照有利于采购人的原则由磋商小组进行判定。供应商的澄清、说明或者更正必须加盖电子公章</w:t>
      </w:r>
      <w:r>
        <w:rPr>
          <w:rFonts w:hint="eastAsia" w:asciiTheme="minorEastAsia" w:hAnsiTheme="minorEastAsia" w:eastAsiaTheme="minorEastAsia" w:cstheme="minorEastAsia"/>
          <w:color w:val="auto"/>
          <w:spacing w:val="-6"/>
          <w:sz w:val="22"/>
          <w:szCs w:val="22"/>
          <w:highlight w:val="none"/>
        </w:rPr>
        <w:t>。供应商为自然人的，必须由本人签字并附身份证明。</w:t>
      </w:r>
    </w:p>
    <w:p w14:paraId="18C815D6">
      <w:pPr>
        <w:keepNext w:val="0"/>
        <w:keepLines w:val="0"/>
        <w:pageBreakBefore w:val="0"/>
        <w:kinsoku/>
        <w:wordWrap/>
        <w:overflowPunct/>
        <w:topLinePunct w:val="0"/>
        <w:autoSpaceDE/>
        <w:autoSpaceDN/>
        <w:bidi w:val="0"/>
        <w:adjustRightInd/>
        <w:snapToGrid/>
        <w:spacing w:line="360" w:lineRule="auto"/>
        <w:ind w:firstLine="416" w:firstLineChars="20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6"/>
          <w:sz w:val="22"/>
          <w:szCs w:val="22"/>
          <w:highlight w:val="none"/>
        </w:rPr>
        <w:t>3.4</w:t>
      </w:r>
      <w:r>
        <w:rPr>
          <w:rFonts w:hint="eastAsia" w:asciiTheme="minorEastAsia" w:hAnsiTheme="minorEastAsia" w:eastAsiaTheme="minorEastAsia" w:cstheme="minorEastAsia"/>
          <w:color w:val="auto"/>
          <w:sz w:val="22"/>
          <w:szCs w:val="22"/>
          <w:highlight w:val="none"/>
        </w:rPr>
        <w:t xml:space="preserve">首次响应文件报价出现前后不一致的，按照下列规定修正： </w:t>
      </w:r>
    </w:p>
    <w:p w14:paraId="267CCC46">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（1）响应文件中报价表内容与响应文件中相应内容不一致的，以报价表为准；</w:t>
      </w:r>
    </w:p>
    <w:p w14:paraId="633F3052">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（2）大写金额和小写金额不一致的，以大写金额为准；</w:t>
      </w:r>
    </w:p>
    <w:p w14:paraId="5437422D">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（3）单价金额小数点或者百分比有明显错位的，以报价表的总价为准，并修改单价；</w:t>
      </w:r>
    </w:p>
    <w:p w14:paraId="48CC63D2">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（4）总价金额与按单价汇总金额不一致的，以单价金额计算结果为准。</w:t>
      </w:r>
    </w:p>
    <w:p w14:paraId="4695A673">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同时出现两种以上不一致的，按照以上（1）-（4）规定的顺序逐条进行修正。修正后的报价经供应商确认后产生约束力，供应商不确认的，其响应文件按无效响应处理。</w:t>
      </w:r>
    </w:p>
    <w:p w14:paraId="6C1734E1">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3.5商务技术、报价评审</w:t>
      </w:r>
    </w:p>
    <w:p w14:paraId="5B371E55">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在评审时，如发现下列情形之一的，将被视为响应文件无效处理：</w:t>
      </w:r>
    </w:p>
    <w:p w14:paraId="5BC0C9C3">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（1）商务技术评审</w:t>
      </w:r>
    </w:p>
    <w:p w14:paraId="6B3EF757">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1）响应文件未按磋商文件要求签署、盖章；</w:t>
      </w:r>
    </w:p>
    <w:p w14:paraId="5CFA5D42">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2）委托代理人未能出具有效身份证明或者出具的身份证明与授权委托书中的信息不符；</w:t>
      </w:r>
    </w:p>
    <w:p w14:paraId="03D7B753">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3）响应文件未提供任一项“供应商须知前附表”商务技术文件中“必须提供”或者“委托时必须提供”的文件资料；响应文件提供的商务技术文件出现任一项不符合“供应商须知前附表”商务技术文件中“必须提供”或者“委托时必须提供”文件资料要求的规定或者提供的商务技术文件无效。</w:t>
      </w:r>
    </w:p>
    <w:p w14:paraId="194BE64E">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4）商务条款中标“</w:t>
      </w:r>
      <w:r>
        <w:rPr>
          <w:rFonts w:hint="eastAsia" w:asciiTheme="minorEastAsia" w:hAnsiTheme="minorEastAsia" w:eastAsiaTheme="minorEastAsia" w:cstheme="minorEastAsia"/>
          <w:color w:val="auto"/>
          <w:sz w:val="22"/>
          <w:szCs w:val="22"/>
          <w:highlight w:val="none"/>
          <w:lang w:eastAsia="zh-CN"/>
        </w:rPr>
        <w:t>▲</w:t>
      </w:r>
      <w:r>
        <w:rPr>
          <w:rFonts w:hint="eastAsia" w:asciiTheme="minorEastAsia" w:hAnsiTheme="minorEastAsia" w:eastAsiaTheme="minorEastAsia" w:cstheme="minorEastAsia"/>
          <w:color w:val="auto"/>
          <w:sz w:val="22"/>
          <w:szCs w:val="22"/>
          <w:highlight w:val="none"/>
        </w:rPr>
        <w:t>”的条款发生负偏离的或者允许负偏离的条款数超过“供应商须知前附表”规定项数的或者标明实质性的要求发生负偏离；</w:t>
      </w:r>
    </w:p>
    <w:p w14:paraId="00684C23">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5）未对竞标有效期作出响应或者响应文件承诺的竞标有效期不满足磋商文件要求；</w:t>
      </w:r>
    </w:p>
    <w:p w14:paraId="25488B3B">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6）响应文件的实质性内容未使用中文表述、使用计量单位不符合磋商文件要求；</w:t>
      </w:r>
    </w:p>
    <w:p w14:paraId="115366F1">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7）响应文件中的文件资料因填写不齐全或者内容虚假或者出现其他情形而导致被磋商小组认定无效；</w:t>
      </w:r>
    </w:p>
    <w:p w14:paraId="38470D8F">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8）响应文件含有采购人不能接受的附加条件；</w:t>
      </w:r>
    </w:p>
    <w:p w14:paraId="0AEE9FE8">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9）属于“供应商须知正文”第7.5条情形；</w:t>
      </w:r>
    </w:p>
    <w:p w14:paraId="2FFDD44B">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10）技术需求允许负偏离的条款数超过“供应商须知前附表”规定项数；</w:t>
      </w:r>
    </w:p>
    <w:p w14:paraId="07080AAF">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11）虚假竞标，或者出现其他情形而导致被磋商小组认定无效；</w:t>
      </w:r>
    </w:p>
    <w:p w14:paraId="48694502">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12）竞标技术方案不明确，磋商文件未允许但响应文件中存在一个或者一个以上备选（替代）竞标方案；</w:t>
      </w:r>
    </w:p>
    <w:p w14:paraId="3F9B2B5E">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13）响应文件标注的项目名称或者项目编号与竞争性磋商文件标注的项目名称或者项目编号不一致的；</w:t>
      </w:r>
    </w:p>
    <w:p w14:paraId="2B7719DD">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14）未响应磋商文件实质性要求；</w:t>
      </w:r>
    </w:p>
    <w:p w14:paraId="773D74BE">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15）法律、法规和磋商文件规定的其他无效情形。</w:t>
      </w:r>
    </w:p>
    <w:p w14:paraId="71627E28">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（2）报价评审</w:t>
      </w:r>
    </w:p>
    <w:p w14:paraId="6984E325">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1）响应文件未提供“供应商须知前附表”报价文件中规定的“响应报价表”；</w:t>
      </w:r>
    </w:p>
    <w:p w14:paraId="525A2D37">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2）未采用人民币报价或者未按照磋商文件标明的币种报价；</w:t>
      </w:r>
    </w:p>
    <w:p w14:paraId="281BB6EE">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3）供应商未就所竞标</w:t>
      </w:r>
      <w:r>
        <w:rPr>
          <w:rFonts w:hint="eastAsia" w:asciiTheme="minorEastAsia" w:hAnsiTheme="minorEastAsia" w:eastAsiaTheme="minorEastAsia" w:cstheme="minorEastAsia"/>
          <w:color w:val="auto"/>
          <w:sz w:val="22"/>
          <w:szCs w:val="22"/>
          <w:highlight w:val="none"/>
          <w:lang w:val="en-US" w:eastAsia="zh-CN"/>
        </w:rPr>
        <w:t>内容</w:t>
      </w:r>
      <w:r>
        <w:rPr>
          <w:rFonts w:hint="eastAsia" w:asciiTheme="minorEastAsia" w:hAnsiTheme="minorEastAsia" w:eastAsiaTheme="minorEastAsia" w:cstheme="minorEastAsia"/>
          <w:color w:val="auto"/>
          <w:sz w:val="22"/>
          <w:szCs w:val="22"/>
          <w:highlight w:val="none"/>
        </w:rPr>
        <w:t>进行报价或者存在漏项报价；供应商未就所竞标单项内容作唯一报价；供应商未就所竞标的全部内容作唯一总价报价；供应商响应文件中存在有选择、有条件报价的（磋商文件允许有备选方案或者其他约定的除外）；</w:t>
      </w:r>
    </w:p>
    <w:p w14:paraId="0BE16D3F">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4）响应报价（包含首次报价、最后报价）超过所竞标规定的采购预算金额或者最高限价的（如本项目公布了最高限价）；响应报价（包含首次报价、最后报价）超过磋商文件分项采购预算金额或者最高限价的（如本项目公布了最高限价）；</w:t>
      </w:r>
    </w:p>
    <w:p w14:paraId="1AE7D7B2">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5）修正后的报价，供应商不确认的；或者经供应商确认修正后的响应报价（包含首次报价、最后报价）超过所竞标规定的采购预算金额或者最高限价（如本项目公布了最高限价）；或者经供应商确认修正后响应报价（包含首次报价、最后报价）超过磋商文件分项采购预算金额或者最高限价的（如本项目公布了最高限价）。</w:t>
      </w:r>
    </w:p>
    <w:p w14:paraId="2473ACD8">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6）响应文件响应的标的数量及单位与竞争性磋商采购文件要求实质性不一致的。</w:t>
      </w:r>
    </w:p>
    <w:p w14:paraId="3DA13AFD">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3.6磋商小组对响应文件进行评审，未实质性响应磋商文件的响应文件按无效处理，磋商小组应当将资格和符合性不通过的情况告知有关供应商。磋商小组从符合磋商文件规定的相应资格条件的供应商名单中确定不少于3家的供应商参加磋商。</w:t>
      </w:r>
    </w:p>
    <w:p w14:paraId="1F0F2A4B">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3.7非政府购买服务项目，通过符合性审查的合格供应商不足3家的，不得进入磋商环节，采购人或者采购代理机构应当重新开展采购活动。政府购买服务项目，按《财政部关于政府采购竞争性磋商采购方式管理暂行办法有关问题的补充通知》（财库〔2015〕124号）规定，采购过程中通过符合性审查的供应商（社会资本）只有2家的，磋商采购活动可以继续进行。</w:t>
      </w:r>
    </w:p>
    <w:p w14:paraId="1796ED2B">
      <w:pPr>
        <w:keepNext w:val="0"/>
        <w:keepLines w:val="0"/>
        <w:pageBreakBefore w:val="0"/>
        <w:kinsoku/>
        <w:wordWrap/>
        <w:overflowPunct/>
        <w:topLinePunct w:val="0"/>
        <w:autoSpaceDE/>
        <w:autoSpaceDN/>
        <w:bidi w:val="0"/>
        <w:adjustRightInd/>
        <w:snapToGrid/>
        <w:spacing w:line="360" w:lineRule="auto"/>
        <w:ind w:firstLine="442" w:firstLineChars="200"/>
        <w:textAlignment w:val="auto"/>
        <w:rPr>
          <w:rFonts w:hint="eastAsia" w:asciiTheme="minorEastAsia" w:hAnsiTheme="minorEastAsia" w:eastAsiaTheme="minorEastAsia" w:cstheme="minorEastAsia"/>
          <w:b/>
          <w:bCs/>
          <w:color w:val="auto"/>
          <w:sz w:val="22"/>
          <w:szCs w:val="22"/>
          <w:highlight w:val="none"/>
        </w:rPr>
      </w:pPr>
      <w:r>
        <w:rPr>
          <w:rFonts w:hint="eastAsia" w:asciiTheme="minorEastAsia" w:hAnsiTheme="minorEastAsia" w:eastAsiaTheme="minorEastAsia" w:cstheme="minorEastAsia"/>
          <w:b/>
          <w:bCs/>
          <w:color w:val="auto"/>
          <w:sz w:val="22"/>
          <w:szCs w:val="22"/>
          <w:highlight w:val="none"/>
        </w:rPr>
        <w:t>4.磋商程序</w:t>
      </w:r>
    </w:p>
    <w:p w14:paraId="6624C8FA">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4.1磋商小组按照“供应商须知前附表”确定的</w:t>
      </w:r>
      <w:r>
        <w:rPr>
          <w:rFonts w:hint="eastAsia" w:asciiTheme="minorEastAsia" w:hAnsiTheme="minorEastAsia" w:eastAsiaTheme="minorEastAsia" w:cstheme="minorEastAsia"/>
          <w:color w:val="auto"/>
          <w:sz w:val="22"/>
          <w:szCs w:val="22"/>
          <w:highlight w:val="none"/>
        </w:rPr>
        <w:t>顺序，集中与单一供应商分别进行磋商，并给予所有参加磋商的供应商平等的磋商机会。符合磋商资格的供应商必须在接到磋商通知后规定时间内参加磋商，未在规定时间内参加磋商的视同放弃参加磋商权利，其响应文件按无效响应处理。</w:t>
      </w:r>
    </w:p>
    <w:p w14:paraId="60AAC937">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4.2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14:paraId="5E698808">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4.3对磋商文件作出的实质性变动是磋商文件的有效组成部分，由磋商小组及时以电子澄清函形式同时通知所有参加磋商的供应商。</w:t>
      </w:r>
    </w:p>
    <w:p w14:paraId="7B3336CD">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4.4供应商必须按照磋商文件的变动情况和磋商小组的要求以回函的形式重新提交响应文件，并加盖电子公章。供应商为自然人的，必须由本人签字并附身份证明。参加磋商的供应商未在规定时间内重新提交响应文件的，视同退出磋商。</w:t>
      </w:r>
    </w:p>
    <w:p w14:paraId="15FBC26A">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4.5磋商中，</w:t>
      </w:r>
      <w:r>
        <w:rPr>
          <w:rFonts w:hint="eastAsia" w:asciiTheme="minorEastAsia" w:hAnsiTheme="minorEastAsia" w:eastAsiaTheme="minorEastAsia" w:cstheme="minorEastAsia"/>
          <w:color w:val="auto"/>
          <w:spacing w:val="-6"/>
          <w:sz w:val="22"/>
          <w:szCs w:val="22"/>
          <w:highlight w:val="none"/>
        </w:rPr>
        <w:t>磋商的任何一方不得透露与磋商有关的其他供应商的技术资料、价格和其他信息。</w:t>
      </w:r>
    </w:p>
    <w:p w14:paraId="468C28D5">
      <w:pPr>
        <w:keepNext w:val="0"/>
        <w:keepLines w:val="0"/>
        <w:pageBreakBefore w:val="0"/>
        <w:widowControl/>
        <w:tabs>
          <w:tab w:val="left" w:pos="540"/>
        </w:tabs>
        <w:kinsoku/>
        <w:wordWrap/>
        <w:overflowPunct/>
        <w:topLinePunct w:val="0"/>
        <w:autoSpaceDE/>
        <w:autoSpaceDN/>
        <w:bidi w:val="0"/>
        <w:adjustRightInd/>
        <w:snapToGrid/>
        <w:spacing w:line="360" w:lineRule="auto"/>
        <w:ind w:firstLine="440" w:firstLineChars="200"/>
        <w:jc w:val="left"/>
        <w:textAlignment w:val="auto"/>
        <w:rPr>
          <w:rFonts w:hint="eastAsia" w:asciiTheme="minorEastAsia" w:hAnsiTheme="minorEastAsia" w:eastAsiaTheme="minorEastAsia" w:cstheme="minorEastAsia"/>
          <w:b/>
          <w:color w:val="auto"/>
          <w:sz w:val="22"/>
          <w:szCs w:val="22"/>
          <w:highlight w:val="none"/>
        </w:rPr>
      </w:pPr>
      <w:r>
        <w:rPr>
          <w:rFonts w:hint="eastAsia" w:asciiTheme="minorEastAsia" w:hAnsiTheme="minorEastAsia" w:eastAsiaTheme="minorEastAsia" w:cstheme="minorEastAsia"/>
          <w:color w:val="auto"/>
          <w:sz w:val="22"/>
          <w:szCs w:val="22"/>
          <w:highlight w:val="none"/>
        </w:rPr>
        <w:t>4.6磋商小组应对磋商过程和重要磋商内容进行记录，作为评标报告一部分，磋商小组在记录上签字确认。</w:t>
      </w:r>
      <w:r>
        <w:rPr>
          <w:rFonts w:hint="eastAsia" w:asciiTheme="minorEastAsia" w:hAnsiTheme="minorEastAsia" w:eastAsiaTheme="minorEastAsia" w:cstheme="minorEastAsia"/>
          <w:b/>
          <w:color w:val="auto"/>
          <w:sz w:val="22"/>
          <w:szCs w:val="22"/>
          <w:highlight w:val="none"/>
        </w:rPr>
        <w:t>主要内容包括：</w:t>
      </w:r>
    </w:p>
    <w:p w14:paraId="7A220231">
      <w:pPr>
        <w:keepNext w:val="0"/>
        <w:keepLines w:val="0"/>
        <w:pageBreakBefore w:val="0"/>
        <w:kinsoku/>
        <w:wordWrap/>
        <w:overflowPunct/>
        <w:topLinePunct w:val="0"/>
        <w:autoSpaceDE/>
        <w:autoSpaceDN/>
        <w:bidi w:val="0"/>
        <w:adjustRightInd/>
        <w:snapToGrid/>
        <w:spacing w:line="360" w:lineRule="auto"/>
        <w:ind w:firstLine="416" w:firstLineChars="200"/>
        <w:textAlignment w:val="auto"/>
        <w:rPr>
          <w:rFonts w:hint="eastAsia" w:asciiTheme="minorEastAsia" w:hAnsiTheme="minorEastAsia" w:eastAsiaTheme="minorEastAsia" w:cstheme="minorEastAsia"/>
          <w:color w:val="auto"/>
          <w:spacing w:val="-6"/>
          <w:sz w:val="22"/>
          <w:szCs w:val="22"/>
          <w:highlight w:val="none"/>
        </w:rPr>
      </w:pPr>
      <w:r>
        <w:rPr>
          <w:rFonts w:hint="eastAsia" w:asciiTheme="minorEastAsia" w:hAnsiTheme="minorEastAsia" w:eastAsiaTheme="minorEastAsia" w:cstheme="minorEastAsia"/>
          <w:color w:val="auto"/>
          <w:spacing w:val="-6"/>
          <w:sz w:val="22"/>
          <w:szCs w:val="22"/>
          <w:highlight w:val="none"/>
        </w:rPr>
        <w:t>（1）按照相关规定进行公示的，公示情况说明；</w:t>
      </w:r>
    </w:p>
    <w:p w14:paraId="1E32ECBB">
      <w:pPr>
        <w:keepNext w:val="0"/>
        <w:keepLines w:val="0"/>
        <w:pageBreakBefore w:val="0"/>
        <w:kinsoku/>
        <w:wordWrap/>
        <w:overflowPunct/>
        <w:topLinePunct w:val="0"/>
        <w:autoSpaceDE/>
        <w:autoSpaceDN/>
        <w:bidi w:val="0"/>
        <w:adjustRightInd/>
        <w:snapToGrid/>
        <w:spacing w:line="360" w:lineRule="auto"/>
        <w:ind w:firstLine="416" w:firstLineChars="200"/>
        <w:textAlignment w:val="auto"/>
        <w:rPr>
          <w:rFonts w:hint="eastAsia" w:asciiTheme="minorEastAsia" w:hAnsiTheme="minorEastAsia" w:eastAsiaTheme="minorEastAsia" w:cstheme="minorEastAsia"/>
          <w:color w:val="auto"/>
          <w:spacing w:val="-6"/>
          <w:sz w:val="22"/>
          <w:szCs w:val="22"/>
          <w:highlight w:val="none"/>
        </w:rPr>
      </w:pPr>
      <w:r>
        <w:rPr>
          <w:rFonts w:hint="eastAsia" w:asciiTheme="minorEastAsia" w:hAnsiTheme="minorEastAsia" w:eastAsiaTheme="minorEastAsia" w:cstheme="minorEastAsia"/>
          <w:color w:val="auto"/>
          <w:spacing w:val="-6"/>
          <w:sz w:val="22"/>
          <w:szCs w:val="22"/>
          <w:highlight w:val="none"/>
        </w:rPr>
        <w:t>（2）磋商日期和地点，磋商人员名单；</w:t>
      </w:r>
    </w:p>
    <w:p w14:paraId="5662F32A">
      <w:pPr>
        <w:keepNext w:val="0"/>
        <w:keepLines w:val="0"/>
        <w:pageBreakBefore w:val="0"/>
        <w:kinsoku/>
        <w:wordWrap/>
        <w:overflowPunct/>
        <w:topLinePunct w:val="0"/>
        <w:autoSpaceDE/>
        <w:autoSpaceDN/>
        <w:bidi w:val="0"/>
        <w:adjustRightInd/>
        <w:snapToGrid/>
        <w:spacing w:line="360" w:lineRule="auto"/>
        <w:ind w:firstLine="416" w:firstLineChars="200"/>
        <w:textAlignment w:val="auto"/>
        <w:rPr>
          <w:rFonts w:hint="eastAsia" w:asciiTheme="minorEastAsia" w:hAnsiTheme="minorEastAsia" w:eastAsiaTheme="minorEastAsia" w:cstheme="minorEastAsia"/>
          <w:color w:val="auto"/>
          <w:spacing w:val="-6"/>
          <w:sz w:val="22"/>
          <w:szCs w:val="22"/>
          <w:highlight w:val="none"/>
        </w:rPr>
      </w:pPr>
      <w:r>
        <w:rPr>
          <w:rFonts w:hint="eastAsia" w:asciiTheme="minorEastAsia" w:hAnsiTheme="minorEastAsia" w:eastAsiaTheme="minorEastAsia" w:cstheme="minorEastAsia"/>
          <w:color w:val="auto"/>
          <w:spacing w:val="-6"/>
          <w:sz w:val="22"/>
          <w:szCs w:val="22"/>
          <w:highlight w:val="none"/>
        </w:rPr>
        <w:t>（3）合同主要条款及价格商定情况。</w:t>
      </w:r>
    </w:p>
    <w:p w14:paraId="76F4E8C5">
      <w:pPr>
        <w:keepNext w:val="0"/>
        <w:keepLines w:val="0"/>
        <w:pageBreakBefore w:val="0"/>
        <w:widowControl/>
        <w:tabs>
          <w:tab w:val="left" w:pos="540"/>
        </w:tabs>
        <w:kinsoku/>
        <w:wordWrap/>
        <w:overflowPunct/>
        <w:topLinePunct w:val="0"/>
        <w:autoSpaceDE/>
        <w:autoSpaceDN/>
        <w:bidi w:val="0"/>
        <w:adjustRightInd/>
        <w:snapToGrid/>
        <w:spacing w:line="360" w:lineRule="auto"/>
        <w:ind w:firstLine="440" w:firstLineChars="200"/>
        <w:jc w:val="left"/>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4.7磋商过程中重新提交的响应文件，供应商可以在开启前补充、修改。</w:t>
      </w:r>
    </w:p>
    <w:p w14:paraId="38081259">
      <w:pPr>
        <w:keepNext w:val="0"/>
        <w:keepLines w:val="0"/>
        <w:pageBreakBefore w:val="0"/>
        <w:tabs>
          <w:tab w:val="left" w:pos="2835"/>
        </w:tabs>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4.8对磋商过程提交的响应文件进行有效性、完整性和响应程度审查，通过审查的合格供应商不足3家的，采购人或者采购代理机构应当重新开展采购活动。</w:t>
      </w:r>
    </w:p>
    <w:p w14:paraId="383F87A1">
      <w:pPr>
        <w:keepNext w:val="0"/>
        <w:keepLines w:val="0"/>
        <w:pageBreakBefore w:val="0"/>
        <w:kinsoku/>
        <w:wordWrap/>
        <w:overflowPunct/>
        <w:topLinePunct w:val="0"/>
        <w:autoSpaceDE/>
        <w:autoSpaceDN/>
        <w:bidi w:val="0"/>
        <w:adjustRightInd/>
        <w:snapToGrid/>
        <w:spacing w:line="360" w:lineRule="auto"/>
        <w:ind w:firstLine="442" w:firstLineChars="20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b/>
          <w:bCs/>
          <w:color w:val="auto"/>
          <w:sz w:val="22"/>
          <w:szCs w:val="22"/>
          <w:highlight w:val="none"/>
        </w:rPr>
        <w:t>5.最后报价</w:t>
      </w:r>
    </w:p>
    <w:p w14:paraId="0F7A4E72">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5.1磋商文件能够详细列明采购标的的技术、服务要求的，磋商结束后，由磋商小组要求所有继续参加磋商的供应商在规定时间内密封提交最后报价，除本章第5.3条外，提交最后报价的供应商不得少于3家，否则必须重新采购。</w:t>
      </w:r>
    </w:p>
    <w:p w14:paraId="753EC7D2">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5.2磋商文件不能详细列明采购标的的技术、服务要求，需经磋商由供应商提供最后设计方案或者解决方案的，磋商结束后，由磋商小组按照少数服从多数的原则投票推荐3家以上供应商的设计方案或者解决方案，并要求其在规定时间内密封提交最后报价。</w:t>
      </w:r>
    </w:p>
    <w:p w14:paraId="261422B9">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5.3最后报价是供应商响应文件的有效组成部分。符合《政府采购竞争性磋商采购方式管理暂行办法》（财库〔2014〕214号）第三条第四项“市场竞争不充分的科研项目，以及需要扶持的科技成果转化项目”的，提交最后报价的供应商可以为2家。</w:t>
      </w:r>
    </w:p>
    <w:p w14:paraId="2F6B03A7">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5.4已经提交响应文件的供应商，在提交最后报价之前，可以根据磋商情况退出磋商，退出磋商的供应商的响应文件按无效响应处理。</w:t>
      </w:r>
    </w:p>
    <w:p w14:paraId="3DC552A9">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5.5供应商未在规定时间内提交最后报价的，视同退出磋商。</w:t>
      </w:r>
    </w:p>
    <w:p w14:paraId="45E25644">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5.6磋商小组收齐最后报价后统一开启，磋商小组对最后报价进行有效性、完整性和响应程度的审查。</w:t>
      </w:r>
    </w:p>
    <w:p w14:paraId="26AD0AC3">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 xml:space="preserve">5.7最终响应文件的报价出现前后不一致的，按照本章第3.4条的规定修正。 </w:t>
      </w:r>
    </w:p>
    <w:p w14:paraId="01A18431">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5.8修正后的最终报价出现下列情形的，按无效响应处理：</w:t>
      </w:r>
    </w:p>
    <w:p w14:paraId="24C77047">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（1）供应商不确认的（全流程电子化评标采取在线确认）；</w:t>
      </w:r>
    </w:p>
    <w:p w14:paraId="04A23512">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（2）经供应商确认修正后的响应报价（包含首次报价、最后报价）超过所竞标规定的采购预算金额或者最高限价的（如本项目公布了最高限价）；</w:t>
      </w:r>
    </w:p>
    <w:p w14:paraId="51E9BDAB">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（3）经供应商确认修正后的响应报价（包含首次报价、最后报价）超过分项采购预算金额或者最高限价的（如本项目公布了最高限价）。</w:t>
      </w:r>
    </w:p>
    <w:p w14:paraId="75310850">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5.9经供应商确认修正后的最后报价作为评审及签订合同的依据。</w:t>
      </w:r>
    </w:p>
    <w:p w14:paraId="6A5D0987">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5.10供应商出现最后报价按无效响应处理或者响应文件按无效处理时，磋商小组应当告知有关供应商。</w:t>
      </w:r>
    </w:p>
    <w:p w14:paraId="5293084D">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5.11最后报价结束后，磋商小组不得再与供应商进行任何形式的商谈。</w:t>
      </w:r>
    </w:p>
    <w:p w14:paraId="5E1F6D36">
      <w:pPr>
        <w:keepNext w:val="0"/>
        <w:keepLines w:val="0"/>
        <w:pageBreakBefore w:val="0"/>
        <w:kinsoku/>
        <w:wordWrap/>
        <w:overflowPunct/>
        <w:topLinePunct w:val="0"/>
        <w:autoSpaceDE/>
        <w:autoSpaceDN/>
        <w:bidi w:val="0"/>
        <w:adjustRightInd/>
        <w:snapToGrid/>
        <w:spacing w:line="360" w:lineRule="auto"/>
        <w:ind w:firstLine="442" w:firstLineChars="200"/>
        <w:textAlignment w:val="auto"/>
        <w:rPr>
          <w:rFonts w:hint="eastAsia" w:asciiTheme="minorEastAsia" w:hAnsiTheme="minorEastAsia" w:eastAsiaTheme="minorEastAsia" w:cstheme="minorEastAsia"/>
          <w:b/>
          <w:bCs/>
          <w:color w:val="auto"/>
          <w:sz w:val="22"/>
          <w:szCs w:val="22"/>
          <w:highlight w:val="none"/>
        </w:rPr>
      </w:pPr>
      <w:r>
        <w:rPr>
          <w:rFonts w:hint="eastAsia" w:asciiTheme="minorEastAsia" w:hAnsiTheme="minorEastAsia" w:eastAsiaTheme="minorEastAsia" w:cstheme="minorEastAsia"/>
          <w:b/>
          <w:bCs/>
          <w:color w:val="auto"/>
          <w:sz w:val="22"/>
          <w:szCs w:val="22"/>
          <w:highlight w:val="none"/>
        </w:rPr>
        <w:t>6.比较与评价</w:t>
      </w:r>
    </w:p>
    <w:p w14:paraId="170AAA9B">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6.1评审方法：综合评分法。</w:t>
      </w:r>
    </w:p>
    <w:p w14:paraId="0E1BA9F8">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6.2经磋商确定最终采购需求和提交最后报价的供应商后，由磋商小组采用综合评分法对提交最后报价的供应商的响应文件和最后报价进行综合评分。</w:t>
      </w:r>
    </w:p>
    <w:p w14:paraId="2A482892">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6.3评审时，磋商小组各成员应当独立对每个有效响应的文件进行评价、打分，然后汇总每个供应商每项评分因素的得分。</w:t>
      </w:r>
    </w:p>
    <w:p w14:paraId="26F6D964">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1）评审委员会成员要根据政府采购法律法规和采购文件所载明的评审方法、标准进行评审。对供应商的价格分等客观评分项的评分应当一致，对其他需要借助专业知识评判的主观评分项，应当严格按照评分细则公正评分。</w:t>
      </w:r>
    </w:p>
    <w:p w14:paraId="7645669E">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w:t>
      </w:r>
      <w:r>
        <w:rPr>
          <w:rFonts w:hint="eastAsia" w:asciiTheme="minorEastAsia" w:hAnsiTheme="minorEastAsia" w:eastAsiaTheme="minorEastAsia" w:cstheme="minorEastAsia"/>
          <w:color w:val="auto"/>
          <w:sz w:val="22"/>
          <w:szCs w:val="22"/>
          <w:highlight w:val="none"/>
          <w:lang w:val="en-US" w:eastAsia="zh-CN"/>
        </w:rPr>
        <w:t>2</w:t>
      </w:r>
      <w:r>
        <w:rPr>
          <w:rFonts w:hint="eastAsia" w:asciiTheme="minorEastAsia" w:hAnsiTheme="minorEastAsia" w:eastAsiaTheme="minorEastAsia" w:cstheme="minorEastAsia"/>
          <w:color w:val="auto"/>
          <w:sz w:val="22"/>
          <w:szCs w:val="22"/>
          <w:highlight w:val="none"/>
        </w:rPr>
        <w:t>）磋商小组按照磋商文件中规定的评审标准计算各供应商的报价得分。项目评审过程中，不得去掉最后报价中的最高报价和最低报价。</w:t>
      </w:r>
    </w:p>
    <w:p w14:paraId="5EE307F9">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w:t>
      </w:r>
      <w:r>
        <w:rPr>
          <w:rFonts w:hint="eastAsia" w:asciiTheme="minorEastAsia" w:hAnsiTheme="minorEastAsia" w:eastAsiaTheme="minorEastAsia" w:cstheme="minorEastAsia"/>
          <w:color w:val="auto"/>
          <w:sz w:val="22"/>
          <w:szCs w:val="22"/>
          <w:highlight w:val="none"/>
          <w:lang w:val="en-US" w:eastAsia="zh-CN"/>
        </w:rPr>
        <w:t>3</w:t>
      </w:r>
      <w:r>
        <w:rPr>
          <w:rFonts w:hint="eastAsia" w:asciiTheme="minorEastAsia" w:hAnsiTheme="minorEastAsia" w:eastAsiaTheme="minorEastAsia" w:cstheme="minorEastAsia"/>
          <w:color w:val="auto"/>
          <w:sz w:val="22"/>
          <w:szCs w:val="22"/>
          <w:highlight w:val="none"/>
        </w:rPr>
        <w:t>）各供应商的得分为磋商小组所有成员的有效评分的算术平均数。</w:t>
      </w:r>
    </w:p>
    <w:p w14:paraId="68B80869">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6.4评审价为供应商的最后报价进行政策性扣除后的价格，评审价只是作为评审时使用。最终成交供应商的成交金额等于最后报价（如有修正，以确认修正后的最后报价为准）。</w:t>
      </w:r>
    </w:p>
    <w:p w14:paraId="4458A474">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sz w:val="22"/>
          <w:szCs w:val="22"/>
          <w:highlight w:val="none"/>
        </w:rPr>
        <w:t>6.5由磋商小组根据综合评分情况，按照评审得分由高到低顺序推荐3名以上成交候选供应商，并编写评</w:t>
      </w:r>
      <w:r>
        <w:rPr>
          <w:rFonts w:hint="eastAsia" w:asciiTheme="minorEastAsia" w:hAnsiTheme="minorEastAsia" w:eastAsiaTheme="minorEastAsia" w:cstheme="minorEastAsia"/>
          <w:color w:val="auto"/>
          <w:kern w:val="0"/>
          <w:sz w:val="22"/>
          <w:szCs w:val="22"/>
          <w:highlight w:val="none"/>
        </w:rPr>
        <w:t>审报告。符合本章第4.3条情形的，可以推荐2家成交候选供应商。评审得分相同的，按照最后报价由低到高的顺序推荐。评审得分且最后报价相同的，按照技术指标优劣顺序推荐。</w:t>
      </w:r>
    </w:p>
    <w:p w14:paraId="17ECC3A1">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6.6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4AC42CFD">
      <w:pPr>
        <w:keepNext w:val="0"/>
        <w:keepLines w:val="0"/>
        <w:pageBreakBefore w:val="0"/>
        <w:kinsoku/>
        <w:wordWrap/>
        <w:overflowPunct/>
        <w:topLinePunct w:val="0"/>
        <w:autoSpaceDE/>
        <w:autoSpaceDN/>
        <w:bidi w:val="0"/>
        <w:adjustRightInd/>
        <w:snapToGrid/>
        <w:spacing w:line="360" w:lineRule="auto"/>
        <w:ind w:firstLine="442" w:firstLineChars="200"/>
        <w:textAlignment w:val="auto"/>
        <w:rPr>
          <w:rFonts w:hint="eastAsia" w:asciiTheme="minorEastAsia" w:hAnsiTheme="minorEastAsia" w:eastAsiaTheme="minorEastAsia" w:cstheme="minorEastAsia"/>
          <w:b/>
          <w:bCs/>
          <w:color w:val="auto"/>
          <w:sz w:val="22"/>
          <w:szCs w:val="22"/>
          <w:highlight w:val="none"/>
        </w:rPr>
      </w:pPr>
      <w:r>
        <w:rPr>
          <w:rFonts w:hint="eastAsia" w:asciiTheme="minorEastAsia" w:hAnsiTheme="minorEastAsia" w:eastAsiaTheme="minorEastAsia" w:cstheme="minorEastAsia"/>
          <w:b/>
          <w:bCs/>
          <w:color w:val="auto"/>
          <w:sz w:val="22"/>
          <w:szCs w:val="22"/>
          <w:highlight w:val="none"/>
        </w:rPr>
        <w:t>7.评审复核</w:t>
      </w:r>
    </w:p>
    <w:p w14:paraId="4A1A545F">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7.1评审报告签署前，评审委员会要对评审结果进行复核，复核意见要体现在评审报告中。</w:t>
      </w:r>
    </w:p>
    <w:p w14:paraId="2C47E944">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7.2评审结果汇总完成后，采购人、采购代理机构和评审委员会均不得修改评审结果或者要求重新评审，但资格性检查认定错误、分值汇总计算错误、分项评分超出评分标准范围、客观分评分不一致、经评审委员会一致认定评分畸高、畸低的情形除外。出现上述除外情形的，评审委员会应当现场修改评审结果，并在评审报告中明确记载。</w:t>
      </w:r>
    </w:p>
    <w:p w14:paraId="05C652A3">
      <w:pPr>
        <w:keepNext w:val="0"/>
        <w:keepLines w:val="0"/>
        <w:pageBreakBefore w:val="0"/>
        <w:kinsoku/>
        <w:wordWrap/>
        <w:overflowPunct/>
        <w:topLinePunct w:val="0"/>
        <w:autoSpaceDE/>
        <w:autoSpaceDN/>
        <w:bidi w:val="0"/>
        <w:adjustRightInd/>
        <w:snapToGrid/>
        <w:spacing w:line="360" w:lineRule="auto"/>
        <w:ind w:firstLine="442" w:firstLineChars="200"/>
        <w:textAlignment w:val="auto"/>
        <w:rPr>
          <w:rFonts w:hint="eastAsia" w:asciiTheme="minorEastAsia" w:hAnsiTheme="minorEastAsia" w:eastAsiaTheme="minorEastAsia" w:cstheme="minorEastAsia"/>
          <w:b/>
          <w:bCs/>
          <w:color w:val="auto"/>
          <w:sz w:val="22"/>
          <w:szCs w:val="22"/>
          <w:highlight w:val="none"/>
        </w:rPr>
      </w:pPr>
      <w:r>
        <w:rPr>
          <w:rFonts w:hint="eastAsia" w:asciiTheme="minorEastAsia" w:hAnsiTheme="minorEastAsia" w:eastAsiaTheme="minorEastAsia" w:cstheme="minorEastAsia"/>
          <w:b/>
          <w:bCs/>
          <w:color w:val="auto"/>
          <w:sz w:val="22"/>
          <w:szCs w:val="22"/>
          <w:highlight w:val="none"/>
          <w:lang w:val="en-US" w:eastAsia="zh-CN"/>
        </w:rPr>
        <w:t>8</w:t>
      </w:r>
      <w:r>
        <w:rPr>
          <w:rFonts w:hint="eastAsia" w:asciiTheme="minorEastAsia" w:hAnsiTheme="minorEastAsia" w:eastAsiaTheme="minorEastAsia" w:cstheme="minorEastAsia"/>
          <w:b/>
          <w:bCs/>
          <w:color w:val="auto"/>
          <w:sz w:val="22"/>
          <w:szCs w:val="22"/>
          <w:highlight w:val="none"/>
        </w:rPr>
        <w:t>.评审标准</w:t>
      </w:r>
    </w:p>
    <w:p w14:paraId="19846A68">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bCs/>
          <w:color w:val="auto"/>
          <w:szCs w:val="21"/>
          <w:highlight w:val="none"/>
        </w:rPr>
      </w:pPr>
      <w:r>
        <w:rPr>
          <w:rFonts w:hint="eastAsia" w:asciiTheme="minorEastAsia" w:hAnsiTheme="minorEastAsia" w:eastAsiaTheme="minorEastAsia" w:cstheme="minorEastAsia"/>
          <w:b w:val="0"/>
          <w:bCs/>
          <w:color w:val="auto"/>
          <w:sz w:val="22"/>
          <w:szCs w:val="22"/>
          <w:highlight w:val="none"/>
          <w:lang w:val="en-US" w:eastAsia="zh-CN"/>
        </w:rPr>
        <w:t>8</w:t>
      </w:r>
      <w:r>
        <w:rPr>
          <w:rFonts w:hint="eastAsia" w:asciiTheme="minorEastAsia" w:hAnsiTheme="minorEastAsia" w:eastAsiaTheme="minorEastAsia" w:cstheme="minorEastAsia"/>
          <w:b w:val="0"/>
          <w:bCs/>
          <w:color w:val="auto"/>
          <w:sz w:val="22"/>
          <w:szCs w:val="22"/>
          <w:highlight w:val="none"/>
        </w:rPr>
        <w:t>.</w:t>
      </w:r>
      <w:r>
        <w:rPr>
          <w:rFonts w:hint="eastAsia" w:asciiTheme="minorEastAsia" w:hAnsiTheme="minorEastAsia" w:eastAsiaTheme="minorEastAsia" w:cstheme="minorEastAsia"/>
          <w:bCs/>
          <w:color w:val="auto"/>
          <w:sz w:val="22"/>
          <w:szCs w:val="22"/>
          <w:highlight w:val="none"/>
        </w:rPr>
        <w:t>1评审依据：磋商小组将以磋商响应文件为评审依据，对供应商的报价、技术、商务等方面内容按百分制打分。（计分方法按四舍五入取至百分位）</w:t>
      </w:r>
    </w:p>
    <w:bookmarkEnd w:id="49"/>
    <w:tbl>
      <w:tblPr>
        <w:tblStyle w:val="31"/>
        <w:tblW w:w="96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1296"/>
        <w:gridCol w:w="1380"/>
        <w:gridCol w:w="6485"/>
      </w:tblGrid>
      <w:tr w14:paraId="345CF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21" w:type="dxa"/>
            <w:gridSpan w:val="2"/>
            <w:noWrap w:val="0"/>
            <w:vAlign w:val="center"/>
          </w:tcPr>
          <w:p w14:paraId="00BA54FC">
            <w:pPr>
              <w:pStyle w:val="16"/>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Theme="minorEastAsia" w:hAnsiTheme="minorEastAsia" w:eastAsiaTheme="minorEastAsia" w:cstheme="minorEastAsia"/>
                <w:caps w:val="0"/>
                <w:smallCaps w:val="0"/>
                <w:color w:val="auto"/>
                <w:spacing w:val="0"/>
                <w:sz w:val="22"/>
                <w:szCs w:val="22"/>
                <w:highlight w:val="none"/>
              </w:rPr>
            </w:pPr>
            <w:r>
              <w:rPr>
                <w:rFonts w:hint="eastAsia" w:asciiTheme="minorEastAsia" w:hAnsiTheme="minorEastAsia" w:eastAsiaTheme="minorEastAsia" w:cstheme="minorEastAsia"/>
                <w:b/>
                <w:caps w:val="0"/>
                <w:smallCaps w:val="0"/>
                <w:color w:val="auto"/>
                <w:spacing w:val="0"/>
                <w:sz w:val="22"/>
                <w:szCs w:val="22"/>
                <w:highlight w:val="none"/>
              </w:rPr>
              <w:t>序号</w:t>
            </w:r>
          </w:p>
        </w:tc>
        <w:tc>
          <w:tcPr>
            <w:tcW w:w="1380" w:type="dxa"/>
            <w:noWrap w:val="0"/>
            <w:vAlign w:val="center"/>
          </w:tcPr>
          <w:p w14:paraId="69F9F501">
            <w:pPr>
              <w:pStyle w:val="16"/>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Theme="minorEastAsia" w:hAnsiTheme="minorEastAsia" w:eastAsiaTheme="minorEastAsia" w:cstheme="minorEastAsia"/>
                <w:caps w:val="0"/>
                <w:smallCaps w:val="0"/>
                <w:color w:val="auto"/>
                <w:spacing w:val="0"/>
                <w:sz w:val="22"/>
                <w:szCs w:val="22"/>
                <w:highlight w:val="none"/>
              </w:rPr>
            </w:pPr>
            <w:r>
              <w:rPr>
                <w:rFonts w:hint="eastAsia" w:asciiTheme="minorEastAsia" w:hAnsiTheme="minorEastAsia" w:eastAsiaTheme="minorEastAsia" w:cstheme="minorEastAsia"/>
                <w:b/>
                <w:caps w:val="0"/>
                <w:smallCaps w:val="0"/>
                <w:color w:val="auto"/>
                <w:spacing w:val="0"/>
                <w:sz w:val="22"/>
                <w:szCs w:val="22"/>
                <w:highlight w:val="none"/>
              </w:rPr>
              <w:t>评审因素</w:t>
            </w:r>
          </w:p>
        </w:tc>
        <w:tc>
          <w:tcPr>
            <w:tcW w:w="6485" w:type="dxa"/>
            <w:noWrap w:val="0"/>
            <w:vAlign w:val="center"/>
          </w:tcPr>
          <w:p w14:paraId="634B2826">
            <w:pPr>
              <w:pStyle w:val="16"/>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Theme="minorEastAsia" w:hAnsiTheme="minorEastAsia" w:eastAsiaTheme="minorEastAsia" w:cstheme="minorEastAsia"/>
                <w:caps w:val="0"/>
                <w:smallCaps w:val="0"/>
                <w:color w:val="auto"/>
                <w:spacing w:val="0"/>
                <w:sz w:val="22"/>
                <w:szCs w:val="22"/>
                <w:highlight w:val="none"/>
              </w:rPr>
            </w:pPr>
            <w:r>
              <w:rPr>
                <w:rFonts w:hint="eastAsia" w:asciiTheme="minorEastAsia" w:hAnsiTheme="minorEastAsia" w:eastAsiaTheme="minorEastAsia" w:cstheme="minorEastAsia"/>
                <w:b/>
                <w:caps w:val="0"/>
                <w:smallCaps w:val="0"/>
                <w:color w:val="auto"/>
                <w:spacing w:val="0"/>
                <w:sz w:val="22"/>
                <w:szCs w:val="22"/>
                <w:highlight w:val="none"/>
              </w:rPr>
              <w:t>评标标准</w:t>
            </w:r>
          </w:p>
        </w:tc>
      </w:tr>
      <w:tr w14:paraId="61E80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25" w:type="dxa"/>
            <w:noWrap w:val="0"/>
            <w:vAlign w:val="center"/>
          </w:tcPr>
          <w:p w14:paraId="6F495BA4">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baseline"/>
              <w:rPr>
                <w:rFonts w:hint="eastAsia" w:asciiTheme="minorEastAsia" w:hAnsiTheme="minorEastAsia" w:eastAsiaTheme="minorEastAsia" w:cstheme="minorEastAsia"/>
                <w:bCs/>
                <w:caps w:val="0"/>
                <w:smallCaps w:val="0"/>
                <w:color w:val="auto"/>
                <w:spacing w:val="0"/>
                <w:sz w:val="22"/>
                <w:szCs w:val="22"/>
                <w:highlight w:val="none"/>
              </w:rPr>
            </w:pPr>
            <w:r>
              <w:rPr>
                <w:rFonts w:hint="eastAsia" w:asciiTheme="minorEastAsia" w:hAnsiTheme="minorEastAsia" w:eastAsiaTheme="minorEastAsia" w:cstheme="minorEastAsia"/>
                <w:bCs/>
                <w:caps w:val="0"/>
                <w:smallCaps w:val="0"/>
                <w:color w:val="auto"/>
                <w:spacing w:val="0"/>
                <w:sz w:val="22"/>
                <w:szCs w:val="22"/>
                <w:highlight w:val="none"/>
              </w:rPr>
              <w:t>1</w:t>
            </w:r>
          </w:p>
        </w:tc>
        <w:tc>
          <w:tcPr>
            <w:tcW w:w="1296" w:type="dxa"/>
            <w:noWrap w:val="0"/>
            <w:vAlign w:val="center"/>
          </w:tcPr>
          <w:p w14:paraId="16A0A4B9">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baseline"/>
              <w:rPr>
                <w:rFonts w:hint="eastAsia" w:asciiTheme="minorEastAsia" w:hAnsiTheme="minorEastAsia" w:eastAsiaTheme="minorEastAsia" w:cstheme="minorEastAsia"/>
                <w:bCs/>
                <w:caps w:val="0"/>
                <w:smallCaps w:val="0"/>
                <w:color w:val="auto"/>
                <w:spacing w:val="0"/>
                <w:sz w:val="22"/>
                <w:szCs w:val="22"/>
                <w:highlight w:val="none"/>
                <w:u w:val="none"/>
                <w:lang w:val="en-US" w:eastAsia="zh-CN"/>
              </w:rPr>
            </w:pPr>
            <w:r>
              <w:rPr>
                <w:rFonts w:hint="eastAsia" w:asciiTheme="minorEastAsia" w:hAnsiTheme="minorEastAsia" w:eastAsiaTheme="minorEastAsia" w:cstheme="minorEastAsia"/>
                <w:bCs/>
                <w:caps w:val="0"/>
                <w:smallCaps w:val="0"/>
                <w:color w:val="auto"/>
                <w:spacing w:val="0"/>
                <w:sz w:val="22"/>
                <w:szCs w:val="22"/>
                <w:highlight w:val="none"/>
                <w:u w:val="none"/>
                <w:lang w:val="en-US" w:eastAsia="zh-CN"/>
              </w:rPr>
              <w:t>价格分</w:t>
            </w:r>
          </w:p>
          <w:p w14:paraId="3FBFCC6E">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baseline"/>
              <w:rPr>
                <w:rFonts w:hint="eastAsia" w:asciiTheme="minorEastAsia" w:hAnsiTheme="minorEastAsia" w:eastAsiaTheme="minorEastAsia" w:cstheme="minorEastAsia"/>
                <w:bCs/>
                <w:caps w:val="0"/>
                <w:smallCaps w:val="0"/>
                <w:color w:val="auto"/>
                <w:spacing w:val="0"/>
                <w:sz w:val="22"/>
                <w:szCs w:val="22"/>
                <w:highlight w:val="none"/>
                <w:u w:val="none"/>
                <w:lang w:val="en-US" w:eastAsia="zh-CN"/>
              </w:rPr>
            </w:pPr>
            <w:r>
              <w:rPr>
                <w:rFonts w:hint="eastAsia" w:asciiTheme="minorEastAsia" w:hAnsiTheme="minorEastAsia" w:eastAsiaTheme="minorEastAsia" w:cstheme="minorEastAsia"/>
                <w:bCs/>
                <w:caps w:val="0"/>
                <w:smallCaps w:val="0"/>
                <w:color w:val="auto"/>
                <w:spacing w:val="0"/>
                <w:sz w:val="22"/>
                <w:szCs w:val="22"/>
                <w:highlight w:val="none"/>
                <w:u w:val="none"/>
                <w:lang w:val="en-US" w:eastAsia="zh-CN"/>
              </w:rPr>
              <w:t>（满分30分）</w:t>
            </w:r>
          </w:p>
        </w:tc>
        <w:tc>
          <w:tcPr>
            <w:tcW w:w="1380" w:type="dxa"/>
            <w:noWrap w:val="0"/>
            <w:vAlign w:val="center"/>
          </w:tcPr>
          <w:p w14:paraId="637FEBDD">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baseline"/>
              <w:rPr>
                <w:rFonts w:hint="eastAsia" w:asciiTheme="minorEastAsia" w:hAnsiTheme="minorEastAsia" w:eastAsiaTheme="minorEastAsia" w:cstheme="minorEastAsia"/>
                <w:bCs/>
                <w:caps w:val="0"/>
                <w:smallCaps w:val="0"/>
                <w:color w:val="auto"/>
                <w:spacing w:val="0"/>
                <w:sz w:val="22"/>
                <w:szCs w:val="22"/>
                <w:highlight w:val="none"/>
                <w:u w:val="none"/>
                <w:lang w:val="en-US" w:eastAsia="zh-CN"/>
              </w:rPr>
            </w:pPr>
            <w:r>
              <w:rPr>
                <w:rFonts w:hint="eastAsia" w:asciiTheme="minorEastAsia" w:hAnsiTheme="minorEastAsia" w:eastAsiaTheme="minorEastAsia" w:cstheme="minorEastAsia"/>
                <w:bCs/>
                <w:caps w:val="0"/>
                <w:smallCaps w:val="0"/>
                <w:color w:val="auto"/>
                <w:spacing w:val="0"/>
                <w:sz w:val="22"/>
                <w:szCs w:val="22"/>
                <w:highlight w:val="none"/>
                <w:u w:val="none"/>
                <w:lang w:val="en-US" w:eastAsia="zh-CN"/>
              </w:rPr>
              <w:t>磋商报价</w:t>
            </w:r>
          </w:p>
        </w:tc>
        <w:tc>
          <w:tcPr>
            <w:tcW w:w="6485" w:type="dxa"/>
            <w:noWrap w:val="0"/>
            <w:vAlign w:val="center"/>
          </w:tcPr>
          <w:p w14:paraId="2638514E">
            <w:pPr>
              <w:pStyle w:val="16"/>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40" w:firstLineChars="200"/>
              <w:textAlignment w:val="auto"/>
              <w:rPr>
                <w:rFonts w:hint="eastAsia" w:asciiTheme="minorEastAsia" w:hAnsiTheme="minorEastAsia" w:eastAsiaTheme="minorEastAsia" w:cstheme="minorEastAsia"/>
                <w:bCs/>
                <w:color w:val="auto"/>
                <w:sz w:val="22"/>
                <w:szCs w:val="22"/>
                <w:highlight w:val="none"/>
              </w:rPr>
            </w:pPr>
            <w:r>
              <w:rPr>
                <w:rFonts w:hint="eastAsia" w:asciiTheme="minorEastAsia" w:hAnsiTheme="minorEastAsia" w:eastAsiaTheme="minorEastAsia" w:cstheme="minorEastAsia"/>
                <w:bCs/>
                <w:color w:val="auto"/>
                <w:sz w:val="22"/>
                <w:szCs w:val="22"/>
                <w:highlight w:val="none"/>
                <w:lang w:val="en-US" w:eastAsia="zh-CN"/>
              </w:rPr>
              <w:t>1.本项目专门面向中小企业采购，专门面向中小企业预留份额为100%，根据财库[2020]46号文规定，不再执行价格评审优惠的扶持政策。</w:t>
            </w:r>
          </w:p>
          <w:p w14:paraId="387FB155">
            <w:pPr>
              <w:pStyle w:val="16"/>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40" w:firstLineChars="200"/>
              <w:textAlignment w:val="auto"/>
              <w:rPr>
                <w:rFonts w:hint="eastAsia" w:asciiTheme="minorEastAsia" w:hAnsiTheme="minorEastAsia" w:eastAsiaTheme="minorEastAsia" w:cstheme="minorEastAsia"/>
                <w:bCs/>
                <w:color w:val="auto"/>
                <w:sz w:val="22"/>
                <w:szCs w:val="22"/>
                <w:highlight w:val="none"/>
              </w:rPr>
            </w:pPr>
            <w:r>
              <w:rPr>
                <w:rFonts w:hint="eastAsia" w:asciiTheme="minorEastAsia" w:hAnsiTheme="minorEastAsia" w:eastAsiaTheme="minorEastAsia" w:cstheme="minorEastAsia"/>
                <w:bCs/>
                <w:color w:val="auto"/>
                <w:sz w:val="22"/>
                <w:szCs w:val="22"/>
                <w:highlight w:val="none"/>
                <w:lang w:val="en-US" w:eastAsia="zh-CN"/>
              </w:rPr>
              <w:t>2.</w:t>
            </w:r>
            <w:r>
              <w:rPr>
                <w:rFonts w:hint="eastAsia" w:asciiTheme="minorEastAsia" w:hAnsiTheme="minorEastAsia" w:eastAsiaTheme="minorEastAsia" w:cstheme="minorEastAsia"/>
                <w:bCs/>
                <w:color w:val="auto"/>
                <w:sz w:val="22"/>
                <w:szCs w:val="22"/>
                <w:highlight w:val="none"/>
              </w:rPr>
              <w:t>满足</w:t>
            </w:r>
            <w:r>
              <w:rPr>
                <w:rFonts w:hint="eastAsia" w:asciiTheme="minorEastAsia" w:hAnsiTheme="minorEastAsia" w:eastAsiaTheme="minorEastAsia" w:cstheme="minorEastAsia"/>
                <w:bCs/>
                <w:color w:val="auto"/>
                <w:sz w:val="22"/>
                <w:szCs w:val="22"/>
                <w:highlight w:val="none"/>
                <w:lang w:val="en-US" w:eastAsia="zh-CN"/>
              </w:rPr>
              <w:t>采购</w:t>
            </w:r>
            <w:r>
              <w:rPr>
                <w:rFonts w:hint="eastAsia" w:asciiTheme="minorEastAsia" w:hAnsiTheme="minorEastAsia" w:eastAsiaTheme="minorEastAsia" w:cstheme="minorEastAsia"/>
                <w:bCs/>
                <w:color w:val="auto"/>
                <w:sz w:val="22"/>
                <w:szCs w:val="22"/>
                <w:highlight w:val="none"/>
              </w:rPr>
              <w:t>文件要求且</w:t>
            </w:r>
            <w:r>
              <w:rPr>
                <w:rFonts w:hint="eastAsia" w:asciiTheme="minorEastAsia" w:hAnsiTheme="minorEastAsia" w:eastAsiaTheme="minorEastAsia" w:cstheme="minorEastAsia"/>
                <w:bCs/>
                <w:color w:val="auto"/>
                <w:sz w:val="22"/>
                <w:szCs w:val="22"/>
                <w:highlight w:val="none"/>
                <w:lang w:val="en-US" w:eastAsia="zh-CN"/>
              </w:rPr>
              <w:t>评审</w:t>
            </w:r>
            <w:r>
              <w:rPr>
                <w:rFonts w:hint="eastAsia" w:asciiTheme="minorEastAsia" w:hAnsiTheme="minorEastAsia" w:eastAsiaTheme="minorEastAsia" w:cstheme="minorEastAsia"/>
                <w:bCs/>
                <w:color w:val="auto"/>
                <w:sz w:val="22"/>
                <w:szCs w:val="22"/>
                <w:highlight w:val="none"/>
              </w:rPr>
              <w:t>报价最低的</w:t>
            </w:r>
            <w:r>
              <w:rPr>
                <w:rFonts w:hint="eastAsia" w:asciiTheme="minorEastAsia" w:hAnsiTheme="minorEastAsia" w:eastAsiaTheme="minorEastAsia" w:cstheme="minorEastAsia"/>
                <w:bCs/>
                <w:color w:val="auto"/>
                <w:sz w:val="22"/>
                <w:szCs w:val="22"/>
                <w:highlight w:val="none"/>
                <w:lang w:val="en-US" w:eastAsia="zh-CN"/>
              </w:rPr>
              <w:t>评审</w:t>
            </w:r>
            <w:r>
              <w:rPr>
                <w:rFonts w:hint="eastAsia" w:asciiTheme="minorEastAsia" w:hAnsiTheme="minorEastAsia" w:eastAsiaTheme="minorEastAsia" w:cstheme="minorEastAsia"/>
                <w:bCs/>
                <w:color w:val="auto"/>
                <w:sz w:val="22"/>
                <w:szCs w:val="22"/>
                <w:highlight w:val="none"/>
              </w:rPr>
              <w:t>报价为</w:t>
            </w:r>
            <w:r>
              <w:rPr>
                <w:rFonts w:hint="eastAsia" w:asciiTheme="minorEastAsia" w:hAnsiTheme="minorEastAsia" w:eastAsiaTheme="minorEastAsia" w:cstheme="minorEastAsia"/>
                <w:bCs/>
                <w:color w:val="auto"/>
                <w:sz w:val="22"/>
                <w:szCs w:val="22"/>
                <w:highlight w:val="none"/>
                <w:lang w:val="en-US" w:eastAsia="zh-CN"/>
              </w:rPr>
              <w:t>评审</w:t>
            </w:r>
            <w:r>
              <w:rPr>
                <w:rFonts w:hint="eastAsia" w:asciiTheme="minorEastAsia" w:hAnsiTheme="minorEastAsia" w:eastAsiaTheme="minorEastAsia" w:cstheme="minorEastAsia"/>
                <w:bCs/>
                <w:color w:val="auto"/>
                <w:sz w:val="22"/>
                <w:szCs w:val="22"/>
                <w:highlight w:val="none"/>
              </w:rPr>
              <w:t>基准价，其价格分为满分。</w:t>
            </w:r>
          </w:p>
          <w:p w14:paraId="1F5943F7">
            <w:pPr>
              <w:pStyle w:val="16"/>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40" w:firstLineChars="200"/>
              <w:textAlignment w:val="auto"/>
              <w:rPr>
                <w:rFonts w:hint="eastAsia" w:asciiTheme="minorEastAsia" w:hAnsiTheme="minorEastAsia" w:eastAsiaTheme="minorEastAsia" w:cstheme="minorEastAsia"/>
                <w:bCs/>
                <w:color w:val="auto"/>
                <w:sz w:val="22"/>
                <w:szCs w:val="22"/>
                <w:highlight w:val="none"/>
              </w:rPr>
            </w:pPr>
            <w:r>
              <w:rPr>
                <w:rFonts w:hint="eastAsia" w:asciiTheme="minorEastAsia" w:hAnsiTheme="minorEastAsia" w:eastAsiaTheme="minorEastAsia" w:cstheme="minorEastAsia"/>
                <w:bCs/>
                <w:color w:val="auto"/>
                <w:sz w:val="22"/>
                <w:szCs w:val="22"/>
                <w:highlight w:val="none"/>
                <w:lang w:val="en-US" w:eastAsia="zh-CN"/>
              </w:rPr>
              <w:t>3.</w:t>
            </w:r>
            <w:r>
              <w:rPr>
                <w:rFonts w:hint="eastAsia" w:asciiTheme="minorEastAsia" w:hAnsiTheme="minorEastAsia" w:eastAsiaTheme="minorEastAsia" w:cstheme="minorEastAsia"/>
                <w:bCs/>
                <w:color w:val="auto"/>
                <w:sz w:val="22"/>
                <w:szCs w:val="22"/>
                <w:highlight w:val="none"/>
              </w:rPr>
              <w:t>价格分计算公式</w:t>
            </w:r>
          </w:p>
          <w:p w14:paraId="69351B8C">
            <w:pPr>
              <w:pStyle w:val="16"/>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40" w:firstLineChars="200"/>
              <w:textAlignment w:val="auto"/>
              <w:rPr>
                <w:rFonts w:hint="eastAsia" w:asciiTheme="minorEastAsia" w:hAnsiTheme="minorEastAsia" w:eastAsiaTheme="minorEastAsia" w:cstheme="minorEastAsia"/>
                <w:bCs/>
                <w:color w:val="auto"/>
                <w:sz w:val="22"/>
                <w:szCs w:val="22"/>
                <w:highlight w:val="none"/>
                <w:lang w:val="en-US" w:eastAsia="zh-CN"/>
              </w:rPr>
            </w:pPr>
            <w:r>
              <w:rPr>
                <w:rFonts w:hint="eastAsia" w:asciiTheme="minorEastAsia" w:hAnsiTheme="minorEastAsia" w:eastAsiaTheme="minorEastAsia" w:cstheme="minorEastAsia"/>
                <w:bCs/>
                <w:color w:val="auto"/>
                <w:sz w:val="22"/>
                <w:szCs w:val="22"/>
                <w:highlight w:val="none"/>
                <w:lang w:val="en-US" w:eastAsia="zh-CN"/>
              </w:rPr>
              <w:t>价格分=（基准价/评审报价）×30分</w:t>
            </w:r>
          </w:p>
        </w:tc>
      </w:tr>
      <w:tr w14:paraId="23A16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25" w:type="dxa"/>
            <w:vMerge w:val="restart"/>
            <w:noWrap w:val="0"/>
            <w:vAlign w:val="center"/>
          </w:tcPr>
          <w:p w14:paraId="191CFF01">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baseline"/>
              <w:rPr>
                <w:rFonts w:hint="eastAsia" w:asciiTheme="minorEastAsia" w:hAnsiTheme="minorEastAsia" w:eastAsiaTheme="minorEastAsia" w:cstheme="minorEastAsia"/>
                <w:bCs/>
                <w:caps w:val="0"/>
                <w:smallCaps w:val="0"/>
                <w:color w:val="auto"/>
                <w:spacing w:val="0"/>
                <w:sz w:val="22"/>
                <w:szCs w:val="22"/>
                <w:highlight w:val="none"/>
                <w:lang w:val="en-US" w:eastAsia="zh-CN"/>
              </w:rPr>
            </w:pPr>
            <w:r>
              <w:rPr>
                <w:rFonts w:hint="eastAsia" w:asciiTheme="minorEastAsia" w:hAnsiTheme="minorEastAsia" w:eastAsiaTheme="minorEastAsia" w:cstheme="minorEastAsia"/>
                <w:bCs/>
                <w:caps w:val="0"/>
                <w:smallCaps w:val="0"/>
                <w:color w:val="auto"/>
                <w:spacing w:val="0"/>
                <w:sz w:val="22"/>
                <w:szCs w:val="22"/>
                <w:highlight w:val="none"/>
                <w:lang w:val="en-US" w:eastAsia="zh-CN"/>
              </w:rPr>
              <w:t>2</w:t>
            </w:r>
          </w:p>
        </w:tc>
        <w:tc>
          <w:tcPr>
            <w:tcW w:w="1296" w:type="dxa"/>
            <w:vMerge w:val="restart"/>
            <w:noWrap w:val="0"/>
            <w:vAlign w:val="center"/>
          </w:tcPr>
          <w:p w14:paraId="4323725C">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baseline"/>
              <w:rPr>
                <w:rFonts w:hint="eastAsia" w:asciiTheme="minorEastAsia" w:hAnsiTheme="minorEastAsia" w:eastAsiaTheme="minorEastAsia" w:cstheme="minorEastAsia"/>
                <w:bCs/>
                <w:caps w:val="0"/>
                <w:smallCaps w:val="0"/>
                <w:color w:val="auto"/>
                <w:spacing w:val="0"/>
                <w:sz w:val="22"/>
                <w:szCs w:val="22"/>
                <w:highlight w:val="none"/>
                <w:lang w:val="en-US" w:eastAsia="zh-CN"/>
              </w:rPr>
            </w:pPr>
            <w:r>
              <w:rPr>
                <w:rFonts w:hint="eastAsia" w:asciiTheme="minorEastAsia" w:hAnsiTheme="minorEastAsia" w:eastAsiaTheme="minorEastAsia" w:cstheme="minorEastAsia"/>
                <w:bCs/>
                <w:caps w:val="0"/>
                <w:smallCaps w:val="0"/>
                <w:color w:val="auto"/>
                <w:spacing w:val="0"/>
                <w:sz w:val="22"/>
                <w:szCs w:val="22"/>
                <w:highlight w:val="none"/>
                <w:lang w:val="en-US" w:eastAsia="zh-CN"/>
              </w:rPr>
              <w:t>技术分</w:t>
            </w:r>
          </w:p>
          <w:p w14:paraId="081EB73D">
            <w:pPr>
              <w:pStyle w:val="56"/>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（满分62分）</w:t>
            </w:r>
          </w:p>
        </w:tc>
        <w:tc>
          <w:tcPr>
            <w:tcW w:w="1380" w:type="dxa"/>
            <w:noWrap w:val="0"/>
            <w:vAlign w:val="center"/>
          </w:tcPr>
          <w:p w14:paraId="36255D4E">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asciiTheme="minorEastAsia" w:hAnsiTheme="minorEastAsia" w:eastAsiaTheme="minorEastAsia" w:cstheme="minorEastAsia"/>
                <w:b w:val="0"/>
                <w:bCs w:val="0"/>
                <w:color w:val="auto"/>
                <w:sz w:val="22"/>
                <w:szCs w:val="22"/>
                <w:highlight w:val="none"/>
                <w:lang w:val="en-US" w:eastAsia="zh-CN"/>
              </w:rPr>
            </w:pPr>
            <w:r>
              <w:rPr>
                <w:rFonts w:hint="eastAsia" w:asciiTheme="minorEastAsia" w:hAnsiTheme="minorEastAsia" w:eastAsiaTheme="minorEastAsia" w:cstheme="minorEastAsia"/>
                <w:b w:val="0"/>
                <w:bCs w:val="0"/>
                <w:color w:val="auto"/>
                <w:sz w:val="22"/>
                <w:szCs w:val="22"/>
                <w:highlight w:val="none"/>
                <w:lang w:val="en-US" w:eastAsia="zh-CN"/>
              </w:rPr>
              <w:t>服务工作内容的安排和质量方案（满分21分）</w:t>
            </w:r>
          </w:p>
        </w:tc>
        <w:tc>
          <w:tcPr>
            <w:tcW w:w="6485" w:type="dxa"/>
            <w:noWrap w:val="0"/>
            <w:vAlign w:val="center"/>
          </w:tcPr>
          <w:p w14:paraId="501D38B3">
            <w:pPr>
              <w:pStyle w:val="16"/>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40" w:firstLineChars="200"/>
              <w:textAlignment w:val="auto"/>
              <w:rPr>
                <w:rFonts w:hint="eastAsia" w:asciiTheme="minorEastAsia" w:hAnsiTheme="minorEastAsia" w:eastAsiaTheme="minorEastAsia" w:cstheme="minorEastAsia"/>
                <w:b w:val="0"/>
                <w:bCs/>
                <w:color w:val="auto"/>
                <w:sz w:val="22"/>
                <w:szCs w:val="22"/>
                <w:highlight w:val="none"/>
                <w:lang w:val="en-US" w:eastAsia="zh-CN"/>
              </w:rPr>
            </w:pPr>
            <w:r>
              <w:rPr>
                <w:rFonts w:hint="eastAsia" w:asciiTheme="minorEastAsia" w:hAnsiTheme="minorEastAsia" w:eastAsiaTheme="minorEastAsia" w:cstheme="minorEastAsia"/>
                <w:b w:val="0"/>
                <w:bCs/>
                <w:color w:val="auto"/>
                <w:sz w:val="22"/>
                <w:szCs w:val="22"/>
                <w:highlight w:val="none"/>
                <w:lang w:val="en-US" w:eastAsia="zh-CN"/>
              </w:rPr>
              <w:t>一档（7分）：提供服务范围、内容和服务标准（工作方案基本完整，措施及管理责任基本清晰）；工作人员安排计划基本满足采购文件需求，可基本实施管理工作；物资装备的配备；人员配置的科学性和合理性不强。</w:t>
            </w:r>
          </w:p>
          <w:p w14:paraId="45D318F9">
            <w:pPr>
              <w:pStyle w:val="16"/>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40" w:firstLineChars="200"/>
              <w:textAlignment w:val="auto"/>
              <w:rPr>
                <w:rFonts w:hint="eastAsia" w:asciiTheme="minorEastAsia" w:hAnsiTheme="minorEastAsia" w:eastAsiaTheme="minorEastAsia" w:cstheme="minorEastAsia"/>
                <w:b w:val="0"/>
                <w:bCs/>
                <w:color w:val="auto"/>
                <w:sz w:val="22"/>
                <w:szCs w:val="22"/>
                <w:highlight w:val="none"/>
                <w:lang w:val="en-US" w:eastAsia="zh-CN"/>
              </w:rPr>
            </w:pPr>
            <w:r>
              <w:rPr>
                <w:rFonts w:hint="eastAsia" w:asciiTheme="minorEastAsia" w:hAnsiTheme="minorEastAsia" w:eastAsiaTheme="minorEastAsia" w:cstheme="minorEastAsia"/>
                <w:b w:val="0"/>
                <w:bCs/>
                <w:color w:val="auto"/>
                <w:sz w:val="22"/>
                <w:szCs w:val="22"/>
                <w:highlight w:val="none"/>
                <w:lang w:val="en-US" w:eastAsia="zh-CN"/>
              </w:rPr>
              <w:t>二档（14分）：提供服务范围、内容和服务标准（工作方案一般，措施及管理责任较清晰）；工作人员安排计划、组织管理体系基本满足采购文件需求，可基本实施管理工作；物资装备的配备；人员配置的科学性和合理性较强；垃圾中转站管理的安全防范措施、进退场交接措施较好；工作安排与现场实际情况吻合，有一定的可操作性。</w:t>
            </w:r>
          </w:p>
          <w:p w14:paraId="294B754E">
            <w:pPr>
              <w:pStyle w:val="16"/>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40" w:firstLineChars="200"/>
              <w:textAlignment w:val="auto"/>
              <w:rPr>
                <w:rFonts w:hint="eastAsia" w:asciiTheme="minorEastAsia" w:hAnsiTheme="minorEastAsia" w:eastAsiaTheme="minorEastAsia" w:cstheme="minorEastAsia"/>
                <w:b w:val="0"/>
                <w:bCs/>
                <w:color w:val="auto"/>
                <w:sz w:val="22"/>
                <w:szCs w:val="22"/>
                <w:highlight w:val="none"/>
                <w:lang w:val="en-US" w:eastAsia="zh-CN"/>
              </w:rPr>
            </w:pPr>
            <w:r>
              <w:rPr>
                <w:rFonts w:hint="eastAsia" w:asciiTheme="minorEastAsia" w:hAnsiTheme="minorEastAsia" w:eastAsiaTheme="minorEastAsia" w:cstheme="minorEastAsia"/>
                <w:b w:val="0"/>
                <w:bCs/>
                <w:color w:val="auto"/>
                <w:sz w:val="22"/>
                <w:szCs w:val="22"/>
                <w:highlight w:val="none"/>
                <w:lang w:val="en-US" w:eastAsia="zh-CN"/>
              </w:rPr>
              <w:t>三档（21分）：提供服务范围、内容和服务标准（工作方案完整，措施有效扎实管理责任清晰）；工作人员安排计划，组织管理体系基本满足采购文件需求，可实施管理工作；物资装备的配备；人员配置的科学性和合理性强；垃圾中转站管理的安全防范措施、进退场交接措施完善有效；工作安排与现场实际情况吻合，可操作性强。</w:t>
            </w:r>
          </w:p>
          <w:p w14:paraId="1B2E64AC">
            <w:pPr>
              <w:pStyle w:val="16"/>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42" w:firstLineChars="200"/>
              <w:textAlignment w:val="auto"/>
              <w:rPr>
                <w:rFonts w:hint="eastAsia" w:asciiTheme="minorEastAsia" w:hAnsiTheme="minorEastAsia" w:eastAsiaTheme="minorEastAsia" w:cstheme="minorEastAsia"/>
                <w:bCs/>
                <w:color w:val="auto"/>
                <w:sz w:val="22"/>
                <w:szCs w:val="22"/>
                <w:highlight w:val="none"/>
                <w:lang w:val="en-US" w:eastAsia="zh-CN"/>
              </w:rPr>
            </w:pPr>
            <w:r>
              <w:rPr>
                <w:rFonts w:hint="eastAsia" w:asciiTheme="minorEastAsia" w:hAnsiTheme="minorEastAsia" w:eastAsiaTheme="minorEastAsia" w:cstheme="minorEastAsia"/>
                <w:b/>
                <w:bCs w:val="0"/>
                <w:color w:val="auto"/>
                <w:sz w:val="22"/>
                <w:szCs w:val="22"/>
                <w:highlight w:val="none"/>
                <w:lang w:val="en-US" w:eastAsia="zh-CN"/>
              </w:rPr>
              <w:t>注：不提供方案的不得分。</w:t>
            </w:r>
          </w:p>
        </w:tc>
      </w:tr>
      <w:tr w14:paraId="333A6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25" w:type="dxa"/>
            <w:vMerge w:val="continue"/>
            <w:noWrap w:val="0"/>
            <w:vAlign w:val="center"/>
          </w:tcPr>
          <w:p w14:paraId="19421523">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baseline"/>
              <w:rPr>
                <w:rFonts w:hint="eastAsia" w:asciiTheme="minorEastAsia" w:hAnsiTheme="minorEastAsia" w:eastAsiaTheme="minorEastAsia" w:cstheme="minorEastAsia"/>
                <w:bCs/>
                <w:caps w:val="0"/>
                <w:smallCaps w:val="0"/>
                <w:color w:val="auto"/>
                <w:spacing w:val="0"/>
                <w:sz w:val="22"/>
                <w:szCs w:val="22"/>
                <w:highlight w:val="none"/>
              </w:rPr>
            </w:pPr>
          </w:p>
        </w:tc>
        <w:tc>
          <w:tcPr>
            <w:tcW w:w="1296" w:type="dxa"/>
            <w:vMerge w:val="continue"/>
            <w:noWrap w:val="0"/>
            <w:vAlign w:val="center"/>
          </w:tcPr>
          <w:p w14:paraId="1CB94F06">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baseline"/>
              <w:rPr>
                <w:rFonts w:hint="eastAsia" w:asciiTheme="minorEastAsia" w:hAnsiTheme="minorEastAsia" w:eastAsiaTheme="minorEastAsia" w:cstheme="minorEastAsia"/>
                <w:bCs/>
                <w:caps w:val="0"/>
                <w:smallCaps w:val="0"/>
                <w:color w:val="auto"/>
                <w:spacing w:val="0"/>
                <w:sz w:val="22"/>
                <w:szCs w:val="22"/>
                <w:highlight w:val="none"/>
              </w:rPr>
            </w:pPr>
          </w:p>
        </w:tc>
        <w:tc>
          <w:tcPr>
            <w:tcW w:w="1380" w:type="dxa"/>
            <w:noWrap w:val="0"/>
            <w:vAlign w:val="center"/>
          </w:tcPr>
          <w:p w14:paraId="62062CC4">
            <w:pPr>
              <w:pStyle w:val="26"/>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asciiTheme="minorEastAsia" w:hAnsiTheme="minorEastAsia" w:eastAsiaTheme="minorEastAsia" w:cstheme="minorEastAsia"/>
                <w:b w:val="0"/>
                <w:bCs w:val="0"/>
                <w:color w:val="auto"/>
                <w:sz w:val="22"/>
                <w:szCs w:val="22"/>
                <w:highlight w:val="none"/>
                <w:lang w:val="en-US" w:eastAsia="zh-CN"/>
              </w:rPr>
            </w:pPr>
            <w:r>
              <w:rPr>
                <w:rFonts w:hint="eastAsia" w:asciiTheme="minorEastAsia" w:hAnsiTheme="minorEastAsia" w:eastAsiaTheme="minorEastAsia" w:cstheme="minorEastAsia"/>
                <w:b w:val="0"/>
                <w:bCs w:val="0"/>
                <w:color w:val="auto"/>
                <w:sz w:val="22"/>
                <w:szCs w:val="22"/>
                <w:highlight w:val="none"/>
                <w:lang w:val="en-US" w:eastAsia="zh-CN"/>
              </w:rPr>
              <w:t>组织有效的管理机构及考核管理办法（满分18分）</w:t>
            </w:r>
          </w:p>
        </w:tc>
        <w:tc>
          <w:tcPr>
            <w:tcW w:w="6485" w:type="dxa"/>
            <w:noWrap w:val="0"/>
            <w:vAlign w:val="center"/>
          </w:tcPr>
          <w:p w14:paraId="5CAC2347">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40" w:firstLineChars="200"/>
              <w:textAlignment w:val="auto"/>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一档（6分）：有管理规章制度（岗位责任、管理维护运作制度及标准、管理人员考核制度及标准）：有内部管理架构，考核管理办法简单。</w:t>
            </w:r>
          </w:p>
          <w:p w14:paraId="2586EBE3">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40" w:firstLineChars="200"/>
              <w:textAlignment w:val="auto"/>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二档（12分）：有较完善管理规章制度（岗位责任、管理维护运作制度及标准、管理人员考核制度及标准）和内部管理架构：有日常考核表单，考核管理办法内容详细、有一定的可操作性。</w:t>
            </w:r>
          </w:p>
          <w:p w14:paraId="32FB5325">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40" w:firstLineChars="200"/>
              <w:textAlignment w:val="auto"/>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三档（18分）：有完善的管理规章制度（岗位责任、管理维护运作制度及标准、管理人员考核制度及标准）和内部管理架构：有详细的日常考核表单（管理其它项目时已使用的例表），考核管理办法内容详细、有较强的可操作性。</w:t>
            </w:r>
          </w:p>
          <w:p w14:paraId="148796B8">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42" w:firstLineChars="200"/>
              <w:textAlignment w:val="auto"/>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b/>
                <w:bCs w:val="0"/>
                <w:color w:val="auto"/>
                <w:sz w:val="22"/>
                <w:szCs w:val="22"/>
                <w:highlight w:val="none"/>
                <w:lang w:val="en-US" w:eastAsia="zh-CN"/>
              </w:rPr>
              <w:t>注：不提供方案的不得分。</w:t>
            </w:r>
          </w:p>
        </w:tc>
      </w:tr>
      <w:tr w14:paraId="13392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25" w:type="dxa"/>
            <w:vMerge w:val="continue"/>
            <w:noWrap w:val="0"/>
            <w:vAlign w:val="center"/>
          </w:tcPr>
          <w:p w14:paraId="31B3CF29">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baseline"/>
              <w:rPr>
                <w:rFonts w:hint="eastAsia" w:asciiTheme="minorEastAsia" w:hAnsiTheme="minorEastAsia" w:eastAsiaTheme="minorEastAsia" w:cstheme="minorEastAsia"/>
                <w:bCs/>
                <w:caps w:val="0"/>
                <w:smallCaps w:val="0"/>
                <w:color w:val="auto"/>
                <w:spacing w:val="0"/>
                <w:sz w:val="22"/>
                <w:szCs w:val="22"/>
                <w:highlight w:val="none"/>
              </w:rPr>
            </w:pPr>
          </w:p>
        </w:tc>
        <w:tc>
          <w:tcPr>
            <w:tcW w:w="1296" w:type="dxa"/>
            <w:vMerge w:val="continue"/>
            <w:noWrap w:val="0"/>
            <w:vAlign w:val="center"/>
          </w:tcPr>
          <w:p w14:paraId="76014AE1">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baseline"/>
              <w:rPr>
                <w:rFonts w:hint="eastAsia" w:asciiTheme="minorEastAsia" w:hAnsiTheme="minorEastAsia" w:eastAsiaTheme="minorEastAsia" w:cstheme="minorEastAsia"/>
                <w:bCs/>
                <w:caps w:val="0"/>
                <w:smallCaps w:val="0"/>
                <w:color w:val="auto"/>
                <w:spacing w:val="0"/>
                <w:sz w:val="22"/>
                <w:szCs w:val="22"/>
                <w:highlight w:val="none"/>
              </w:rPr>
            </w:pPr>
          </w:p>
        </w:tc>
        <w:tc>
          <w:tcPr>
            <w:tcW w:w="1380" w:type="dxa"/>
            <w:noWrap w:val="0"/>
            <w:vAlign w:val="center"/>
          </w:tcPr>
          <w:p w14:paraId="05998A42">
            <w:pPr>
              <w:pStyle w:val="26"/>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asciiTheme="minorEastAsia" w:hAnsiTheme="minorEastAsia" w:eastAsiaTheme="minorEastAsia" w:cstheme="minorEastAsia"/>
                <w:b w:val="0"/>
                <w:bCs w:val="0"/>
                <w:color w:val="auto"/>
                <w:sz w:val="22"/>
                <w:szCs w:val="22"/>
                <w:highlight w:val="none"/>
                <w:lang w:val="en-US" w:eastAsia="zh-CN"/>
              </w:rPr>
            </w:pPr>
            <w:r>
              <w:rPr>
                <w:rFonts w:hint="eastAsia" w:asciiTheme="minorEastAsia" w:hAnsiTheme="minorEastAsia" w:eastAsiaTheme="minorEastAsia" w:cstheme="minorEastAsia"/>
                <w:b w:val="0"/>
                <w:bCs w:val="0"/>
                <w:color w:val="auto"/>
                <w:sz w:val="22"/>
                <w:szCs w:val="22"/>
                <w:highlight w:val="none"/>
                <w:lang w:val="en-US" w:eastAsia="zh-CN"/>
              </w:rPr>
              <w:t>主要设备配备情况（满分8分）</w:t>
            </w:r>
          </w:p>
        </w:tc>
        <w:tc>
          <w:tcPr>
            <w:tcW w:w="6485" w:type="dxa"/>
            <w:noWrap w:val="0"/>
            <w:vAlign w:val="center"/>
          </w:tcPr>
          <w:p w14:paraId="4FFAF1EE">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40" w:firstLineChars="200"/>
              <w:textAlignment w:val="auto"/>
              <w:rPr>
                <w:rFonts w:hint="eastAsia" w:asciiTheme="minorEastAsia" w:hAnsiTheme="minorEastAsia" w:eastAsiaTheme="minorEastAsia" w:cstheme="minorEastAsia"/>
                <w:b w:val="0"/>
                <w:bCs w:val="0"/>
                <w:color w:val="auto"/>
                <w:sz w:val="22"/>
                <w:szCs w:val="22"/>
                <w:highlight w:val="none"/>
                <w:lang w:val="en-US" w:eastAsia="zh-CN"/>
              </w:rPr>
            </w:pPr>
            <w:r>
              <w:rPr>
                <w:rFonts w:hint="eastAsia" w:asciiTheme="minorEastAsia" w:hAnsiTheme="minorEastAsia" w:eastAsiaTheme="minorEastAsia" w:cstheme="minorEastAsia"/>
                <w:b w:val="0"/>
                <w:bCs w:val="0"/>
                <w:color w:val="auto"/>
                <w:sz w:val="22"/>
                <w:szCs w:val="22"/>
                <w:highlight w:val="none"/>
                <w:lang w:val="en-US" w:eastAsia="zh-CN"/>
              </w:rPr>
              <w:t>供应商投入环卫作业车辆为3-5台的，得3分；投入环卫作业车辆为6-8台的，得6分，投入环卫作业车辆为9台或以上的，得8分。</w:t>
            </w:r>
          </w:p>
          <w:p w14:paraId="5E2D0E75">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42" w:firstLineChars="200"/>
              <w:textAlignment w:val="auto"/>
              <w:rPr>
                <w:rFonts w:hint="eastAsia" w:asciiTheme="minorEastAsia" w:hAnsiTheme="minorEastAsia" w:eastAsiaTheme="minorEastAsia" w:cstheme="minorEastAsia"/>
                <w:b w:val="0"/>
                <w:bCs w:val="0"/>
                <w:color w:val="auto"/>
                <w:sz w:val="22"/>
                <w:szCs w:val="22"/>
                <w:highlight w:val="none"/>
                <w:lang w:val="en-US" w:eastAsia="zh-CN"/>
              </w:rPr>
            </w:pPr>
            <w:r>
              <w:rPr>
                <w:rFonts w:hint="eastAsia" w:asciiTheme="minorEastAsia" w:hAnsiTheme="minorEastAsia" w:eastAsiaTheme="minorEastAsia" w:cstheme="minorEastAsia"/>
                <w:b/>
                <w:bCs/>
                <w:color w:val="auto"/>
                <w:sz w:val="22"/>
                <w:szCs w:val="22"/>
                <w:highlight w:val="none"/>
                <w:lang w:val="en-US" w:eastAsia="zh-CN"/>
              </w:rPr>
              <w:t>注：响应文件中需同时提供①车辆购买或租赁证明文件扫描件；②车辆图片。</w:t>
            </w:r>
            <w:r>
              <w:rPr>
                <w:rFonts w:hint="eastAsia" w:asciiTheme="minorEastAsia" w:hAnsiTheme="minorEastAsia" w:eastAsiaTheme="minorEastAsia" w:cstheme="minorEastAsia"/>
                <w:b/>
                <w:bCs w:val="0"/>
                <w:caps w:val="0"/>
                <w:smallCaps w:val="0"/>
                <w:color w:val="auto"/>
                <w:spacing w:val="0"/>
                <w:kern w:val="2"/>
                <w:sz w:val="22"/>
                <w:szCs w:val="22"/>
                <w:highlight w:val="none"/>
                <w:lang w:val="en-US" w:eastAsia="zh-CN" w:bidi="ar-SA"/>
              </w:rPr>
              <w:t>加盖供应商电子公章，否则不予计分。</w:t>
            </w:r>
          </w:p>
        </w:tc>
      </w:tr>
      <w:tr w14:paraId="2C7E3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25" w:type="dxa"/>
            <w:vMerge w:val="continue"/>
            <w:noWrap w:val="0"/>
            <w:vAlign w:val="center"/>
          </w:tcPr>
          <w:p w14:paraId="43801FD4">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baseline"/>
              <w:rPr>
                <w:rFonts w:hint="eastAsia" w:asciiTheme="minorEastAsia" w:hAnsiTheme="minorEastAsia" w:eastAsiaTheme="minorEastAsia" w:cstheme="minorEastAsia"/>
                <w:bCs/>
                <w:caps w:val="0"/>
                <w:smallCaps w:val="0"/>
                <w:color w:val="auto"/>
                <w:spacing w:val="0"/>
                <w:sz w:val="22"/>
                <w:szCs w:val="22"/>
                <w:highlight w:val="none"/>
              </w:rPr>
            </w:pPr>
          </w:p>
        </w:tc>
        <w:tc>
          <w:tcPr>
            <w:tcW w:w="1296" w:type="dxa"/>
            <w:vMerge w:val="continue"/>
            <w:noWrap w:val="0"/>
            <w:vAlign w:val="center"/>
          </w:tcPr>
          <w:p w14:paraId="7C7ACA3B">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baseline"/>
              <w:rPr>
                <w:rFonts w:hint="eastAsia" w:asciiTheme="minorEastAsia" w:hAnsiTheme="minorEastAsia" w:eastAsiaTheme="minorEastAsia" w:cstheme="minorEastAsia"/>
                <w:bCs/>
                <w:caps w:val="0"/>
                <w:smallCaps w:val="0"/>
                <w:color w:val="auto"/>
                <w:spacing w:val="0"/>
                <w:sz w:val="22"/>
                <w:szCs w:val="22"/>
                <w:highlight w:val="none"/>
              </w:rPr>
            </w:pPr>
          </w:p>
        </w:tc>
        <w:tc>
          <w:tcPr>
            <w:tcW w:w="1380" w:type="dxa"/>
            <w:noWrap w:val="0"/>
            <w:vAlign w:val="center"/>
          </w:tcPr>
          <w:p w14:paraId="25F6084E">
            <w:pPr>
              <w:pStyle w:val="26"/>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asciiTheme="minorEastAsia" w:hAnsiTheme="minorEastAsia" w:eastAsiaTheme="minorEastAsia" w:cstheme="minorEastAsia"/>
                <w:b w:val="0"/>
                <w:bCs w:val="0"/>
                <w:color w:val="auto"/>
                <w:sz w:val="22"/>
                <w:szCs w:val="22"/>
                <w:highlight w:val="none"/>
                <w:lang w:val="en-US" w:eastAsia="zh-CN"/>
              </w:rPr>
            </w:pPr>
            <w:r>
              <w:rPr>
                <w:rFonts w:hint="eastAsia" w:asciiTheme="minorEastAsia" w:hAnsiTheme="minorEastAsia" w:eastAsiaTheme="minorEastAsia" w:cstheme="minorEastAsia"/>
                <w:b w:val="0"/>
                <w:bCs w:val="0"/>
                <w:color w:val="auto"/>
                <w:sz w:val="22"/>
                <w:szCs w:val="22"/>
                <w:highlight w:val="none"/>
                <w:lang w:val="en-US" w:eastAsia="zh-CN"/>
              </w:rPr>
              <w:t>卫生应急方案（满分15分）</w:t>
            </w:r>
          </w:p>
        </w:tc>
        <w:tc>
          <w:tcPr>
            <w:tcW w:w="6485" w:type="dxa"/>
            <w:noWrap w:val="0"/>
            <w:vAlign w:val="center"/>
          </w:tcPr>
          <w:p w14:paraId="23F9E11A">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40" w:firstLineChars="200"/>
              <w:jc w:val="left"/>
              <w:textAlignment w:val="auto"/>
              <w:rPr>
                <w:rFonts w:hint="eastAsia" w:asciiTheme="minorEastAsia" w:hAnsiTheme="minorEastAsia" w:eastAsiaTheme="minorEastAsia" w:cstheme="minorEastAsia"/>
                <w:bCs/>
                <w:caps w:val="0"/>
                <w:smallCaps w:val="0"/>
                <w:color w:val="auto"/>
                <w:spacing w:val="0"/>
                <w:sz w:val="22"/>
                <w:szCs w:val="22"/>
                <w:highlight w:val="none"/>
                <w:lang w:eastAsia="zh-CN"/>
              </w:rPr>
            </w:pPr>
            <w:r>
              <w:rPr>
                <w:rFonts w:hint="eastAsia" w:asciiTheme="minorEastAsia" w:hAnsiTheme="minorEastAsia" w:eastAsiaTheme="minorEastAsia" w:cstheme="minorEastAsia"/>
                <w:bCs/>
                <w:caps w:val="0"/>
                <w:smallCaps w:val="0"/>
                <w:color w:val="auto"/>
                <w:spacing w:val="0"/>
                <w:sz w:val="22"/>
                <w:szCs w:val="22"/>
                <w:highlight w:val="none"/>
                <w:lang w:eastAsia="zh-CN"/>
              </w:rPr>
              <w:t>一档（</w:t>
            </w:r>
            <w:r>
              <w:rPr>
                <w:rFonts w:hint="eastAsia" w:asciiTheme="minorEastAsia" w:hAnsiTheme="minorEastAsia" w:eastAsiaTheme="minorEastAsia" w:cstheme="minorEastAsia"/>
                <w:bCs/>
                <w:caps w:val="0"/>
                <w:smallCaps w:val="0"/>
                <w:color w:val="auto"/>
                <w:spacing w:val="0"/>
                <w:sz w:val="22"/>
                <w:szCs w:val="22"/>
                <w:highlight w:val="none"/>
                <w:lang w:val="en-US" w:eastAsia="zh-CN"/>
              </w:rPr>
              <w:t>5</w:t>
            </w:r>
            <w:r>
              <w:rPr>
                <w:rFonts w:hint="eastAsia" w:asciiTheme="minorEastAsia" w:hAnsiTheme="minorEastAsia" w:eastAsiaTheme="minorEastAsia" w:cstheme="minorEastAsia"/>
                <w:bCs/>
                <w:caps w:val="0"/>
                <w:smallCaps w:val="0"/>
                <w:color w:val="auto"/>
                <w:spacing w:val="0"/>
                <w:sz w:val="22"/>
                <w:szCs w:val="22"/>
                <w:highlight w:val="none"/>
                <w:lang w:eastAsia="zh-CN"/>
              </w:rPr>
              <w:t>分）：提供简单卫生应急方案，基本满足采购要求。</w:t>
            </w:r>
          </w:p>
          <w:p w14:paraId="5D78789D">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40" w:firstLineChars="200"/>
              <w:jc w:val="left"/>
              <w:textAlignment w:val="auto"/>
              <w:rPr>
                <w:rFonts w:hint="eastAsia" w:asciiTheme="minorEastAsia" w:hAnsiTheme="minorEastAsia" w:eastAsiaTheme="minorEastAsia" w:cstheme="minorEastAsia"/>
                <w:bCs/>
                <w:caps w:val="0"/>
                <w:smallCaps w:val="0"/>
                <w:color w:val="auto"/>
                <w:spacing w:val="0"/>
                <w:sz w:val="22"/>
                <w:szCs w:val="22"/>
                <w:highlight w:val="none"/>
                <w:lang w:eastAsia="zh-CN"/>
              </w:rPr>
            </w:pPr>
            <w:r>
              <w:rPr>
                <w:rFonts w:hint="eastAsia" w:asciiTheme="minorEastAsia" w:hAnsiTheme="minorEastAsia" w:eastAsiaTheme="minorEastAsia" w:cstheme="minorEastAsia"/>
                <w:bCs/>
                <w:caps w:val="0"/>
                <w:smallCaps w:val="0"/>
                <w:color w:val="auto"/>
                <w:spacing w:val="0"/>
                <w:sz w:val="22"/>
                <w:szCs w:val="22"/>
                <w:highlight w:val="none"/>
                <w:lang w:eastAsia="zh-CN"/>
              </w:rPr>
              <w:t>二档（</w:t>
            </w:r>
            <w:r>
              <w:rPr>
                <w:rFonts w:hint="eastAsia" w:asciiTheme="minorEastAsia" w:hAnsiTheme="minorEastAsia" w:eastAsiaTheme="minorEastAsia" w:cstheme="minorEastAsia"/>
                <w:bCs/>
                <w:caps w:val="0"/>
                <w:smallCaps w:val="0"/>
                <w:color w:val="auto"/>
                <w:spacing w:val="0"/>
                <w:sz w:val="22"/>
                <w:szCs w:val="22"/>
                <w:highlight w:val="none"/>
                <w:lang w:val="en-US" w:eastAsia="zh-CN"/>
              </w:rPr>
              <w:t>10</w:t>
            </w:r>
            <w:r>
              <w:rPr>
                <w:rFonts w:hint="eastAsia" w:asciiTheme="minorEastAsia" w:hAnsiTheme="minorEastAsia" w:eastAsiaTheme="minorEastAsia" w:cstheme="minorEastAsia"/>
                <w:bCs/>
                <w:caps w:val="0"/>
                <w:smallCaps w:val="0"/>
                <w:color w:val="auto"/>
                <w:spacing w:val="0"/>
                <w:sz w:val="22"/>
                <w:szCs w:val="22"/>
                <w:highlight w:val="none"/>
                <w:lang w:eastAsia="zh-CN"/>
              </w:rPr>
              <w:t>分）：所提供的应急服务比较全面，服务方案描述较详细，对服务措施、响应时间等有较详细描述，并且应急组负责人具有相关工作经验。</w:t>
            </w:r>
          </w:p>
          <w:p w14:paraId="7EFE821C">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40" w:firstLineChars="200"/>
              <w:jc w:val="left"/>
              <w:textAlignment w:val="auto"/>
              <w:rPr>
                <w:rFonts w:hint="eastAsia" w:asciiTheme="minorEastAsia" w:hAnsiTheme="minorEastAsia" w:eastAsiaTheme="minorEastAsia" w:cstheme="minorEastAsia"/>
                <w:bCs/>
                <w:caps w:val="0"/>
                <w:smallCaps w:val="0"/>
                <w:color w:val="auto"/>
                <w:spacing w:val="0"/>
                <w:sz w:val="22"/>
                <w:szCs w:val="22"/>
                <w:highlight w:val="none"/>
                <w:lang w:eastAsia="zh-CN"/>
              </w:rPr>
            </w:pPr>
            <w:r>
              <w:rPr>
                <w:rFonts w:hint="eastAsia" w:asciiTheme="minorEastAsia" w:hAnsiTheme="minorEastAsia" w:eastAsiaTheme="minorEastAsia" w:cstheme="minorEastAsia"/>
                <w:bCs/>
                <w:caps w:val="0"/>
                <w:smallCaps w:val="0"/>
                <w:color w:val="auto"/>
                <w:spacing w:val="0"/>
                <w:sz w:val="22"/>
                <w:szCs w:val="22"/>
                <w:highlight w:val="none"/>
                <w:lang w:eastAsia="zh-CN"/>
              </w:rPr>
              <w:t>三档（</w:t>
            </w:r>
            <w:r>
              <w:rPr>
                <w:rFonts w:hint="eastAsia" w:asciiTheme="minorEastAsia" w:hAnsiTheme="minorEastAsia" w:eastAsiaTheme="minorEastAsia" w:cstheme="minorEastAsia"/>
                <w:bCs/>
                <w:caps w:val="0"/>
                <w:smallCaps w:val="0"/>
                <w:color w:val="auto"/>
                <w:spacing w:val="0"/>
                <w:sz w:val="22"/>
                <w:szCs w:val="22"/>
                <w:highlight w:val="none"/>
                <w:lang w:val="en-US" w:eastAsia="zh-CN"/>
              </w:rPr>
              <w:t>15</w:t>
            </w:r>
            <w:r>
              <w:rPr>
                <w:rFonts w:hint="eastAsia" w:asciiTheme="minorEastAsia" w:hAnsiTheme="minorEastAsia" w:eastAsiaTheme="minorEastAsia" w:cstheme="minorEastAsia"/>
                <w:bCs/>
                <w:caps w:val="0"/>
                <w:smallCaps w:val="0"/>
                <w:color w:val="auto"/>
                <w:spacing w:val="0"/>
                <w:sz w:val="22"/>
                <w:szCs w:val="22"/>
                <w:highlight w:val="none"/>
                <w:lang w:eastAsia="zh-CN"/>
              </w:rPr>
              <w:t>分）：有相应的详细的卫生应急方案，且工作安排与现场实际情况吻合，可操作性强。应急服务方案包括电话支持、人员配备和运行机制、问题处理等方面内容。</w:t>
            </w:r>
          </w:p>
          <w:p w14:paraId="7D1AF748">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42" w:firstLineChars="200"/>
              <w:textAlignment w:val="auto"/>
              <w:rPr>
                <w:rFonts w:hint="eastAsia" w:asciiTheme="minorEastAsia" w:hAnsiTheme="minorEastAsia" w:eastAsiaTheme="minorEastAsia" w:cstheme="minorEastAsia"/>
                <w:b/>
                <w:bCs w:val="0"/>
                <w:color w:val="auto"/>
                <w:kern w:val="2"/>
                <w:sz w:val="22"/>
                <w:szCs w:val="22"/>
                <w:highlight w:val="none"/>
                <w:lang w:val="en-US" w:eastAsia="zh-CN" w:bidi="ar-SA"/>
              </w:rPr>
            </w:pPr>
            <w:r>
              <w:rPr>
                <w:rFonts w:hint="eastAsia" w:asciiTheme="minorEastAsia" w:hAnsiTheme="minorEastAsia" w:eastAsiaTheme="minorEastAsia" w:cstheme="minorEastAsia"/>
                <w:b/>
                <w:bCs w:val="0"/>
                <w:caps w:val="0"/>
                <w:smallCaps w:val="0"/>
                <w:color w:val="auto"/>
                <w:spacing w:val="0"/>
                <w:sz w:val="22"/>
                <w:szCs w:val="22"/>
                <w:highlight w:val="none"/>
              </w:rPr>
              <w:t>注：不提供</w:t>
            </w:r>
            <w:r>
              <w:rPr>
                <w:rFonts w:hint="eastAsia" w:asciiTheme="minorEastAsia" w:hAnsiTheme="minorEastAsia" w:eastAsiaTheme="minorEastAsia" w:cstheme="minorEastAsia"/>
                <w:b/>
                <w:bCs w:val="0"/>
                <w:caps w:val="0"/>
                <w:smallCaps w:val="0"/>
                <w:color w:val="auto"/>
                <w:spacing w:val="0"/>
                <w:sz w:val="22"/>
                <w:szCs w:val="22"/>
                <w:highlight w:val="none"/>
                <w:lang w:val="en-US" w:eastAsia="zh-CN"/>
              </w:rPr>
              <w:t>项目</w:t>
            </w:r>
            <w:r>
              <w:rPr>
                <w:rFonts w:hint="eastAsia" w:asciiTheme="minorEastAsia" w:hAnsiTheme="minorEastAsia" w:eastAsiaTheme="minorEastAsia" w:cstheme="minorEastAsia"/>
                <w:b/>
                <w:bCs w:val="0"/>
                <w:caps w:val="0"/>
                <w:smallCaps w:val="0"/>
                <w:color w:val="auto"/>
                <w:spacing w:val="0"/>
                <w:sz w:val="22"/>
                <w:szCs w:val="22"/>
                <w:highlight w:val="none"/>
              </w:rPr>
              <w:t>实施服务方案的不得分。</w:t>
            </w:r>
          </w:p>
        </w:tc>
      </w:tr>
      <w:tr w14:paraId="231F0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525" w:type="dxa"/>
            <w:noWrap w:val="0"/>
            <w:vAlign w:val="center"/>
          </w:tcPr>
          <w:p w14:paraId="2D5C337C">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rPr>
                <w:rFonts w:hint="eastAsia" w:asciiTheme="minorEastAsia" w:hAnsiTheme="minorEastAsia" w:eastAsiaTheme="minorEastAsia" w:cstheme="minorEastAsia"/>
                <w:bCs/>
                <w:caps w:val="0"/>
                <w:smallCaps w:val="0"/>
                <w:color w:val="auto"/>
                <w:spacing w:val="0"/>
                <w:sz w:val="22"/>
                <w:szCs w:val="22"/>
                <w:highlight w:val="none"/>
              </w:rPr>
            </w:pPr>
            <w:r>
              <w:rPr>
                <w:rFonts w:hint="eastAsia" w:asciiTheme="minorEastAsia" w:hAnsiTheme="minorEastAsia" w:eastAsiaTheme="minorEastAsia" w:cstheme="minorEastAsia"/>
                <w:bCs/>
                <w:caps w:val="0"/>
                <w:smallCaps w:val="0"/>
                <w:color w:val="auto"/>
                <w:spacing w:val="0"/>
                <w:sz w:val="22"/>
                <w:szCs w:val="22"/>
                <w:highlight w:val="none"/>
              </w:rPr>
              <w:t>3</w:t>
            </w:r>
          </w:p>
        </w:tc>
        <w:tc>
          <w:tcPr>
            <w:tcW w:w="1296" w:type="dxa"/>
            <w:noWrap w:val="0"/>
            <w:vAlign w:val="center"/>
          </w:tcPr>
          <w:p w14:paraId="2240F155">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baseline"/>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商务分</w:t>
            </w:r>
          </w:p>
          <w:p w14:paraId="70B85219">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baseline"/>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（满分8分）</w:t>
            </w:r>
          </w:p>
        </w:tc>
        <w:tc>
          <w:tcPr>
            <w:tcW w:w="1380" w:type="dxa"/>
            <w:noWrap w:val="0"/>
            <w:vAlign w:val="center"/>
          </w:tcPr>
          <w:p w14:paraId="6C8A756D">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baseline"/>
              <w:rPr>
                <w:rFonts w:hint="eastAsia" w:asciiTheme="minorEastAsia" w:hAnsiTheme="minorEastAsia" w:eastAsiaTheme="minorEastAsia" w:cstheme="minorEastAsia"/>
                <w:bCs/>
                <w:caps w:val="0"/>
                <w:smallCaps w:val="0"/>
                <w:color w:val="auto"/>
                <w:spacing w:val="0"/>
                <w:sz w:val="22"/>
                <w:szCs w:val="22"/>
                <w:highlight w:val="none"/>
                <w:u w:val="none"/>
                <w:lang w:val="en-US" w:eastAsia="zh-CN"/>
              </w:rPr>
            </w:pPr>
            <w:r>
              <w:rPr>
                <w:rFonts w:hint="eastAsia" w:asciiTheme="minorEastAsia" w:hAnsiTheme="minorEastAsia" w:eastAsiaTheme="minorEastAsia" w:cstheme="minorEastAsia"/>
                <w:bCs/>
                <w:caps w:val="0"/>
                <w:smallCaps w:val="0"/>
                <w:color w:val="auto"/>
                <w:spacing w:val="0"/>
                <w:sz w:val="22"/>
                <w:szCs w:val="22"/>
                <w:highlight w:val="none"/>
                <w:u w:val="none"/>
                <w:lang w:val="en-US" w:eastAsia="zh-CN"/>
              </w:rPr>
              <w:t>综合实力分</w:t>
            </w:r>
          </w:p>
          <w:p w14:paraId="48C79CC1">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baseline"/>
              <w:rPr>
                <w:rFonts w:hint="eastAsia" w:asciiTheme="minorEastAsia" w:hAnsiTheme="minorEastAsia" w:eastAsiaTheme="minorEastAsia" w:cstheme="minorEastAsia"/>
                <w:bCs/>
                <w:caps w:val="0"/>
                <w:smallCaps w:val="0"/>
                <w:color w:val="auto"/>
                <w:spacing w:val="0"/>
                <w:kern w:val="2"/>
                <w:sz w:val="22"/>
                <w:szCs w:val="22"/>
                <w:highlight w:val="none"/>
                <w:u w:val="none"/>
                <w:lang w:val="en-US" w:eastAsia="zh-CN" w:bidi="ar-SA"/>
              </w:rPr>
            </w:pPr>
            <w:r>
              <w:rPr>
                <w:rFonts w:hint="eastAsia" w:asciiTheme="minorEastAsia" w:hAnsiTheme="minorEastAsia" w:eastAsiaTheme="minorEastAsia" w:cstheme="minorEastAsia"/>
                <w:bCs/>
                <w:caps w:val="0"/>
                <w:smallCaps w:val="0"/>
                <w:color w:val="auto"/>
                <w:spacing w:val="0"/>
                <w:sz w:val="22"/>
                <w:szCs w:val="22"/>
                <w:highlight w:val="none"/>
                <w:u w:val="none"/>
                <w:lang w:val="en-US" w:eastAsia="zh-CN"/>
              </w:rPr>
              <w:t>（满分8分）</w:t>
            </w:r>
          </w:p>
        </w:tc>
        <w:tc>
          <w:tcPr>
            <w:tcW w:w="6485" w:type="dxa"/>
            <w:noWrap w:val="0"/>
            <w:tcMar>
              <w:left w:w="57" w:type="dxa"/>
              <w:right w:w="57" w:type="dxa"/>
            </w:tcMar>
            <w:vAlign w:val="center"/>
          </w:tcPr>
          <w:p w14:paraId="507D09B2">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42" w:firstLineChars="200"/>
              <w:textAlignment w:val="auto"/>
              <w:rPr>
                <w:rFonts w:hint="eastAsia" w:asciiTheme="minorEastAsia" w:hAnsiTheme="minorEastAsia" w:eastAsiaTheme="minorEastAsia" w:cstheme="minorEastAsia"/>
                <w:bCs/>
                <w:caps w:val="0"/>
                <w:smallCaps w:val="0"/>
                <w:color w:val="auto"/>
                <w:spacing w:val="0"/>
                <w:kern w:val="2"/>
                <w:sz w:val="22"/>
                <w:szCs w:val="22"/>
                <w:highlight w:val="none"/>
                <w:lang w:val="en-US" w:eastAsia="zh-CN" w:bidi="ar-SA"/>
              </w:rPr>
            </w:pPr>
            <w:r>
              <w:rPr>
                <w:rFonts w:hint="eastAsia" w:asciiTheme="minorEastAsia" w:hAnsiTheme="minorEastAsia" w:eastAsiaTheme="minorEastAsia" w:cstheme="minorEastAsia"/>
                <w:b/>
                <w:bCs w:val="0"/>
                <w:caps w:val="0"/>
                <w:smallCaps w:val="0"/>
                <w:color w:val="auto"/>
                <w:spacing w:val="0"/>
                <w:kern w:val="2"/>
                <w:sz w:val="22"/>
                <w:szCs w:val="22"/>
                <w:highlight w:val="none"/>
                <w:lang w:val="en-US" w:eastAsia="zh-CN" w:bidi="ar-SA"/>
              </w:rPr>
              <w:t>（1）质量保障能力（满分3分）</w:t>
            </w:r>
          </w:p>
          <w:p w14:paraId="192416F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40" w:firstLineChars="200"/>
              <w:textAlignment w:val="auto"/>
              <w:rPr>
                <w:rFonts w:hint="eastAsia" w:asciiTheme="minorEastAsia" w:hAnsiTheme="minorEastAsia" w:eastAsiaTheme="minorEastAsia" w:cstheme="minorEastAsia"/>
                <w:b w:val="0"/>
                <w:bCs/>
                <w:caps w:val="0"/>
                <w:smallCaps w:val="0"/>
                <w:color w:val="auto"/>
                <w:spacing w:val="0"/>
                <w:kern w:val="2"/>
                <w:sz w:val="22"/>
                <w:szCs w:val="22"/>
                <w:highlight w:val="none"/>
                <w:lang w:val="en-US" w:eastAsia="zh-CN" w:bidi="ar-SA"/>
              </w:rPr>
            </w:pPr>
            <w:r>
              <w:rPr>
                <w:rFonts w:hint="eastAsia" w:asciiTheme="minorEastAsia" w:hAnsiTheme="minorEastAsia" w:eastAsiaTheme="minorEastAsia" w:cstheme="minorEastAsia"/>
                <w:bCs/>
                <w:caps w:val="0"/>
                <w:smallCaps w:val="0"/>
                <w:color w:val="auto"/>
                <w:spacing w:val="0"/>
                <w:kern w:val="2"/>
                <w:sz w:val="22"/>
                <w:szCs w:val="22"/>
                <w:highlight w:val="none"/>
                <w:lang w:val="en-US" w:eastAsia="zh-CN" w:bidi="ar-SA"/>
              </w:rPr>
              <w:t>③</w:t>
            </w:r>
            <w:r>
              <w:rPr>
                <w:rFonts w:hint="eastAsia" w:asciiTheme="minorEastAsia" w:hAnsiTheme="minorEastAsia" w:eastAsiaTheme="minorEastAsia" w:cstheme="minorEastAsia"/>
                <w:bCs/>
                <w:color w:val="auto"/>
                <w:sz w:val="22"/>
                <w:szCs w:val="22"/>
                <w:highlight w:val="none"/>
                <w:lang w:val="en-US" w:eastAsia="zh-CN"/>
              </w:rPr>
              <w:t>竞标人</w:t>
            </w:r>
            <w:r>
              <w:rPr>
                <w:rFonts w:hint="eastAsia" w:asciiTheme="minorEastAsia" w:hAnsiTheme="minorEastAsia" w:eastAsiaTheme="minorEastAsia" w:cstheme="minorEastAsia"/>
                <w:bCs/>
                <w:caps w:val="0"/>
                <w:smallCaps w:val="0"/>
                <w:color w:val="auto"/>
                <w:spacing w:val="0"/>
                <w:kern w:val="2"/>
                <w:sz w:val="22"/>
                <w:szCs w:val="22"/>
                <w:highlight w:val="none"/>
                <w:lang w:val="en-US" w:eastAsia="zh-CN" w:bidi="ar-SA"/>
              </w:rPr>
              <w:t>通过质量管理体系认证、环境管理体系认证、职业健康安全管理体系认证的，每提供一项得1分，满分3分。</w:t>
            </w:r>
            <w:r>
              <w:rPr>
                <w:rFonts w:hint="eastAsia" w:asciiTheme="minorEastAsia" w:hAnsiTheme="minorEastAsia" w:eastAsiaTheme="minorEastAsia" w:cstheme="minorEastAsia"/>
                <w:b/>
                <w:bCs w:val="0"/>
                <w:caps w:val="0"/>
                <w:smallCaps w:val="0"/>
                <w:color w:val="auto"/>
                <w:spacing w:val="0"/>
                <w:kern w:val="2"/>
                <w:sz w:val="22"/>
                <w:szCs w:val="22"/>
                <w:highlight w:val="none"/>
                <w:lang w:val="en-US" w:eastAsia="zh-CN" w:bidi="ar-SA"/>
              </w:rPr>
              <w:t>（响应文件中提供在有效期内的证书扫描件并加盖供应商电子公章，否则不予计分）</w:t>
            </w:r>
          </w:p>
          <w:p w14:paraId="1271FB0D">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42" w:firstLineChars="200"/>
              <w:textAlignment w:val="auto"/>
              <w:rPr>
                <w:rFonts w:hint="eastAsia" w:asciiTheme="minorEastAsia" w:hAnsiTheme="minorEastAsia" w:eastAsiaTheme="minorEastAsia" w:cstheme="minorEastAsia"/>
                <w:b/>
                <w:bCs w:val="0"/>
                <w:caps w:val="0"/>
                <w:smallCaps w:val="0"/>
                <w:color w:val="auto"/>
                <w:spacing w:val="0"/>
                <w:kern w:val="2"/>
                <w:sz w:val="22"/>
                <w:szCs w:val="22"/>
                <w:highlight w:val="none"/>
                <w:lang w:val="en-US" w:eastAsia="zh-CN" w:bidi="ar-SA"/>
              </w:rPr>
            </w:pPr>
            <w:r>
              <w:rPr>
                <w:rFonts w:hint="eastAsia" w:asciiTheme="minorEastAsia" w:hAnsiTheme="minorEastAsia" w:eastAsiaTheme="minorEastAsia" w:cstheme="minorEastAsia"/>
                <w:b/>
                <w:bCs w:val="0"/>
                <w:caps w:val="0"/>
                <w:smallCaps w:val="0"/>
                <w:color w:val="auto"/>
                <w:spacing w:val="0"/>
                <w:kern w:val="2"/>
                <w:sz w:val="22"/>
                <w:szCs w:val="22"/>
                <w:highlight w:val="none"/>
                <w:lang w:val="en-US" w:eastAsia="zh-CN" w:bidi="ar-SA"/>
              </w:rPr>
              <w:t>（2）项目业绩经验分（满分5分）</w:t>
            </w:r>
          </w:p>
          <w:p w14:paraId="3017A155">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40" w:firstLineChars="200"/>
              <w:textAlignment w:val="auto"/>
              <w:rPr>
                <w:rFonts w:hint="eastAsia" w:asciiTheme="minorEastAsia" w:hAnsiTheme="minorEastAsia" w:eastAsiaTheme="minorEastAsia" w:cstheme="minorEastAsia"/>
                <w:bCs/>
                <w:caps w:val="0"/>
                <w:smallCaps w:val="0"/>
                <w:color w:val="auto"/>
                <w:spacing w:val="0"/>
                <w:kern w:val="2"/>
                <w:sz w:val="22"/>
                <w:szCs w:val="22"/>
                <w:highlight w:val="none"/>
                <w:lang w:val="en-US" w:eastAsia="zh-CN" w:bidi="ar-SA"/>
              </w:rPr>
            </w:pPr>
            <w:r>
              <w:rPr>
                <w:rFonts w:hint="eastAsia" w:asciiTheme="minorEastAsia" w:hAnsiTheme="minorEastAsia" w:eastAsiaTheme="minorEastAsia" w:cstheme="minorEastAsia"/>
                <w:bCs/>
                <w:color w:val="auto"/>
                <w:sz w:val="22"/>
                <w:szCs w:val="22"/>
                <w:highlight w:val="none"/>
                <w:lang w:val="en-US" w:eastAsia="zh-CN"/>
              </w:rPr>
              <w:t>竞标人</w:t>
            </w:r>
            <w:r>
              <w:rPr>
                <w:rFonts w:hint="eastAsia" w:asciiTheme="minorEastAsia" w:hAnsiTheme="minorEastAsia" w:eastAsiaTheme="minorEastAsia" w:cstheme="minorEastAsia"/>
                <w:bCs/>
                <w:caps w:val="0"/>
                <w:smallCaps w:val="0"/>
                <w:color w:val="auto"/>
                <w:spacing w:val="0"/>
                <w:kern w:val="2"/>
                <w:sz w:val="22"/>
                <w:szCs w:val="22"/>
                <w:highlight w:val="none"/>
                <w:lang w:val="en-US" w:eastAsia="zh-CN" w:bidi="ar-SA"/>
              </w:rPr>
              <w:t>提供自2022年1月1日以来的同类项目业绩</w:t>
            </w:r>
            <w:r>
              <w:rPr>
                <w:rFonts w:hint="eastAsia" w:asciiTheme="minorEastAsia" w:hAnsiTheme="minorEastAsia" w:eastAsiaTheme="minorEastAsia" w:cstheme="minorEastAsia"/>
                <w:b w:val="0"/>
                <w:bCs/>
                <w:caps w:val="0"/>
                <w:smallCaps w:val="0"/>
                <w:color w:val="auto"/>
                <w:spacing w:val="0"/>
                <w:kern w:val="2"/>
                <w:sz w:val="22"/>
                <w:szCs w:val="22"/>
                <w:highlight w:val="none"/>
                <w:lang w:val="en-US" w:eastAsia="zh-CN" w:bidi="ar-SA"/>
              </w:rPr>
              <w:t>，</w:t>
            </w:r>
            <w:r>
              <w:rPr>
                <w:rFonts w:hint="eastAsia" w:asciiTheme="minorEastAsia" w:hAnsiTheme="minorEastAsia" w:eastAsiaTheme="minorEastAsia" w:cstheme="minorEastAsia"/>
                <w:bCs/>
                <w:caps w:val="0"/>
                <w:smallCaps w:val="0"/>
                <w:color w:val="auto"/>
                <w:spacing w:val="0"/>
                <w:kern w:val="2"/>
                <w:sz w:val="22"/>
                <w:szCs w:val="22"/>
                <w:highlight w:val="none"/>
                <w:lang w:val="en-US" w:eastAsia="zh-CN" w:bidi="ar-SA"/>
              </w:rPr>
              <w:t>每提供1份完整的合同扫描件，得1分，本项最高得5分。</w:t>
            </w:r>
          </w:p>
          <w:p w14:paraId="12B47BBE">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42" w:firstLineChars="200"/>
              <w:textAlignment w:val="auto"/>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b/>
                <w:bCs w:val="0"/>
                <w:caps w:val="0"/>
                <w:smallCaps w:val="0"/>
                <w:color w:val="auto"/>
                <w:spacing w:val="0"/>
                <w:kern w:val="2"/>
                <w:sz w:val="22"/>
                <w:szCs w:val="22"/>
                <w:highlight w:val="none"/>
                <w:lang w:val="en-US" w:eastAsia="zh-CN" w:bidi="ar-SA"/>
              </w:rPr>
              <w:t>注：响应文件中提供合同扫描件且服务内容清晰并加盖供应商电子公章，否则不予计分。</w:t>
            </w:r>
          </w:p>
        </w:tc>
      </w:tr>
      <w:tr w14:paraId="1C57B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86" w:type="dxa"/>
            <w:gridSpan w:val="4"/>
            <w:noWrap w:val="0"/>
            <w:vAlign w:val="center"/>
          </w:tcPr>
          <w:p w14:paraId="16F49A71">
            <w:pPr>
              <w:pStyle w:val="16"/>
              <w:keepNext w:val="0"/>
              <w:keepLines w:val="0"/>
              <w:pageBreakBefore w:val="0"/>
              <w:widowControl w:val="0"/>
              <w:kinsoku/>
              <w:wordWrap/>
              <w:overflowPunct/>
              <w:topLinePunct w:val="0"/>
              <w:autoSpaceDE/>
              <w:autoSpaceDN/>
              <w:bidi w:val="0"/>
              <w:adjustRightInd/>
              <w:snapToGrid/>
              <w:spacing w:line="360" w:lineRule="auto"/>
              <w:ind w:left="0" w:leftChars="0" w:right="0" w:rightChars="0"/>
              <w:rPr>
                <w:rFonts w:hint="eastAsia" w:asciiTheme="minorEastAsia" w:hAnsiTheme="minorEastAsia" w:eastAsiaTheme="minorEastAsia" w:cstheme="minorEastAsia"/>
                <w:bCs/>
                <w:caps w:val="0"/>
                <w:smallCaps w:val="0"/>
                <w:color w:val="auto"/>
                <w:spacing w:val="0"/>
                <w:sz w:val="22"/>
                <w:szCs w:val="22"/>
                <w:highlight w:val="none"/>
              </w:rPr>
            </w:pPr>
            <w:r>
              <w:rPr>
                <w:rFonts w:hint="eastAsia" w:asciiTheme="minorEastAsia" w:hAnsiTheme="minorEastAsia" w:eastAsiaTheme="minorEastAsia" w:cstheme="minorEastAsia"/>
                <w:b/>
                <w:bCs/>
                <w:caps w:val="0"/>
                <w:smallCaps w:val="0"/>
                <w:color w:val="auto"/>
                <w:spacing w:val="0"/>
                <w:sz w:val="22"/>
                <w:szCs w:val="22"/>
                <w:highlight w:val="none"/>
              </w:rPr>
              <w:t>总得分=1+2+3。</w:t>
            </w:r>
          </w:p>
        </w:tc>
      </w:tr>
    </w:tbl>
    <w:p w14:paraId="2212FC81">
      <w:pPr>
        <w:spacing w:line="360" w:lineRule="auto"/>
        <w:ind w:firstLine="420" w:firstLineChars="200"/>
        <w:rPr>
          <w:rFonts w:hint="eastAsia" w:ascii="宋体" w:hAnsi="宋体" w:eastAsia="宋体" w:cs="宋体"/>
          <w:color w:val="auto"/>
          <w:highlight w:val="none"/>
        </w:rPr>
      </w:pPr>
      <w:bookmarkStart w:id="52" w:name="_Toc80205935"/>
      <w:bookmarkStart w:id="53" w:name="_Toc91258508"/>
      <w:r>
        <w:rPr>
          <w:rFonts w:hint="eastAsia" w:ascii="宋体" w:hAnsi="宋体" w:eastAsia="宋体" w:cs="宋体"/>
          <w:color w:val="auto"/>
          <w:highlight w:val="none"/>
        </w:rPr>
        <w:t>8.2商务技术评审因素为客观评分项的，应在评分项目或评分标准中予以标注为“客观分”。对供应商的客观评分项目，各评审专家评分应当一致。</w:t>
      </w:r>
    </w:p>
    <w:p w14:paraId="1A538B36">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8</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.终止竞争性磋商采购活动</w:t>
      </w:r>
    </w:p>
    <w:p w14:paraId="504D542A">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磋商小组发现竞争性磋商文件存在歧义、重大缺陷导致评审工作无法进行，或者竞争性磋商文件内容违反国家有关规定的，要停止评审工作并向采购人或采购代理机构书面说明情况，采购人或采购代理机构应当修改竞争性磋商文件后重新组织采购活动；发现供应商提供虚假材料、串通等违法违规行为的，要及时向采购人或采购代理机构报告。</w:t>
      </w:r>
    </w:p>
    <w:p w14:paraId="1FD0A7AF">
      <w:pPr>
        <w:keepNext/>
        <w:keepLines/>
        <w:spacing w:line="360" w:lineRule="auto"/>
        <w:jc w:val="center"/>
        <w:outlineLvl w:val="1"/>
        <w:rPr>
          <w:rFonts w:hint="eastAsia" w:ascii="宋体" w:hAnsi="宋体" w:eastAsia="宋体" w:cs="宋体"/>
          <w:bCs/>
          <w:color w:val="auto"/>
          <w:sz w:val="32"/>
          <w:szCs w:val="32"/>
          <w:highlight w:val="none"/>
        </w:rPr>
      </w:pPr>
      <w:bookmarkStart w:id="54" w:name="_Toc14052"/>
      <w:r>
        <w:rPr>
          <w:rFonts w:hint="eastAsia" w:ascii="宋体" w:hAnsi="宋体" w:eastAsia="宋体" w:cs="宋体"/>
          <w:bCs/>
          <w:color w:val="auto"/>
          <w:sz w:val="32"/>
          <w:szCs w:val="32"/>
          <w:highlight w:val="none"/>
        </w:rPr>
        <w:t>第二节 评标报告</w:t>
      </w:r>
      <w:bookmarkEnd w:id="52"/>
      <w:bookmarkEnd w:id="54"/>
    </w:p>
    <w:p w14:paraId="5783D11C">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1.成交标准</w:t>
      </w:r>
    </w:p>
    <w:p w14:paraId="64DCF2D2">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由磋商小组根据综合评分情况，按照评审得分由高到低顺序推荐3名以上成交候选供应商</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并在线编写电子评审报告</w:t>
      </w:r>
      <w:r>
        <w:rPr>
          <w:rFonts w:hint="eastAsia" w:ascii="宋体" w:hAnsi="宋体" w:eastAsia="宋体" w:cs="宋体"/>
          <w:bCs/>
          <w:color w:val="auto"/>
          <w:szCs w:val="21"/>
          <w:highlight w:val="none"/>
        </w:rPr>
        <w:t>。符合本章第一节第5.3条情形的，可以推荐2家成交候选供应商。评审得分相同的，按照最后报价（不计算价格折扣）由低到高的顺序推荐。评审得分且最后报价（不计算价格折扣）相同的，按照技术指标优劣顺序推荐（按技术得分由高到低排序，技术得分相同的按照服务需求偏离分由高到低排序）。评审得分、最后报价（不计算价格折扣）、技术得分、服务需求偏离分均相同的，由磋商小组随机抽取推荐。</w:t>
      </w:r>
    </w:p>
    <w:p w14:paraId="1ED34715">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2.评标争议事项处理</w:t>
      </w:r>
    </w:p>
    <w:p w14:paraId="209090DB">
      <w:pPr>
        <w:adjustRightIn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磋商小组成员对需要共同认定的事项存在争议的，应当按照少数服从多数的原则作出结论。持不同意见的磋商小组成员应当在评标报告上签署不同意见及理由，否则视为同意评标报告。</w:t>
      </w:r>
    </w:p>
    <w:p w14:paraId="367C7DD1">
      <w:pPr>
        <w:keepNext/>
        <w:keepLines/>
        <w:spacing w:line="360" w:lineRule="auto"/>
        <w:jc w:val="center"/>
        <w:outlineLvl w:val="1"/>
        <w:rPr>
          <w:rFonts w:hint="eastAsia" w:ascii="宋体" w:hAnsi="宋体" w:eastAsia="宋体" w:cs="宋体"/>
          <w:bCs/>
          <w:color w:val="auto"/>
          <w:sz w:val="32"/>
          <w:szCs w:val="32"/>
          <w:highlight w:val="none"/>
        </w:rPr>
      </w:pPr>
      <w:bookmarkStart w:id="55" w:name="_Toc80205936"/>
      <w:bookmarkStart w:id="56" w:name="_Toc13089"/>
      <w:r>
        <w:rPr>
          <w:rFonts w:hint="eastAsia" w:ascii="宋体" w:hAnsi="宋体" w:eastAsia="宋体" w:cs="宋体"/>
          <w:bCs/>
          <w:color w:val="auto"/>
          <w:sz w:val="32"/>
          <w:szCs w:val="32"/>
          <w:highlight w:val="none"/>
        </w:rPr>
        <w:t>第三节 评审过程的保密与录像</w:t>
      </w:r>
      <w:bookmarkEnd w:id="55"/>
      <w:bookmarkEnd w:id="56"/>
    </w:p>
    <w:p w14:paraId="14E17667">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1.保密</w:t>
      </w:r>
    </w:p>
    <w:p w14:paraId="7EA943C6">
      <w:pPr>
        <w:widowControl/>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评审活动在严格保密的情况下进行。评审过程中凡是与采购响应文件评审和比较、中标成交供应商推荐等评审有关的情况，以及涉及国家秘密和商业秘密等信息，评审委员会成员、采购人和采购机构工作人员、相关监督人员等与评审有关的人员应当予以保密。</w:t>
      </w:r>
    </w:p>
    <w:p w14:paraId="73F0FA8F">
      <w:pPr>
        <w:adjustRightInd w:val="0"/>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sz w:val="24"/>
          <w:szCs w:val="32"/>
          <w:highlight w:val="none"/>
        </w:rPr>
        <w:t>2.录音录像</w:t>
      </w:r>
    </w:p>
    <w:p w14:paraId="7CDFFB89">
      <w:pPr>
        <w:adjustRightIn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采购代理机构对评审工作现场及操作屏幕进行全过程录音录像，录音录像资料作为采购项目文件随其他文件一并存档。</w:t>
      </w:r>
    </w:p>
    <w:p w14:paraId="0AE11B85">
      <w:pPr>
        <w:rPr>
          <w:rFonts w:hint="eastAsia"/>
          <w:highlight w:val="none"/>
        </w:rPr>
      </w:pPr>
      <w:r>
        <w:rPr>
          <w:rFonts w:hint="eastAsia" w:ascii="宋体" w:hAnsi="宋体" w:eastAsia="宋体" w:cs="宋体"/>
          <w:bCs/>
          <w:color w:val="auto"/>
          <w:kern w:val="2"/>
          <w:szCs w:val="24"/>
          <w:highlight w:val="none"/>
          <w:lang w:val="en-US" w:eastAsia="zh-CN" w:bidi="ar-SA"/>
        </w:rPr>
        <w:br w:type="page"/>
      </w:r>
      <w:bookmarkEnd w:id="53"/>
    </w:p>
    <w:p w14:paraId="6F79E01A">
      <w:pPr>
        <w:keepNext/>
        <w:keepLines/>
        <w:numPr>
          <w:ilvl w:val="0"/>
          <w:numId w:val="1"/>
        </w:numPr>
        <w:spacing w:before="340" w:after="330" w:line="578" w:lineRule="auto"/>
        <w:jc w:val="center"/>
        <w:outlineLvl w:val="0"/>
        <w:rPr>
          <w:rFonts w:hint="eastAsia" w:ascii="宋体" w:hAnsi="宋体" w:eastAsia="宋体" w:cs="宋体"/>
          <w:b/>
          <w:bCs/>
          <w:color w:val="auto"/>
          <w:kern w:val="44"/>
          <w:sz w:val="32"/>
          <w:szCs w:val="32"/>
          <w:highlight w:val="none"/>
        </w:rPr>
      </w:pPr>
      <w:bookmarkStart w:id="57" w:name="_Toc26450"/>
      <w:r>
        <w:rPr>
          <w:rFonts w:hint="eastAsia" w:ascii="宋体" w:hAnsi="宋体" w:eastAsia="宋体" w:cs="宋体"/>
          <w:b/>
          <w:bCs/>
          <w:color w:val="auto"/>
          <w:kern w:val="44"/>
          <w:sz w:val="32"/>
          <w:szCs w:val="32"/>
          <w:highlight w:val="none"/>
        </w:rPr>
        <w:t>响应文件格式</w:t>
      </w:r>
      <w:bookmarkEnd w:id="57"/>
    </w:p>
    <w:p w14:paraId="4DDEDD7E">
      <w:pPr>
        <w:keepNext/>
        <w:keepLines/>
        <w:spacing w:before="260" w:after="260" w:line="416" w:lineRule="auto"/>
        <w:jc w:val="center"/>
        <w:outlineLvl w:val="1"/>
        <w:rPr>
          <w:rFonts w:hint="eastAsia" w:ascii="宋体" w:hAnsi="宋体" w:eastAsia="宋体" w:cs="宋体"/>
          <w:bCs/>
          <w:color w:val="auto"/>
          <w:sz w:val="32"/>
          <w:szCs w:val="32"/>
          <w:highlight w:val="none"/>
        </w:rPr>
      </w:pPr>
      <w:r>
        <w:rPr>
          <w:rFonts w:hint="eastAsia" w:ascii="宋体" w:hAnsi="宋体" w:eastAsia="宋体" w:cs="宋体"/>
          <w:b/>
          <w:bCs w:val="0"/>
          <w:color w:val="auto"/>
          <w:sz w:val="32"/>
          <w:szCs w:val="32"/>
          <w:highlight w:val="none"/>
        </w:rPr>
        <w:t>响应文件封面格式</w:t>
      </w:r>
    </w:p>
    <w:p w14:paraId="08D782A5">
      <w:pPr>
        <w:shd w:val="clear" w:color="auto" w:fill="auto"/>
        <w:snapToGrid w:val="0"/>
        <w:spacing w:before="158" w:beforeLines="50" w:after="50"/>
        <w:jc w:val="right"/>
        <w:rPr>
          <w:rFonts w:hint="eastAsia" w:ascii="宋体" w:hAnsi="宋体" w:eastAsia="宋体" w:cs="宋体"/>
          <w:bCs/>
          <w:color w:val="000000"/>
          <w:sz w:val="32"/>
          <w:szCs w:val="20"/>
          <w:highlight w:val="none"/>
        </w:rPr>
      </w:pPr>
      <w:r>
        <w:rPr>
          <w:rFonts w:hint="eastAsia" w:ascii="宋体" w:hAnsi="宋体" w:eastAsia="宋体" w:cs="宋体"/>
          <w:bCs/>
          <w:color w:val="000000"/>
          <w:sz w:val="24"/>
          <w:szCs w:val="32"/>
          <w:highlight w:val="none"/>
        </w:rPr>
        <w:t>全流程电子文件</w:t>
      </w:r>
    </w:p>
    <w:p w14:paraId="39A8E5B8">
      <w:pPr>
        <w:shd w:val="clear" w:color="auto" w:fill="auto"/>
        <w:snapToGrid w:val="0"/>
        <w:spacing w:before="158" w:beforeLines="50" w:after="50"/>
        <w:rPr>
          <w:rFonts w:hint="eastAsia" w:ascii="宋体" w:hAnsi="宋体" w:eastAsia="宋体" w:cs="宋体"/>
          <w:color w:val="000000"/>
          <w:sz w:val="24"/>
          <w:szCs w:val="20"/>
          <w:highlight w:val="none"/>
        </w:rPr>
      </w:pPr>
    </w:p>
    <w:p w14:paraId="6C3F52F9">
      <w:pPr>
        <w:shd w:val="clear" w:color="auto" w:fill="auto"/>
        <w:snapToGrid w:val="0"/>
        <w:spacing w:before="158" w:beforeLines="50" w:after="50"/>
        <w:rPr>
          <w:rFonts w:hint="eastAsia" w:ascii="宋体" w:hAnsi="宋体" w:eastAsia="宋体" w:cs="宋体"/>
          <w:color w:val="000000"/>
          <w:sz w:val="24"/>
          <w:szCs w:val="20"/>
          <w:highlight w:val="none"/>
        </w:rPr>
      </w:pPr>
    </w:p>
    <w:p w14:paraId="068FAD7E">
      <w:pPr>
        <w:shd w:val="clear" w:color="auto" w:fill="auto"/>
        <w:snapToGrid w:val="0"/>
        <w:spacing w:before="158" w:beforeLines="50" w:after="50"/>
        <w:rPr>
          <w:rFonts w:hint="eastAsia" w:ascii="宋体" w:hAnsi="宋体" w:eastAsia="宋体" w:cs="宋体"/>
          <w:color w:val="000000"/>
          <w:sz w:val="24"/>
          <w:szCs w:val="20"/>
          <w:highlight w:val="none"/>
        </w:rPr>
      </w:pPr>
    </w:p>
    <w:p w14:paraId="4985E1A5">
      <w:pPr>
        <w:shd w:val="clear" w:color="auto" w:fill="auto"/>
        <w:snapToGrid w:val="0"/>
        <w:spacing w:before="158" w:beforeLines="50" w:after="50"/>
        <w:rPr>
          <w:rFonts w:hint="eastAsia" w:ascii="宋体" w:hAnsi="宋体" w:eastAsia="宋体" w:cs="宋体"/>
          <w:color w:val="000000"/>
          <w:sz w:val="24"/>
          <w:szCs w:val="20"/>
          <w:highlight w:val="none"/>
        </w:rPr>
      </w:pPr>
    </w:p>
    <w:p w14:paraId="6DF757CE">
      <w:pPr>
        <w:shd w:val="clear" w:color="auto" w:fill="auto"/>
        <w:snapToGrid w:val="0"/>
        <w:spacing w:before="158" w:beforeLines="50" w:after="50"/>
        <w:rPr>
          <w:rFonts w:hint="eastAsia" w:ascii="宋体" w:hAnsi="宋体" w:eastAsia="宋体" w:cs="宋体"/>
          <w:color w:val="000000"/>
          <w:sz w:val="24"/>
          <w:szCs w:val="20"/>
          <w:highlight w:val="none"/>
        </w:rPr>
      </w:pPr>
    </w:p>
    <w:p w14:paraId="271B9F88">
      <w:pPr>
        <w:shd w:val="clear" w:color="auto" w:fill="auto"/>
        <w:snapToGrid w:val="0"/>
        <w:spacing w:before="158" w:beforeLines="50" w:after="50"/>
        <w:jc w:val="center"/>
        <w:rPr>
          <w:rFonts w:hint="eastAsia" w:ascii="宋体" w:hAnsi="宋体" w:eastAsia="宋体" w:cs="宋体"/>
          <w:bCs/>
          <w:color w:val="000000"/>
          <w:sz w:val="44"/>
          <w:szCs w:val="44"/>
          <w:highlight w:val="none"/>
        </w:rPr>
      </w:pPr>
      <w:r>
        <w:rPr>
          <w:rFonts w:hint="eastAsia" w:ascii="宋体" w:hAnsi="宋体" w:eastAsia="宋体" w:cs="宋体"/>
          <w:bCs/>
          <w:color w:val="000000"/>
          <w:sz w:val="44"/>
          <w:szCs w:val="44"/>
          <w:highlight w:val="none"/>
        </w:rPr>
        <w:t>资格证明文件\商务技术文件\报价文件</w:t>
      </w:r>
    </w:p>
    <w:p w14:paraId="322F71D7">
      <w:pPr>
        <w:snapToGrid w:val="0"/>
        <w:spacing w:before="120" w:beforeLines="50" w:after="50"/>
        <w:rPr>
          <w:rFonts w:hint="eastAsia" w:ascii="宋体" w:hAnsi="宋体" w:eastAsia="宋体" w:cs="宋体"/>
          <w:bCs/>
          <w:color w:val="auto"/>
          <w:sz w:val="24"/>
          <w:szCs w:val="20"/>
          <w:highlight w:val="none"/>
        </w:rPr>
      </w:pPr>
    </w:p>
    <w:p w14:paraId="38EE5158">
      <w:pPr>
        <w:snapToGrid w:val="0"/>
        <w:spacing w:before="120" w:beforeLines="50" w:after="50"/>
        <w:rPr>
          <w:rFonts w:hint="eastAsia" w:ascii="宋体" w:hAnsi="宋体" w:eastAsia="宋体" w:cs="宋体"/>
          <w:bCs/>
          <w:color w:val="auto"/>
          <w:sz w:val="24"/>
          <w:szCs w:val="20"/>
          <w:highlight w:val="none"/>
        </w:rPr>
      </w:pPr>
    </w:p>
    <w:p w14:paraId="70C2DA2E">
      <w:pPr>
        <w:snapToGrid w:val="0"/>
        <w:spacing w:before="120" w:beforeLines="50" w:after="50"/>
        <w:rPr>
          <w:rFonts w:hint="eastAsia" w:ascii="宋体" w:hAnsi="宋体" w:eastAsia="宋体" w:cs="宋体"/>
          <w:bCs/>
          <w:color w:val="auto"/>
          <w:sz w:val="32"/>
          <w:szCs w:val="32"/>
          <w:highlight w:val="none"/>
        </w:rPr>
      </w:pPr>
    </w:p>
    <w:p w14:paraId="54FF41A6">
      <w:pPr>
        <w:snapToGrid w:val="0"/>
        <w:spacing w:before="120" w:beforeLines="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项目名称：</w:t>
      </w:r>
    </w:p>
    <w:p w14:paraId="5BB69FDE">
      <w:pPr>
        <w:snapToGrid w:val="0"/>
        <w:spacing w:before="120" w:beforeLines="50" w:after="50"/>
        <w:ind w:firstLine="480" w:firstLineChars="150"/>
        <w:rPr>
          <w:rFonts w:hint="eastAsia" w:ascii="宋体" w:hAnsi="宋体" w:eastAsia="宋体" w:cs="宋体"/>
          <w:bCs/>
          <w:color w:val="auto"/>
          <w:sz w:val="32"/>
          <w:szCs w:val="32"/>
          <w:highlight w:val="none"/>
        </w:rPr>
      </w:pPr>
    </w:p>
    <w:p w14:paraId="59F45DC8">
      <w:pPr>
        <w:snapToGrid w:val="0"/>
        <w:spacing w:before="120" w:beforeLines="50" w:after="50"/>
        <w:ind w:firstLine="640" w:firstLineChars="200"/>
        <w:rPr>
          <w:rFonts w:hint="eastAsia" w:ascii="宋体" w:hAnsi="宋体" w:eastAsia="宋体" w:cs="宋体"/>
          <w:bCs/>
          <w:color w:val="000000"/>
          <w:sz w:val="32"/>
          <w:szCs w:val="32"/>
          <w:highlight w:val="none"/>
        </w:rPr>
      </w:pPr>
      <w:r>
        <w:rPr>
          <w:rFonts w:hint="eastAsia" w:ascii="宋体" w:hAnsi="宋体" w:eastAsia="宋体" w:cs="宋体"/>
          <w:bCs/>
          <w:color w:val="auto"/>
          <w:sz w:val="32"/>
          <w:szCs w:val="32"/>
          <w:highlight w:val="none"/>
        </w:rPr>
        <w:t>项目编号：</w:t>
      </w:r>
    </w:p>
    <w:p w14:paraId="36FC9EDE">
      <w:pPr>
        <w:snapToGrid w:val="0"/>
        <w:spacing w:before="120" w:beforeLines="50" w:after="50"/>
        <w:rPr>
          <w:rFonts w:hint="eastAsia" w:ascii="宋体" w:hAnsi="宋体" w:eastAsia="宋体" w:cs="宋体"/>
          <w:bCs/>
          <w:color w:val="auto"/>
          <w:sz w:val="32"/>
          <w:szCs w:val="32"/>
          <w:highlight w:val="none"/>
        </w:rPr>
      </w:pPr>
    </w:p>
    <w:p w14:paraId="2298AEC7">
      <w:pPr>
        <w:snapToGrid w:val="0"/>
        <w:spacing w:before="120" w:beforeLines="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供应商名称：</w:t>
      </w:r>
    </w:p>
    <w:p w14:paraId="7C02DD34">
      <w:pPr>
        <w:snapToGrid w:val="0"/>
        <w:spacing w:before="120" w:beforeLines="50" w:after="50"/>
        <w:rPr>
          <w:rFonts w:hint="eastAsia" w:ascii="宋体" w:hAnsi="宋体" w:eastAsia="宋体" w:cs="宋体"/>
          <w:bCs/>
          <w:color w:val="auto"/>
          <w:sz w:val="32"/>
          <w:szCs w:val="32"/>
          <w:highlight w:val="none"/>
        </w:rPr>
      </w:pPr>
    </w:p>
    <w:p w14:paraId="49AEDE97">
      <w:pPr>
        <w:snapToGrid w:val="0"/>
        <w:spacing w:before="120" w:beforeLines="50" w:after="50"/>
        <w:ind w:firstLine="480" w:firstLineChars="150"/>
        <w:jc w:val="center"/>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首次响应文件提交截止时间前不得解密</w:t>
      </w:r>
    </w:p>
    <w:p w14:paraId="29889E86">
      <w:pPr>
        <w:snapToGrid w:val="0"/>
        <w:spacing w:before="120" w:beforeLines="50" w:after="50"/>
        <w:ind w:firstLine="5440" w:firstLineChars="1700"/>
        <w:jc w:val="center"/>
        <w:rPr>
          <w:rFonts w:hint="eastAsia" w:ascii="宋体" w:hAnsi="宋体" w:eastAsia="宋体" w:cs="宋体"/>
          <w:bCs/>
          <w:color w:val="auto"/>
          <w:sz w:val="32"/>
          <w:szCs w:val="32"/>
          <w:highlight w:val="none"/>
        </w:rPr>
      </w:pPr>
    </w:p>
    <w:p w14:paraId="4E8991A5">
      <w:pPr>
        <w:snapToGrid w:val="0"/>
        <w:spacing w:before="120" w:beforeLines="50" w:after="50"/>
        <w:ind w:firstLine="645"/>
        <w:jc w:val="center"/>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年    月    日</w:t>
      </w:r>
    </w:p>
    <w:p w14:paraId="469C72CF">
      <w:pPr>
        <w:rPr>
          <w:rFonts w:hint="eastAsia" w:ascii="宋体" w:hAnsi="宋体" w:eastAsia="宋体" w:cs="宋体"/>
          <w:b/>
          <w:bCs w:val="0"/>
          <w:caps w:val="0"/>
          <w:smallCaps w:val="0"/>
          <w:color w:val="auto"/>
          <w:spacing w:val="0"/>
          <w:kern w:val="2"/>
          <w:sz w:val="30"/>
          <w:szCs w:val="30"/>
          <w:highlight w:val="none"/>
          <w:lang w:val="en-US" w:eastAsia="zh-CN"/>
        </w:rPr>
      </w:pPr>
      <w:r>
        <w:rPr>
          <w:rFonts w:hint="eastAsia" w:ascii="宋体" w:hAnsi="宋体" w:eastAsia="宋体" w:cs="宋体"/>
          <w:color w:val="auto"/>
          <w:highlight w:val="none"/>
        </w:rPr>
        <w:br w:type="page"/>
      </w:r>
    </w:p>
    <w:p w14:paraId="0B274B1C">
      <w:pPr>
        <w:shd w:val="clear" w:color="auto" w:fill="auto"/>
        <w:snapToGrid w:val="0"/>
        <w:spacing w:line="360" w:lineRule="auto"/>
        <w:ind w:right="480"/>
        <w:jc w:val="center"/>
        <w:rPr>
          <w:rFonts w:hint="eastAsia" w:ascii="宋体" w:hAnsi="宋体" w:eastAsia="宋体" w:cs="宋体"/>
          <w:b/>
          <w:color w:val="auto"/>
          <w:kern w:val="2"/>
          <w:sz w:val="30"/>
          <w:szCs w:val="30"/>
          <w:highlight w:val="none"/>
          <w:lang w:eastAsia="zh-CN"/>
        </w:rPr>
      </w:pPr>
      <w:r>
        <w:rPr>
          <w:rFonts w:hint="eastAsia" w:ascii="宋体" w:hAnsi="宋体" w:cs="宋体"/>
          <w:b/>
          <w:color w:val="auto"/>
          <w:sz w:val="30"/>
          <w:szCs w:val="30"/>
          <w:highlight w:val="none"/>
          <w:lang w:eastAsia="zh-CN"/>
        </w:rPr>
        <w:t>政府采购供应商资格信用承诺函</w:t>
      </w:r>
    </w:p>
    <w:p w14:paraId="7F98A186">
      <w:pPr>
        <w:snapToGrid w:val="0"/>
        <w:spacing w:line="360" w:lineRule="auto"/>
        <w:ind w:firstLine="480" w:firstLineChars="200"/>
        <w:rPr>
          <w:rFonts w:hint="eastAsia" w:ascii="宋体" w:hAnsi="宋体" w:eastAsia="宋体" w:cs="宋体"/>
          <w:color w:val="auto"/>
          <w:sz w:val="24"/>
          <w:highlight w:val="none"/>
        </w:rPr>
      </w:pPr>
    </w:p>
    <w:p w14:paraId="38E1F59A">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致：</w:t>
      </w:r>
      <w:r>
        <w:rPr>
          <w:rFonts w:hint="eastAsia" w:ascii="宋体" w:hAnsi="宋体" w:cs="宋体"/>
          <w:color w:val="auto"/>
          <w:spacing w:val="6"/>
          <w:sz w:val="24"/>
          <w:highlight w:val="none"/>
          <w:u w:val="single"/>
          <w:lang w:val="en-US" w:eastAsia="zh-CN"/>
        </w:rPr>
        <w:t>柳城县东泉镇人民政府</w:t>
      </w:r>
      <w:r>
        <w:rPr>
          <w:rFonts w:hint="eastAsia" w:ascii="宋体" w:hAnsi="宋体" w:eastAsia="宋体" w:cs="宋体"/>
          <w:color w:val="auto"/>
          <w:spacing w:val="6"/>
          <w:sz w:val="24"/>
          <w:highlight w:val="none"/>
          <w:u w:val="single"/>
        </w:rPr>
        <w:t>、</w:t>
      </w:r>
      <w:r>
        <w:rPr>
          <w:rFonts w:hint="eastAsia" w:ascii="宋体" w:hAnsi="宋体" w:cs="宋体"/>
          <w:color w:val="auto"/>
          <w:spacing w:val="6"/>
          <w:sz w:val="24"/>
          <w:highlight w:val="none"/>
          <w:u w:val="single"/>
          <w:lang w:eastAsia="zh-CN"/>
        </w:rPr>
        <w:t>广西桂工建设管理咨询有限公司</w:t>
      </w:r>
      <w:r>
        <w:rPr>
          <w:rFonts w:hint="eastAsia" w:ascii="宋体" w:hAnsi="宋体" w:eastAsia="宋体" w:cs="宋体"/>
          <w:color w:val="auto"/>
          <w:spacing w:val="6"/>
          <w:sz w:val="24"/>
          <w:highlight w:val="none"/>
        </w:rPr>
        <w:t>：</w:t>
      </w:r>
    </w:p>
    <w:p w14:paraId="398DEF46">
      <w:pPr>
        <w:keepNext w:val="0"/>
        <w:keepLines w:val="0"/>
        <w:pageBreakBefore w:val="0"/>
        <w:widowControl w:val="0"/>
        <w:kinsoku/>
        <w:wordWrap/>
        <w:overflowPunct/>
        <w:topLinePunct w:val="0"/>
        <w:autoSpaceDE w:val="0"/>
        <w:autoSpaceDN w:val="0"/>
        <w:bidi w:val="0"/>
        <w:adjustRightInd w:val="0"/>
        <w:snapToGrid/>
        <w:spacing w:line="360" w:lineRule="auto"/>
        <w:ind w:left="239" w:leftChars="114" w:firstLine="514" w:firstLineChars="204"/>
        <w:textAlignment w:val="auto"/>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我方自愿参加</w:t>
      </w:r>
      <w:r>
        <w:rPr>
          <w:rFonts w:hint="eastAsia" w:ascii="宋体" w:hAnsi="宋体" w:eastAsia="宋体" w:cs="宋体"/>
          <w:color w:val="auto"/>
          <w:spacing w:val="6"/>
          <w:sz w:val="24"/>
          <w:highlight w:val="none"/>
          <w:u w:val="single"/>
        </w:rPr>
        <w:t xml:space="preserve">                       </w:t>
      </w:r>
      <w:r>
        <w:rPr>
          <w:rFonts w:hint="eastAsia" w:ascii="宋体" w:hAnsi="宋体" w:eastAsia="宋体" w:cs="宋体"/>
          <w:color w:val="auto"/>
          <w:spacing w:val="6"/>
          <w:sz w:val="24"/>
          <w:highlight w:val="none"/>
        </w:rPr>
        <w:t>项目（</w:t>
      </w:r>
      <w:r>
        <w:rPr>
          <w:rFonts w:hint="eastAsia" w:ascii="宋体" w:hAnsi="宋体" w:cs="宋体"/>
          <w:color w:val="auto"/>
          <w:spacing w:val="6"/>
          <w:sz w:val="24"/>
          <w:highlight w:val="none"/>
          <w:lang w:eastAsia="zh-CN"/>
        </w:rPr>
        <w:t>项目编号：</w:t>
      </w:r>
      <w:r>
        <w:rPr>
          <w:rFonts w:hint="eastAsia" w:ascii="宋体" w:hAnsi="宋体" w:cs="宋体"/>
          <w:color w:val="auto"/>
          <w:spacing w:val="6"/>
          <w:sz w:val="24"/>
          <w:highlight w:val="none"/>
          <w:u w:val="single"/>
          <w:lang w:val="en-US" w:eastAsia="zh-CN"/>
        </w:rPr>
        <w:t xml:space="preserve">            </w:t>
      </w:r>
      <w:r>
        <w:rPr>
          <w:rFonts w:hint="eastAsia" w:ascii="宋体" w:hAnsi="宋体" w:eastAsia="宋体" w:cs="宋体"/>
          <w:color w:val="auto"/>
          <w:spacing w:val="6"/>
          <w:sz w:val="24"/>
          <w:highlight w:val="none"/>
        </w:rPr>
        <w:t xml:space="preserve">）的政府采购活动，并郑重承诺我方符合《中华人民共和国政府采购法》第二十二条规定的条件： </w:t>
      </w:r>
    </w:p>
    <w:p w14:paraId="52D36DFA">
      <w:pPr>
        <w:keepNext w:val="0"/>
        <w:keepLines w:val="0"/>
        <w:pageBreakBefore w:val="0"/>
        <w:widowControl w:val="0"/>
        <w:kinsoku/>
        <w:wordWrap/>
        <w:overflowPunct/>
        <w:topLinePunct w:val="0"/>
        <w:autoSpaceDE w:val="0"/>
        <w:autoSpaceDN w:val="0"/>
        <w:bidi w:val="0"/>
        <w:adjustRightInd w:val="0"/>
        <w:snapToGrid/>
        <w:spacing w:line="360" w:lineRule="auto"/>
        <w:ind w:firstLine="640"/>
        <w:textAlignment w:val="auto"/>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 xml:space="preserve">（一）具有独立承担民事责任的能力； </w:t>
      </w:r>
    </w:p>
    <w:p w14:paraId="2673C84F">
      <w:pPr>
        <w:keepNext w:val="0"/>
        <w:keepLines w:val="0"/>
        <w:pageBreakBefore w:val="0"/>
        <w:widowControl w:val="0"/>
        <w:kinsoku/>
        <w:wordWrap/>
        <w:overflowPunct/>
        <w:topLinePunct w:val="0"/>
        <w:autoSpaceDE w:val="0"/>
        <w:autoSpaceDN w:val="0"/>
        <w:bidi w:val="0"/>
        <w:adjustRightInd w:val="0"/>
        <w:snapToGrid/>
        <w:spacing w:line="360" w:lineRule="auto"/>
        <w:ind w:firstLine="640"/>
        <w:textAlignment w:val="auto"/>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 xml:space="preserve">（二）具有良好的商业信誉和健全的财务会计制度； </w:t>
      </w:r>
    </w:p>
    <w:p w14:paraId="2A0979D7">
      <w:pPr>
        <w:keepNext w:val="0"/>
        <w:keepLines w:val="0"/>
        <w:pageBreakBefore w:val="0"/>
        <w:widowControl w:val="0"/>
        <w:kinsoku/>
        <w:wordWrap/>
        <w:overflowPunct/>
        <w:topLinePunct w:val="0"/>
        <w:autoSpaceDE w:val="0"/>
        <w:autoSpaceDN w:val="0"/>
        <w:bidi w:val="0"/>
        <w:adjustRightInd w:val="0"/>
        <w:snapToGrid/>
        <w:spacing w:line="360" w:lineRule="auto"/>
        <w:ind w:firstLine="640"/>
        <w:textAlignment w:val="auto"/>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 xml:space="preserve">（三）具有履行合同所必需的设备和专业技术能力； </w:t>
      </w:r>
    </w:p>
    <w:p w14:paraId="7D730027">
      <w:pPr>
        <w:keepNext w:val="0"/>
        <w:keepLines w:val="0"/>
        <w:pageBreakBefore w:val="0"/>
        <w:widowControl w:val="0"/>
        <w:kinsoku/>
        <w:wordWrap/>
        <w:overflowPunct/>
        <w:topLinePunct w:val="0"/>
        <w:autoSpaceDE w:val="0"/>
        <w:autoSpaceDN w:val="0"/>
        <w:bidi w:val="0"/>
        <w:adjustRightInd w:val="0"/>
        <w:snapToGrid/>
        <w:spacing w:line="360" w:lineRule="auto"/>
        <w:ind w:firstLine="640"/>
        <w:textAlignment w:val="auto"/>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 xml:space="preserve">（四）有依法缴纳税收和社会保障资金的良好记录； </w:t>
      </w:r>
    </w:p>
    <w:p w14:paraId="3F8F27A1">
      <w:pPr>
        <w:keepNext w:val="0"/>
        <w:keepLines w:val="0"/>
        <w:pageBreakBefore w:val="0"/>
        <w:widowControl w:val="0"/>
        <w:kinsoku/>
        <w:wordWrap/>
        <w:overflowPunct/>
        <w:topLinePunct w:val="0"/>
        <w:autoSpaceDE w:val="0"/>
        <w:autoSpaceDN w:val="0"/>
        <w:bidi w:val="0"/>
        <w:adjustRightInd w:val="0"/>
        <w:snapToGrid/>
        <w:spacing w:line="360" w:lineRule="auto"/>
        <w:ind w:firstLine="640"/>
        <w:textAlignment w:val="auto"/>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 xml:space="preserve">（五）参加政府采购活动前三年内，在经营活动中没有重大违法记录； </w:t>
      </w:r>
    </w:p>
    <w:p w14:paraId="733BD62A">
      <w:pPr>
        <w:keepNext w:val="0"/>
        <w:keepLines w:val="0"/>
        <w:pageBreakBefore w:val="0"/>
        <w:widowControl w:val="0"/>
        <w:kinsoku/>
        <w:wordWrap/>
        <w:overflowPunct/>
        <w:topLinePunct w:val="0"/>
        <w:autoSpaceDE w:val="0"/>
        <w:autoSpaceDN w:val="0"/>
        <w:bidi w:val="0"/>
        <w:adjustRightInd w:val="0"/>
        <w:snapToGrid/>
        <w:spacing w:line="360" w:lineRule="auto"/>
        <w:ind w:firstLine="640"/>
        <w:textAlignment w:val="auto"/>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 xml:space="preserve">（六）法律、行政法规规定的其他条件。 </w:t>
      </w:r>
    </w:p>
    <w:p w14:paraId="2A10E116">
      <w:pPr>
        <w:keepNext w:val="0"/>
        <w:keepLines w:val="0"/>
        <w:pageBreakBefore w:val="0"/>
        <w:widowControl w:val="0"/>
        <w:kinsoku/>
        <w:wordWrap/>
        <w:overflowPunct/>
        <w:topLinePunct w:val="0"/>
        <w:autoSpaceDE w:val="0"/>
        <w:autoSpaceDN w:val="0"/>
        <w:bidi w:val="0"/>
        <w:adjustRightInd w:val="0"/>
        <w:snapToGrid/>
        <w:spacing w:line="360" w:lineRule="auto"/>
        <w:ind w:firstLine="640"/>
        <w:textAlignment w:val="auto"/>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 xml:space="preserve">我方保证上述承诺事项的真实性，如有弄虚作假或其他违法违规行为，愿意承担一切法律责任，并承担因此所造成的一切损失。 </w:t>
      </w:r>
    </w:p>
    <w:p w14:paraId="2C2A982D">
      <w:pPr>
        <w:keepNext w:val="0"/>
        <w:keepLines w:val="0"/>
        <w:pageBreakBefore w:val="0"/>
        <w:widowControl w:val="0"/>
        <w:kinsoku/>
        <w:wordWrap/>
        <w:overflowPunct/>
        <w:topLinePunct w:val="0"/>
        <w:autoSpaceDE w:val="0"/>
        <w:autoSpaceDN w:val="0"/>
        <w:bidi w:val="0"/>
        <w:adjustRightInd w:val="0"/>
        <w:snapToGrid/>
        <w:spacing w:line="360" w:lineRule="auto"/>
        <w:ind w:firstLine="640"/>
        <w:textAlignment w:val="auto"/>
        <w:rPr>
          <w:rFonts w:hint="eastAsia" w:ascii="宋体" w:hAnsi="宋体" w:eastAsia="宋体" w:cs="宋体"/>
          <w:color w:val="auto"/>
          <w:spacing w:val="6"/>
          <w:sz w:val="24"/>
          <w:highlight w:val="none"/>
        </w:rPr>
      </w:pPr>
      <w:r>
        <w:rPr>
          <w:rFonts w:hint="eastAsia" w:ascii="宋体" w:hAnsi="宋体" w:eastAsia="宋体" w:cs="宋体"/>
          <w:b w:val="0"/>
          <w:bCs w:val="0"/>
          <w:color w:val="auto"/>
          <w:spacing w:val="6"/>
          <w:sz w:val="24"/>
          <w:highlight w:val="none"/>
        </w:rPr>
        <w:t>特此声明！</w:t>
      </w:r>
      <w:r>
        <w:rPr>
          <w:rFonts w:hint="eastAsia" w:ascii="宋体" w:hAnsi="宋体" w:eastAsia="宋体" w:cs="宋体"/>
          <w:color w:val="auto"/>
          <w:spacing w:val="6"/>
          <w:sz w:val="24"/>
          <w:highlight w:val="none"/>
        </w:rPr>
        <w:t xml:space="preserve"> </w:t>
      </w:r>
    </w:p>
    <w:p w14:paraId="627E5C4D">
      <w:pPr>
        <w:spacing w:line="300" w:lineRule="auto"/>
        <w:rPr>
          <w:rFonts w:hint="eastAsia" w:ascii="宋体" w:hAnsi="宋体" w:eastAsia="宋体" w:cs="宋体"/>
          <w:color w:val="auto"/>
          <w:szCs w:val="21"/>
          <w:highlight w:val="none"/>
        </w:rPr>
      </w:pPr>
    </w:p>
    <w:p w14:paraId="59E5A50C">
      <w:pPr>
        <w:autoSpaceDE w:val="0"/>
        <w:autoSpaceDN w:val="0"/>
        <w:spacing w:line="360" w:lineRule="auto"/>
        <w:ind w:left="4365" w:leftChars="1850" w:hanging="480" w:hanging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5711300B">
      <w:pPr>
        <w:autoSpaceDE w:val="0"/>
        <w:autoSpaceDN w:val="0"/>
        <w:spacing w:line="360" w:lineRule="auto"/>
        <w:ind w:firstLine="6120" w:firstLineChars="2550"/>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lang w:val="zh-CN"/>
        </w:rPr>
        <w:t>日期：  年  月   日</w:t>
      </w:r>
    </w:p>
    <w:p w14:paraId="76E3D823">
      <w:pPr>
        <w:jc w:val="center"/>
        <w:rPr>
          <w:rFonts w:hint="eastAsia" w:ascii="宋体" w:hAnsi="宋体" w:eastAsia="宋体" w:cs="宋体"/>
          <w:b/>
          <w:bCs/>
          <w:color w:val="auto"/>
          <w:sz w:val="36"/>
          <w:szCs w:val="36"/>
          <w:highlight w:val="none"/>
          <w:lang w:val="en"/>
        </w:rPr>
      </w:pPr>
    </w:p>
    <w:p w14:paraId="767872F1">
      <w:pP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r>
        <w:rPr>
          <w:rFonts w:hint="eastAsia" w:ascii="宋体" w:hAnsi="宋体" w:eastAsia="宋体" w:cs="宋体"/>
          <w:b/>
          <w:bCs w:val="0"/>
          <w:color w:val="auto"/>
          <w:sz w:val="30"/>
          <w:szCs w:val="30"/>
          <w:highlight w:val="none"/>
          <w:lang w:val="en-US" w:eastAsia="zh-CN"/>
        </w:rPr>
        <w:t>供应商</w:t>
      </w:r>
      <w:r>
        <w:rPr>
          <w:rFonts w:hint="eastAsia" w:ascii="宋体" w:hAnsi="宋体" w:eastAsia="宋体" w:cs="宋体"/>
          <w:b/>
          <w:bCs w:val="0"/>
          <w:color w:val="auto"/>
          <w:sz w:val="30"/>
          <w:szCs w:val="30"/>
          <w:highlight w:val="none"/>
          <w:lang w:val="en-US"/>
        </w:rPr>
        <w:t>直接控股</w:t>
      </w:r>
      <w:r>
        <w:rPr>
          <w:rFonts w:hint="eastAsia" w:ascii="宋体" w:hAnsi="宋体" w:eastAsia="宋体" w:cs="宋体"/>
          <w:b/>
          <w:bCs w:val="0"/>
          <w:color w:val="auto"/>
          <w:sz w:val="30"/>
          <w:szCs w:val="30"/>
          <w:highlight w:val="none"/>
          <w:lang w:val="en"/>
        </w:rPr>
        <w:t>、管理关系信息表</w:t>
      </w:r>
    </w:p>
    <w:p w14:paraId="053EF766">
      <w:pP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1、</w:t>
      </w:r>
      <w:r>
        <w:rPr>
          <w:rFonts w:hint="eastAsia" w:ascii="宋体" w:hAnsi="宋体" w:eastAsia="宋体" w:cs="宋体"/>
          <w:b/>
          <w:color w:val="auto"/>
          <w:kern w:val="0"/>
          <w:sz w:val="32"/>
          <w:szCs w:val="32"/>
          <w:highlight w:val="none"/>
          <w:lang w:eastAsia="zh-CN"/>
        </w:rPr>
        <w:t>供应商</w:t>
      </w:r>
      <w:r>
        <w:rPr>
          <w:rFonts w:hint="eastAsia" w:ascii="宋体" w:hAnsi="宋体" w:eastAsia="宋体" w:cs="宋体"/>
          <w:b/>
          <w:color w:val="auto"/>
          <w:kern w:val="0"/>
          <w:sz w:val="32"/>
          <w:szCs w:val="32"/>
          <w:highlight w:val="none"/>
        </w:rPr>
        <w:t>直接控股股东信息表</w:t>
      </w:r>
    </w:p>
    <w:tbl>
      <w:tblPr>
        <w:tblStyle w:val="31"/>
        <w:tblW w:w="0" w:type="auto"/>
        <w:jc w:val="center"/>
        <w:shd w:val="clear" w:color="auto" w:fill="FBFBFB"/>
        <w:tblLayout w:type="fixed"/>
        <w:tblCellMar>
          <w:top w:w="0" w:type="dxa"/>
          <w:left w:w="0" w:type="dxa"/>
          <w:bottom w:w="0" w:type="dxa"/>
          <w:right w:w="0" w:type="dxa"/>
        </w:tblCellMar>
      </w:tblPr>
      <w:tblGrid>
        <w:gridCol w:w="828"/>
        <w:gridCol w:w="2269"/>
        <w:gridCol w:w="1239"/>
        <w:gridCol w:w="4256"/>
        <w:gridCol w:w="1128"/>
      </w:tblGrid>
      <w:tr w14:paraId="62D8B05F">
        <w:tblPrEx>
          <w:shd w:val="clear" w:color="auto" w:fill="FBFBFB"/>
          <w:tblCellMar>
            <w:top w:w="0" w:type="dxa"/>
            <w:left w:w="0" w:type="dxa"/>
            <w:bottom w:w="0" w:type="dxa"/>
            <w:right w:w="0" w:type="dxa"/>
          </w:tblCellMar>
        </w:tblPrEx>
        <w:trPr>
          <w:trHeight w:val="454" w:hRule="atLeast"/>
          <w:tblHeader/>
          <w:jc w:val="center"/>
        </w:trPr>
        <w:tc>
          <w:tcPr>
            <w:tcW w:w="828"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18B57ABC">
            <w:pPr>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序号</w:t>
            </w:r>
          </w:p>
        </w:tc>
        <w:tc>
          <w:tcPr>
            <w:tcW w:w="2269"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2529E58B">
            <w:pPr>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直接控股股东名称</w:t>
            </w:r>
          </w:p>
        </w:tc>
        <w:tc>
          <w:tcPr>
            <w:tcW w:w="1239"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13D713F9">
            <w:pPr>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出资比例</w:t>
            </w:r>
          </w:p>
        </w:tc>
        <w:tc>
          <w:tcPr>
            <w:tcW w:w="4256"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5061D5FF">
            <w:pPr>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身份证号码或者统一社会信用代码</w:t>
            </w:r>
          </w:p>
        </w:tc>
        <w:tc>
          <w:tcPr>
            <w:tcW w:w="1128"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26F5B50F">
            <w:pPr>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备注</w:t>
            </w:r>
          </w:p>
        </w:tc>
      </w:tr>
      <w:tr w14:paraId="0172285C">
        <w:tblPrEx>
          <w:tblCellMar>
            <w:top w:w="0" w:type="dxa"/>
            <w:left w:w="0" w:type="dxa"/>
            <w:bottom w:w="0" w:type="dxa"/>
            <w:right w:w="0" w:type="dxa"/>
          </w:tblCellMar>
        </w:tblPrEx>
        <w:trPr>
          <w:trHeight w:val="454" w:hRule="atLeast"/>
          <w:jc w:val="center"/>
        </w:trPr>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509F2FD">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226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5C918B7">
            <w:pPr>
              <w:jc w:val="center"/>
              <w:rPr>
                <w:rFonts w:hint="eastAsia" w:ascii="宋体" w:hAnsi="宋体" w:eastAsia="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8743082">
            <w:pPr>
              <w:jc w:val="center"/>
              <w:rPr>
                <w:rFonts w:hint="eastAsia" w:ascii="宋体" w:hAnsi="宋体" w:eastAsia="宋体" w:cs="宋体"/>
                <w:color w:val="auto"/>
                <w:kern w:val="0"/>
                <w:sz w:val="24"/>
                <w:highlight w:val="none"/>
              </w:rPr>
            </w:pPr>
          </w:p>
        </w:tc>
        <w:tc>
          <w:tcPr>
            <w:tcW w:w="4256"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1B13B03">
            <w:pPr>
              <w:jc w:val="center"/>
              <w:rPr>
                <w:rFonts w:hint="eastAsia" w:ascii="宋体" w:hAnsi="宋体" w:eastAsia="宋体" w:cs="宋体"/>
                <w:color w:val="auto"/>
                <w:kern w:val="0"/>
                <w:sz w:val="24"/>
                <w:highlight w:val="none"/>
              </w:rPr>
            </w:pPr>
          </w:p>
        </w:tc>
        <w:tc>
          <w:tcPr>
            <w:tcW w:w="11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555CEE7">
            <w:pPr>
              <w:jc w:val="center"/>
              <w:rPr>
                <w:rFonts w:hint="eastAsia" w:ascii="宋体" w:hAnsi="宋体" w:eastAsia="宋体" w:cs="宋体"/>
                <w:color w:val="auto"/>
                <w:kern w:val="0"/>
                <w:sz w:val="24"/>
                <w:highlight w:val="none"/>
              </w:rPr>
            </w:pPr>
          </w:p>
        </w:tc>
      </w:tr>
      <w:tr w14:paraId="0B7D3CBC">
        <w:tblPrEx>
          <w:shd w:val="clear" w:color="auto" w:fill="FBFBFB"/>
          <w:tblCellMar>
            <w:top w:w="0" w:type="dxa"/>
            <w:left w:w="0" w:type="dxa"/>
            <w:bottom w:w="0" w:type="dxa"/>
            <w:right w:w="0" w:type="dxa"/>
          </w:tblCellMar>
        </w:tblPrEx>
        <w:trPr>
          <w:trHeight w:val="454" w:hRule="atLeast"/>
          <w:jc w:val="center"/>
        </w:trPr>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6916F2A">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226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A7C9969">
            <w:pPr>
              <w:jc w:val="center"/>
              <w:rPr>
                <w:rFonts w:hint="eastAsia" w:ascii="宋体" w:hAnsi="宋体" w:eastAsia="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6383F4BA">
            <w:pPr>
              <w:jc w:val="center"/>
              <w:rPr>
                <w:rFonts w:hint="eastAsia" w:ascii="宋体" w:hAnsi="宋体" w:eastAsia="宋体" w:cs="宋体"/>
                <w:color w:val="auto"/>
                <w:kern w:val="0"/>
                <w:sz w:val="24"/>
                <w:highlight w:val="none"/>
              </w:rPr>
            </w:pPr>
          </w:p>
        </w:tc>
        <w:tc>
          <w:tcPr>
            <w:tcW w:w="4256"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32A367A">
            <w:pPr>
              <w:jc w:val="center"/>
              <w:rPr>
                <w:rFonts w:hint="eastAsia" w:ascii="宋体" w:hAnsi="宋体" w:eastAsia="宋体" w:cs="宋体"/>
                <w:color w:val="auto"/>
                <w:kern w:val="0"/>
                <w:sz w:val="24"/>
                <w:highlight w:val="none"/>
              </w:rPr>
            </w:pPr>
          </w:p>
        </w:tc>
        <w:tc>
          <w:tcPr>
            <w:tcW w:w="11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E45FD49">
            <w:pPr>
              <w:jc w:val="center"/>
              <w:rPr>
                <w:rFonts w:hint="eastAsia" w:ascii="宋体" w:hAnsi="宋体" w:eastAsia="宋体" w:cs="宋体"/>
                <w:color w:val="auto"/>
                <w:kern w:val="0"/>
                <w:sz w:val="24"/>
                <w:highlight w:val="none"/>
              </w:rPr>
            </w:pPr>
          </w:p>
        </w:tc>
      </w:tr>
      <w:tr w14:paraId="3592D636">
        <w:tblPrEx>
          <w:tblCellMar>
            <w:top w:w="0" w:type="dxa"/>
            <w:left w:w="0" w:type="dxa"/>
            <w:bottom w:w="0" w:type="dxa"/>
            <w:right w:w="0" w:type="dxa"/>
          </w:tblCellMar>
        </w:tblPrEx>
        <w:trPr>
          <w:trHeight w:val="454" w:hRule="atLeast"/>
          <w:jc w:val="center"/>
        </w:trPr>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E65D1FA">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226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3FBB88E">
            <w:pPr>
              <w:jc w:val="center"/>
              <w:rPr>
                <w:rFonts w:hint="eastAsia" w:ascii="宋体" w:hAnsi="宋体" w:eastAsia="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67DA3488">
            <w:pPr>
              <w:jc w:val="center"/>
              <w:rPr>
                <w:rFonts w:hint="eastAsia" w:ascii="宋体" w:hAnsi="宋体" w:eastAsia="宋体" w:cs="宋体"/>
                <w:color w:val="auto"/>
                <w:kern w:val="0"/>
                <w:sz w:val="24"/>
                <w:highlight w:val="none"/>
              </w:rPr>
            </w:pPr>
          </w:p>
        </w:tc>
        <w:tc>
          <w:tcPr>
            <w:tcW w:w="4256"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D7B7C97">
            <w:pPr>
              <w:jc w:val="center"/>
              <w:rPr>
                <w:rFonts w:hint="eastAsia" w:ascii="宋体" w:hAnsi="宋体" w:eastAsia="宋体" w:cs="宋体"/>
                <w:color w:val="auto"/>
                <w:kern w:val="0"/>
                <w:sz w:val="24"/>
                <w:highlight w:val="none"/>
              </w:rPr>
            </w:pPr>
          </w:p>
        </w:tc>
        <w:tc>
          <w:tcPr>
            <w:tcW w:w="11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D88B260">
            <w:pPr>
              <w:jc w:val="center"/>
              <w:rPr>
                <w:rFonts w:hint="eastAsia" w:ascii="宋体" w:hAnsi="宋体" w:eastAsia="宋体" w:cs="宋体"/>
                <w:color w:val="auto"/>
                <w:kern w:val="0"/>
                <w:sz w:val="24"/>
                <w:highlight w:val="none"/>
              </w:rPr>
            </w:pPr>
          </w:p>
        </w:tc>
      </w:tr>
    </w:tbl>
    <w:p w14:paraId="2A6CE973">
      <w:pPr>
        <w:snapToGrid w:val="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w:t>
      </w:r>
    </w:p>
    <w:p w14:paraId="6198886A">
      <w:pPr>
        <w:snapToGrid w:val="0"/>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6BF02B07">
      <w:pPr>
        <w:snapToGrid w:val="0"/>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2.本表所指的控股关系仅限于直接控股关系，不包括间接的控股关系。公司实际控制人与公司之间的关系不属于本表所指的直接控股关系。</w:t>
      </w:r>
    </w:p>
    <w:p w14:paraId="19451168">
      <w:pPr>
        <w:snapToGrid w:val="0"/>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3.供应商不存在直接控股股东的，则填“无”。</w:t>
      </w:r>
    </w:p>
    <w:p w14:paraId="2F6AA67A">
      <w:pPr>
        <w:spacing w:line="300" w:lineRule="auto"/>
        <w:rPr>
          <w:rFonts w:hint="eastAsia" w:ascii="宋体" w:hAnsi="宋体" w:eastAsia="宋体" w:cs="宋体"/>
          <w:color w:val="auto"/>
          <w:szCs w:val="21"/>
          <w:highlight w:val="none"/>
        </w:rPr>
      </w:pPr>
    </w:p>
    <w:p w14:paraId="07EB5099">
      <w:pPr>
        <w:autoSpaceDE w:val="0"/>
        <w:autoSpaceDN w:val="0"/>
        <w:spacing w:line="360" w:lineRule="auto"/>
        <w:ind w:left="4365" w:leftChars="1850" w:hanging="480" w:hanging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4E2271E2">
      <w:pPr>
        <w:autoSpaceDE w:val="0"/>
        <w:autoSpaceDN w:val="0"/>
        <w:spacing w:line="360" w:lineRule="auto"/>
        <w:ind w:firstLine="6120" w:firstLineChars="2550"/>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lang w:val="zh-CN"/>
        </w:rPr>
        <w:t>日期：  年  月   日</w:t>
      </w:r>
    </w:p>
    <w:p w14:paraId="33B2AB5C">
      <w:pPr>
        <w:snapToGrid w:val="0"/>
        <w:jc w:val="center"/>
        <w:rPr>
          <w:rFonts w:hint="eastAsia" w:ascii="宋体" w:hAnsi="宋体" w:eastAsia="宋体" w:cs="宋体"/>
          <w:b/>
          <w:color w:val="auto"/>
          <w:sz w:val="28"/>
          <w:szCs w:val="28"/>
          <w:highlight w:val="none"/>
        </w:rPr>
      </w:pPr>
    </w:p>
    <w:p w14:paraId="3157BF81">
      <w:pP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2、</w:t>
      </w:r>
      <w:r>
        <w:rPr>
          <w:rFonts w:hint="eastAsia" w:ascii="宋体" w:hAnsi="宋体" w:eastAsia="宋体" w:cs="宋体"/>
          <w:b/>
          <w:color w:val="auto"/>
          <w:kern w:val="0"/>
          <w:sz w:val="32"/>
          <w:szCs w:val="32"/>
          <w:highlight w:val="none"/>
          <w:lang w:eastAsia="zh-CN"/>
        </w:rPr>
        <w:t>供应商</w:t>
      </w:r>
      <w:r>
        <w:rPr>
          <w:rFonts w:hint="eastAsia" w:ascii="宋体" w:hAnsi="宋体" w:eastAsia="宋体" w:cs="宋体"/>
          <w:b/>
          <w:color w:val="auto"/>
          <w:kern w:val="0"/>
          <w:sz w:val="32"/>
          <w:szCs w:val="32"/>
          <w:highlight w:val="none"/>
        </w:rPr>
        <w:t>直接管理关系信息表</w:t>
      </w:r>
    </w:p>
    <w:tbl>
      <w:tblPr>
        <w:tblStyle w:val="31"/>
        <w:tblW w:w="0" w:type="auto"/>
        <w:jc w:val="center"/>
        <w:shd w:val="clear" w:color="auto" w:fill="FBFBFB"/>
        <w:tblLayout w:type="fixed"/>
        <w:tblCellMar>
          <w:top w:w="0" w:type="dxa"/>
          <w:left w:w="0" w:type="dxa"/>
          <w:bottom w:w="0" w:type="dxa"/>
          <w:right w:w="0" w:type="dxa"/>
        </w:tblCellMar>
      </w:tblPr>
      <w:tblGrid>
        <w:gridCol w:w="1005"/>
        <w:gridCol w:w="2659"/>
        <w:gridCol w:w="3924"/>
        <w:gridCol w:w="2226"/>
      </w:tblGrid>
      <w:tr w14:paraId="7CA7BD4E">
        <w:tblPrEx>
          <w:shd w:val="clear" w:color="auto" w:fill="FBFBFB"/>
          <w:tblCellMar>
            <w:top w:w="0" w:type="dxa"/>
            <w:left w:w="0" w:type="dxa"/>
            <w:bottom w:w="0" w:type="dxa"/>
            <w:right w:w="0" w:type="dxa"/>
          </w:tblCellMar>
        </w:tblPrEx>
        <w:trPr>
          <w:trHeight w:val="454" w:hRule="atLeast"/>
          <w:tblHeader/>
          <w:jc w:val="center"/>
        </w:trPr>
        <w:tc>
          <w:tcPr>
            <w:tcW w:w="1005"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5F02DD2A">
            <w:pPr>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序号</w:t>
            </w:r>
          </w:p>
        </w:tc>
        <w:tc>
          <w:tcPr>
            <w:tcW w:w="2659"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1EA3638F">
            <w:pPr>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直接管理关系单位名称</w:t>
            </w:r>
          </w:p>
        </w:tc>
        <w:tc>
          <w:tcPr>
            <w:tcW w:w="3924"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45F05640">
            <w:pPr>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统一社会信用代码</w:t>
            </w:r>
          </w:p>
        </w:tc>
        <w:tc>
          <w:tcPr>
            <w:tcW w:w="2226"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4BBC5C15">
            <w:pPr>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备注</w:t>
            </w:r>
          </w:p>
        </w:tc>
      </w:tr>
      <w:tr w14:paraId="2E10DC24">
        <w:tblPrEx>
          <w:shd w:val="clear" w:color="auto" w:fill="FBFBFB"/>
          <w:tblCellMar>
            <w:top w:w="0" w:type="dxa"/>
            <w:left w:w="0" w:type="dxa"/>
            <w:bottom w:w="0" w:type="dxa"/>
            <w:right w:w="0" w:type="dxa"/>
          </w:tblCellMar>
        </w:tblPrEx>
        <w:trPr>
          <w:trHeight w:val="454" w:hRule="atLeast"/>
          <w:jc w:val="center"/>
        </w:trPr>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68E2F776">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905F7E6">
            <w:pPr>
              <w:jc w:val="center"/>
              <w:rPr>
                <w:rFonts w:hint="eastAsia" w:ascii="宋体" w:hAnsi="宋体" w:eastAsia="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F089F24">
            <w:pPr>
              <w:jc w:val="center"/>
              <w:rPr>
                <w:rFonts w:hint="eastAsia" w:ascii="宋体" w:hAnsi="宋体" w:eastAsia="宋体" w:cs="宋体"/>
                <w:color w:val="auto"/>
                <w:kern w:val="0"/>
                <w:sz w:val="24"/>
                <w:highlight w:val="none"/>
              </w:rPr>
            </w:pPr>
          </w:p>
        </w:tc>
        <w:tc>
          <w:tcPr>
            <w:tcW w:w="2226"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B77920B">
            <w:pPr>
              <w:jc w:val="center"/>
              <w:rPr>
                <w:rFonts w:hint="eastAsia" w:ascii="宋体" w:hAnsi="宋体" w:eastAsia="宋体" w:cs="宋体"/>
                <w:color w:val="auto"/>
                <w:kern w:val="0"/>
                <w:sz w:val="24"/>
                <w:highlight w:val="none"/>
              </w:rPr>
            </w:pPr>
          </w:p>
        </w:tc>
      </w:tr>
      <w:tr w14:paraId="4D6A9851">
        <w:tblPrEx>
          <w:tblCellMar>
            <w:top w:w="0" w:type="dxa"/>
            <w:left w:w="0" w:type="dxa"/>
            <w:bottom w:w="0" w:type="dxa"/>
            <w:right w:w="0" w:type="dxa"/>
          </w:tblCellMar>
        </w:tblPrEx>
        <w:trPr>
          <w:trHeight w:val="454" w:hRule="atLeast"/>
          <w:jc w:val="center"/>
        </w:trPr>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9758730">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B035B90">
            <w:pPr>
              <w:jc w:val="center"/>
              <w:rPr>
                <w:rFonts w:hint="eastAsia" w:ascii="宋体" w:hAnsi="宋体" w:eastAsia="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F278FEA">
            <w:pPr>
              <w:jc w:val="center"/>
              <w:rPr>
                <w:rFonts w:hint="eastAsia" w:ascii="宋体" w:hAnsi="宋体" w:eastAsia="宋体" w:cs="宋体"/>
                <w:color w:val="auto"/>
                <w:kern w:val="0"/>
                <w:sz w:val="24"/>
                <w:highlight w:val="none"/>
              </w:rPr>
            </w:pPr>
          </w:p>
        </w:tc>
        <w:tc>
          <w:tcPr>
            <w:tcW w:w="2226"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84EA73D">
            <w:pPr>
              <w:jc w:val="center"/>
              <w:rPr>
                <w:rFonts w:hint="eastAsia" w:ascii="宋体" w:hAnsi="宋体" w:eastAsia="宋体" w:cs="宋体"/>
                <w:color w:val="auto"/>
                <w:kern w:val="0"/>
                <w:sz w:val="24"/>
                <w:highlight w:val="none"/>
              </w:rPr>
            </w:pPr>
          </w:p>
        </w:tc>
      </w:tr>
      <w:tr w14:paraId="4243023A">
        <w:tblPrEx>
          <w:shd w:val="clear" w:color="auto" w:fill="FBFBFB"/>
          <w:tblCellMar>
            <w:top w:w="0" w:type="dxa"/>
            <w:left w:w="0" w:type="dxa"/>
            <w:bottom w:w="0" w:type="dxa"/>
            <w:right w:w="0" w:type="dxa"/>
          </w:tblCellMar>
        </w:tblPrEx>
        <w:trPr>
          <w:trHeight w:val="454" w:hRule="atLeast"/>
          <w:jc w:val="center"/>
        </w:trPr>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180F333">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D7AA8A7">
            <w:pPr>
              <w:jc w:val="center"/>
              <w:rPr>
                <w:rFonts w:hint="eastAsia" w:ascii="宋体" w:hAnsi="宋体" w:eastAsia="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6B49A2F1">
            <w:pPr>
              <w:jc w:val="center"/>
              <w:rPr>
                <w:rFonts w:hint="eastAsia" w:ascii="宋体" w:hAnsi="宋体" w:eastAsia="宋体" w:cs="宋体"/>
                <w:color w:val="auto"/>
                <w:kern w:val="0"/>
                <w:sz w:val="24"/>
                <w:highlight w:val="none"/>
              </w:rPr>
            </w:pPr>
          </w:p>
        </w:tc>
        <w:tc>
          <w:tcPr>
            <w:tcW w:w="2226"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57E8ABF">
            <w:pPr>
              <w:jc w:val="center"/>
              <w:rPr>
                <w:rFonts w:hint="eastAsia" w:ascii="宋体" w:hAnsi="宋体" w:eastAsia="宋体" w:cs="宋体"/>
                <w:color w:val="auto"/>
                <w:kern w:val="0"/>
                <w:sz w:val="24"/>
                <w:highlight w:val="none"/>
              </w:rPr>
            </w:pPr>
          </w:p>
        </w:tc>
      </w:tr>
    </w:tbl>
    <w:p w14:paraId="40FDBBE4">
      <w:pPr>
        <w:snapToGrid w:val="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w:t>
      </w:r>
    </w:p>
    <w:p w14:paraId="0DD0EE68">
      <w:pPr>
        <w:snapToGrid w:val="0"/>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1.管理关系：是指不具有出资持股关系的其他单位之间存在的管理与被管理关系，如一些上下级关系的事业单位和团体组织。</w:t>
      </w:r>
    </w:p>
    <w:p w14:paraId="11A490A7">
      <w:pPr>
        <w:snapToGrid w:val="0"/>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2.本表所指的管理关系仅限于直接管理关系，不包括间接的管理关系。</w:t>
      </w:r>
    </w:p>
    <w:p w14:paraId="3F9ED200">
      <w:pPr>
        <w:snapToGrid w:val="0"/>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3.供应商不存在直接管理关系的，则填“无”。</w:t>
      </w:r>
    </w:p>
    <w:p w14:paraId="791A2778">
      <w:pPr>
        <w:spacing w:line="300" w:lineRule="auto"/>
        <w:rPr>
          <w:rFonts w:hint="eastAsia" w:ascii="宋体" w:hAnsi="宋体" w:eastAsia="宋体" w:cs="宋体"/>
          <w:color w:val="auto"/>
          <w:szCs w:val="21"/>
          <w:highlight w:val="none"/>
        </w:rPr>
      </w:pPr>
    </w:p>
    <w:p w14:paraId="6FDD1B93">
      <w:pPr>
        <w:autoSpaceDE w:val="0"/>
        <w:autoSpaceDN w:val="0"/>
        <w:spacing w:line="360" w:lineRule="auto"/>
        <w:ind w:left="4365" w:leftChars="1850" w:hanging="480" w:hanging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6BC7ED3E">
      <w:pPr>
        <w:autoSpaceDE w:val="0"/>
        <w:autoSpaceDN w:val="0"/>
        <w:spacing w:line="360" w:lineRule="auto"/>
        <w:ind w:firstLine="6120" w:firstLineChars="25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14:paraId="6BEC5F2F">
      <w:pP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br w:type="page"/>
      </w:r>
    </w:p>
    <w:p w14:paraId="6730BA8F">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color w:val="auto"/>
          <w:sz w:val="44"/>
          <w:szCs w:val="44"/>
          <w:highlight w:val="none"/>
        </w:rPr>
      </w:pPr>
      <w:r>
        <w:rPr>
          <w:rFonts w:hint="eastAsia" w:ascii="宋体" w:hAnsi="宋体" w:eastAsia="宋体" w:cs="宋体"/>
          <w:b/>
          <w:bCs/>
          <w:color w:val="auto"/>
          <w:sz w:val="30"/>
          <w:szCs w:val="30"/>
          <w:highlight w:val="none"/>
        </w:rPr>
        <w:t>中小企业声明函（服务）</w:t>
      </w:r>
    </w:p>
    <w:p w14:paraId="7A1D1793">
      <w:pPr>
        <w:spacing w:line="360" w:lineRule="auto"/>
        <w:ind w:left="-426" w:right="142" w:firstLine="64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本公司（联合体）郑重声明，根据《政府采购促进中小企业发展管理办法》（财库﹝2020﹞46号）的规定，本公司（联合体）参加</w:t>
      </w:r>
      <w:r>
        <w:rPr>
          <w:rFonts w:hint="eastAsia" w:ascii="宋体" w:hAnsi="宋体" w:eastAsia="宋体" w:cs="宋体"/>
          <w:color w:val="auto"/>
          <w:sz w:val="24"/>
          <w:highlight w:val="none"/>
          <w:u w:val="single"/>
        </w:rPr>
        <w:t>（单位名称）</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u w:val="single"/>
        </w:rPr>
        <w:t>（项目名称）</w:t>
      </w:r>
      <w:r>
        <w:rPr>
          <w:rFonts w:hint="eastAsia" w:ascii="宋体" w:hAnsi="宋体" w:eastAsia="宋体" w:cs="宋体"/>
          <w:color w:val="auto"/>
          <w:sz w:val="24"/>
          <w:highlight w:val="none"/>
        </w:rPr>
        <w:t>采购活动，服务全部由符合政策要求的中小企业承接。相关企业（含联合体中的中小企业、签订分包意向协议的中小企业）的具体情况如下：</w:t>
      </w:r>
    </w:p>
    <w:p w14:paraId="03A09B43">
      <w:pPr>
        <w:keepNext w:val="0"/>
        <w:keepLines w:val="0"/>
        <w:pageBreakBefore w:val="0"/>
        <w:widowControl w:val="0"/>
        <w:tabs>
          <w:tab w:val="left" w:pos="1384"/>
          <w:tab w:val="left" w:pos="4562"/>
          <w:tab w:val="left" w:pos="6803"/>
        </w:tabs>
        <w:kinsoku/>
        <w:wordWrap/>
        <w:overflowPunct/>
        <w:topLinePunct w:val="0"/>
        <w:autoSpaceDE/>
        <w:autoSpaceDN/>
        <w:bidi w:val="0"/>
        <w:adjustRightInd/>
        <w:snapToGrid/>
        <w:spacing w:before="13" w:line="360" w:lineRule="auto"/>
        <w:ind w:right="142" w:firstLine="686" w:firstLineChars="286"/>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u w:val="single"/>
        </w:rPr>
        <w:t>（标的名称）</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（采购文件中明确的所属行业）</w:t>
      </w:r>
      <w:r>
        <w:rPr>
          <w:rFonts w:hint="eastAsia" w:ascii="宋体" w:hAnsi="宋体" w:eastAsia="宋体" w:cs="宋体"/>
          <w:color w:val="auto"/>
          <w:sz w:val="24"/>
          <w:szCs w:val="24"/>
          <w:highlight w:val="none"/>
        </w:rPr>
        <w:t>；承接企业为</w:t>
      </w:r>
      <w:r>
        <w:rPr>
          <w:rFonts w:hint="eastAsia" w:ascii="宋体" w:hAnsi="宋体" w:eastAsia="宋体" w:cs="宋体"/>
          <w:color w:val="auto"/>
          <w:sz w:val="24"/>
          <w:szCs w:val="24"/>
          <w:highlight w:val="none"/>
          <w:u w:val="single"/>
        </w:rPr>
        <w:t>（企业名称）</w:t>
      </w:r>
      <w:r>
        <w:rPr>
          <w:rFonts w:hint="eastAsia" w:ascii="宋体" w:hAnsi="宋体" w:eastAsia="宋体" w:cs="宋体"/>
          <w:color w:val="auto"/>
          <w:sz w:val="24"/>
          <w:szCs w:val="24"/>
          <w:highlight w:val="none"/>
        </w:rPr>
        <w:t>，从业人员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万元，属于</w:t>
      </w:r>
      <w:r>
        <w:rPr>
          <w:rFonts w:hint="eastAsia" w:ascii="宋体" w:hAnsi="宋体" w:eastAsia="宋体" w:cs="宋体"/>
          <w:color w:val="auto"/>
          <w:sz w:val="24"/>
          <w:szCs w:val="24"/>
          <w:highlight w:val="none"/>
          <w:u w:val="single"/>
        </w:rPr>
        <w:t>（中型企业、小型企业、微型企业）</w:t>
      </w:r>
      <w:r>
        <w:rPr>
          <w:rFonts w:hint="eastAsia" w:ascii="宋体" w:hAnsi="宋体" w:eastAsia="宋体" w:cs="宋体"/>
          <w:color w:val="auto"/>
          <w:sz w:val="24"/>
          <w:szCs w:val="24"/>
          <w:highlight w:val="none"/>
        </w:rPr>
        <w:t>；</w:t>
      </w:r>
    </w:p>
    <w:p w14:paraId="34673B9C">
      <w:pPr>
        <w:keepNext w:val="0"/>
        <w:keepLines w:val="0"/>
        <w:pageBreakBefore w:val="0"/>
        <w:widowControl w:val="0"/>
        <w:tabs>
          <w:tab w:val="left" w:pos="1065"/>
          <w:tab w:val="left" w:pos="4262"/>
          <w:tab w:val="left" w:pos="6477"/>
        </w:tabs>
        <w:kinsoku/>
        <w:wordWrap/>
        <w:overflowPunct/>
        <w:topLinePunct w:val="0"/>
        <w:autoSpaceDE/>
        <w:autoSpaceDN/>
        <w:bidi w:val="0"/>
        <w:adjustRightInd/>
        <w:snapToGrid/>
        <w:spacing w:before="20" w:line="360" w:lineRule="auto"/>
        <w:ind w:right="84" w:firstLine="686" w:firstLineChars="286"/>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u w:val="single"/>
        </w:rPr>
        <w:t>（标的名称）</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（采购文件中明确的所属行业）</w:t>
      </w:r>
      <w:r>
        <w:rPr>
          <w:rFonts w:hint="eastAsia" w:ascii="宋体" w:hAnsi="宋体" w:eastAsia="宋体" w:cs="宋体"/>
          <w:color w:val="auto"/>
          <w:sz w:val="24"/>
          <w:szCs w:val="24"/>
          <w:highlight w:val="none"/>
        </w:rPr>
        <w:t>；承接企业为</w:t>
      </w:r>
      <w:r>
        <w:rPr>
          <w:rFonts w:hint="eastAsia" w:ascii="宋体" w:hAnsi="宋体" w:eastAsia="宋体" w:cs="宋体"/>
          <w:color w:val="auto"/>
          <w:sz w:val="24"/>
          <w:szCs w:val="24"/>
          <w:highlight w:val="none"/>
          <w:u w:val="single"/>
        </w:rPr>
        <w:t>（企业名称）</w:t>
      </w:r>
      <w:r>
        <w:rPr>
          <w:rFonts w:hint="eastAsia" w:ascii="宋体" w:hAnsi="宋体" w:eastAsia="宋体" w:cs="宋体"/>
          <w:color w:val="auto"/>
          <w:sz w:val="24"/>
          <w:szCs w:val="24"/>
          <w:highlight w:val="none"/>
        </w:rPr>
        <w:t>，从业人员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万元，属于</w:t>
      </w:r>
      <w:r>
        <w:rPr>
          <w:rFonts w:hint="eastAsia" w:ascii="宋体" w:hAnsi="宋体" w:eastAsia="宋体" w:cs="宋体"/>
          <w:color w:val="auto"/>
          <w:sz w:val="24"/>
          <w:szCs w:val="24"/>
          <w:highlight w:val="none"/>
          <w:u w:val="single"/>
        </w:rPr>
        <w:t>（中型企业、小型企业、微型企业）</w:t>
      </w:r>
      <w:r>
        <w:rPr>
          <w:rFonts w:hint="eastAsia" w:ascii="宋体" w:hAnsi="宋体" w:eastAsia="宋体" w:cs="宋体"/>
          <w:color w:val="auto"/>
          <w:sz w:val="24"/>
          <w:szCs w:val="24"/>
          <w:highlight w:val="none"/>
        </w:rPr>
        <w:t>；</w:t>
      </w:r>
    </w:p>
    <w:p w14:paraId="70427DD7">
      <w:pPr>
        <w:keepNext w:val="0"/>
        <w:keepLines w:val="0"/>
        <w:pageBreakBefore w:val="0"/>
        <w:widowControl w:val="0"/>
        <w:tabs>
          <w:tab w:val="left" w:pos="1065"/>
          <w:tab w:val="left" w:pos="4262"/>
          <w:tab w:val="left" w:pos="6477"/>
        </w:tabs>
        <w:kinsoku/>
        <w:wordWrap/>
        <w:overflowPunct/>
        <w:topLinePunct w:val="0"/>
        <w:autoSpaceDE/>
        <w:autoSpaceDN/>
        <w:bidi w:val="0"/>
        <w:adjustRightInd/>
        <w:snapToGrid/>
        <w:spacing w:before="20" w:line="360" w:lineRule="auto"/>
        <w:ind w:right="84" w:firstLine="686" w:firstLineChars="286"/>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none"/>
        </w:rPr>
        <w:t xml:space="preserve">…… </w:t>
      </w:r>
    </w:p>
    <w:p w14:paraId="69EAC10C">
      <w:pPr>
        <w:spacing w:line="360" w:lineRule="auto"/>
        <w:ind w:left="-405" w:leftChars="-193" w:right="142" w:firstLine="453" w:firstLineChars="189"/>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以上企业，不属于大企业的分支机构，不存在控股股东为大企业的情形，也不存在与大企业的负责人为同一人的情形。</w:t>
      </w:r>
    </w:p>
    <w:p w14:paraId="2349AE62">
      <w:pPr>
        <w:spacing w:line="360" w:lineRule="auto"/>
        <w:ind w:left="-426" w:right="142" w:firstLine="567"/>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本企业对上述声明内容的真实性负责。如有虚假，将依法承担相应责任。</w:t>
      </w:r>
    </w:p>
    <w:p w14:paraId="16DB4393">
      <w:pPr>
        <w:spacing w:line="360" w:lineRule="auto"/>
        <w:ind w:left="3960" w:right="1808"/>
        <w:contextualSpacing/>
        <w:rPr>
          <w:rFonts w:hint="eastAsia" w:ascii="宋体" w:hAnsi="宋体" w:eastAsia="宋体" w:cs="宋体"/>
          <w:color w:val="auto"/>
          <w:sz w:val="24"/>
          <w:highlight w:val="none"/>
        </w:rPr>
      </w:pPr>
    </w:p>
    <w:p w14:paraId="577FC90E">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7B4BEF26">
      <w:pPr>
        <w:autoSpaceDE w:val="0"/>
        <w:autoSpaceDN w:val="0"/>
        <w:spacing w:line="360" w:lineRule="auto"/>
        <w:ind w:firstLine="6480" w:firstLineChars="27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14:paraId="712F117D">
      <w:pPr>
        <w:spacing w:line="360" w:lineRule="auto"/>
        <w:ind w:left="3960" w:right="1808"/>
        <w:contextualSpacing/>
        <w:rPr>
          <w:rFonts w:hint="eastAsia" w:ascii="宋体" w:hAnsi="宋体" w:eastAsia="宋体" w:cs="宋体"/>
          <w:color w:val="auto"/>
          <w:highlight w:val="none"/>
        </w:rPr>
      </w:pPr>
    </w:p>
    <w:p w14:paraId="1FAFDF35">
      <w:pPr>
        <w:spacing w:line="360" w:lineRule="auto"/>
        <w:contextualSpacing/>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注：享受《政府采购促进中小企业发展管理办法》（财库〔2020〕46号）规定的中小企业扶持政策的，采购人、采购代理机构应当随成交结果公开成交供应商的《中小企业声明函》。从业人员、营业收入、资产总额填报上一年度数据，无上一年度数据的新成立企业可不填报。</w:t>
      </w:r>
    </w:p>
    <w:p w14:paraId="79F5F0E7">
      <w:pPr>
        <w:spacing w:line="528" w:lineRule="exact"/>
        <w:jc w:val="center"/>
        <w:rPr>
          <w:rFonts w:hint="eastAsia" w:ascii="宋体" w:hAnsi="宋体" w:eastAsia="宋体" w:cs="宋体"/>
          <w:color w:val="auto"/>
          <w:sz w:val="32"/>
          <w:szCs w:val="32"/>
          <w:highlight w:val="none"/>
        </w:rPr>
      </w:pPr>
      <w:r>
        <w:rPr>
          <w:rFonts w:hint="eastAsia" w:ascii="宋体" w:hAnsi="宋体" w:eastAsia="宋体" w:cs="宋体"/>
          <w:color w:val="auto"/>
          <w:kern w:val="0"/>
          <w:sz w:val="24"/>
          <w:highlight w:val="none"/>
          <w:lang w:val="zh-CN"/>
        </w:rPr>
        <w:br w:type="page"/>
      </w:r>
      <w:r>
        <w:rPr>
          <w:rFonts w:hint="eastAsia" w:ascii="宋体" w:hAnsi="宋体" w:eastAsia="宋体" w:cs="宋体"/>
          <w:b/>
          <w:bCs/>
          <w:color w:val="auto"/>
          <w:sz w:val="30"/>
          <w:szCs w:val="30"/>
          <w:highlight w:val="none"/>
        </w:rPr>
        <w:t>中小微企业划型标准</w:t>
      </w:r>
    </w:p>
    <w:tbl>
      <w:tblPr>
        <w:tblStyle w:val="31"/>
        <w:tblW w:w="9536" w:type="dxa"/>
        <w:jc w:val="center"/>
        <w:tblLayout w:type="fixed"/>
        <w:tblCellMar>
          <w:top w:w="0" w:type="dxa"/>
          <w:left w:w="108" w:type="dxa"/>
          <w:bottom w:w="0" w:type="dxa"/>
          <w:right w:w="108" w:type="dxa"/>
        </w:tblCellMar>
      </w:tblPr>
      <w:tblGrid>
        <w:gridCol w:w="1550"/>
        <w:gridCol w:w="1915"/>
        <w:gridCol w:w="961"/>
        <w:gridCol w:w="2071"/>
        <w:gridCol w:w="1836"/>
        <w:gridCol w:w="1203"/>
      </w:tblGrid>
      <w:tr w14:paraId="13DC40E0">
        <w:tblPrEx>
          <w:tblCellMar>
            <w:top w:w="0" w:type="dxa"/>
            <w:left w:w="108" w:type="dxa"/>
            <w:bottom w:w="0" w:type="dxa"/>
            <w:right w:w="108" w:type="dxa"/>
          </w:tblCellMar>
        </w:tblPrEx>
        <w:trPr>
          <w:trHeight w:val="742" w:hRule="atLeast"/>
          <w:jc w:val="center"/>
        </w:trPr>
        <w:tc>
          <w:tcPr>
            <w:tcW w:w="1550" w:type="dxa"/>
            <w:tcBorders>
              <w:top w:val="single" w:color="auto" w:sz="4" w:space="0"/>
              <w:left w:val="single" w:color="auto" w:sz="4" w:space="0"/>
              <w:bottom w:val="single" w:color="auto" w:sz="4" w:space="0"/>
              <w:right w:val="single" w:color="auto" w:sz="4" w:space="0"/>
            </w:tcBorders>
            <w:noWrap w:val="0"/>
            <w:vAlign w:val="center"/>
          </w:tcPr>
          <w:p w14:paraId="127BEFBD">
            <w:pPr>
              <w:widowControl/>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行业名称</w:t>
            </w:r>
          </w:p>
        </w:tc>
        <w:tc>
          <w:tcPr>
            <w:tcW w:w="1915" w:type="dxa"/>
            <w:tcBorders>
              <w:top w:val="single" w:color="auto" w:sz="4" w:space="0"/>
              <w:left w:val="nil"/>
              <w:bottom w:val="single" w:color="auto" w:sz="4" w:space="0"/>
              <w:right w:val="single" w:color="auto" w:sz="4" w:space="0"/>
            </w:tcBorders>
            <w:noWrap w:val="0"/>
            <w:vAlign w:val="center"/>
          </w:tcPr>
          <w:p w14:paraId="2E815CB6">
            <w:pPr>
              <w:widowControl/>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指标名称</w:t>
            </w:r>
          </w:p>
        </w:tc>
        <w:tc>
          <w:tcPr>
            <w:tcW w:w="961" w:type="dxa"/>
            <w:tcBorders>
              <w:top w:val="single" w:color="auto" w:sz="4" w:space="0"/>
              <w:left w:val="nil"/>
              <w:bottom w:val="single" w:color="auto" w:sz="4" w:space="0"/>
              <w:right w:val="single" w:color="auto" w:sz="4" w:space="0"/>
            </w:tcBorders>
            <w:noWrap w:val="0"/>
            <w:vAlign w:val="center"/>
          </w:tcPr>
          <w:p w14:paraId="241507E5">
            <w:pPr>
              <w:widowControl/>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计量单位</w:t>
            </w:r>
          </w:p>
        </w:tc>
        <w:tc>
          <w:tcPr>
            <w:tcW w:w="2071" w:type="dxa"/>
            <w:tcBorders>
              <w:top w:val="single" w:color="auto" w:sz="4" w:space="0"/>
              <w:left w:val="nil"/>
              <w:bottom w:val="single" w:color="auto" w:sz="4" w:space="0"/>
              <w:right w:val="single" w:color="auto" w:sz="4" w:space="0"/>
            </w:tcBorders>
            <w:noWrap w:val="0"/>
            <w:vAlign w:val="center"/>
          </w:tcPr>
          <w:p w14:paraId="614ABA70">
            <w:pPr>
              <w:widowControl/>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中型</w:t>
            </w:r>
          </w:p>
        </w:tc>
        <w:tc>
          <w:tcPr>
            <w:tcW w:w="1836" w:type="dxa"/>
            <w:tcBorders>
              <w:top w:val="single" w:color="auto" w:sz="4" w:space="0"/>
              <w:left w:val="nil"/>
              <w:bottom w:val="single" w:color="auto" w:sz="4" w:space="0"/>
              <w:right w:val="single" w:color="auto" w:sz="4" w:space="0"/>
            </w:tcBorders>
            <w:noWrap w:val="0"/>
            <w:vAlign w:val="center"/>
          </w:tcPr>
          <w:p w14:paraId="0FAA343D">
            <w:pPr>
              <w:widowControl/>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小型</w:t>
            </w:r>
          </w:p>
        </w:tc>
        <w:tc>
          <w:tcPr>
            <w:tcW w:w="1203" w:type="dxa"/>
            <w:tcBorders>
              <w:top w:val="single" w:color="auto" w:sz="4" w:space="0"/>
              <w:left w:val="nil"/>
              <w:bottom w:val="single" w:color="auto" w:sz="4" w:space="0"/>
              <w:right w:val="single" w:color="auto" w:sz="4" w:space="0"/>
            </w:tcBorders>
            <w:noWrap w:val="0"/>
            <w:vAlign w:val="center"/>
          </w:tcPr>
          <w:p w14:paraId="6D8AD32F">
            <w:pPr>
              <w:widowControl/>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微型</w:t>
            </w:r>
          </w:p>
        </w:tc>
      </w:tr>
      <w:tr w14:paraId="0E0F3B1F">
        <w:tblPrEx>
          <w:tblCellMar>
            <w:top w:w="0" w:type="dxa"/>
            <w:left w:w="108" w:type="dxa"/>
            <w:bottom w:w="0" w:type="dxa"/>
            <w:right w:w="108" w:type="dxa"/>
          </w:tblCellMar>
        </w:tblPrEx>
        <w:trPr>
          <w:trHeight w:val="337" w:hRule="atLeast"/>
          <w:jc w:val="center"/>
        </w:trPr>
        <w:tc>
          <w:tcPr>
            <w:tcW w:w="1550" w:type="dxa"/>
            <w:tcBorders>
              <w:top w:val="nil"/>
              <w:left w:val="single" w:color="auto" w:sz="4" w:space="0"/>
              <w:bottom w:val="single" w:color="auto" w:sz="4" w:space="0"/>
              <w:right w:val="single" w:color="auto" w:sz="4" w:space="0"/>
            </w:tcBorders>
            <w:noWrap w:val="0"/>
            <w:vAlign w:val="center"/>
          </w:tcPr>
          <w:p w14:paraId="7209191C">
            <w:pPr>
              <w:widowControl/>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农、林、牧、渔</w:t>
            </w:r>
          </w:p>
        </w:tc>
        <w:tc>
          <w:tcPr>
            <w:tcW w:w="1915" w:type="dxa"/>
            <w:tcBorders>
              <w:top w:val="nil"/>
              <w:left w:val="nil"/>
              <w:bottom w:val="single" w:color="auto" w:sz="4" w:space="0"/>
              <w:right w:val="single" w:color="auto" w:sz="4" w:space="0"/>
            </w:tcBorders>
            <w:noWrap w:val="0"/>
            <w:vAlign w:val="center"/>
          </w:tcPr>
          <w:p w14:paraId="7B268AF1">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营业收入（Y）</w:t>
            </w:r>
          </w:p>
        </w:tc>
        <w:tc>
          <w:tcPr>
            <w:tcW w:w="961" w:type="dxa"/>
            <w:tcBorders>
              <w:top w:val="nil"/>
              <w:left w:val="nil"/>
              <w:bottom w:val="single" w:color="auto" w:sz="4" w:space="0"/>
              <w:right w:val="single" w:color="auto" w:sz="4" w:space="0"/>
            </w:tcBorders>
            <w:noWrap w:val="0"/>
            <w:vAlign w:val="center"/>
          </w:tcPr>
          <w:p w14:paraId="75194EF1">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万元</w:t>
            </w:r>
          </w:p>
        </w:tc>
        <w:tc>
          <w:tcPr>
            <w:tcW w:w="2071" w:type="dxa"/>
            <w:tcBorders>
              <w:top w:val="nil"/>
              <w:left w:val="nil"/>
              <w:bottom w:val="single" w:color="auto" w:sz="4" w:space="0"/>
              <w:right w:val="single" w:color="auto" w:sz="4" w:space="0"/>
            </w:tcBorders>
            <w:noWrap w:val="0"/>
            <w:vAlign w:val="center"/>
          </w:tcPr>
          <w:p w14:paraId="5D478149">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500≤Y＜20000</w:t>
            </w:r>
          </w:p>
        </w:tc>
        <w:tc>
          <w:tcPr>
            <w:tcW w:w="1836" w:type="dxa"/>
            <w:tcBorders>
              <w:top w:val="nil"/>
              <w:left w:val="nil"/>
              <w:bottom w:val="single" w:color="auto" w:sz="4" w:space="0"/>
              <w:right w:val="single" w:color="auto" w:sz="4" w:space="0"/>
            </w:tcBorders>
            <w:noWrap w:val="0"/>
            <w:vAlign w:val="center"/>
          </w:tcPr>
          <w:p w14:paraId="6B33BED4">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50≤Y＜500</w:t>
            </w:r>
          </w:p>
        </w:tc>
        <w:tc>
          <w:tcPr>
            <w:tcW w:w="1203" w:type="dxa"/>
            <w:tcBorders>
              <w:top w:val="nil"/>
              <w:left w:val="nil"/>
              <w:bottom w:val="single" w:color="auto" w:sz="4" w:space="0"/>
              <w:right w:val="single" w:color="auto" w:sz="4" w:space="0"/>
            </w:tcBorders>
            <w:noWrap w:val="0"/>
            <w:vAlign w:val="center"/>
          </w:tcPr>
          <w:p w14:paraId="3FEED6A7">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Y＜50</w:t>
            </w:r>
          </w:p>
        </w:tc>
      </w:tr>
      <w:tr w14:paraId="1D4D0C6B">
        <w:tblPrEx>
          <w:tblCellMar>
            <w:top w:w="0" w:type="dxa"/>
            <w:left w:w="108" w:type="dxa"/>
            <w:bottom w:w="0" w:type="dxa"/>
            <w:right w:w="108" w:type="dxa"/>
          </w:tblCellMar>
        </w:tblPrEx>
        <w:trPr>
          <w:trHeight w:val="337" w:hRule="atLeast"/>
          <w:jc w:val="center"/>
        </w:trPr>
        <w:tc>
          <w:tcPr>
            <w:tcW w:w="1550" w:type="dxa"/>
            <w:vMerge w:val="restart"/>
            <w:tcBorders>
              <w:top w:val="nil"/>
              <w:left w:val="single" w:color="auto" w:sz="4" w:space="0"/>
              <w:bottom w:val="single" w:color="auto" w:sz="4" w:space="0"/>
              <w:right w:val="single" w:color="auto" w:sz="4" w:space="0"/>
            </w:tcBorders>
            <w:noWrap w:val="0"/>
            <w:vAlign w:val="center"/>
          </w:tcPr>
          <w:p w14:paraId="35952078">
            <w:pPr>
              <w:widowControl/>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工业</w:t>
            </w:r>
          </w:p>
        </w:tc>
        <w:tc>
          <w:tcPr>
            <w:tcW w:w="1915" w:type="dxa"/>
            <w:tcBorders>
              <w:top w:val="nil"/>
              <w:left w:val="nil"/>
              <w:bottom w:val="single" w:color="auto" w:sz="4" w:space="0"/>
              <w:right w:val="single" w:color="auto" w:sz="4" w:space="0"/>
            </w:tcBorders>
            <w:noWrap w:val="0"/>
            <w:vAlign w:val="center"/>
          </w:tcPr>
          <w:p w14:paraId="4F0E7314">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从业人员（X）</w:t>
            </w:r>
          </w:p>
        </w:tc>
        <w:tc>
          <w:tcPr>
            <w:tcW w:w="961" w:type="dxa"/>
            <w:tcBorders>
              <w:top w:val="nil"/>
              <w:left w:val="nil"/>
              <w:bottom w:val="single" w:color="auto" w:sz="4" w:space="0"/>
              <w:right w:val="single" w:color="auto" w:sz="4" w:space="0"/>
            </w:tcBorders>
            <w:noWrap w:val="0"/>
            <w:vAlign w:val="center"/>
          </w:tcPr>
          <w:p w14:paraId="65923B43">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人</w:t>
            </w:r>
          </w:p>
        </w:tc>
        <w:tc>
          <w:tcPr>
            <w:tcW w:w="2071" w:type="dxa"/>
            <w:tcBorders>
              <w:top w:val="nil"/>
              <w:left w:val="nil"/>
              <w:bottom w:val="single" w:color="auto" w:sz="4" w:space="0"/>
              <w:right w:val="single" w:color="auto" w:sz="4" w:space="0"/>
            </w:tcBorders>
            <w:noWrap w:val="0"/>
            <w:vAlign w:val="center"/>
          </w:tcPr>
          <w:p w14:paraId="5CC3A484">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300≤X＜1000</w:t>
            </w:r>
          </w:p>
        </w:tc>
        <w:tc>
          <w:tcPr>
            <w:tcW w:w="1836" w:type="dxa"/>
            <w:tcBorders>
              <w:top w:val="nil"/>
              <w:left w:val="nil"/>
              <w:bottom w:val="single" w:color="auto" w:sz="4" w:space="0"/>
              <w:right w:val="single" w:color="auto" w:sz="4" w:space="0"/>
            </w:tcBorders>
            <w:noWrap w:val="0"/>
            <w:vAlign w:val="center"/>
          </w:tcPr>
          <w:p w14:paraId="4A97C418">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20≤X＜300</w:t>
            </w:r>
          </w:p>
        </w:tc>
        <w:tc>
          <w:tcPr>
            <w:tcW w:w="1203" w:type="dxa"/>
            <w:tcBorders>
              <w:top w:val="nil"/>
              <w:left w:val="nil"/>
              <w:bottom w:val="single" w:color="auto" w:sz="4" w:space="0"/>
              <w:right w:val="single" w:color="auto" w:sz="4" w:space="0"/>
            </w:tcBorders>
            <w:noWrap w:val="0"/>
            <w:vAlign w:val="center"/>
          </w:tcPr>
          <w:p w14:paraId="13EE33DF">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X＜20</w:t>
            </w:r>
          </w:p>
        </w:tc>
      </w:tr>
      <w:tr w14:paraId="303034B4">
        <w:tblPrEx>
          <w:tblCellMar>
            <w:top w:w="0" w:type="dxa"/>
            <w:left w:w="108" w:type="dxa"/>
            <w:bottom w:w="0" w:type="dxa"/>
            <w:right w:w="108" w:type="dxa"/>
          </w:tblCellMar>
        </w:tblPrEx>
        <w:trPr>
          <w:trHeight w:val="337" w:hRule="atLeast"/>
          <w:jc w:val="center"/>
        </w:trPr>
        <w:tc>
          <w:tcPr>
            <w:tcW w:w="1550" w:type="dxa"/>
            <w:vMerge w:val="continue"/>
            <w:tcBorders>
              <w:top w:val="nil"/>
              <w:left w:val="single" w:color="auto" w:sz="4" w:space="0"/>
              <w:bottom w:val="single" w:color="auto" w:sz="4" w:space="0"/>
              <w:right w:val="single" w:color="auto" w:sz="4" w:space="0"/>
            </w:tcBorders>
            <w:noWrap w:val="0"/>
            <w:vAlign w:val="center"/>
          </w:tcPr>
          <w:p w14:paraId="1976930A">
            <w:pPr>
              <w:widowControl/>
              <w:jc w:val="left"/>
              <w:rPr>
                <w:rFonts w:hint="eastAsia" w:ascii="宋体" w:hAnsi="宋体" w:eastAsia="宋体" w:cs="宋体"/>
                <w:b/>
                <w:bCs/>
                <w:color w:val="auto"/>
                <w:kern w:val="0"/>
                <w:sz w:val="24"/>
                <w:szCs w:val="24"/>
                <w:highlight w:val="none"/>
              </w:rPr>
            </w:pPr>
          </w:p>
        </w:tc>
        <w:tc>
          <w:tcPr>
            <w:tcW w:w="1915" w:type="dxa"/>
            <w:tcBorders>
              <w:top w:val="nil"/>
              <w:left w:val="nil"/>
              <w:bottom w:val="single" w:color="auto" w:sz="4" w:space="0"/>
              <w:right w:val="single" w:color="auto" w:sz="4" w:space="0"/>
            </w:tcBorders>
            <w:noWrap w:val="0"/>
            <w:vAlign w:val="center"/>
          </w:tcPr>
          <w:p w14:paraId="3651BA1D">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营业收入（Y）</w:t>
            </w:r>
          </w:p>
        </w:tc>
        <w:tc>
          <w:tcPr>
            <w:tcW w:w="961" w:type="dxa"/>
            <w:tcBorders>
              <w:top w:val="nil"/>
              <w:left w:val="nil"/>
              <w:bottom w:val="single" w:color="auto" w:sz="4" w:space="0"/>
              <w:right w:val="single" w:color="auto" w:sz="4" w:space="0"/>
            </w:tcBorders>
            <w:noWrap w:val="0"/>
            <w:vAlign w:val="center"/>
          </w:tcPr>
          <w:p w14:paraId="03EC17E7">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万元</w:t>
            </w:r>
          </w:p>
        </w:tc>
        <w:tc>
          <w:tcPr>
            <w:tcW w:w="2071" w:type="dxa"/>
            <w:tcBorders>
              <w:top w:val="nil"/>
              <w:left w:val="nil"/>
              <w:bottom w:val="single" w:color="auto" w:sz="4" w:space="0"/>
              <w:right w:val="single" w:color="auto" w:sz="4" w:space="0"/>
            </w:tcBorders>
            <w:noWrap w:val="0"/>
            <w:vAlign w:val="center"/>
          </w:tcPr>
          <w:p w14:paraId="78D421CE">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2000≤Y＜40000</w:t>
            </w:r>
          </w:p>
        </w:tc>
        <w:tc>
          <w:tcPr>
            <w:tcW w:w="1836" w:type="dxa"/>
            <w:tcBorders>
              <w:top w:val="nil"/>
              <w:left w:val="nil"/>
              <w:bottom w:val="single" w:color="auto" w:sz="4" w:space="0"/>
              <w:right w:val="single" w:color="auto" w:sz="4" w:space="0"/>
            </w:tcBorders>
            <w:noWrap w:val="0"/>
            <w:vAlign w:val="center"/>
          </w:tcPr>
          <w:p w14:paraId="5491A56B">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300≤Y＜2000</w:t>
            </w:r>
          </w:p>
        </w:tc>
        <w:tc>
          <w:tcPr>
            <w:tcW w:w="1203" w:type="dxa"/>
            <w:tcBorders>
              <w:top w:val="nil"/>
              <w:left w:val="nil"/>
              <w:bottom w:val="single" w:color="auto" w:sz="4" w:space="0"/>
              <w:right w:val="single" w:color="auto" w:sz="4" w:space="0"/>
            </w:tcBorders>
            <w:noWrap w:val="0"/>
            <w:vAlign w:val="center"/>
          </w:tcPr>
          <w:p w14:paraId="5AFD6EAE">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Y＜300</w:t>
            </w:r>
          </w:p>
        </w:tc>
      </w:tr>
      <w:tr w14:paraId="7126552E">
        <w:tblPrEx>
          <w:tblCellMar>
            <w:top w:w="0" w:type="dxa"/>
            <w:left w:w="108" w:type="dxa"/>
            <w:bottom w:w="0" w:type="dxa"/>
            <w:right w:w="108" w:type="dxa"/>
          </w:tblCellMar>
        </w:tblPrEx>
        <w:trPr>
          <w:trHeight w:val="337" w:hRule="atLeast"/>
          <w:jc w:val="center"/>
        </w:trPr>
        <w:tc>
          <w:tcPr>
            <w:tcW w:w="1550" w:type="dxa"/>
            <w:vMerge w:val="restart"/>
            <w:tcBorders>
              <w:top w:val="nil"/>
              <w:left w:val="single" w:color="auto" w:sz="4" w:space="0"/>
              <w:bottom w:val="single" w:color="auto" w:sz="4" w:space="0"/>
              <w:right w:val="single" w:color="auto" w:sz="4" w:space="0"/>
            </w:tcBorders>
            <w:noWrap w:val="0"/>
            <w:vAlign w:val="center"/>
          </w:tcPr>
          <w:p w14:paraId="21BA069F">
            <w:pPr>
              <w:widowControl/>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建筑业</w:t>
            </w:r>
          </w:p>
        </w:tc>
        <w:tc>
          <w:tcPr>
            <w:tcW w:w="1915" w:type="dxa"/>
            <w:tcBorders>
              <w:top w:val="nil"/>
              <w:left w:val="nil"/>
              <w:bottom w:val="single" w:color="auto" w:sz="4" w:space="0"/>
              <w:right w:val="single" w:color="auto" w:sz="4" w:space="0"/>
            </w:tcBorders>
            <w:noWrap w:val="0"/>
            <w:vAlign w:val="center"/>
          </w:tcPr>
          <w:p w14:paraId="07A3CEEB">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营业收入（Y）</w:t>
            </w:r>
          </w:p>
        </w:tc>
        <w:tc>
          <w:tcPr>
            <w:tcW w:w="961" w:type="dxa"/>
            <w:tcBorders>
              <w:top w:val="nil"/>
              <w:left w:val="nil"/>
              <w:bottom w:val="single" w:color="auto" w:sz="4" w:space="0"/>
              <w:right w:val="single" w:color="auto" w:sz="4" w:space="0"/>
            </w:tcBorders>
            <w:noWrap w:val="0"/>
            <w:vAlign w:val="center"/>
          </w:tcPr>
          <w:p w14:paraId="5A181F8A">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万元</w:t>
            </w:r>
          </w:p>
        </w:tc>
        <w:tc>
          <w:tcPr>
            <w:tcW w:w="2071" w:type="dxa"/>
            <w:tcBorders>
              <w:top w:val="nil"/>
              <w:left w:val="nil"/>
              <w:bottom w:val="single" w:color="auto" w:sz="4" w:space="0"/>
              <w:right w:val="single" w:color="auto" w:sz="4" w:space="0"/>
            </w:tcBorders>
            <w:noWrap w:val="0"/>
            <w:vAlign w:val="center"/>
          </w:tcPr>
          <w:p w14:paraId="449B8AB0">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6000≤Y＜80000</w:t>
            </w:r>
          </w:p>
        </w:tc>
        <w:tc>
          <w:tcPr>
            <w:tcW w:w="1836" w:type="dxa"/>
            <w:tcBorders>
              <w:top w:val="nil"/>
              <w:left w:val="nil"/>
              <w:bottom w:val="single" w:color="auto" w:sz="4" w:space="0"/>
              <w:right w:val="single" w:color="auto" w:sz="4" w:space="0"/>
            </w:tcBorders>
            <w:noWrap w:val="0"/>
            <w:vAlign w:val="center"/>
          </w:tcPr>
          <w:p w14:paraId="2D4F76DB">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300≤Y＜6000</w:t>
            </w:r>
          </w:p>
        </w:tc>
        <w:tc>
          <w:tcPr>
            <w:tcW w:w="1203" w:type="dxa"/>
            <w:tcBorders>
              <w:top w:val="nil"/>
              <w:left w:val="nil"/>
              <w:bottom w:val="single" w:color="auto" w:sz="4" w:space="0"/>
              <w:right w:val="single" w:color="auto" w:sz="4" w:space="0"/>
            </w:tcBorders>
            <w:noWrap w:val="0"/>
            <w:vAlign w:val="center"/>
          </w:tcPr>
          <w:p w14:paraId="7E82AA25">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Y＜300</w:t>
            </w:r>
          </w:p>
        </w:tc>
      </w:tr>
      <w:tr w14:paraId="5DC57341">
        <w:tblPrEx>
          <w:tblCellMar>
            <w:top w:w="0" w:type="dxa"/>
            <w:left w:w="108" w:type="dxa"/>
            <w:bottom w:w="0" w:type="dxa"/>
            <w:right w:w="108" w:type="dxa"/>
          </w:tblCellMar>
        </w:tblPrEx>
        <w:trPr>
          <w:trHeight w:val="337" w:hRule="atLeast"/>
          <w:jc w:val="center"/>
        </w:trPr>
        <w:tc>
          <w:tcPr>
            <w:tcW w:w="1550" w:type="dxa"/>
            <w:vMerge w:val="continue"/>
            <w:tcBorders>
              <w:top w:val="nil"/>
              <w:left w:val="single" w:color="auto" w:sz="4" w:space="0"/>
              <w:bottom w:val="single" w:color="auto" w:sz="4" w:space="0"/>
              <w:right w:val="single" w:color="auto" w:sz="4" w:space="0"/>
            </w:tcBorders>
            <w:noWrap w:val="0"/>
            <w:vAlign w:val="center"/>
          </w:tcPr>
          <w:p w14:paraId="735D33D7">
            <w:pPr>
              <w:widowControl/>
              <w:jc w:val="left"/>
              <w:rPr>
                <w:rFonts w:hint="eastAsia" w:ascii="宋体" w:hAnsi="宋体" w:eastAsia="宋体" w:cs="宋体"/>
                <w:b/>
                <w:bCs/>
                <w:color w:val="auto"/>
                <w:kern w:val="0"/>
                <w:sz w:val="24"/>
                <w:szCs w:val="24"/>
                <w:highlight w:val="none"/>
              </w:rPr>
            </w:pPr>
          </w:p>
        </w:tc>
        <w:tc>
          <w:tcPr>
            <w:tcW w:w="1915" w:type="dxa"/>
            <w:tcBorders>
              <w:top w:val="nil"/>
              <w:left w:val="nil"/>
              <w:bottom w:val="single" w:color="auto" w:sz="4" w:space="0"/>
              <w:right w:val="single" w:color="auto" w:sz="4" w:space="0"/>
            </w:tcBorders>
            <w:noWrap w:val="0"/>
            <w:vAlign w:val="center"/>
          </w:tcPr>
          <w:p w14:paraId="071AF4EA">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资产总额（Z）</w:t>
            </w:r>
          </w:p>
        </w:tc>
        <w:tc>
          <w:tcPr>
            <w:tcW w:w="961" w:type="dxa"/>
            <w:tcBorders>
              <w:top w:val="nil"/>
              <w:left w:val="nil"/>
              <w:bottom w:val="single" w:color="auto" w:sz="4" w:space="0"/>
              <w:right w:val="single" w:color="auto" w:sz="4" w:space="0"/>
            </w:tcBorders>
            <w:noWrap w:val="0"/>
            <w:vAlign w:val="center"/>
          </w:tcPr>
          <w:p w14:paraId="6E5ECED3">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万元</w:t>
            </w:r>
          </w:p>
        </w:tc>
        <w:tc>
          <w:tcPr>
            <w:tcW w:w="2071" w:type="dxa"/>
            <w:tcBorders>
              <w:top w:val="nil"/>
              <w:left w:val="nil"/>
              <w:bottom w:val="single" w:color="auto" w:sz="4" w:space="0"/>
              <w:right w:val="single" w:color="auto" w:sz="4" w:space="0"/>
            </w:tcBorders>
            <w:noWrap w:val="0"/>
            <w:vAlign w:val="center"/>
          </w:tcPr>
          <w:p w14:paraId="5D73E574">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5000≤Z＜80000</w:t>
            </w:r>
          </w:p>
        </w:tc>
        <w:tc>
          <w:tcPr>
            <w:tcW w:w="1836" w:type="dxa"/>
            <w:tcBorders>
              <w:top w:val="nil"/>
              <w:left w:val="nil"/>
              <w:bottom w:val="single" w:color="auto" w:sz="4" w:space="0"/>
              <w:right w:val="single" w:color="auto" w:sz="4" w:space="0"/>
            </w:tcBorders>
            <w:noWrap w:val="0"/>
            <w:vAlign w:val="center"/>
          </w:tcPr>
          <w:p w14:paraId="3C2F3060">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300≤Z＜5000</w:t>
            </w:r>
          </w:p>
        </w:tc>
        <w:tc>
          <w:tcPr>
            <w:tcW w:w="1203" w:type="dxa"/>
            <w:tcBorders>
              <w:top w:val="nil"/>
              <w:left w:val="nil"/>
              <w:bottom w:val="single" w:color="auto" w:sz="4" w:space="0"/>
              <w:right w:val="single" w:color="auto" w:sz="4" w:space="0"/>
            </w:tcBorders>
            <w:noWrap w:val="0"/>
            <w:vAlign w:val="center"/>
          </w:tcPr>
          <w:p w14:paraId="00FFD5FE">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Z＜300</w:t>
            </w:r>
          </w:p>
        </w:tc>
      </w:tr>
      <w:tr w14:paraId="04D1388D">
        <w:tblPrEx>
          <w:tblCellMar>
            <w:top w:w="0" w:type="dxa"/>
            <w:left w:w="108" w:type="dxa"/>
            <w:bottom w:w="0" w:type="dxa"/>
            <w:right w:w="108" w:type="dxa"/>
          </w:tblCellMar>
        </w:tblPrEx>
        <w:trPr>
          <w:trHeight w:val="337" w:hRule="atLeast"/>
          <w:jc w:val="center"/>
        </w:trPr>
        <w:tc>
          <w:tcPr>
            <w:tcW w:w="1550" w:type="dxa"/>
            <w:vMerge w:val="restart"/>
            <w:tcBorders>
              <w:top w:val="nil"/>
              <w:left w:val="single" w:color="auto" w:sz="4" w:space="0"/>
              <w:bottom w:val="single" w:color="auto" w:sz="4" w:space="0"/>
              <w:right w:val="single" w:color="auto" w:sz="4" w:space="0"/>
            </w:tcBorders>
            <w:noWrap w:val="0"/>
            <w:vAlign w:val="center"/>
          </w:tcPr>
          <w:p w14:paraId="456BE536">
            <w:pPr>
              <w:widowControl/>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批发业</w:t>
            </w:r>
          </w:p>
        </w:tc>
        <w:tc>
          <w:tcPr>
            <w:tcW w:w="1915" w:type="dxa"/>
            <w:tcBorders>
              <w:top w:val="nil"/>
              <w:left w:val="nil"/>
              <w:bottom w:val="single" w:color="auto" w:sz="4" w:space="0"/>
              <w:right w:val="single" w:color="auto" w:sz="4" w:space="0"/>
            </w:tcBorders>
            <w:noWrap w:val="0"/>
            <w:vAlign w:val="center"/>
          </w:tcPr>
          <w:p w14:paraId="388F5164">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从业人员（X）</w:t>
            </w:r>
          </w:p>
        </w:tc>
        <w:tc>
          <w:tcPr>
            <w:tcW w:w="961" w:type="dxa"/>
            <w:tcBorders>
              <w:top w:val="nil"/>
              <w:left w:val="nil"/>
              <w:bottom w:val="single" w:color="auto" w:sz="4" w:space="0"/>
              <w:right w:val="single" w:color="auto" w:sz="4" w:space="0"/>
            </w:tcBorders>
            <w:noWrap w:val="0"/>
            <w:vAlign w:val="center"/>
          </w:tcPr>
          <w:p w14:paraId="6B192DFC">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人</w:t>
            </w:r>
          </w:p>
        </w:tc>
        <w:tc>
          <w:tcPr>
            <w:tcW w:w="2071" w:type="dxa"/>
            <w:tcBorders>
              <w:top w:val="nil"/>
              <w:left w:val="nil"/>
              <w:bottom w:val="single" w:color="auto" w:sz="4" w:space="0"/>
              <w:right w:val="single" w:color="auto" w:sz="4" w:space="0"/>
            </w:tcBorders>
            <w:noWrap w:val="0"/>
            <w:vAlign w:val="center"/>
          </w:tcPr>
          <w:p w14:paraId="48EA76DB">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20≤X＜200</w:t>
            </w:r>
          </w:p>
        </w:tc>
        <w:tc>
          <w:tcPr>
            <w:tcW w:w="1836" w:type="dxa"/>
            <w:tcBorders>
              <w:top w:val="nil"/>
              <w:left w:val="nil"/>
              <w:bottom w:val="single" w:color="auto" w:sz="4" w:space="0"/>
              <w:right w:val="single" w:color="auto" w:sz="4" w:space="0"/>
            </w:tcBorders>
            <w:noWrap w:val="0"/>
            <w:vAlign w:val="center"/>
          </w:tcPr>
          <w:p w14:paraId="1F806640">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5≤X＜20</w:t>
            </w:r>
          </w:p>
        </w:tc>
        <w:tc>
          <w:tcPr>
            <w:tcW w:w="1203" w:type="dxa"/>
            <w:tcBorders>
              <w:top w:val="nil"/>
              <w:left w:val="nil"/>
              <w:bottom w:val="single" w:color="auto" w:sz="4" w:space="0"/>
              <w:right w:val="single" w:color="auto" w:sz="4" w:space="0"/>
            </w:tcBorders>
            <w:noWrap w:val="0"/>
            <w:vAlign w:val="center"/>
          </w:tcPr>
          <w:p w14:paraId="5956DCBA">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X＜5</w:t>
            </w:r>
          </w:p>
        </w:tc>
      </w:tr>
      <w:tr w14:paraId="4B8D7C0B">
        <w:tblPrEx>
          <w:tblCellMar>
            <w:top w:w="0" w:type="dxa"/>
            <w:left w:w="108" w:type="dxa"/>
            <w:bottom w:w="0" w:type="dxa"/>
            <w:right w:w="108" w:type="dxa"/>
          </w:tblCellMar>
        </w:tblPrEx>
        <w:trPr>
          <w:trHeight w:val="337" w:hRule="atLeast"/>
          <w:jc w:val="center"/>
        </w:trPr>
        <w:tc>
          <w:tcPr>
            <w:tcW w:w="1550" w:type="dxa"/>
            <w:vMerge w:val="continue"/>
            <w:tcBorders>
              <w:top w:val="nil"/>
              <w:left w:val="single" w:color="auto" w:sz="4" w:space="0"/>
              <w:bottom w:val="single" w:color="auto" w:sz="4" w:space="0"/>
              <w:right w:val="single" w:color="auto" w:sz="4" w:space="0"/>
            </w:tcBorders>
            <w:noWrap w:val="0"/>
            <w:vAlign w:val="center"/>
          </w:tcPr>
          <w:p w14:paraId="1A68AE15">
            <w:pPr>
              <w:widowControl/>
              <w:jc w:val="left"/>
              <w:rPr>
                <w:rFonts w:hint="eastAsia" w:ascii="宋体" w:hAnsi="宋体" w:eastAsia="宋体" w:cs="宋体"/>
                <w:b/>
                <w:bCs/>
                <w:color w:val="auto"/>
                <w:kern w:val="0"/>
                <w:sz w:val="24"/>
                <w:szCs w:val="24"/>
                <w:highlight w:val="none"/>
              </w:rPr>
            </w:pPr>
          </w:p>
        </w:tc>
        <w:tc>
          <w:tcPr>
            <w:tcW w:w="1915" w:type="dxa"/>
            <w:tcBorders>
              <w:top w:val="nil"/>
              <w:left w:val="nil"/>
              <w:bottom w:val="single" w:color="auto" w:sz="4" w:space="0"/>
              <w:right w:val="single" w:color="auto" w:sz="4" w:space="0"/>
            </w:tcBorders>
            <w:noWrap w:val="0"/>
            <w:vAlign w:val="center"/>
          </w:tcPr>
          <w:p w14:paraId="341B4F4A">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营业收入（Y）</w:t>
            </w:r>
          </w:p>
        </w:tc>
        <w:tc>
          <w:tcPr>
            <w:tcW w:w="961" w:type="dxa"/>
            <w:tcBorders>
              <w:top w:val="nil"/>
              <w:left w:val="nil"/>
              <w:bottom w:val="single" w:color="auto" w:sz="4" w:space="0"/>
              <w:right w:val="single" w:color="auto" w:sz="4" w:space="0"/>
            </w:tcBorders>
            <w:noWrap w:val="0"/>
            <w:vAlign w:val="center"/>
          </w:tcPr>
          <w:p w14:paraId="7441381C">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万元</w:t>
            </w:r>
          </w:p>
        </w:tc>
        <w:tc>
          <w:tcPr>
            <w:tcW w:w="2071" w:type="dxa"/>
            <w:tcBorders>
              <w:top w:val="nil"/>
              <w:left w:val="nil"/>
              <w:bottom w:val="single" w:color="auto" w:sz="4" w:space="0"/>
              <w:right w:val="single" w:color="auto" w:sz="4" w:space="0"/>
            </w:tcBorders>
            <w:noWrap w:val="0"/>
            <w:vAlign w:val="center"/>
          </w:tcPr>
          <w:p w14:paraId="49E54D5F">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5000≤Y＜40000</w:t>
            </w:r>
          </w:p>
        </w:tc>
        <w:tc>
          <w:tcPr>
            <w:tcW w:w="1836" w:type="dxa"/>
            <w:tcBorders>
              <w:top w:val="nil"/>
              <w:left w:val="nil"/>
              <w:bottom w:val="single" w:color="auto" w:sz="4" w:space="0"/>
              <w:right w:val="single" w:color="auto" w:sz="4" w:space="0"/>
            </w:tcBorders>
            <w:noWrap w:val="0"/>
            <w:vAlign w:val="center"/>
          </w:tcPr>
          <w:p w14:paraId="621B42D1">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1000≤Y＜5000</w:t>
            </w:r>
          </w:p>
        </w:tc>
        <w:tc>
          <w:tcPr>
            <w:tcW w:w="1203" w:type="dxa"/>
            <w:tcBorders>
              <w:top w:val="nil"/>
              <w:left w:val="nil"/>
              <w:bottom w:val="single" w:color="auto" w:sz="4" w:space="0"/>
              <w:right w:val="single" w:color="auto" w:sz="4" w:space="0"/>
            </w:tcBorders>
            <w:noWrap w:val="0"/>
            <w:vAlign w:val="center"/>
          </w:tcPr>
          <w:p w14:paraId="30724822">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Y＜1000</w:t>
            </w:r>
          </w:p>
        </w:tc>
      </w:tr>
      <w:tr w14:paraId="754D4638">
        <w:tblPrEx>
          <w:tblCellMar>
            <w:top w:w="0" w:type="dxa"/>
            <w:left w:w="108" w:type="dxa"/>
            <w:bottom w:w="0" w:type="dxa"/>
            <w:right w:w="108" w:type="dxa"/>
          </w:tblCellMar>
        </w:tblPrEx>
        <w:trPr>
          <w:trHeight w:val="337" w:hRule="atLeast"/>
          <w:jc w:val="center"/>
        </w:trPr>
        <w:tc>
          <w:tcPr>
            <w:tcW w:w="1550" w:type="dxa"/>
            <w:vMerge w:val="restart"/>
            <w:tcBorders>
              <w:top w:val="nil"/>
              <w:left w:val="single" w:color="auto" w:sz="4" w:space="0"/>
              <w:bottom w:val="single" w:color="auto" w:sz="4" w:space="0"/>
              <w:right w:val="single" w:color="auto" w:sz="4" w:space="0"/>
            </w:tcBorders>
            <w:noWrap w:val="0"/>
            <w:vAlign w:val="center"/>
          </w:tcPr>
          <w:p w14:paraId="3E4BCD6B">
            <w:pPr>
              <w:widowControl/>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零售业</w:t>
            </w:r>
          </w:p>
        </w:tc>
        <w:tc>
          <w:tcPr>
            <w:tcW w:w="1915" w:type="dxa"/>
            <w:tcBorders>
              <w:top w:val="nil"/>
              <w:left w:val="nil"/>
              <w:bottom w:val="single" w:color="auto" w:sz="4" w:space="0"/>
              <w:right w:val="single" w:color="auto" w:sz="4" w:space="0"/>
            </w:tcBorders>
            <w:noWrap w:val="0"/>
            <w:vAlign w:val="center"/>
          </w:tcPr>
          <w:p w14:paraId="2EF399D6">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从业人员（X）</w:t>
            </w:r>
          </w:p>
        </w:tc>
        <w:tc>
          <w:tcPr>
            <w:tcW w:w="961" w:type="dxa"/>
            <w:tcBorders>
              <w:top w:val="nil"/>
              <w:left w:val="nil"/>
              <w:bottom w:val="single" w:color="auto" w:sz="4" w:space="0"/>
              <w:right w:val="single" w:color="auto" w:sz="4" w:space="0"/>
            </w:tcBorders>
            <w:noWrap w:val="0"/>
            <w:vAlign w:val="center"/>
          </w:tcPr>
          <w:p w14:paraId="0C66A63E">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人</w:t>
            </w:r>
          </w:p>
        </w:tc>
        <w:tc>
          <w:tcPr>
            <w:tcW w:w="2071" w:type="dxa"/>
            <w:tcBorders>
              <w:top w:val="nil"/>
              <w:left w:val="nil"/>
              <w:bottom w:val="single" w:color="auto" w:sz="4" w:space="0"/>
              <w:right w:val="single" w:color="auto" w:sz="4" w:space="0"/>
            </w:tcBorders>
            <w:noWrap w:val="0"/>
            <w:vAlign w:val="center"/>
          </w:tcPr>
          <w:p w14:paraId="24A88B00">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50≤X＜300</w:t>
            </w:r>
          </w:p>
        </w:tc>
        <w:tc>
          <w:tcPr>
            <w:tcW w:w="1836" w:type="dxa"/>
            <w:tcBorders>
              <w:top w:val="nil"/>
              <w:left w:val="nil"/>
              <w:bottom w:val="single" w:color="auto" w:sz="4" w:space="0"/>
              <w:right w:val="single" w:color="auto" w:sz="4" w:space="0"/>
            </w:tcBorders>
            <w:noWrap w:val="0"/>
            <w:vAlign w:val="center"/>
          </w:tcPr>
          <w:p w14:paraId="3EAC1146">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10≤X＜50</w:t>
            </w:r>
          </w:p>
        </w:tc>
        <w:tc>
          <w:tcPr>
            <w:tcW w:w="1203" w:type="dxa"/>
            <w:tcBorders>
              <w:top w:val="nil"/>
              <w:left w:val="nil"/>
              <w:bottom w:val="single" w:color="auto" w:sz="4" w:space="0"/>
              <w:right w:val="single" w:color="auto" w:sz="4" w:space="0"/>
            </w:tcBorders>
            <w:noWrap w:val="0"/>
            <w:vAlign w:val="center"/>
          </w:tcPr>
          <w:p w14:paraId="70D987D1">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X＜10</w:t>
            </w:r>
          </w:p>
        </w:tc>
      </w:tr>
      <w:tr w14:paraId="687F9A65">
        <w:tblPrEx>
          <w:tblCellMar>
            <w:top w:w="0" w:type="dxa"/>
            <w:left w:w="108" w:type="dxa"/>
            <w:bottom w:w="0" w:type="dxa"/>
            <w:right w:w="108" w:type="dxa"/>
          </w:tblCellMar>
        </w:tblPrEx>
        <w:trPr>
          <w:trHeight w:val="337" w:hRule="atLeast"/>
          <w:jc w:val="center"/>
        </w:trPr>
        <w:tc>
          <w:tcPr>
            <w:tcW w:w="1550" w:type="dxa"/>
            <w:vMerge w:val="continue"/>
            <w:tcBorders>
              <w:top w:val="nil"/>
              <w:left w:val="single" w:color="auto" w:sz="4" w:space="0"/>
              <w:bottom w:val="single" w:color="auto" w:sz="4" w:space="0"/>
              <w:right w:val="single" w:color="auto" w:sz="4" w:space="0"/>
            </w:tcBorders>
            <w:noWrap w:val="0"/>
            <w:vAlign w:val="center"/>
          </w:tcPr>
          <w:p w14:paraId="19A0D87B">
            <w:pPr>
              <w:widowControl/>
              <w:jc w:val="left"/>
              <w:rPr>
                <w:rFonts w:hint="eastAsia" w:ascii="宋体" w:hAnsi="宋体" w:eastAsia="宋体" w:cs="宋体"/>
                <w:b/>
                <w:bCs/>
                <w:color w:val="auto"/>
                <w:kern w:val="0"/>
                <w:sz w:val="24"/>
                <w:szCs w:val="24"/>
                <w:highlight w:val="none"/>
              </w:rPr>
            </w:pPr>
          </w:p>
        </w:tc>
        <w:tc>
          <w:tcPr>
            <w:tcW w:w="1915" w:type="dxa"/>
            <w:tcBorders>
              <w:top w:val="nil"/>
              <w:left w:val="nil"/>
              <w:bottom w:val="single" w:color="auto" w:sz="4" w:space="0"/>
              <w:right w:val="single" w:color="auto" w:sz="4" w:space="0"/>
            </w:tcBorders>
            <w:noWrap w:val="0"/>
            <w:vAlign w:val="center"/>
          </w:tcPr>
          <w:p w14:paraId="7229C7CD">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营业收入（Y）</w:t>
            </w:r>
          </w:p>
        </w:tc>
        <w:tc>
          <w:tcPr>
            <w:tcW w:w="961" w:type="dxa"/>
            <w:tcBorders>
              <w:top w:val="nil"/>
              <w:left w:val="nil"/>
              <w:bottom w:val="single" w:color="auto" w:sz="4" w:space="0"/>
              <w:right w:val="single" w:color="auto" w:sz="4" w:space="0"/>
            </w:tcBorders>
            <w:noWrap w:val="0"/>
            <w:vAlign w:val="center"/>
          </w:tcPr>
          <w:p w14:paraId="1CD2F64B">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万元</w:t>
            </w:r>
          </w:p>
        </w:tc>
        <w:tc>
          <w:tcPr>
            <w:tcW w:w="2071" w:type="dxa"/>
            <w:tcBorders>
              <w:top w:val="nil"/>
              <w:left w:val="nil"/>
              <w:bottom w:val="single" w:color="auto" w:sz="4" w:space="0"/>
              <w:right w:val="single" w:color="auto" w:sz="4" w:space="0"/>
            </w:tcBorders>
            <w:noWrap w:val="0"/>
            <w:vAlign w:val="center"/>
          </w:tcPr>
          <w:p w14:paraId="2018686C">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500≤Y＜20000</w:t>
            </w:r>
          </w:p>
        </w:tc>
        <w:tc>
          <w:tcPr>
            <w:tcW w:w="1836" w:type="dxa"/>
            <w:tcBorders>
              <w:top w:val="nil"/>
              <w:left w:val="nil"/>
              <w:bottom w:val="single" w:color="auto" w:sz="4" w:space="0"/>
              <w:right w:val="single" w:color="auto" w:sz="4" w:space="0"/>
            </w:tcBorders>
            <w:noWrap w:val="0"/>
            <w:vAlign w:val="center"/>
          </w:tcPr>
          <w:p w14:paraId="7D5985FC">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100≤Y＜500</w:t>
            </w:r>
          </w:p>
        </w:tc>
        <w:tc>
          <w:tcPr>
            <w:tcW w:w="1203" w:type="dxa"/>
            <w:tcBorders>
              <w:top w:val="nil"/>
              <w:left w:val="nil"/>
              <w:bottom w:val="single" w:color="auto" w:sz="4" w:space="0"/>
              <w:right w:val="single" w:color="auto" w:sz="4" w:space="0"/>
            </w:tcBorders>
            <w:noWrap w:val="0"/>
            <w:vAlign w:val="center"/>
          </w:tcPr>
          <w:p w14:paraId="042E0F54">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Y＜100</w:t>
            </w:r>
          </w:p>
        </w:tc>
      </w:tr>
      <w:tr w14:paraId="1818F729">
        <w:tblPrEx>
          <w:tblCellMar>
            <w:top w:w="0" w:type="dxa"/>
            <w:left w:w="108" w:type="dxa"/>
            <w:bottom w:w="0" w:type="dxa"/>
            <w:right w:w="108" w:type="dxa"/>
          </w:tblCellMar>
        </w:tblPrEx>
        <w:trPr>
          <w:trHeight w:val="337" w:hRule="atLeast"/>
          <w:jc w:val="center"/>
        </w:trPr>
        <w:tc>
          <w:tcPr>
            <w:tcW w:w="1550" w:type="dxa"/>
            <w:vMerge w:val="restart"/>
            <w:tcBorders>
              <w:top w:val="nil"/>
              <w:left w:val="single" w:color="auto" w:sz="4" w:space="0"/>
              <w:bottom w:val="single" w:color="auto" w:sz="4" w:space="0"/>
              <w:right w:val="single" w:color="auto" w:sz="4" w:space="0"/>
            </w:tcBorders>
            <w:noWrap w:val="0"/>
            <w:vAlign w:val="center"/>
          </w:tcPr>
          <w:p w14:paraId="2A41D7DE">
            <w:pPr>
              <w:widowControl/>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交通运输业</w:t>
            </w:r>
          </w:p>
        </w:tc>
        <w:tc>
          <w:tcPr>
            <w:tcW w:w="1915" w:type="dxa"/>
            <w:tcBorders>
              <w:top w:val="nil"/>
              <w:left w:val="nil"/>
              <w:bottom w:val="single" w:color="auto" w:sz="4" w:space="0"/>
              <w:right w:val="single" w:color="auto" w:sz="4" w:space="0"/>
            </w:tcBorders>
            <w:noWrap w:val="0"/>
            <w:vAlign w:val="center"/>
          </w:tcPr>
          <w:p w14:paraId="2731B91E">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从业人员（X）</w:t>
            </w:r>
          </w:p>
        </w:tc>
        <w:tc>
          <w:tcPr>
            <w:tcW w:w="961" w:type="dxa"/>
            <w:tcBorders>
              <w:top w:val="nil"/>
              <w:left w:val="nil"/>
              <w:bottom w:val="single" w:color="auto" w:sz="4" w:space="0"/>
              <w:right w:val="single" w:color="auto" w:sz="4" w:space="0"/>
            </w:tcBorders>
            <w:noWrap w:val="0"/>
            <w:vAlign w:val="center"/>
          </w:tcPr>
          <w:p w14:paraId="471D3889">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人</w:t>
            </w:r>
          </w:p>
        </w:tc>
        <w:tc>
          <w:tcPr>
            <w:tcW w:w="2071" w:type="dxa"/>
            <w:tcBorders>
              <w:top w:val="nil"/>
              <w:left w:val="nil"/>
              <w:bottom w:val="single" w:color="auto" w:sz="4" w:space="0"/>
              <w:right w:val="single" w:color="auto" w:sz="4" w:space="0"/>
            </w:tcBorders>
            <w:noWrap w:val="0"/>
            <w:vAlign w:val="center"/>
          </w:tcPr>
          <w:p w14:paraId="5D09752A">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300≤X＜1000</w:t>
            </w:r>
          </w:p>
        </w:tc>
        <w:tc>
          <w:tcPr>
            <w:tcW w:w="1836" w:type="dxa"/>
            <w:tcBorders>
              <w:top w:val="nil"/>
              <w:left w:val="nil"/>
              <w:bottom w:val="single" w:color="auto" w:sz="4" w:space="0"/>
              <w:right w:val="single" w:color="auto" w:sz="4" w:space="0"/>
            </w:tcBorders>
            <w:noWrap w:val="0"/>
            <w:vAlign w:val="center"/>
          </w:tcPr>
          <w:p w14:paraId="1E8BE907">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20≤X＜300</w:t>
            </w:r>
          </w:p>
        </w:tc>
        <w:tc>
          <w:tcPr>
            <w:tcW w:w="1203" w:type="dxa"/>
            <w:tcBorders>
              <w:top w:val="nil"/>
              <w:left w:val="nil"/>
              <w:bottom w:val="single" w:color="auto" w:sz="4" w:space="0"/>
              <w:right w:val="single" w:color="auto" w:sz="4" w:space="0"/>
            </w:tcBorders>
            <w:noWrap w:val="0"/>
            <w:vAlign w:val="center"/>
          </w:tcPr>
          <w:p w14:paraId="22E4A2E7">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X＜20</w:t>
            </w:r>
          </w:p>
        </w:tc>
      </w:tr>
      <w:tr w14:paraId="00CF6E6B">
        <w:tblPrEx>
          <w:tblCellMar>
            <w:top w:w="0" w:type="dxa"/>
            <w:left w:w="108" w:type="dxa"/>
            <w:bottom w:w="0" w:type="dxa"/>
            <w:right w:w="108" w:type="dxa"/>
          </w:tblCellMar>
        </w:tblPrEx>
        <w:trPr>
          <w:trHeight w:val="337" w:hRule="atLeast"/>
          <w:jc w:val="center"/>
        </w:trPr>
        <w:tc>
          <w:tcPr>
            <w:tcW w:w="1550" w:type="dxa"/>
            <w:vMerge w:val="continue"/>
            <w:tcBorders>
              <w:top w:val="nil"/>
              <w:left w:val="single" w:color="auto" w:sz="4" w:space="0"/>
              <w:bottom w:val="single" w:color="auto" w:sz="4" w:space="0"/>
              <w:right w:val="single" w:color="auto" w:sz="4" w:space="0"/>
            </w:tcBorders>
            <w:noWrap w:val="0"/>
            <w:vAlign w:val="center"/>
          </w:tcPr>
          <w:p w14:paraId="1138D8F8">
            <w:pPr>
              <w:widowControl/>
              <w:jc w:val="left"/>
              <w:rPr>
                <w:rFonts w:hint="eastAsia" w:ascii="宋体" w:hAnsi="宋体" w:eastAsia="宋体" w:cs="宋体"/>
                <w:b/>
                <w:bCs/>
                <w:color w:val="auto"/>
                <w:kern w:val="0"/>
                <w:sz w:val="24"/>
                <w:szCs w:val="24"/>
                <w:highlight w:val="none"/>
              </w:rPr>
            </w:pPr>
          </w:p>
        </w:tc>
        <w:tc>
          <w:tcPr>
            <w:tcW w:w="1915" w:type="dxa"/>
            <w:tcBorders>
              <w:top w:val="nil"/>
              <w:left w:val="nil"/>
              <w:bottom w:val="single" w:color="auto" w:sz="4" w:space="0"/>
              <w:right w:val="single" w:color="auto" w:sz="4" w:space="0"/>
            </w:tcBorders>
            <w:noWrap w:val="0"/>
            <w:vAlign w:val="center"/>
          </w:tcPr>
          <w:p w14:paraId="0E1D30F9">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营业收入（Y）</w:t>
            </w:r>
          </w:p>
        </w:tc>
        <w:tc>
          <w:tcPr>
            <w:tcW w:w="961" w:type="dxa"/>
            <w:tcBorders>
              <w:top w:val="nil"/>
              <w:left w:val="nil"/>
              <w:bottom w:val="single" w:color="auto" w:sz="4" w:space="0"/>
              <w:right w:val="single" w:color="auto" w:sz="4" w:space="0"/>
            </w:tcBorders>
            <w:noWrap w:val="0"/>
            <w:vAlign w:val="center"/>
          </w:tcPr>
          <w:p w14:paraId="2446D11B">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万元</w:t>
            </w:r>
          </w:p>
        </w:tc>
        <w:tc>
          <w:tcPr>
            <w:tcW w:w="2071" w:type="dxa"/>
            <w:tcBorders>
              <w:top w:val="nil"/>
              <w:left w:val="nil"/>
              <w:bottom w:val="single" w:color="auto" w:sz="4" w:space="0"/>
              <w:right w:val="single" w:color="auto" w:sz="4" w:space="0"/>
            </w:tcBorders>
            <w:noWrap w:val="0"/>
            <w:vAlign w:val="center"/>
          </w:tcPr>
          <w:p w14:paraId="320D5D10">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3000≤Y＜30000</w:t>
            </w:r>
          </w:p>
        </w:tc>
        <w:tc>
          <w:tcPr>
            <w:tcW w:w="1836" w:type="dxa"/>
            <w:tcBorders>
              <w:top w:val="nil"/>
              <w:left w:val="nil"/>
              <w:bottom w:val="single" w:color="auto" w:sz="4" w:space="0"/>
              <w:right w:val="single" w:color="auto" w:sz="4" w:space="0"/>
            </w:tcBorders>
            <w:noWrap w:val="0"/>
            <w:vAlign w:val="center"/>
          </w:tcPr>
          <w:p w14:paraId="307EE0BF">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200≤Y＜3000</w:t>
            </w:r>
          </w:p>
        </w:tc>
        <w:tc>
          <w:tcPr>
            <w:tcW w:w="1203" w:type="dxa"/>
            <w:tcBorders>
              <w:top w:val="nil"/>
              <w:left w:val="nil"/>
              <w:bottom w:val="single" w:color="auto" w:sz="4" w:space="0"/>
              <w:right w:val="single" w:color="auto" w:sz="4" w:space="0"/>
            </w:tcBorders>
            <w:noWrap w:val="0"/>
            <w:vAlign w:val="center"/>
          </w:tcPr>
          <w:p w14:paraId="50F97BCC">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Y＜200</w:t>
            </w:r>
          </w:p>
        </w:tc>
      </w:tr>
      <w:tr w14:paraId="786942A0">
        <w:tblPrEx>
          <w:tblCellMar>
            <w:top w:w="0" w:type="dxa"/>
            <w:left w:w="108" w:type="dxa"/>
            <w:bottom w:w="0" w:type="dxa"/>
            <w:right w:w="108" w:type="dxa"/>
          </w:tblCellMar>
        </w:tblPrEx>
        <w:trPr>
          <w:trHeight w:val="337" w:hRule="atLeast"/>
          <w:jc w:val="center"/>
        </w:trPr>
        <w:tc>
          <w:tcPr>
            <w:tcW w:w="1550" w:type="dxa"/>
            <w:vMerge w:val="restart"/>
            <w:tcBorders>
              <w:top w:val="nil"/>
              <w:left w:val="single" w:color="auto" w:sz="4" w:space="0"/>
              <w:bottom w:val="single" w:color="auto" w:sz="4" w:space="0"/>
              <w:right w:val="single" w:color="auto" w:sz="4" w:space="0"/>
            </w:tcBorders>
            <w:noWrap w:val="0"/>
            <w:vAlign w:val="center"/>
          </w:tcPr>
          <w:p w14:paraId="18AF4268">
            <w:pPr>
              <w:widowControl/>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仓储业</w:t>
            </w:r>
          </w:p>
        </w:tc>
        <w:tc>
          <w:tcPr>
            <w:tcW w:w="1915" w:type="dxa"/>
            <w:tcBorders>
              <w:top w:val="nil"/>
              <w:left w:val="nil"/>
              <w:bottom w:val="single" w:color="auto" w:sz="4" w:space="0"/>
              <w:right w:val="single" w:color="auto" w:sz="4" w:space="0"/>
            </w:tcBorders>
            <w:noWrap w:val="0"/>
            <w:vAlign w:val="center"/>
          </w:tcPr>
          <w:p w14:paraId="1F9B3484">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从业人员（X）</w:t>
            </w:r>
          </w:p>
        </w:tc>
        <w:tc>
          <w:tcPr>
            <w:tcW w:w="961" w:type="dxa"/>
            <w:tcBorders>
              <w:top w:val="nil"/>
              <w:left w:val="nil"/>
              <w:bottom w:val="single" w:color="auto" w:sz="4" w:space="0"/>
              <w:right w:val="single" w:color="auto" w:sz="4" w:space="0"/>
            </w:tcBorders>
            <w:noWrap w:val="0"/>
            <w:vAlign w:val="center"/>
          </w:tcPr>
          <w:p w14:paraId="3E692E64">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人</w:t>
            </w:r>
          </w:p>
        </w:tc>
        <w:tc>
          <w:tcPr>
            <w:tcW w:w="2071" w:type="dxa"/>
            <w:tcBorders>
              <w:top w:val="nil"/>
              <w:left w:val="nil"/>
              <w:bottom w:val="single" w:color="auto" w:sz="4" w:space="0"/>
              <w:right w:val="single" w:color="auto" w:sz="4" w:space="0"/>
            </w:tcBorders>
            <w:noWrap w:val="0"/>
            <w:vAlign w:val="center"/>
          </w:tcPr>
          <w:p w14:paraId="396B3CCE">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100≤X＜200</w:t>
            </w:r>
          </w:p>
        </w:tc>
        <w:tc>
          <w:tcPr>
            <w:tcW w:w="1836" w:type="dxa"/>
            <w:tcBorders>
              <w:top w:val="nil"/>
              <w:left w:val="nil"/>
              <w:bottom w:val="single" w:color="auto" w:sz="4" w:space="0"/>
              <w:right w:val="single" w:color="auto" w:sz="4" w:space="0"/>
            </w:tcBorders>
            <w:noWrap w:val="0"/>
            <w:vAlign w:val="center"/>
          </w:tcPr>
          <w:p w14:paraId="28E171F8">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20≤X＜100</w:t>
            </w:r>
          </w:p>
        </w:tc>
        <w:tc>
          <w:tcPr>
            <w:tcW w:w="1203" w:type="dxa"/>
            <w:tcBorders>
              <w:top w:val="nil"/>
              <w:left w:val="nil"/>
              <w:bottom w:val="single" w:color="auto" w:sz="4" w:space="0"/>
              <w:right w:val="single" w:color="auto" w:sz="4" w:space="0"/>
            </w:tcBorders>
            <w:noWrap w:val="0"/>
            <w:vAlign w:val="center"/>
          </w:tcPr>
          <w:p w14:paraId="650EA0D5">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X＜20</w:t>
            </w:r>
          </w:p>
        </w:tc>
      </w:tr>
      <w:tr w14:paraId="4F98410C">
        <w:tblPrEx>
          <w:tblCellMar>
            <w:top w:w="0" w:type="dxa"/>
            <w:left w:w="108" w:type="dxa"/>
            <w:bottom w:w="0" w:type="dxa"/>
            <w:right w:w="108" w:type="dxa"/>
          </w:tblCellMar>
        </w:tblPrEx>
        <w:trPr>
          <w:trHeight w:val="337" w:hRule="atLeast"/>
          <w:jc w:val="center"/>
        </w:trPr>
        <w:tc>
          <w:tcPr>
            <w:tcW w:w="1550" w:type="dxa"/>
            <w:vMerge w:val="continue"/>
            <w:tcBorders>
              <w:top w:val="nil"/>
              <w:left w:val="single" w:color="auto" w:sz="4" w:space="0"/>
              <w:bottom w:val="single" w:color="auto" w:sz="4" w:space="0"/>
              <w:right w:val="single" w:color="auto" w:sz="4" w:space="0"/>
            </w:tcBorders>
            <w:noWrap w:val="0"/>
            <w:vAlign w:val="center"/>
          </w:tcPr>
          <w:p w14:paraId="672FF769">
            <w:pPr>
              <w:widowControl/>
              <w:jc w:val="left"/>
              <w:rPr>
                <w:rFonts w:hint="eastAsia" w:ascii="宋体" w:hAnsi="宋体" w:eastAsia="宋体" w:cs="宋体"/>
                <w:b/>
                <w:bCs/>
                <w:color w:val="auto"/>
                <w:kern w:val="0"/>
                <w:sz w:val="24"/>
                <w:szCs w:val="24"/>
                <w:highlight w:val="none"/>
              </w:rPr>
            </w:pPr>
          </w:p>
        </w:tc>
        <w:tc>
          <w:tcPr>
            <w:tcW w:w="1915" w:type="dxa"/>
            <w:tcBorders>
              <w:top w:val="nil"/>
              <w:left w:val="nil"/>
              <w:bottom w:val="single" w:color="auto" w:sz="4" w:space="0"/>
              <w:right w:val="single" w:color="auto" w:sz="4" w:space="0"/>
            </w:tcBorders>
            <w:noWrap w:val="0"/>
            <w:vAlign w:val="center"/>
          </w:tcPr>
          <w:p w14:paraId="2317CA98">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营业收入（Y）</w:t>
            </w:r>
          </w:p>
        </w:tc>
        <w:tc>
          <w:tcPr>
            <w:tcW w:w="961" w:type="dxa"/>
            <w:tcBorders>
              <w:top w:val="nil"/>
              <w:left w:val="nil"/>
              <w:bottom w:val="single" w:color="auto" w:sz="4" w:space="0"/>
              <w:right w:val="single" w:color="auto" w:sz="4" w:space="0"/>
            </w:tcBorders>
            <w:noWrap w:val="0"/>
            <w:vAlign w:val="center"/>
          </w:tcPr>
          <w:p w14:paraId="38007195">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万元</w:t>
            </w:r>
          </w:p>
        </w:tc>
        <w:tc>
          <w:tcPr>
            <w:tcW w:w="2071" w:type="dxa"/>
            <w:tcBorders>
              <w:top w:val="nil"/>
              <w:left w:val="nil"/>
              <w:bottom w:val="single" w:color="auto" w:sz="4" w:space="0"/>
              <w:right w:val="single" w:color="auto" w:sz="4" w:space="0"/>
            </w:tcBorders>
            <w:noWrap w:val="0"/>
            <w:vAlign w:val="center"/>
          </w:tcPr>
          <w:p w14:paraId="4CC863D5">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1000≤Y＜30000</w:t>
            </w:r>
          </w:p>
        </w:tc>
        <w:tc>
          <w:tcPr>
            <w:tcW w:w="1836" w:type="dxa"/>
            <w:tcBorders>
              <w:top w:val="nil"/>
              <w:left w:val="nil"/>
              <w:bottom w:val="single" w:color="auto" w:sz="4" w:space="0"/>
              <w:right w:val="single" w:color="auto" w:sz="4" w:space="0"/>
            </w:tcBorders>
            <w:noWrap w:val="0"/>
            <w:vAlign w:val="center"/>
          </w:tcPr>
          <w:p w14:paraId="0B97681C">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100≤Y＜1000</w:t>
            </w:r>
          </w:p>
        </w:tc>
        <w:tc>
          <w:tcPr>
            <w:tcW w:w="1203" w:type="dxa"/>
            <w:tcBorders>
              <w:top w:val="nil"/>
              <w:left w:val="nil"/>
              <w:bottom w:val="single" w:color="auto" w:sz="4" w:space="0"/>
              <w:right w:val="single" w:color="auto" w:sz="4" w:space="0"/>
            </w:tcBorders>
            <w:noWrap w:val="0"/>
            <w:vAlign w:val="center"/>
          </w:tcPr>
          <w:p w14:paraId="56B477A0">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Y＜100</w:t>
            </w:r>
          </w:p>
        </w:tc>
      </w:tr>
      <w:tr w14:paraId="38B56691">
        <w:tblPrEx>
          <w:tblCellMar>
            <w:top w:w="0" w:type="dxa"/>
            <w:left w:w="108" w:type="dxa"/>
            <w:bottom w:w="0" w:type="dxa"/>
            <w:right w:w="108" w:type="dxa"/>
          </w:tblCellMar>
        </w:tblPrEx>
        <w:trPr>
          <w:trHeight w:val="337" w:hRule="atLeast"/>
          <w:jc w:val="center"/>
        </w:trPr>
        <w:tc>
          <w:tcPr>
            <w:tcW w:w="1550" w:type="dxa"/>
            <w:vMerge w:val="restart"/>
            <w:tcBorders>
              <w:top w:val="nil"/>
              <w:left w:val="single" w:color="auto" w:sz="4" w:space="0"/>
              <w:bottom w:val="single" w:color="auto" w:sz="4" w:space="0"/>
              <w:right w:val="single" w:color="auto" w:sz="4" w:space="0"/>
            </w:tcBorders>
            <w:noWrap w:val="0"/>
            <w:vAlign w:val="center"/>
          </w:tcPr>
          <w:p w14:paraId="58243AD2">
            <w:pPr>
              <w:widowControl/>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邮政业</w:t>
            </w:r>
          </w:p>
        </w:tc>
        <w:tc>
          <w:tcPr>
            <w:tcW w:w="1915" w:type="dxa"/>
            <w:tcBorders>
              <w:top w:val="nil"/>
              <w:left w:val="nil"/>
              <w:bottom w:val="single" w:color="auto" w:sz="4" w:space="0"/>
              <w:right w:val="single" w:color="auto" w:sz="4" w:space="0"/>
            </w:tcBorders>
            <w:noWrap w:val="0"/>
            <w:vAlign w:val="center"/>
          </w:tcPr>
          <w:p w14:paraId="621EB043">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从业人员（X）</w:t>
            </w:r>
          </w:p>
        </w:tc>
        <w:tc>
          <w:tcPr>
            <w:tcW w:w="961" w:type="dxa"/>
            <w:tcBorders>
              <w:top w:val="nil"/>
              <w:left w:val="nil"/>
              <w:bottom w:val="single" w:color="auto" w:sz="4" w:space="0"/>
              <w:right w:val="single" w:color="auto" w:sz="4" w:space="0"/>
            </w:tcBorders>
            <w:noWrap w:val="0"/>
            <w:vAlign w:val="center"/>
          </w:tcPr>
          <w:p w14:paraId="08266C29">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人</w:t>
            </w:r>
          </w:p>
        </w:tc>
        <w:tc>
          <w:tcPr>
            <w:tcW w:w="2071" w:type="dxa"/>
            <w:tcBorders>
              <w:top w:val="nil"/>
              <w:left w:val="nil"/>
              <w:bottom w:val="single" w:color="auto" w:sz="4" w:space="0"/>
              <w:right w:val="single" w:color="auto" w:sz="4" w:space="0"/>
            </w:tcBorders>
            <w:noWrap w:val="0"/>
            <w:vAlign w:val="center"/>
          </w:tcPr>
          <w:p w14:paraId="3F191655">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300≤X＜1000</w:t>
            </w:r>
          </w:p>
        </w:tc>
        <w:tc>
          <w:tcPr>
            <w:tcW w:w="1836" w:type="dxa"/>
            <w:tcBorders>
              <w:top w:val="nil"/>
              <w:left w:val="nil"/>
              <w:bottom w:val="single" w:color="auto" w:sz="4" w:space="0"/>
              <w:right w:val="single" w:color="auto" w:sz="4" w:space="0"/>
            </w:tcBorders>
            <w:noWrap w:val="0"/>
            <w:vAlign w:val="center"/>
          </w:tcPr>
          <w:p w14:paraId="6A12C158">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20≤X＜300</w:t>
            </w:r>
          </w:p>
        </w:tc>
        <w:tc>
          <w:tcPr>
            <w:tcW w:w="1203" w:type="dxa"/>
            <w:tcBorders>
              <w:top w:val="nil"/>
              <w:left w:val="nil"/>
              <w:bottom w:val="single" w:color="auto" w:sz="4" w:space="0"/>
              <w:right w:val="single" w:color="auto" w:sz="4" w:space="0"/>
            </w:tcBorders>
            <w:noWrap w:val="0"/>
            <w:vAlign w:val="center"/>
          </w:tcPr>
          <w:p w14:paraId="5883CA8F">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X＜20</w:t>
            </w:r>
          </w:p>
        </w:tc>
      </w:tr>
      <w:tr w14:paraId="1D29452B">
        <w:tblPrEx>
          <w:tblCellMar>
            <w:top w:w="0" w:type="dxa"/>
            <w:left w:w="108" w:type="dxa"/>
            <w:bottom w:w="0" w:type="dxa"/>
            <w:right w:w="108" w:type="dxa"/>
          </w:tblCellMar>
        </w:tblPrEx>
        <w:trPr>
          <w:trHeight w:val="337" w:hRule="atLeast"/>
          <w:jc w:val="center"/>
        </w:trPr>
        <w:tc>
          <w:tcPr>
            <w:tcW w:w="1550" w:type="dxa"/>
            <w:vMerge w:val="continue"/>
            <w:tcBorders>
              <w:top w:val="nil"/>
              <w:left w:val="single" w:color="auto" w:sz="4" w:space="0"/>
              <w:bottom w:val="single" w:color="auto" w:sz="4" w:space="0"/>
              <w:right w:val="single" w:color="auto" w:sz="4" w:space="0"/>
            </w:tcBorders>
            <w:noWrap w:val="0"/>
            <w:vAlign w:val="center"/>
          </w:tcPr>
          <w:p w14:paraId="4B59B428">
            <w:pPr>
              <w:widowControl/>
              <w:jc w:val="left"/>
              <w:rPr>
                <w:rFonts w:hint="eastAsia" w:ascii="宋体" w:hAnsi="宋体" w:eastAsia="宋体" w:cs="宋体"/>
                <w:b/>
                <w:bCs/>
                <w:color w:val="auto"/>
                <w:kern w:val="0"/>
                <w:sz w:val="24"/>
                <w:szCs w:val="24"/>
                <w:highlight w:val="none"/>
              </w:rPr>
            </w:pPr>
          </w:p>
        </w:tc>
        <w:tc>
          <w:tcPr>
            <w:tcW w:w="1915" w:type="dxa"/>
            <w:tcBorders>
              <w:top w:val="nil"/>
              <w:left w:val="nil"/>
              <w:bottom w:val="single" w:color="auto" w:sz="4" w:space="0"/>
              <w:right w:val="single" w:color="auto" w:sz="4" w:space="0"/>
            </w:tcBorders>
            <w:noWrap w:val="0"/>
            <w:vAlign w:val="center"/>
          </w:tcPr>
          <w:p w14:paraId="4A15F2A3">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营业收入（Y）</w:t>
            </w:r>
          </w:p>
        </w:tc>
        <w:tc>
          <w:tcPr>
            <w:tcW w:w="961" w:type="dxa"/>
            <w:tcBorders>
              <w:top w:val="nil"/>
              <w:left w:val="nil"/>
              <w:bottom w:val="single" w:color="auto" w:sz="4" w:space="0"/>
              <w:right w:val="single" w:color="auto" w:sz="4" w:space="0"/>
            </w:tcBorders>
            <w:noWrap w:val="0"/>
            <w:vAlign w:val="center"/>
          </w:tcPr>
          <w:p w14:paraId="679EDD5C">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万元</w:t>
            </w:r>
          </w:p>
        </w:tc>
        <w:tc>
          <w:tcPr>
            <w:tcW w:w="2071" w:type="dxa"/>
            <w:tcBorders>
              <w:top w:val="nil"/>
              <w:left w:val="nil"/>
              <w:bottom w:val="single" w:color="auto" w:sz="4" w:space="0"/>
              <w:right w:val="single" w:color="auto" w:sz="4" w:space="0"/>
            </w:tcBorders>
            <w:noWrap w:val="0"/>
            <w:vAlign w:val="center"/>
          </w:tcPr>
          <w:p w14:paraId="212226F6">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2000≤Y＜30000</w:t>
            </w:r>
          </w:p>
        </w:tc>
        <w:tc>
          <w:tcPr>
            <w:tcW w:w="1836" w:type="dxa"/>
            <w:tcBorders>
              <w:top w:val="nil"/>
              <w:left w:val="nil"/>
              <w:bottom w:val="single" w:color="auto" w:sz="4" w:space="0"/>
              <w:right w:val="single" w:color="auto" w:sz="4" w:space="0"/>
            </w:tcBorders>
            <w:noWrap w:val="0"/>
            <w:vAlign w:val="center"/>
          </w:tcPr>
          <w:p w14:paraId="2B8DC3E1">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100≤Y＜2000</w:t>
            </w:r>
          </w:p>
        </w:tc>
        <w:tc>
          <w:tcPr>
            <w:tcW w:w="1203" w:type="dxa"/>
            <w:tcBorders>
              <w:top w:val="nil"/>
              <w:left w:val="nil"/>
              <w:bottom w:val="single" w:color="auto" w:sz="4" w:space="0"/>
              <w:right w:val="single" w:color="auto" w:sz="4" w:space="0"/>
            </w:tcBorders>
            <w:noWrap w:val="0"/>
            <w:vAlign w:val="center"/>
          </w:tcPr>
          <w:p w14:paraId="55328B2E">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Y＜100</w:t>
            </w:r>
          </w:p>
        </w:tc>
      </w:tr>
      <w:tr w14:paraId="663C9B9E">
        <w:tblPrEx>
          <w:tblCellMar>
            <w:top w:w="0" w:type="dxa"/>
            <w:left w:w="108" w:type="dxa"/>
            <w:bottom w:w="0" w:type="dxa"/>
            <w:right w:w="108" w:type="dxa"/>
          </w:tblCellMar>
        </w:tblPrEx>
        <w:trPr>
          <w:trHeight w:val="337" w:hRule="atLeast"/>
          <w:jc w:val="center"/>
        </w:trPr>
        <w:tc>
          <w:tcPr>
            <w:tcW w:w="1550" w:type="dxa"/>
            <w:vMerge w:val="restart"/>
            <w:tcBorders>
              <w:top w:val="nil"/>
              <w:left w:val="single" w:color="auto" w:sz="4" w:space="0"/>
              <w:bottom w:val="single" w:color="auto" w:sz="4" w:space="0"/>
              <w:right w:val="single" w:color="auto" w:sz="4" w:space="0"/>
            </w:tcBorders>
            <w:noWrap w:val="0"/>
            <w:vAlign w:val="center"/>
          </w:tcPr>
          <w:p w14:paraId="71697F7C">
            <w:pPr>
              <w:widowControl/>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住宿业</w:t>
            </w:r>
          </w:p>
        </w:tc>
        <w:tc>
          <w:tcPr>
            <w:tcW w:w="1915" w:type="dxa"/>
            <w:tcBorders>
              <w:top w:val="nil"/>
              <w:left w:val="nil"/>
              <w:bottom w:val="single" w:color="auto" w:sz="4" w:space="0"/>
              <w:right w:val="single" w:color="auto" w:sz="4" w:space="0"/>
            </w:tcBorders>
            <w:noWrap w:val="0"/>
            <w:vAlign w:val="center"/>
          </w:tcPr>
          <w:p w14:paraId="23E0E372">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从业人员（X）</w:t>
            </w:r>
          </w:p>
        </w:tc>
        <w:tc>
          <w:tcPr>
            <w:tcW w:w="961" w:type="dxa"/>
            <w:tcBorders>
              <w:top w:val="nil"/>
              <w:left w:val="nil"/>
              <w:bottom w:val="single" w:color="auto" w:sz="4" w:space="0"/>
              <w:right w:val="single" w:color="auto" w:sz="4" w:space="0"/>
            </w:tcBorders>
            <w:noWrap w:val="0"/>
            <w:vAlign w:val="center"/>
          </w:tcPr>
          <w:p w14:paraId="665C90F9">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人</w:t>
            </w:r>
          </w:p>
        </w:tc>
        <w:tc>
          <w:tcPr>
            <w:tcW w:w="2071" w:type="dxa"/>
            <w:tcBorders>
              <w:top w:val="nil"/>
              <w:left w:val="nil"/>
              <w:bottom w:val="single" w:color="auto" w:sz="4" w:space="0"/>
              <w:right w:val="single" w:color="auto" w:sz="4" w:space="0"/>
            </w:tcBorders>
            <w:noWrap w:val="0"/>
            <w:vAlign w:val="center"/>
          </w:tcPr>
          <w:p w14:paraId="1C496775">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100≤X＜300</w:t>
            </w:r>
          </w:p>
        </w:tc>
        <w:tc>
          <w:tcPr>
            <w:tcW w:w="1836" w:type="dxa"/>
            <w:tcBorders>
              <w:top w:val="nil"/>
              <w:left w:val="nil"/>
              <w:bottom w:val="single" w:color="auto" w:sz="4" w:space="0"/>
              <w:right w:val="single" w:color="auto" w:sz="4" w:space="0"/>
            </w:tcBorders>
            <w:noWrap w:val="0"/>
            <w:vAlign w:val="center"/>
          </w:tcPr>
          <w:p w14:paraId="7DF7DB10">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10≤X＜100</w:t>
            </w:r>
          </w:p>
        </w:tc>
        <w:tc>
          <w:tcPr>
            <w:tcW w:w="1203" w:type="dxa"/>
            <w:tcBorders>
              <w:top w:val="nil"/>
              <w:left w:val="nil"/>
              <w:bottom w:val="single" w:color="auto" w:sz="4" w:space="0"/>
              <w:right w:val="single" w:color="auto" w:sz="4" w:space="0"/>
            </w:tcBorders>
            <w:noWrap w:val="0"/>
            <w:vAlign w:val="center"/>
          </w:tcPr>
          <w:p w14:paraId="68522AD0">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X＜10</w:t>
            </w:r>
          </w:p>
        </w:tc>
      </w:tr>
      <w:tr w14:paraId="3C530FAA">
        <w:tblPrEx>
          <w:tblCellMar>
            <w:top w:w="0" w:type="dxa"/>
            <w:left w:w="108" w:type="dxa"/>
            <w:bottom w:w="0" w:type="dxa"/>
            <w:right w:w="108" w:type="dxa"/>
          </w:tblCellMar>
        </w:tblPrEx>
        <w:trPr>
          <w:trHeight w:val="337" w:hRule="atLeast"/>
          <w:jc w:val="center"/>
        </w:trPr>
        <w:tc>
          <w:tcPr>
            <w:tcW w:w="1550" w:type="dxa"/>
            <w:vMerge w:val="continue"/>
            <w:tcBorders>
              <w:top w:val="nil"/>
              <w:left w:val="single" w:color="auto" w:sz="4" w:space="0"/>
              <w:bottom w:val="single" w:color="auto" w:sz="4" w:space="0"/>
              <w:right w:val="single" w:color="auto" w:sz="4" w:space="0"/>
            </w:tcBorders>
            <w:noWrap w:val="0"/>
            <w:vAlign w:val="center"/>
          </w:tcPr>
          <w:p w14:paraId="35775309">
            <w:pPr>
              <w:widowControl/>
              <w:jc w:val="left"/>
              <w:rPr>
                <w:rFonts w:hint="eastAsia" w:ascii="宋体" w:hAnsi="宋体" w:eastAsia="宋体" w:cs="宋体"/>
                <w:b/>
                <w:bCs/>
                <w:color w:val="auto"/>
                <w:kern w:val="0"/>
                <w:sz w:val="24"/>
                <w:szCs w:val="24"/>
                <w:highlight w:val="none"/>
              </w:rPr>
            </w:pPr>
          </w:p>
        </w:tc>
        <w:tc>
          <w:tcPr>
            <w:tcW w:w="1915" w:type="dxa"/>
            <w:tcBorders>
              <w:top w:val="nil"/>
              <w:left w:val="nil"/>
              <w:bottom w:val="single" w:color="auto" w:sz="4" w:space="0"/>
              <w:right w:val="single" w:color="auto" w:sz="4" w:space="0"/>
            </w:tcBorders>
            <w:noWrap w:val="0"/>
            <w:vAlign w:val="center"/>
          </w:tcPr>
          <w:p w14:paraId="00AC332A">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营业收入（Y）</w:t>
            </w:r>
          </w:p>
        </w:tc>
        <w:tc>
          <w:tcPr>
            <w:tcW w:w="961" w:type="dxa"/>
            <w:tcBorders>
              <w:top w:val="nil"/>
              <w:left w:val="nil"/>
              <w:bottom w:val="single" w:color="auto" w:sz="4" w:space="0"/>
              <w:right w:val="single" w:color="auto" w:sz="4" w:space="0"/>
            </w:tcBorders>
            <w:noWrap w:val="0"/>
            <w:vAlign w:val="center"/>
          </w:tcPr>
          <w:p w14:paraId="7A64B5E4">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万元</w:t>
            </w:r>
          </w:p>
        </w:tc>
        <w:tc>
          <w:tcPr>
            <w:tcW w:w="2071" w:type="dxa"/>
            <w:tcBorders>
              <w:top w:val="nil"/>
              <w:left w:val="nil"/>
              <w:bottom w:val="single" w:color="auto" w:sz="4" w:space="0"/>
              <w:right w:val="single" w:color="auto" w:sz="4" w:space="0"/>
            </w:tcBorders>
            <w:noWrap w:val="0"/>
            <w:vAlign w:val="center"/>
          </w:tcPr>
          <w:p w14:paraId="24BF485C">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2000≤Y＜10000</w:t>
            </w:r>
          </w:p>
        </w:tc>
        <w:tc>
          <w:tcPr>
            <w:tcW w:w="1836" w:type="dxa"/>
            <w:tcBorders>
              <w:top w:val="nil"/>
              <w:left w:val="nil"/>
              <w:bottom w:val="single" w:color="auto" w:sz="4" w:space="0"/>
              <w:right w:val="single" w:color="auto" w:sz="4" w:space="0"/>
            </w:tcBorders>
            <w:noWrap w:val="0"/>
            <w:vAlign w:val="center"/>
          </w:tcPr>
          <w:p w14:paraId="6898B9A0">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100≤Y＜2000</w:t>
            </w:r>
          </w:p>
        </w:tc>
        <w:tc>
          <w:tcPr>
            <w:tcW w:w="1203" w:type="dxa"/>
            <w:tcBorders>
              <w:top w:val="nil"/>
              <w:left w:val="nil"/>
              <w:bottom w:val="single" w:color="auto" w:sz="4" w:space="0"/>
              <w:right w:val="single" w:color="auto" w:sz="4" w:space="0"/>
            </w:tcBorders>
            <w:noWrap w:val="0"/>
            <w:vAlign w:val="center"/>
          </w:tcPr>
          <w:p w14:paraId="73E665A7">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Y＜100</w:t>
            </w:r>
          </w:p>
        </w:tc>
      </w:tr>
      <w:tr w14:paraId="1CD0991F">
        <w:tblPrEx>
          <w:tblCellMar>
            <w:top w:w="0" w:type="dxa"/>
            <w:left w:w="108" w:type="dxa"/>
            <w:bottom w:w="0" w:type="dxa"/>
            <w:right w:w="108" w:type="dxa"/>
          </w:tblCellMar>
        </w:tblPrEx>
        <w:trPr>
          <w:trHeight w:val="337" w:hRule="atLeast"/>
          <w:jc w:val="center"/>
        </w:trPr>
        <w:tc>
          <w:tcPr>
            <w:tcW w:w="1550" w:type="dxa"/>
            <w:vMerge w:val="restart"/>
            <w:tcBorders>
              <w:top w:val="nil"/>
              <w:left w:val="single" w:color="auto" w:sz="4" w:space="0"/>
              <w:bottom w:val="single" w:color="auto" w:sz="4" w:space="0"/>
              <w:right w:val="single" w:color="auto" w:sz="4" w:space="0"/>
            </w:tcBorders>
            <w:noWrap w:val="0"/>
            <w:vAlign w:val="center"/>
          </w:tcPr>
          <w:p w14:paraId="71C1B247">
            <w:pPr>
              <w:widowControl/>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餐饮业</w:t>
            </w:r>
          </w:p>
        </w:tc>
        <w:tc>
          <w:tcPr>
            <w:tcW w:w="1915" w:type="dxa"/>
            <w:tcBorders>
              <w:top w:val="nil"/>
              <w:left w:val="nil"/>
              <w:bottom w:val="single" w:color="auto" w:sz="4" w:space="0"/>
              <w:right w:val="single" w:color="auto" w:sz="4" w:space="0"/>
            </w:tcBorders>
            <w:noWrap w:val="0"/>
            <w:vAlign w:val="center"/>
          </w:tcPr>
          <w:p w14:paraId="7F21589D">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从业人员（X）</w:t>
            </w:r>
          </w:p>
        </w:tc>
        <w:tc>
          <w:tcPr>
            <w:tcW w:w="961" w:type="dxa"/>
            <w:tcBorders>
              <w:top w:val="nil"/>
              <w:left w:val="nil"/>
              <w:bottom w:val="single" w:color="auto" w:sz="4" w:space="0"/>
              <w:right w:val="single" w:color="auto" w:sz="4" w:space="0"/>
            </w:tcBorders>
            <w:noWrap w:val="0"/>
            <w:vAlign w:val="center"/>
          </w:tcPr>
          <w:p w14:paraId="5CE21ED6">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人</w:t>
            </w:r>
          </w:p>
        </w:tc>
        <w:tc>
          <w:tcPr>
            <w:tcW w:w="2071" w:type="dxa"/>
            <w:tcBorders>
              <w:top w:val="nil"/>
              <w:left w:val="nil"/>
              <w:bottom w:val="single" w:color="auto" w:sz="4" w:space="0"/>
              <w:right w:val="single" w:color="auto" w:sz="4" w:space="0"/>
            </w:tcBorders>
            <w:noWrap w:val="0"/>
            <w:vAlign w:val="center"/>
          </w:tcPr>
          <w:p w14:paraId="405D2C8E">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100≤X＜300</w:t>
            </w:r>
          </w:p>
        </w:tc>
        <w:tc>
          <w:tcPr>
            <w:tcW w:w="1836" w:type="dxa"/>
            <w:tcBorders>
              <w:top w:val="nil"/>
              <w:left w:val="nil"/>
              <w:bottom w:val="single" w:color="auto" w:sz="4" w:space="0"/>
              <w:right w:val="single" w:color="auto" w:sz="4" w:space="0"/>
            </w:tcBorders>
            <w:noWrap w:val="0"/>
            <w:vAlign w:val="center"/>
          </w:tcPr>
          <w:p w14:paraId="27FCB2E3">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10≤X＜100</w:t>
            </w:r>
          </w:p>
        </w:tc>
        <w:tc>
          <w:tcPr>
            <w:tcW w:w="1203" w:type="dxa"/>
            <w:tcBorders>
              <w:top w:val="nil"/>
              <w:left w:val="nil"/>
              <w:bottom w:val="single" w:color="auto" w:sz="4" w:space="0"/>
              <w:right w:val="single" w:color="auto" w:sz="4" w:space="0"/>
            </w:tcBorders>
            <w:noWrap w:val="0"/>
            <w:vAlign w:val="center"/>
          </w:tcPr>
          <w:p w14:paraId="7A187485">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X＜10</w:t>
            </w:r>
          </w:p>
        </w:tc>
      </w:tr>
      <w:tr w14:paraId="23A475A1">
        <w:tblPrEx>
          <w:tblCellMar>
            <w:top w:w="0" w:type="dxa"/>
            <w:left w:w="108" w:type="dxa"/>
            <w:bottom w:w="0" w:type="dxa"/>
            <w:right w:w="108" w:type="dxa"/>
          </w:tblCellMar>
        </w:tblPrEx>
        <w:trPr>
          <w:trHeight w:val="337" w:hRule="atLeast"/>
          <w:jc w:val="center"/>
        </w:trPr>
        <w:tc>
          <w:tcPr>
            <w:tcW w:w="1550" w:type="dxa"/>
            <w:vMerge w:val="continue"/>
            <w:tcBorders>
              <w:top w:val="nil"/>
              <w:left w:val="single" w:color="auto" w:sz="4" w:space="0"/>
              <w:bottom w:val="single" w:color="auto" w:sz="4" w:space="0"/>
              <w:right w:val="single" w:color="auto" w:sz="4" w:space="0"/>
            </w:tcBorders>
            <w:noWrap w:val="0"/>
            <w:vAlign w:val="center"/>
          </w:tcPr>
          <w:p w14:paraId="326F6D9E">
            <w:pPr>
              <w:widowControl/>
              <w:jc w:val="left"/>
              <w:rPr>
                <w:rFonts w:hint="eastAsia" w:ascii="宋体" w:hAnsi="宋体" w:eastAsia="宋体" w:cs="宋体"/>
                <w:b/>
                <w:bCs/>
                <w:color w:val="auto"/>
                <w:kern w:val="0"/>
                <w:sz w:val="24"/>
                <w:szCs w:val="24"/>
                <w:highlight w:val="none"/>
              </w:rPr>
            </w:pPr>
          </w:p>
        </w:tc>
        <w:tc>
          <w:tcPr>
            <w:tcW w:w="1915" w:type="dxa"/>
            <w:tcBorders>
              <w:top w:val="nil"/>
              <w:left w:val="nil"/>
              <w:bottom w:val="single" w:color="auto" w:sz="4" w:space="0"/>
              <w:right w:val="single" w:color="auto" w:sz="4" w:space="0"/>
            </w:tcBorders>
            <w:noWrap w:val="0"/>
            <w:vAlign w:val="center"/>
          </w:tcPr>
          <w:p w14:paraId="5A58F994">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营业收入（Y）</w:t>
            </w:r>
          </w:p>
        </w:tc>
        <w:tc>
          <w:tcPr>
            <w:tcW w:w="961" w:type="dxa"/>
            <w:tcBorders>
              <w:top w:val="nil"/>
              <w:left w:val="nil"/>
              <w:bottom w:val="single" w:color="auto" w:sz="4" w:space="0"/>
              <w:right w:val="single" w:color="auto" w:sz="4" w:space="0"/>
            </w:tcBorders>
            <w:noWrap w:val="0"/>
            <w:vAlign w:val="center"/>
          </w:tcPr>
          <w:p w14:paraId="43329E9F">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万元</w:t>
            </w:r>
          </w:p>
        </w:tc>
        <w:tc>
          <w:tcPr>
            <w:tcW w:w="2071" w:type="dxa"/>
            <w:tcBorders>
              <w:top w:val="nil"/>
              <w:left w:val="nil"/>
              <w:bottom w:val="single" w:color="auto" w:sz="4" w:space="0"/>
              <w:right w:val="single" w:color="auto" w:sz="4" w:space="0"/>
            </w:tcBorders>
            <w:noWrap w:val="0"/>
            <w:vAlign w:val="center"/>
          </w:tcPr>
          <w:p w14:paraId="10BE83D3">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2000≤Y＜10000</w:t>
            </w:r>
          </w:p>
        </w:tc>
        <w:tc>
          <w:tcPr>
            <w:tcW w:w="1836" w:type="dxa"/>
            <w:tcBorders>
              <w:top w:val="nil"/>
              <w:left w:val="nil"/>
              <w:bottom w:val="single" w:color="auto" w:sz="4" w:space="0"/>
              <w:right w:val="single" w:color="auto" w:sz="4" w:space="0"/>
            </w:tcBorders>
            <w:noWrap w:val="0"/>
            <w:vAlign w:val="center"/>
          </w:tcPr>
          <w:p w14:paraId="5ACE953C">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100≤Y＜2000</w:t>
            </w:r>
          </w:p>
        </w:tc>
        <w:tc>
          <w:tcPr>
            <w:tcW w:w="1203" w:type="dxa"/>
            <w:tcBorders>
              <w:top w:val="nil"/>
              <w:left w:val="nil"/>
              <w:bottom w:val="single" w:color="auto" w:sz="4" w:space="0"/>
              <w:right w:val="single" w:color="auto" w:sz="4" w:space="0"/>
            </w:tcBorders>
            <w:noWrap w:val="0"/>
            <w:vAlign w:val="center"/>
          </w:tcPr>
          <w:p w14:paraId="0AEF8F19">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Y＜100</w:t>
            </w:r>
          </w:p>
        </w:tc>
      </w:tr>
      <w:tr w14:paraId="09CF7C43">
        <w:tblPrEx>
          <w:tblCellMar>
            <w:top w:w="0" w:type="dxa"/>
            <w:left w:w="108" w:type="dxa"/>
            <w:bottom w:w="0" w:type="dxa"/>
            <w:right w:w="108" w:type="dxa"/>
          </w:tblCellMar>
        </w:tblPrEx>
        <w:trPr>
          <w:trHeight w:val="337" w:hRule="atLeast"/>
          <w:jc w:val="center"/>
        </w:trPr>
        <w:tc>
          <w:tcPr>
            <w:tcW w:w="1550" w:type="dxa"/>
            <w:vMerge w:val="restart"/>
            <w:tcBorders>
              <w:top w:val="nil"/>
              <w:left w:val="single" w:color="auto" w:sz="4" w:space="0"/>
              <w:bottom w:val="single" w:color="auto" w:sz="4" w:space="0"/>
              <w:right w:val="single" w:color="auto" w:sz="4" w:space="0"/>
            </w:tcBorders>
            <w:noWrap w:val="0"/>
            <w:vAlign w:val="center"/>
          </w:tcPr>
          <w:p w14:paraId="5A944712">
            <w:pPr>
              <w:widowControl/>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信息传输业</w:t>
            </w:r>
          </w:p>
        </w:tc>
        <w:tc>
          <w:tcPr>
            <w:tcW w:w="1915" w:type="dxa"/>
            <w:tcBorders>
              <w:top w:val="nil"/>
              <w:left w:val="nil"/>
              <w:bottom w:val="single" w:color="auto" w:sz="4" w:space="0"/>
              <w:right w:val="single" w:color="auto" w:sz="4" w:space="0"/>
            </w:tcBorders>
            <w:noWrap w:val="0"/>
            <w:vAlign w:val="center"/>
          </w:tcPr>
          <w:p w14:paraId="0E0355AB">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从业人员（X）</w:t>
            </w:r>
          </w:p>
        </w:tc>
        <w:tc>
          <w:tcPr>
            <w:tcW w:w="961" w:type="dxa"/>
            <w:tcBorders>
              <w:top w:val="nil"/>
              <w:left w:val="nil"/>
              <w:bottom w:val="single" w:color="auto" w:sz="4" w:space="0"/>
              <w:right w:val="single" w:color="auto" w:sz="4" w:space="0"/>
            </w:tcBorders>
            <w:noWrap w:val="0"/>
            <w:vAlign w:val="center"/>
          </w:tcPr>
          <w:p w14:paraId="76D6151F">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人</w:t>
            </w:r>
          </w:p>
        </w:tc>
        <w:tc>
          <w:tcPr>
            <w:tcW w:w="2071" w:type="dxa"/>
            <w:tcBorders>
              <w:top w:val="nil"/>
              <w:left w:val="nil"/>
              <w:bottom w:val="single" w:color="auto" w:sz="4" w:space="0"/>
              <w:right w:val="single" w:color="auto" w:sz="4" w:space="0"/>
            </w:tcBorders>
            <w:noWrap w:val="0"/>
            <w:vAlign w:val="center"/>
          </w:tcPr>
          <w:p w14:paraId="333123B1">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100≤X＜2000</w:t>
            </w:r>
          </w:p>
        </w:tc>
        <w:tc>
          <w:tcPr>
            <w:tcW w:w="1836" w:type="dxa"/>
            <w:tcBorders>
              <w:top w:val="nil"/>
              <w:left w:val="nil"/>
              <w:bottom w:val="single" w:color="auto" w:sz="4" w:space="0"/>
              <w:right w:val="single" w:color="auto" w:sz="4" w:space="0"/>
            </w:tcBorders>
            <w:noWrap w:val="0"/>
            <w:vAlign w:val="center"/>
          </w:tcPr>
          <w:p w14:paraId="32C769E6">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10≤X＜100</w:t>
            </w:r>
          </w:p>
        </w:tc>
        <w:tc>
          <w:tcPr>
            <w:tcW w:w="1203" w:type="dxa"/>
            <w:tcBorders>
              <w:top w:val="nil"/>
              <w:left w:val="nil"/>
              <w:bottom w:val="single" w:color="auto" w:sz="4" w:space="0"/>
              <w:right w:val="single" w:color="auto" w:sz="4" w:space="0"/>
            </w:tcBorders>
            <w:noWrap w:val="0"/>
            <w:vAlign w:val="center"/>
          </w:tcPr>
          <w:p w14:paraId="62ADB9FC">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X＜10</w:t>
            </w:r>
          </w:p>
        </w:tc>
      </w:tr>
      <w:tr w14:paraId="75291616">
        <w:tblPrEx>
          <w:tblCellMar>
            <w:top w:w="0" w:type="dxa"/>
            <w:left w:w="108" w:type="dxa"/>
            <w:bottom w:w="0" w:type="dxa"/>
            <w:right w:w="108" w:type="dxa"/>
          </w:tblCellMar>
        </w:tblPrEx>
        <w:trPr>
          <w:trHeight w:val="337" w:hRule="atLeast"/>
          <w:jc w:val="center"/>
        </w:trPr>
        <w:tc>
          <w:tcPr>
            <w:tcW w:w="1550" w:type="dxa"/>
            <w:vMerge w:val="continue"/>
            <w:tcBorders>
              <w:top w:val="nil"/>
              <w:left w:val="single" w:color="auto" w:sz="4" w:space="0"/>
              <w:bottom w:val="single" w:color="auto" w:sz="4" w:space="0"/>
              <w:right w:val="single" w:color="auto" w:sz="4" w:space="0"/>
            </w:tcBorders>
            <w:noWrap w:val="0"/>
            <w:vAlign w:val="center"/>
          </w:tcPr>
          <w:p w14:paraId="429B9AE9">
            <w:pPr>
              <w:widowControl/>
              <w:jc w:val="left"/>
              <w:rPr>
                <w:rFonts w:hint="eastAsia" w:ascii="宋体" w:hAnsi="宋体" w:eastAsia="宋体" w:cs="宋体"/>
                <w:b/>
                <w:bCs/>
                <w:color w:val="auto"/>
                <w:kern w:val="0"/>
                <w:sz w:val="24"/>
                <w:szCs w:val="24"/>
                <w:highlight w:val="none"/>
              </w:rPr>
            </w:pPr>
          </w:p>
        </w:tc>
        <w:tc>
          <w:tcPr>
            <w:tcW w:w="1915" w:type="dxa"/>
            <w:tcBorders>
              <w:top w:val="nil"/>
              <w:left w:val="nil"/>
              <w:bottom w:val="single" w:color="auto" w:sz="4" w:space="0"/>
              <w:right w:val="single" w:color="auto" w:sz="4" w:space="0"/>
            </w:tcBorders>
            <w:noWrap w:val="0"/>
            <w:vAlign w:val="center"/>
          </w:tcPr>
          <w:p w14:paraId="7A81C3AB">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营业收入（Y）</w:t>
            </w:r>
          </w:p>
        </w:tc>
        <w:tc>
          <w:tcPr>
            <w:tcW w:w="961" w:type="dxa"/>
            <w:tcBorders>
              <w:top w:val="nil"/>
              <w:left w:val="nil"/>
              <w:bottom w:val="single" w:color="auto" w:sz="4" w:space="0"/>
              <w:right w:val="single" w:color="auto" w:sz="4" w:space="0"/>
            </w:tcBorders>
            <w:noWrap w:val="0"/>
            <w:vAlign w:val="center"/>
          </w:tcPr>
          <w:p w14:paraId="13800B30">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万元</w:t>
            </w:r>
          </w:p>
        </w:tc>
        <w:tc>
          <w:tcPr>
            <w:tcW w:w="2071" w:type="dxa"/>
            <w:tcBorders>
              <w:top w:val="nil"/>
              <w:left w:val="nil"/>
              <w:bottom w:val="single" w:color="auto" w:sz="4" w:space="0"/>
              <w:right w:val="single" w:color="auto" w:sz="4" w:space="0"/>
            </w:tcBorders>
            <w:noWrap w:val="0"/>
            <w:vAlign w:val="center"/>
          </w:tcPr>
          <w:p w14:paraId="39F1F1D1">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1000≤Y＜100000</w:t>
            </w:r>
          </w:p>
        </w:tc>
        <w:tc>
          <w:tcPr>
            <w:tcW w:w="1836" w:type="dxa"/>
            <w:tcBorders>
              <w:top w:val="nil"/>
              <w:left w:val="nil"/>
              <w:bottom w:val="single" w:color="auto" w:sz="4" w:space="0"/>
              <w:right w:val="single" w:color="auto" w:sz="4" w:space="0"/>
            </w:tcBorders>
            <w:noWrap w:val="0"/>
            <w:vAlign w:val="center"/>
          </w:tcPr>
          <w:p w14:paraId="0757798E">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100≤Y＜1000</w:t>
            </w:r>
          </w:p>
        </w:tc>
        <w:tc>
          <w:tcPr>
            <w:tcW w:w="1203" w:type="dxa"/>
            <w:tcBorders>
              <w:top w:val="nil"/>
              <w:left w:val="nil"/>
              <w:bottom w:val="single" w:color="auto" w:sz="4" w:space="0"/>
              <w:right w:val="single" w:color="auto" w:sz="4" w:space="0"/>
            </w:tcBorders>
            <w:noWrap w:val="0"/>
            <w:vAlign w:val="center"/>
          </w:tcPr>
          <w:p w14:paraId="0A067DFC">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Y＜100</w:t>
            </w:r>
          </w:p>
        </w:tc>
      </w:tr>
      <w:tr w14:paraId="51018AAA">
        <w:tblPrEx>
          <w:tblCellMar>
            <w:top w:w="0" w:type="dxa"/>
            <w:left w:w="108" w:type="dxa"/>
            <w:bottom w:w="0" w:type="dxa"/>
            <w:right w:w="108" w:type="dxa"/>
          </w:tblCellMar>
        </w:tblPrEx>
        <w:trPr>
          <w:trHeight w:val="337" w:hRule="atLeast"/>
          <w:jc w:val="center"/>
        </w:trPr>
        <w:tc>
          <w:tcPr>
            <w:tcW w:w="1550" w:type="dxa"/>
            <w:vMerge w:val="restart"/>
            <w:tcBorders>
              <w:top w:val="nil"/>
              <w:left w:val="single" w:color="auto" w:sz="4" w:space="0"/>
              <w:bottom w:val="single" w:color="auto" w:sz="4" w:space="0"/>
              <w:right w:val="single" w:color="auto" w:sz="4" w:space="0"/>
            </w:tcBorders>
            <w:noWrap w:val="0"/>
            <w:vAlign w:val="center"/>
          </w:tcPr>
          <w:p w14:paraId="6EC0EF31">
            <w:pPr>
              <w:widowControl/>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软件和信息技术服务业</w:t>
            </w:r>
          </w:p>
        </w:tc>
        <w:tc>
          <w:tcPr>
            <w:tcW w:w="1915" w:type="dxa"/>
            <w:tcBorders>
              <w:top w:val="nil"/>
              <w:left w:val="nil"/>
              <w:bottom w:val="single" w:color="auto" w:sz="4" w:space="0"/>
              <w:right w:val="single" w:color="auto" w:sz="4" w:space="0"/>
            </w:tcBorders>
            <w:noWrap w:val="0"/>
            <w:vAlign w:val="center"/>
          </w:tcPr>
          <w:p w14:paraId="6B56F0FE">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从业人员（X）</w:t>
            </w:r>
          </w:p>
        </w:tc>
        <w:tc>
          <w:tcPr>
            <w:tcW w:w="961" w:type="dxa"/>
            <w:tcBorders>
              <w:top w:val="nil"/>
              <w:left w:val="nil"/>
              <w:bottom w:val="single" w:color="auto" w:sz="4" w:space="0"/>
              <w:right w:val="single" w:color="auto" w:sz="4" w:space="0"/>
            </w:tcBorders>
            <w:noWrap w:val="0"/>
            <w:vAlign w:val="center"/>
          </w:tcPr>
          <w:p w14:paraId="3A11C668">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人</w:t>
            </w:r>
          </w:p>
        </w:tc>
        <w:tc>
          <w:tcPr>
            <w:tcW w:w="2071" w:type="dxa"/>
            <w:tcBorders>
              <w:top w:val="nil"/>
              <w:left w:val="nil"/>
              <w:bottom w:val="single" w:color="auto" w:sz="4" w:space="0"/>
              <w:right w:val="single" w:color="auto" w:sz="4" w:space="0"/>
            </w:tcBorders>
            <w:noWrap w:val="0"/>
            <w:vAlign w:val="center"/>
          </w:tcPr>
          <w:p w14:paraId="28DE6AE6">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100≤X＜300</w:t>
            </w:r>
          </w:p>
        </w:tc>
        <w:tc>
          <w:tcPr>
            <w:tcW w:w="1836" w:type="dxa"/>
            <w:tcBorders>
              <w:top w:val="nil"/>
              <w:left w:val="nil"/>
              <w:bottom w:val="single" w:color="auto" w:sz="4" w:space="0"/>
              <w:right w:val="single" w:color="auto" w:sz="4" w:space="0"/>
            </w:tcBorders>
            <w:noWrap w:val="0"/>
            <w:vAlign w:val="center"/>
          </w:tcPr>
          <w:p w14:paraId="428AA087">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10≤X＜100</w:t>
            </w:r>
          </w:p>
        </w:tc>
        <w:tc>
          <w:tcPr>
            <w:tcW w:w="1203" w:type="dxa"/>
            <w:tcBorders>
              <w:top w:val="nil"/>
              <w:left w:val="nil"/>
              <w:bottom w:val="single" w:color="auto" w:sz="4" w:space="0"/>
              <w:right w:val="single" w:color="auto" w:sz="4" w:space="0"/>
            </w:tcBorders>
            <w:noWrap w:val="0"/>
            <w:vAlign w:val="center"/>
          </w:tcPr>
          <w:p w14:paraId="09E62449">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X＜10</w:t>
            </w:r>
          </w:p>
        </w:tc>
      </w:tr>
      <w:tr w14:paraId="3A60C579">
        <w:tblPrEx>
          <w:tblCellMar>
            <w:top w:w="0" w:type="dxa"/>
            <w:left w:w="108" w:type="dxa"/>
            <w:bottom w:w="0" w:type="dxa"/>
            <w:right w:w="108" w:type="dxa"/>
          </w:tblCellMar>
        </w:tblPrEx>
        <w:trPr>
          <w:trHeight w:val="337" w:hRule="atLeast"/>
          <w:jc w:val="center"/>
        </w:trPr>
        <w:tc>
          <w:tcPr>
            <w:tcW w:w="1550" w:type="dxa"/>
            <w:vMerge w:val="continue"/>
            <w:tcBorders>
              <w:top w:val="nil"/>
              <w:left w:val="single" w:color="auto" w:sz="4" w:space="0"/>
              <w:bottom w:val="single" w:color="auto" w:sz="4" w:space="0"/>
              <w:right w:val="single" w:color="auto" w:sz="4" w:space="0"/>
            </w:tcBorders>
            <w:noWrap w:val="0"/>
            <w:vAlign w:val="center"/>
          </w:tcPr>
          <w:p w14:paraId="10E45967">
            <w:pPr>
              <w:widowControl/>
              <w:jc w:val="left"/>
              <w:rPr>
                <w:rFonts w:hint="eastAsia" w:ascii="宋体" w:hAnsi="宋体" w:eastAsia="宋体" w:cs="宋体"/>
                <w:b/>
                <w:bCs/>
                <w:color w:val="auto"/>
                <w:kern w:val="0"/>
                <w:sz w:val="24"/>
                <w:szCs w:val="24"/>
                <w:highlight w:val="none"/>
              </w:rPr>
            </w:pPr>
          </w:p>
        </w:tc>
        <w:tc>
          <w:tcPr>
            <w:tcW w:w="1915" w:type="dxa"/>
            <w:tcBorders>
              <w:top w:val="nil"/>
              <w:left w:val="nil"/>
              <w:bottom w:val="single" w:color="auto" w:sz="4" w:space="0"/>
              <w:right w:val="single" w:color="auto" w:sz="4" w:space="0"/>
            </w:tcBorders>
            <w:noWrap w:val="0"/>
            <w:vAlign w:val="center"/>
          </w:tcPr>
          <w:p w14:paraId="690E0F07">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营业收入（Y）</w:t>
            </w:r>
          </w:p>
        </w:tc>
        <w:tc>
          <w:tcPr>
            <w:tcW w:w="961" w:type="dxa"/>
            <w:tcBorders>
              <w:top w:val="nil"/>
              <w:left w:val="nil"/>
              <w:bottom w:val="single" w:color="auto" w:sz="4" w:space="0"/>
              <w:right w:val="single" w:color="auto" w:sz="4" w:space="0"/>
            </w:tcBorders>
            <w:noWrap w:val="0"/>
            <w:vAlign w:val="center"/>
          </w:tcPr>
          <w:p w14:paraId="7ACB3308">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万元</w:t>
            </w:r>
          </w:p>
        </w:tc>
        <w:tc>
          <w:tcPr>
            <w:tcW w:w="2071" w:type="dxa"/>
            <w:tcBorders>
              <w:top w:val="nil"/>
              <w:left w:val="nil"/>
              <w:bottom w:val="single" w:color="auto" w:sz="4" w:space="0"/>
              <w:right w:val="single" w:color="auto" w:sz="4" w:space="0"/>
            </w:tcBorders>
            <w:noWrap w:val="0"/>
            <w:vAlign w:val="center"/>
          </w:tcPr>
          <w:p w14:paraId="55584FF4">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1000≤Y＜10000</w:t>
            </w:r>
          </w:p>
        </w:tc>
        <w:tc>
          <w:tcPr>
            <w:tcW w:w="1836" w:type="dxa"/>
            <w:tcBorders>
              <w:top w:val="nil"/>
              <w:left w:val="nil"/>
              <w:bottom w:val="single" w:color="auto" w:sz="4" w:space="0"/>
              <w:right w:val="single" w:color="auto" w:sz="4" w:space="0"/>
            </w:tcBorders>
            <w:noWrap w:val="0"/>
            <w:vAlign w:val="center"/>
          </w:tcPr>
          <w:p w14:paraId="480958B2">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50≤Y＜1000</w:t>
            </w:r>
          </w:p>
        </w:tc>
        <w:tc>
          <w:tcPr>
            <w:tcW w:w="1203" w:type="dxa"/>
            <w:tcBorders>
              <w:top w:val="nil"/>
              <w:left w:val="nil"/>
              <w:bottom w:val="single" w:color="auto" w:sz="4" w:space="0"/>
              <w:right w:val="single" w:color="auto" w:sz="4" w:space="0"/>
            </w:tcBorders>
            <w:noWrap w:val="0"/>
            <w:vAlign w:val="center"/>
          </w:tcPr>
          <w:p w14:paraId="0F08C330">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Y＜50</w:t>
            </w:r>
          </w:p>
        </w:tc>
      </w:tr>
      <w:tr w14:paraId="48CFB91E">
        <w:tblPrEx>
          <w:tblCellMar>
            <w:top w:w="0" w:type="dxa"/>
            <w:left w:w="108" w:type="dxa"/>
            <w:bottom w:w="0" w:type="dxa"/>
            <w:right w:w="108" w:type="dxa"/>
          </w:tblCellMar>
        </w:tblPrEx>
        <w:trPr>
          <w:trHeight w:val="337" w:hRule="atLeast"/>
          <w:jc w:val="center"/>
        </w:trPr>
        <w:tc>
          <w:tcPr>
            <w:tcW w:w="1550" w:type="dxa"/>
            <w:vMerge w:val="restart"/>
            <w:tcBorders>
              <w:top w:val="nil"/>
              <w:left w:val="single" w:color="auto" w:sz="4" w:space="0"/>
              <w:bottom w:val="single" w:color="auto" w:sz="4" w:space="0"/>
              <w:right w:val="single" w:color="auto" w:sz="4" w:space="0"/>
            </w:tcBorders>
            <w:noWrap w:val="0"/>
            <w:vAlign w:val="center"/>
          </w:tcPr>
          <w:p w14:paraId="57BD1755">
            <w:pPr>
              <w:widowControl/>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房地产开发经营</w:t>
            </w:r>
          </w:p>
        </w:tc>
        <w:tc>
          <w:tcPr>
            <w:tcW w:w="1915" w:type="dxa"/>
            <w:tcBorders>
              <w:top w:val="nil"/>
              <w:left w:val="nil"/>
              <w:bottom w:val="single" w:color="auto" w:sz="4" w:space="0"/>
              <w:right w:val="single" w:color="auto" w:sz="4" w:space="0"/>
            </w:tcBorders>
            <w:noWrap w:val="0"/>
            <w:vAlign w:val="center"/>
          </w:tcPr>
          <w:p w14:paraId="0E898229">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营业收入（Y）</w:t>
            </w:r>
          </w:p>
        </w:tc>
        <w:tc>
          <w:tcPr>
            <w:tcW w:w="961" w:type="dxa"/>
            <w:tcBorders>
              <w:top w:val="nil"/>
              <w:left w:val="nil"/>
              <w:bottom w:val="single" w:color="auto" w:sz="4" w:space="0"/>
              <w:right w:val="single" w:color="auto" w:sz="4" w:space="0"/>
            </w:tcBorders>
            <w:noWrap w:val="0"/>
            <w:vAlign w:val="center"/>
          </w:tcPr>
          <w:p w14:paraId="7D495916">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万元</w:t>
            </w:r>
          </w:p>
        </w:tc>
        <w:tc>
          <w:tcPr>
            <w:tcW w:w="2071" w:type="dxa"/>
            <w:tcBorders>
              <w:top w:val="nil"/>
              <w:left w:val="nil"/>
              <w:bottom w:val="single" w:color="auto" w:sz="4" w:space="0"/>
              <w:right w:val="single" w:color="auto" w:sz="4" w:space="0"/>
            </w:tcBorders>
            <w:noWrap w:val="0"/>
            <w:vAlign w:val="center"/>
          </w:tcPr>
          <w:p w14:paraId="10B0142F">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1000≤Y＜200000</w:t>
            </w:r>
          </w:p>
        </w:tc>
        <w:tc>
          <w:tcPr>
            <w:tcW w:w="1836" w:type="dxa"/>
            <w:tcBorders>
              <w:top w:val="nil"/>
              <w:left w:val="nil"/>
              <w:bottom w:val="single" w:color="auto" w:sz="4" w:space="0"/>
              <w:right w:val="single" w:color="auto" w:sz="4" w:space="0"/>
            </w:tcBorders>
            <w:noWrap w:val="0"/>
            <w:vAlign w:val="center"/>
          </w:tcPr>
          <w:p w14:paraId="409CBE2B">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100≤X＜1000</w:t>
            </w:r>
          </w:p>
        </w:tc>
        <w:tc>
          <w:tcPr>
            <w:tcW w:w="1203" w:type="dxa"/>
            <w:tcBorders>
              <w:top w:val="nil"/>
              <w:left w:val="nil"/>
              <w:bottom w:val="single" w:color="auto" w:sz="4" w:space="0"/>
              <w:right w:val="single" w:color="auto" w:sz="4" w:space="0"/>
            </w:tcBorders>
            <w:noWrap w:val="0"/>
            <w:vAlign w:val="center"/>
          </w:tcPr>
          <w:p w14:paraId="5B2DAFA4">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X＜100</w:t>
            </w:r>
          </w:p>
        </w:tc>
      </w:tr>
      <w:tr w14:paraId="4783BF15">
        <w:tblPrEx>
          <w:tblCellMar>
            <w:top w:w="0" w:type="dxa"/>
            <w:left w:w="108" w:type="dxa"/>
            <w:bottom w:w="0" w:type="dxa"/>
            <w:right w:w="108" w:type="dxa"/>
          </w:tblCellMar>
        </w:tblPrEx>
        <w:trPr>
          <w:trHeight w:val="337" w:hRule="atLeast"/>
          <w:jc w:val="center"/>
        </w:trPr>
        <w:tc>
          <w:tcPr>
            <w:tcW w:w="1550" w:type="dxa"/>
            <w:vMerge w:val="continue"/>
            <w:tcBorders>
              <w:top w:val="nil"/>
              <w:left w:val="single" w:color="auto" w:sz="4" w:space="0"/>
              <w:bottom w:val="single" w:color="auto" w:sz="4" w:space="0"/>
              <w:right w:val="single" w:color="auto" w:sz="4" w:space="0"/>
            </w:tcBorders>
            <w:noWrap w:val="0"/>
            <w:vAlign w:val="center"/>
          </w:tcPr>
          <w:p w14:paraId="3F91570B">
            <w:pPr>
              <w:widowControl/>
              <w:jc w:val="left"/>
              <w:rPr>
                <w:rFonts w:hint="eastAsia" w:ascii="宋体" w:hAnsi="宋体" w:eastAsia="宋体" w:cs="宋体"/>
                <w:b/>
                <w:bCs/>
                <w:color w:val="auto"/>
                <w:kern w:val="0"/>
                <w:sz w:val="24"/>
                <w:szCs w:val="24"/>
                <w:highlight w:val="none"/>
              </w:rPr>
            </w:pPr>
          </w:p>
        </w:tc>
        <w:tc>
          <w:tcPr>
            <w:tcW w:w="1915" w:type="dxa"/>
            <w:tcBorders>
              <w:top w:val="nil"/>
              <w:left w:val="nil"/>
              <w:bottom w:val="single" w:color="auto" w:sz="4" w:space="0"/>
              <w:right w:val="single" w:color="auto" w:sz="4" w:space="0"/>
            </w:tcBorders>
            <w:noWrap w:val="0"/>
            <w:vAlign w:val="center"/>
          </w:tcPr>
          <w:p w14:paraId="3B15C046">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资产总额（Z）</w:t>
            </w:r>
          </w:p>
        </w:tc>
        <w:tc>
          <w:tcPr>
            <w:tcW w:w="961" w:type="dxa"/>
            <w:tcBorders>
              <w:top w:val="nil"/>
              <w:left w:val="nil"/>
              <w:bottom w:val="single" w:color="auto" w:sz="4" w:space="0"/>
              <w:right w:val="single" w:color="auto" w:sz="4" w:space="0"/>
            </w:tcBorders>
            <w:noWrap w:val="0"/>
            <w:vAlign w:val="center"/>
          </w:tcPr>
          <w:p w14:paraId="4B8CE07D">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万元</w:t>
            </w:r>
          </w:p>
        </w:tc>
        <w:tc>
          <w:tcPr>
            <w:tcW w:w="2071" w:type="dxa"/>
            <w:tcBorders>
              <w:top w:val="nil"/>
              <w:left w:val="nil"/>
              <w:bottom w:val="single" w:color="auto" w:sz="4" w:space="0"/>
              <w:right w:val="single" w:color="auto" w:sz="4" w:space="0"/>
            </w:tcBorders>
            <w:noWrap w:val="0"/>
            <w:vAlign w:val="center"/>
          </w:tcPr>
          <w:p w14:paraId="306C9990">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5000≤Z＜10000</w:t>
            </w:r>
          </w:p>
        </w:tc>
        <w:tc>
          <w:tcPr>
            <w:tcW w:w="1836" w:type="dxa"/>
            <w:tcBorders>
              <w:top w:val="nil"/>
              <w:left w:val="nil"/>
              <w:bottom w:val="single" w:color="auto" w:sz="4" w:space="0"/>
              <w:right w:val="single" w:color="auto" w:sz="4" w:space="0"/>
            </w:tcBorders>
            <w:noWrap w:val="0"/>
            <w:vAlign w:val="center"/>
          </w:tcPr>
          <w:p w14:paraId="769C6619">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2000≤Y＜5000</w:t>
            </w:r>
          </w:p>
        </w:tc>
        <w:tc>
          <w:tcPr>
            <w:tcW w:w="1203" w:type="dxa"/>
            <w:tcBorders>
              <w:top w:val="nil"/>
              <w:left w:val="nil"/>
              <w:bottom w:val="single" w:color="auto" w:sz="4" w:space="0"/>
              <w:right w:val="single" w:color="auto" w:sz="4" w:space="0"/>
            </w:tcBorders>
            <w:noWrap w:val="0"/>
            <w:vAlign w:val="center"/>
          </w:tcPr>
          <w:p w14:paraId="31A4092B">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Y＜2000</w:t>
            </w:r>
          </w:p>
        </w:tc>
      </w:tr>
      <w:tr w14:paraId="6C70884E">
        <w:tblPrEx>
          <w:tblCellMar>
            <w:top w:w="0" w:type="dxa"/>
            <w:left w:w="108" w:type="dxa"/>
            <w:bottom w:w="0" w:type="dxa"/>
            <w:right w:w="108" w:type="dxa"/>
          </w:tblCellMar>
        </w:tblPrEx>
        <w:trPr>
          <w:trHeight w:val="337" w:hRule="atLeast"/>
          <w:jc w:val="center"/>
        </w:trPr>
        <w:tc>
          <w:tcPr>
            <w:tcW w:w="1550" w:type="dxa"/>
            <w:vMerge w:val="restart"/>
            <w:tcBorders>
              <w:top w:val="nil"/>
              <w:left w:val="single" w:color="auto" w:sz="4" w:space="0"/>
              <w:bottom w:val="single" w:color="auto" w:sz="4" w:space="0"/>
              <w:right w:val="single" w:color="auto" w:sz="4" w:space="0"/>
            </w:tcBorders>
            <w:noWrap w:val="0"/>
            <w:vAlign w:val="center"/>
          </w:tcPr>
          <w:p w14:paraId="17606823">
            <w:pPr>
              <w:widowControl/>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物业管理</w:t>
            </w:r>
          </w:p>
        </w:tc>
        <w:tc>
          <w:tcPr>
            <w:tcW w:w="1915" w:type="dxa"/>
            <w:tcBorders>
              <w:top w:val="nil"/>
              <w:left w:val="nil"/>
              <w:bottom w:val="single" w:color="auto" w:sz="4" w:space="0"/>
              <w:right w:val="single" w:color="auto" w:sz="4" w:space="0"/>
            </w:tcBorders>
            <w:noWrap w:val="0"/>
            <w:vAlign w:val="center"/>
          </w:tcPr>
          <w:p w14:paraId="1032343B">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从业人员（X）</w:t>
            </w:r>
          </w:p>
        </w:tc>
        <w:tc>
          <w:tcPr>
            <w:tcW w:w="961" w:type="dxa"/>
            <w:tcBorders>
              <w:top w:val="nil"/>
              <w:left w:val="nil"/>
              <w:bottom w:val="single" w:color="auto" w:sz="4" w:space="0"/>
              <w:right w:val="single" w:color="auto" w:sz="4" w:space="0"/>
            </w:tcBorders>
            <w:noWrap w:val="0"/>
            <w:vAlign w:val="center"/>
          </w:tcPr>
          <w:p w14:paraId="476AB21B">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人</w:t>
            </w:r>
          </w:p>
        </w:tc>
        <w:tc>
          <w:tcPr>
            <w:tcW w:w="2071" w:type="dxa"/>
            <w:tcBorders>
              <w:top w:val="nil"/>
              <w:left w:val="nil"/>
              <w:bottom w:val="single" w:color="auto" w:sz="4" w:space="0"/>
              <w:right w:val="single" w:color="auto" w:sz="4" w:space="0"/>
            </w:tcBorders>
            <w:noWrap w:val="0"/>
            <w:vAlign w:val="center"/>
          </w:tcPr>
          <w:p w14:paraId="6A50ADE1">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300≤X＜1000</w:t>
            </w:r>
          </w:p>
        </w:tc>
        <w:tc>
          <w:tcPr>
            <w:tcW w:w="1836" w:type="dxa"/>
            <w:tcBorders>
              <w:top w:val="nil"/>
              <w:left w:val="nil"/>
              <w:bottom w:val="single" w:color="auto" w:sz="4" w:space="0"/>
              <w:right w:val="single" w:color="auto" w:sz="4" w:space="0"/>
            </w:tcBorders>
            <w:noWrap w:val="0"/>
            <w:vAlign w:val="center"/>
          </w:tcPr>
          <w:p w14:paraId="667319DB">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100≤X＜300</w:t>
            </w:r>
          </w:p>
        </w:tc>
        <w:tc>
          <w:tcPr>
            <w:tcW w:w="1203" w:type="dxa"/>
            <w:tcBorders>
              <w:top w:val="nil"/>
              <w:left w:val="nil"/>
              <w:bottom w:val="single" w:color="auto" w:sz="4" w:space="0"/>
              <w:right w:val="single" w:color="auto" w:sz="4" w:space="0"/>
            </w:tcBorders>
            <w:noWrap w:val="0"/>
            <w:vAlign w:val="center"/>
          </w:tcPr>
          <w:p w14:paraId="2AFB0583">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X＜100</w:t>
            </w:r>
          </w:p>
        </w:tc>
      </w:tr>
      <w:tr w14:paraId="1D4BB184">
        <w:tblPrEx>
          <w:tblCellMar>
            <w:top w:w="0" w:type="dxa"/>
            <w:left w:w="108" w:type="dxa"/>
            <w:bottom w:w="0" w:type="dxa"/>
            <w:right w:w="108" w:type="dxa"/>
          </w:tblCellMar>
        </w:tblPrEx>
        <w:trPr>
          <w:trHeight w:val="337" w:hRule="atLeast"/>
          <w:jc w:val="center"/>
        </w:trPr>
        <w:tc>
          <w:tcPr>
            <w:tcW w:w="1550" w:type="dxa"/>
            <w:vMerge w:val="continue"/>
            <w:tcBorders>
              <w:top w:val="nil"/>
              <w:left w:val="single" w:color="auto" w:sz="4" w:space="0"/>
              <w:bottom w:val="single" w:color="auto" w:sz="4" w:space="0"/>
              <w:right w:val="single" w:color="auto" w:sz="4" w:space="0"/>
            </w:tcBorders>
            <w:noWrap w:val="0"/>
            <w:vAlign w:val="center"/>
          </w:tcPr>
          <w:p w14:paraId="520677AF">
            <w:pPr>
              <w:widowControl/>
              <w:jc w:val="left"/>
              <w:rPr>
                <w:rFonts w:hint="eastAsia" w:ascii="宋体" w:hAnsi="宋体" w:eastAsia="宋体" w:cs="宋体"/>
                <w:b/>
                <w:bCs/>
                <w:color w:val="auto"/>
                <w:kern w:val="0"/>
                <w:sz w:val="24"/>
                <w:szCs w:val="24"/>
                <w:highlight w:val="none"/>
              </w:rPr>
            </w:pPr>
          </w:p>
        </w:tc>
        <w:tc>
          <w:tcPr>
            <w:tcW w:w="1915" w:type="dxa"/>
            <w:tcBorders>
              <w:top w:val="nil"/>
              <w:left w:val="nil"/>
              <w:bottom w:val="single" w:color="auto" w:sz="4" w:space="0"/>
              <w:right w:val="single" w:color="auto" w:sz="4" w:space="0"/>
            </w:tcBorders>
            <w:noWrap w:val="0"/>
            <w:vAlign w:val="center"/>
          </w:tcPr>
          <w:p w14:paraId="378FBFD0">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营业收入（Y）</w:t>
            </w:r>
          </w:p>
        </w:tc>
        <w:tc>
          <w:tcPr>
            <w:tcW w:w="961" w:type="dxa"/>
            <w:tcBorders>
              <w:top w:val="nil"/>
              <w:left w:val="nil"/>
              <w:bottom w:val="single" w:color="auto" w:sz="4" w:space="0"/>
              <w:right w:val="single" w:color="auto" w:sz="4" w:space="0"/>
            </w:tcBorders>
            <w:noWrap w:val="0"/>
            <w:vAlign w:val="center"/>
          </w:tcPr>
          <w:p w14:paraId="26FBD111">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万元</w:t>
            </w:r>
          </w:p>
        </w:tc>
        <w:tc>
          <w:tcPr>
            <w:tcW w:w="2071" w:type="dxa"/>
            <w:tcBorders>
              <w:top w:val="nil"/>
              <w:left w:val="nil"/>
              <w:bottom w:val="single" w:color="auto" w:sz="4" w:space="0"/>
              <w:right w:val="single" w:color="auto" w:sz="4" w:space="0"/>
            </w:tcBorders>
            <w:noWrap w:val="0"/>
            <w:vAlign w:val="center"/>
          </w:tcPr>
          <w:p w14:paraId="0CFD9447">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1000≤Y＜5000</w:t>
            </w:r>
          </w:p>
        </w:tc>
        <w:tc>
          <w:tcPr>
            <w:tcW w:w="1836" w:type="dxa"/>
            <w:tcBorders>
              <w:top w:val="nil"/>
              <w:left w:val="nil"/>
              <w:bottom w:val="single" w:color="auto" w:sz="4" w:space="0"/>
              <w:right w:val="single" w:color="auto" w:sz="4" w:space="0"/>
            </w:tcBorders>
            <w:noWrap w:val="0"/>
            <w:vAlign w:val="center"/>
          </w:tcPr>
          <w:p w14:paraId="063BC817">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500≤Y＜1000</w:t>
            </w:r>
          </w:p>
        </w:tc>
        <w:tc>
          <w:tcPr>
            <w:tcW w:w="1203" w:type="dxa"/>
            <w:tcBorders>
              <w:top w:val="nil"/>
              <w:left w:val="nil"/>
              <w:bottom w:val="single" w:color="auto" w:sz="4" w:space="0"/>
              <w:right w:val="single" w:color="auto" w:sz="4" w:space="0"/>
            </w:tcBorders>
            <w:noWrap w:val="0"/>
            <w:vAlign w:val="center"/>
          </w:tcPr>
          <w:p w14:paraId="1480426C">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Y＜500</w:t>
            </w:r>
          </w:p>
        </w:tc>
      </w:tr>
      <w:tr w14:paraId="790BD26E">
        <w:tblPrEx>
          <w:tblCellMar>
            <w:top w:w="0" w:type="dxa"/>
            <w:left w:w="108" w:type="dxa"/>
            <w:bottom w:w="0" w:type="dxa"/>
            <w:right w:w="108" w:type="dxa"/>
          </w:tblCellMar>
        </w:tblPrEx>
        <w:trPr>
          <w:trHeight w:val="337" w:hRule="atLeast"/>
          <w:jc w:val="center"/>
        </w:trPr>
        <w:tc>
          <w:tcPr>
            <w:tcW w:w="1550" w:type="dxa"/>
            <w:vMerge w:val="restart"/>
            <w:tcBorders>
              <w:top w:val="nil"/>
              <w:left w:val="single" w:color="auto" w:sz="4" w:space="0"/>
              <w:bottom w:val="single" w:color="auto" w:sz="4" w:space="0"/>
              <w:right w:val="single" w:color="auto" w:sz="4" w:space="0"/>
            </w:tcBorders>
            <w:noWrap w:val="0"/>
            <w:vAlign w:val="center"/>
          </w:tcPr>
          <w:p w14:paraId="19AB3BEE">
            <w:pPr>
              <w:widowControl/>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租赁和商务服务业</w:t>
            </w:r>
          </w:p>
        </w:tc>
        <w:tc>
          <w:tcPr>
            <w:tcW w:w="1915" w:type="dxa"/>
            <w:tcBorders>
              <w:top w:val="nil"/>
              <w:left w:val="nil"/>
              <w:bottom w:val="single" w:color="auto" w:sz="4" w:space="0"/>
              <w:right w:val="single" w:color="auto" w:sz="4" w:space="0"/>
            </w:tcBorders>
            <w:noWrap w:val="0"/>
            <w:vAlign w:val="center"/>
          </w:tcPr>
          <w:p w14:paraId="4E781E7D">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从业人员（X）</w:t>
            </w:r>
          </w:p>
        </w:tc>
        <w:tc>
          <w:tcPr>
            <w:tcW w:w="961" w:type="dxa"/>
            <w:tcBorders>
              <w:top w:val="nil"/>
              <w:left w:val="nil"/>
              <w:bottom w:val="single" w:color="auto" w:sz="4" w:space="0"/>
              <w:right w:val="single" w:color="auto" w:sz="4" w:space="0"/>
            </w:tcBorders>
            <w:noWrap w:val="0"/>
            <w:vAlign w:val="center"/>
          </w:tcPr>
          <w:p w14:paraId="7346C3CF">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人</w:t>
            </w:r>
          </w:p>
        </w:tc>
        <w:tc>
          <w:tcPr>
            <w:tcW w:w="2071" w:type="dxa"/>
            <w:tcBorders>
              <w:top w:val="nil"/>
              <w:left w:val="nil"/>
              <w:bottom w:val="single" w:color="auto" w:sz="4" w:space="0"/>
              <w:right w:val="single" w:color="auto" w:sz="4" w:space="0"/>
            </w:tcBorders>
            <w:noWrap w:val="0"/>
            <w:vAlign w:val="center"/>
          </w:tcPr>
          <w:p w14:paraId="5C6ED7A4">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100≤X＜300</w:t>
            </w:r>
          </w:p>
        </w:tc>
        <w:tc>
          <w:tcPr>
            <w:tcW w:w="1836" w:type="dxa"/>
            <w:tcBorders>
              <w:top w:val="nil"/>
              <w:left w:val="nil"/>
              <w:bottom w:val="single" w:color="auto" w:sz="4" w:space="0"/>
              <w:right w:val="single" w:color="auto" w:sz="4" w:space="0"/>
            </w:tcBorders>
            <w:noWrap w:val="0"/>
            <w:vAlign w:val="center"/>
          </w:tcPr>
          <w:p w14:paraId="54611619">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10≤X＜100</w:t>
            </w:r>
          </w:p>
        </w:tc>
        <w:tc>
          <w:tcPr>
            <w:tcW w:w="1203" w:type="dxa"/>
            <w:tcBorders>
              <w:top w:val="nil"/>
              <w:left w:val="nil"/>
              <w:bottom w:val="single" w:color="auto" w:sz="4" w:space="0"/>
              <w:right w:val="single" w:color="auto" w:sz="4" w:space="0"/>
            </w:tcBorders>
            <w:noWrap w:val="0"/>
            <w:vAlign w:val="center"/>
          </w:tcPr>
          <w:p w14:paraId="131ED448">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X＜10</w:t>
            </w:r>
          </w:p>
        </w:tc>
      </w:tr>
      <w:tr w14:paraId="3E5BF7C3">
        <w:tblPrEx>
          <w:tblCellMar>
            <w:top w:w="0" w:type="dxa"/>
            <w:left w:w="108" w:type="dxa"/>
            <w:bottom w:w="0" w:type="dxa"/>
            <w:right w:w="108" w:type="dxa"/>
          </w:tblCellMar>
        </w:tblPrEx>
        <w:trPr>
          <w:trHeight w:val="337" w:hRule="atLeast"/>
          <w:jc w:val="center"/>
        </w:trPr>
        <w:tc>
          <w:tcPr>
            <w:tcW w:w="1550" w:type="dxa"/>
            <w:vMerge w:val="continue"/>
            <w:tcBorders>
              <w:top w:val="nil"/>
              <w:left w:val="single" w:color="auto" w:sz="4" w:space="0"/>
              <w:bottom w:val="single" w:color="auto" w:sz="4" w:space="0"/>
              <w:right w:val="single" w:color="auto" w:sz="4" w:space="0"/>
            </w:tcBorders>
            <w:noWrap w:val="0"/>
            <w:vAlign w:val="center"/>
          </w:tcPr>
          <w:p w14:paraId="79618059">
            <w:pPr>
              <w:widowControl/>
              <w:jc w:val="left"/>
              <w:rPr>
                <w:rFonts w:hint="eastAsia" w:ascii="宋体" w:hAnsi="宋体" w:eastAsia="宋体" w:cs="宋体"/>
                <w:b/>
                <w:bCs/>
                <w:color w:val="auto"/>
                <w:kern w:val="0"/>
                <w:sz w:val="24"/>
                <w:szCs w:val="24"/>
                <w:highlight w:val="none"/>
              </w:rPr>
            </w:pPr>
          </w:p>
        </w:tc>
        <w:tc>
          <w:tcPr>
            <w:tcW w:w="1915" w:type="dxa"/>
            <w:tcBorders>
              <w:top w:val="nil"/>
              <w:left w:val="nil"/>
              <w:bottom w:val="single" w:color="auto" w:sz="4" w:space="0"/>
              <w:right w:val="single" w:color="auto" w:sz="4" w:space="0"/>
            </w:tcBorders>
            <w:noWrap w:val="0"/>
            <w:vAlign w:val="center"/>
          </w:tcPr>
          <w:p w14:paraId="3D6156C2">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资产总额（Z）</w:t>
            </w:r>
          </w:p>
        </w:tc>
        <w:tc>
          <w:tcPr>
            <w:tcW w:w="961" w:type="dxa"/>
            <w:tcBorders>
              <w:top w:val="nil"/>
              <w:left w:val="nil"/>
              <w:bottom w:val="single" w:color="auto" w:sz="4" w:space="0"/>
              <w:right w:val="single" w:color="auto" w:sz="4" w:space="0"/>
            </w:tcBorders>
            <w:noWrap w:val="0"/>
            <w:vAlign w:val="center"/>
          </w:tcPr>
          <w:p w14:paraId="5229C766">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万元</w:t>
            </w:r>
          </w:p>
        </w:tc>
        <w:tc>
          <w:tcPr>
            <w:tcW w:w="2071" w:type="dxa"/>
            <w:tcBorders>
              <w:top w:val="nil"/>
              <w:left w:val="nil"/>
              <w:bottom w:val="single" w:color="auto" w:sz="4" w:space="0"/>
              <w:right w:val="single" w:color="auto" w:sz="4" w:space="0"/>
            </w:tcBorders>
            <w:noWrap w:val="0"/>
            <w:vAlign w:val="center"/>
          </w:tcPr>
          <w:p w14:paraId="74ED52BE">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8000≤Z＜120000</w:t>
            </w:r>
          </w:p>
        </w:tc>
        <w:tc>
          <w:tcPr>
            <w:tcW w:w="1836" w:type="dxa"/>
            <w:tcBorders>
              <w:top w:val="nil"/>
              <w:left w:val="nil"/>
              <w:bottom w:val="single" w:color="auto" w:sz="4" w:space="0"/>
              <w:right w:val="single" w:color="auto" w:sz="4" w:space="0"/>
            </w:tcBorders>
            <w:noWrap w:val="0"/>
            <w:vAlign w:val="center"/>
          </w:tcPr>
          <w:p w14:paraId="53A395BC">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100≤Z＜8000</w:t>
            </w:r>
          </w:p>
        </w:tc>
        <w:tc>
          <w:tcPr>
            <w:tcW w:w="1203" w:type="dxa"/>
            <w:tcBorders>
              <w:top w:val="nil"/>
              <w:left w:val="nil"/>
              <w:bottom w:val="single" w:color="auto" w:sz="4" w:space="0"/>
              <w:right w:val="single" w:color="auto" w:sz="4" w:space="0"/>
            </w:tcBorders>
            <w:noWrap w:val="0"/>
            <w:vAlign w:val="center"/>
          </w:tcPr>
          <w:p w14:paraId="5429C832">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Y＜100</w:t>
            </w:r>
          </w:p>
        </w:tc>
      </w:tr>
      <w:tr w14:paraId="50537604">
        <w:tblPrEx>
          <w:tblCellMar>
            <w:top w:w="0" w:type="dxa"/>
            <w:left w:w="108" w:type="dxa"/>
            <w:bottom w:w="0" w:type="dxa"/>
            <w:right w:w="108" w:type="dxa"/>
          </w:tblCellMar>
        </w:tblPrEx>
        <w:trPr>
          <w:trHeight w:val="359" w:hRule="atLeast"/>
          <w:jc w:val="center"/>
        </w:trPr>
        <w:tc>
          <w:tcPr>
            <w:tcW w:w="1550" w:type="dxa"/>
            <w:tcBorders>
              <w:top w:val="nil"/>
              <w:left w:val="single" w:color="auto" w:sz="4" w:space="0"/>
              <w:bottom w:val="single" w:color="auto" w:sz="4" w:space="0"/>
              <w:right w:val="single" w:color="auto" w:sz="4" w:space="0"/>
            </w:tcBorders>
            <w:noWrap w:val="0"/>
            <w:vAlign w:val="center"/>
          </w:tcPr>
          <w:p w14:paraId="6878216A">
            <w:pPr>
              <w:widowControl/>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其他未列明行业</w:t>
            </w:r>
          </w:p>
        </w:tc>
        <w:tc>
          <w:tcPr>
            <w:tcW w:w="1915" w:type="dxa"/>
            <w:tcBorders>
              <w:top w:val="nil"/>
              <w:left w:val="nil"/>
              <w:bottom w:val="single" w:color="auto" w:sz="4" w:space="0"/>
              <w:right w:val="single" w:color="auto" w:sz="4" w:space="0"/>
            </w:tcBorders>
            <w:noWrap w:val="0"/>
            <w:vAlign w:val="center"/>
          </w:tcPr>
          <w:p w14:paraId="112941BF">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从业人员（X）</w:t>
            </w:r>
          </w:p>
        </w:tc>
        <w:tc>
          <w:tcPr>
            <w:tcW w:w="961" w:type="dxa"/>
            <w:tcBorders>
              <w:top w:val="nil"/>
              <w:left w:val="nil"/>
              <w:bottom w:val="single" w:color="auto" w:sz="4" w:space="0"/>
              <w:right w:val="single" w:color="auto" w:sz="4" w:space="0"/>
            </w:tcBorders>
            <w:noWrap w:val="0"/>
            <w:vAlign w:val="center"/>
          </w:tcPr>
          <w:p w14:paraId="2BAC88A3">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人</w:t>
            </w:r>
          </w:p>
        </w:tc>
        <w:tc>
          <w:tcPr>
            <w:tcW w:w="2071" w:type="dxa"/>
            <w:tcBorders>
              <w:top w:val="nil"/>
              <w:left w:val="nil"/>
              <w:bottom w:val="single" w:color="auto" w:sz="4" w:space="0"/>
              <w:right w:val="single" w:color="auto" w:sz="4" w:space="0"/>
            </w:tcBorders>
            <w:noWrap w:val="0"/>
            <w:vAlign w:val="center"/>
          </w:tcPr>
          <w:p w14:paraId="7BCAFB39">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100≤X＜300</w:t>
            </w:r>
          </w:p>
        </w:tc>
        <w:tc>
          <w:tcPr>
            <w:tcW w:w="1836" w:type="dxa"/>
            <w:tcBorders>
              <w:top w:val="nil"/>
              <w:left w:val="nil"/>
              <w:bottom w:val="single" w:color="auto" w:sz="4" w:space="0"/>
              <w:right w:val="single" w:color="auto" w:sz="4" w:space="0"/>
            </w:tcBorders>
            <w:noWrap w:val="0"/>
            <w:vAlign w:val="center"/>
          </w:tcPr>
          <w:p w14:paraId="2D506865">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10≤X＜100</w:t>
            </w:r>
          </w:p>
        </w:tc>
        <w:tc>
          <w:tcPr>
            <w:tcW w:w="1203" w:type="dxa"/>
            <w:tcBorders>
              <w:top w:val="nil"/>
              <w:left w:val="nil"/>
              <w:bottom w:val="single" w:color="auto" w:sz="4" w:space="0"/>
              <w:right w:val="single" w:color="auto" w:sz="4" w:space="0"/>
            </w:tcBorders>
            <w:noWrap w:val="0"/>
            <w:vAlign w:val="center"/>
          </w:tcPr>
          <w:p w14:paraId="216CC834">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X＜10</w:t>
            </w:r>
          </w:p>
        </w:tc>
      </w:tr>
    </w:tbl>
    <w:p w14:paraId="21695366">
      <w:pPr>
        <w:spacing w:line="52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说明：上述标准参照《关于印发中小企业划型标准规定的通知》（工信部联企业[2011]300号），大型、中型和小型企业须同时满足所列指标的下限，否则下划一档；微型企业只须满足所列指标中的一项即可。</w:t>
      </w:r>
    </w:p>
    <w:p w14:paraId="70E6C76C">
      <w:pPr>
        <w:spacing w:line="520" w:lineRule="exact"/>
        <w:jc w:val="center"/>
        <w:rPr>
          <w:rFonts w:hint="eastAsia" w:ascii="宋体" w:hAnsi="宋体" w:eastAsia="宋体" w:cs="宋体"/>
          <w:color w:val="auto"/>
          <w:sz w:val="32"/>
          <w:szCs w:val="32"/>
          <w:highlight w:val="none"/>
        </w:rPr>
      </w:pPr>
      <w:r>
        <w:rPr>
          <w:rFonts w:hint="eastAsia" w:ascii="宋体" w:hAnsi="宋体" w:eastAsia="宋体" w:cs="宋体"/>
          <w:color w:val="auto"/>
          <w:kern w:val="2"/>
          <w:sz w:val="24"/>
          <w:highlight w:val="none"/>
          <w:lang w:val="zh-CN"/>
        </w:rPr>
        <w:br w:type="page"/>
      </w:r>
      <w:r>
        <w:rPr>
          <w:rFonts w:hint="eastAsia" w:ascii="宋体" w:hAnsi="宋体" w:eastAsia="宋体" w:cs="宋体"/>
          <w:b/>
          <w:bCs/>
          <w:color w:val="auto"/>
          <w:sz w:val="30"/>
          <w:szCs w:val="30"/>
          <w:highlight w:val="none"/>
        </w:rPr>
        <w:t>残疾人福利性单位声明函</w:t>
      </w:r>
    </w:p>
    <w:p w14:paraId="4BD89DD2">
      <w:pPr>
        <w:spacing w:line="520" w:lineRule="exact"/>
        <w:rPr>
          <w:rFonts w:hint="eastAsia" w:ascii="宋体" w:hAnsi="宋体" w:eastAsia="宋体" w:cs="宋体"/>
          <w:color w:val="auto"/>
          <w:sz w:val="32"/>
          <w:szCs w:val="32"/>
          <w:highlight w:val="none"/>
        </w:rPr>
      </w:pPr>
    </w:p>
    <w:p w14:paraId="69641A4D">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单位的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项目采购活动由本单位提供服务。</w:t>
      </w:r>
    </w:p>
    <w:p w14:paraId="6BB89E70">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本单位对上述声明的真实性负责。如有虚假，将依法承担相应责任。</w:t>
      </w:r>
    </w:p>
    <w:p w14:paraId="36CB9D03">
      <w:pPr>
        <w:spacing w:line="360" w:lineRule="auto"/>
        <w:contextualSpacing/>
        <w:rPr>
          <w:rFonts w:hint="eastAsia" w:ascii="宋体" w:hAnsi="宋体" w:eastAsia="宋体" w:cs="宋体"/>
          <w:color w:val="auto"/>
          <w:sz w:val="24"/>
          <w:highlight w:val="none"/>
        </w:rPr>
      </w:pPr>
    </w:p>
    <w:p w14:paraId="6344D704">
      <w:pPr>
        <w:spacing w:line="360" w:lineRule="auto"/>
        <w:contextualSpacing/>
        <w:rPr>
          <w:rFonts w:hint="eastAsia" w:ascii="宋体" w:hAnsi="宋体" w:eastAsia="宋体" w:cs="宋体"/>
          <w:color w:val="auto"/>
          <w:sz w:val="24"/>
          <w:highlight w:val="none"/>
        </w:rPr>
      </w:pPr>
    </w:p>
    <w:p w14:paraId="58823C21">
      <w:pPr>
        <w:spacing w:line="360" w:lineRule="auto"/>
        <w:contextualSpacing/>
        <w:rPr>
          <w:rFonts w:hint="eastAsia" w:ascii="宋体" w:hAnsi="宋体" w:eastAsia="宋体" w:cs="宋体"/>
          <w:color w:val="auto"/>
          <w:sz w:val="24"/>
          <w:highlight w:val="none"/>
        </w:rPr>
      </w:pPr>
    </w:p>
    <w:p w14:paraId="4E99B5C8">
      <w:pPr>
        <w:spacing w:line="360" w:lineRule="auto"/>
        <w:ind w:firstLine="2400" w:firstLineChars="10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供应商名称（电子签章）：</w:t>
      </w:r>
    </w:p>
    <w:p w14:paraId="5759621B">
      <w:pPr>
        <w:spacing w:line="360" w:lineRule="auto"/>
        <w:ind w:firstLine="4320" w:firstLineChars="18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日  期：     年   月   日</w:t>
      </w:r>
    </w:p>
    <w:p w14:paraId="3DD1DCC3">
      <w:pPr>
        <w:spacing w:line="360" w:lineRule="auto"/>
        <w:contextualSpacing/>
        <w:rPr>
          <w:rFonts w:hint="eastAsia" w:ascii="宋体" w:hAnsi="宋体" w:eastAsia="宋体" w:cs="宋体"/>
          <w:color w:val="auto"/>
          <w:sz w:val="24"/>
          <w:highlight w:val="none"/>
        </w:rPr>
      </w:pPr>
    </w:p>
    <w:p w14:paraId="4C2872E5">
      <w:pPr>
        <w:spacing w:line="360" w:lineRule="auto"/>
        <w:contextualSpacing/>
        <w:rPr>
          <w:rFonts w:hint="eastAsia" w:ascii="宋体" w:hAnsi="宋体" w:eastAsia="宋体" w:cs="宋体"/>
          <w:color w:val="auto"/>
          <w:sz w:val="24"/>
          <w:highlight w:val="none"/>
        </w:rPr>
      </w:pPr>
    </w:p>
    <w:p w14:paraId="78F98C16">
      <w:pPr>
        <w:spacing w:line="360" w:lineRule="auto"/>
        <w:contextualSpacing/>
        <w:rPr>
          <w:rFonts w:hint="eastAsia" w:ascii="宋体" w:hAnsi="宋体" w:eastAsia="宋体" w:cs="宋体"/>
          <w:color w:val="auto"/>
          <w:sz w:val="24"/>
          <w:highlight w:val="none"/>
        </w:rPr>
      </w:pPr>
    </w:p>
    <w:p w14:paraId="14B0B99F">
      <w:pPr>
        <w:keepNext w:val="0"/>
        <w:keepLines w:val="0"/>
        <w:pageBreakBefore w:val="0"/>
        <w:widowControl w:val="0"/>
        <w:kinsoku/>
        <w:wordWrap/>
        <w:overflowPunct/>
        <w:topLinePunct w:val="0"/>
        <w:autoSpaceDE w:val="0"/>
        <w:autoSpaceDN w:val="0"/>
        <w:bidi w:val="0"/>
        <w:adjustRightInd/>
        <w:snapToGrid w:val="0"/>
        <w:spacing w:line="300" w:lineRule="auto"/>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sz w:val="24"/>
          <w:highlight w:val="none"/>
        </w:rPr>
        <w:t>注：请根据自己的真实情况出具《残疾人福利性单位声明函》。依法享受中小企业优惠政策的，采购人或者采购代理机构在公告中标结果时，同时公告其《残疾人福利性单位声明函》，接受社会监督。</w:t>
      </w:r>
    </w:p>
    <w:p w14:paraId="1C4B0C35">
      <w:pPr>
        <w:autoSpaceDE w:val="0"/>
        <w:autoSpaceDN w:val="0"/>
        <w:spacing w:line="360" w:lineRule="auto"/>
        <w:ind w:firstLine="6120" w:firstLineChars="2550"/>
        <w:rPr>
          <w:rFonts w:hint="eastAsia" w:ascii="宋体" w:hAnsi="宋体" w:eastAsia="宋体" w:cs="宋体"/>
          <w:color w:val="auto"/>
          <w:kern w:val="0"/>
          <w:sz w:val="24"/>
          <w:highlight w:val="none"/>
          <w:lang w:val="zh-CN"/>
        </w:rPr>
      </w:pPr>
    </w:p>
    <w:p w14:paraId="0E538CA4">
      <w:pPr>
        <w:autoSpaceDE w:val="0"/>
        <w:autoSpaceDN w:val="0"/>
        <w:spacing w:line="360" w:lineRule="auto"/>
        <w:ind w:firstLine="6120" w:firstLineChars="2550"/>
        <w:rPr>
          <w:rFonts w:hint="eastAsia" w:ascii="宋体" w:hAnsi="宋体" w:eastAsia="宋体" w:cs="宋体"/>
          <w:color w:val="auto"/>
          <w:kern w:val="0"/>
          <w:sz w:val="24"/>
          <w:highlight w:val="none"/>
          <w:lang w:val="zh-CN"/>
        </w:rPr>
      </w:pPr>
    </w:p>
    <w:p w14:paraId="0D01CE62">
      <w:pPr>
        <w:autoSpaceDE w:val="0"/>
        <w:autoSpaceDN w:val="0"/>
        <w:spacing w:line="360" w:lineRule="auto"/>
        <w:ind w:firstLine="6120" w:firstLineChars="2550"/>
        <w:rPr>
          <w:rFonts w:hint="eastAsia" w:ascii="宋体" w:hAnsi="宋体" w:eastAsia="宋体" w:cs="宋体"/>
          <w:color w:val="auto"/>
          <w:kern w:val="0"/>
          <w:sz w:val="24"/>
          <w:highlight w:val="none"/>
          <w:lang w:val="zh-CN"/>
        </w:rPr>
      </w:pPr>
    </w:p>
    <w:p w14:paraId="55784CE1">
      <w:pPr>
        <w:autoSpaceDE w:val="0"/>
        <w:autoSpaceDN w:val="0"/>
        <w:spacing w:line="360" w:lineRule="auto"/>
        <w:ind w:firstLine="6120" w:firstLineChars="2550"/>
        <w:rPr>
          <w:rFonts w:hint="eastAsia" w:ascii="宋体" w:hAnsi="宋体" w:eastAsia="宋体" w:cs="宋体"/>
          <w:color w:val="auto"/>
          <w:kern w:val="0"/>
          <w:sz w:val="24"/>
          <w:highlight w:val="none"/>
          <w:lang w:val="zh-CN"/>
        </w:rPr>
      </w:pPr>
    </w:p>
    <w:p w14:paraId="5F329180">
      <w:pPr>
        <w:autoSpaceDE w:val="0"/>
        <w:autoSpaceDN w:val="0"/>
        <w:spacing w:line="360" w:lineRule="auto"/>
        <w:ind w:firstLine="6120" w:firstLineChars="2550"/>
        <w:rPr>
          <w:rFonts w:hint="eastAsia" w:ascii="宋体" w:hAnsi="宋体" w:eastAsia="宋体" w:cs="宋体"/>
          <w:color w:val="auto"/>
          <w:kern w:val="0"/>
          <w:sz w:val="24"/>
          <w:highlight w:val="none"/>
          <w:lang w:val="zh-CN"/>
        </w:rPr>
      </w:pPr>
    </w:p>
    <w:p w14:paraId="2FBE1112">
      <w:pPr>
        <w:autoSpaceDE w:val="0"/>
        <w:autoSpaceDN w:val="0"/>
        <w:spacing w:line="360" w:lineRule="auto"/>
        <w:ind w:firstLine="6120" w:firstLineChars="2550"/>
        <w:rPr>
          <w:rFonts w:hint="eastAsia" w:ascii="宋体" w:hAnsi="宋体" w:eastAsia="宋体" w:cs="宋体"/>
          <w:color w:val="auto"/>
          <w:kern w:val="0"/>
          <w:sz w:val="24"/>
          <w:highlight w:val="none"/>
          <w:lang w:val="zh-CN"/>
        </w:rPr>
      </w:pPr>
    </w:p>
    <w:p w14:paraId="0B7163A9">
      <w:pPr>
        <w:rPr>
          <w:rFonts w:hint="eastAsia" w:ascii="宋体" w:hAnsi="宋体" w:eastAsia="宋体" w:cs="宋体"/>
          <w:b/>
          <w:bCs w:val="0"/>
          <w:caps w:val="0"/>
          <w:smallCaps w:val="0"/>
          <w:color w:val="auto"/>
          <w:spacing w:val="0"/>
          <w:kern w:val="2"/>
          <w:sz w:val="30"/>
          <w:szCs w:val="30"/>
          <w:highlight w:val="none"/>
          <w:lang w:val="en-US" w:eastAsia="zh-CN"/>
        </w:rPr>
      </w:pPr>
      <w:r>
        <w:rPr>
          <w:rFonts w:hint="eastAsia" w:ascii="宋体" w:hAnsi="宋体" w:eastAsia="宋体" w:cs="宋体"/>
          <w:b/>
          <w:bCs w:val="0"/>
          <w:caps w:val="0"/>
          <w:smallCaps w:val="0"/>
          <w:color w:val="auto"/>
          <w:spacing w:val="0"/>
          <w:kern w:val="2"/>
          <w:sz w:val="30"/>
          <w:szCs w:val="30"/>
          <w:highlight w:val="none"/>
          <w:lang w:val="en-US" w:eastAsia="zh-CN"/>
        </w:rPr>
        <w:br w:type="page"/>
      </w:r>
    </w:p>
    <w:p w14:paraId="028B0EFB">
      <w:pPr>
        <w:spacing w:line="520" w:lineRule="exact"/>
        <w:jc w:val="center"/>
        <w:rPr>
          <w:rFonts w:hint="eastAsia" w:ascii="宋体" w:hAnsi="宋体" w:eastAsia="宋体" w:cs="宋体"/>
          <w:color w:val="auto"/>
          <w:sz w:val="32"/>
          <w:szCs w:val="32"/>
          <w:highlight w:val="none"/>
        </w:rPr>
      </w:pPr>
      <w:r>
        <w:rPr>
          <w:rFonts w:hint="eastAsia" w:ascii="宋体" w:hAnsi="宋体" w:eastAsia="宋体" w:cs="宋体"/>
          <w:b/>
          <w:bCs/>
          <w:color w:val="auto"/>
          <w:sz w:val="30"/>
          <w:szCs w:val="30"/>
          <w:highlight w:val="none"/>
        </w:rPr>
        <w:t>无串通竞标行为的承诺函</w:t>
      </w:r>
    </w:p>
    <w:p w14:paraId="1D69746B">
      <w:pPr>
        <w:spacing w:line="360" w:lineRule="auto"/>
        <w:ind w:firstLine="482" w:firstLineChars="200"/>
        <w:contextualSpacing/>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一、我方承诺无下列相互串通竞标的情形：</w:t>
      </w:r>
    </w:p>
    <w:p w14:paraId="613D9274">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1.不同供应商的响应文件由同一单位或者个人编制；或者不同供应商报名的IP地址一致的；或者编制响应文件硬件设备CPU编号、硬盘编号、网卡地址一致的情况。 </w:t>
      </w:r>
    </w:p>
    <w:p w14:paraId="1294E66A">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2.不同供应商委托同一单位或者个人办理竞标事宜；</w:t>
      </w:r>
    </w:p>
    <w:p w14:paraId="26FDC053">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3.不同供应商的响应文件载明的项目管理员为同一个人；</w:t>
      </w:r>
    </w:p>
    <w:p w14:paraId="582F5AC2">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4.不</w:t>
      </w:r>
      <w:r>
        <w:rPr>
          <w:rFonts w:hint="eastAsia" w:ascii="宋体" w:hAnsi="宋体" w:eastAsia="宋体" w:cs="宋体"/>
          <w:color w:val="auto"/>
          <w:spacing w:val="-6"/>
          <w:sz w:val="24"/>
          <w:highlight w:val="none"/>
        </w:rPr>
        <w:t>同供应商的响应文件异常一致或者响应报价呈规律性差异；</w:t>
      </w:r>
    </w:p>
    <w:p w14:paraId="6BCEA378">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5.不同供应商的响应文件相互混装；</w:t>
      </w:r>
    </w:p>
    <w:p w14:paraId="69A7B059">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6.不同供应商的磋商保证金从同一单位或者个人账户转出。</w:t>
      </w:r>
    </w:p>
    <w:p w14:paraId="1035887A">
      <w:pPr>
        <w:spacing w:line="360" w:lineRule="auto"/>
        <w:ind w:firstLine="482" w:firstLineChars="200"/>
        <w:contextualSpacing/>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二、我方承诺无下列恶意串通的情形：</w:t>
      </w:r>
    </w:p>
    <w:p w14:paraId="10332FB0">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1.供应商直接或者间接从采购人或者采购代理机构处获得其他供应商的相关信息并修改其响应文件；</w:t>
      </w:r>
    </w:p>
    <w:p w14:paraId="229AB6A7">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2.供应商按照采购人或者采购代理机构的授意撤换、修改响应文件；</w:t>
      </w:r>
    </w:p>
    <w:p w14:paraId="1D7486F9">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3.供</w:t>
      </w:r>
      <w:r>
        <w:rPr>
          <w:rFonts w:hint="eastAsia" w:ascii="宋体" w:hAnsi="宋体" w:eastAsia="宋体" w:cs="宋体"/>
          <w:color w:val="auto"/>
          <w:spacing w:val="-6"/>
          <w:sz w:val="24"/>
          <w:highlight w:val="none"/>
        </w:rPr>
        <w:t>应商之间协商报价、技术方案等响应文件的实质性内容；</w:t>
      </w:r>
    </w:p>
    <w:p w14:paraId="2D55896F">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4.属于同一集团、协会、商会等组织成员的供应商按照该组织要求协同参加政府采购活动；</w:t>
      </w:r>
    </w:p>
    <w:p w14:paraId="456B895B">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5.供应商之间事先约定一致抬高或者压低响应报价，或者在竞争性磋商项目中事先约定轮流以高价位或者低价位成交，或者事先约定由某一特定供应商成交，然后再参加竞标；</w:t>
      </w:r>
    </w:p>
    <w:p w14:paraId="528978B9">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6.供应商之间商定部分供应商放弃参加政府采购活动或者放弃成交；</w:t>
      </w:r>
    </w:p>
    <w:p w14:paraId="43A22527">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7.供应商与采购人或者采购代理机构之间、供应商相互之间，为</w:t>
      </w:r>
      <w:r>
        <w:rPr>
          <w:rFonts w:hint="eastAsia" w:ascii="宋体" w:hAnsi="宋体" w:eastAsia="宋体" w:cs="宋体"/>
          <w:color w:val="auto"/>
          <w:spacing w:val="-6"/>
          <w:sz w:val="24"/>
          <w:highlight w:val="none"/>
        </w:rPr>
        <w:t>谋求特定供应商成交或者排斥其他供应商的其他串通行为。</w:t>
      </w:r>
    </w:p>
    <w:p w14:paraId="33AEEBB9">
      <w:pPr>
        <w:spacing w:line="360" w:lineRule="auto"/>
        <w:ind w:firstLine="482" w:firstLineChars="200"/>
        <w:contextualSpacing/>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以上情形一经核查属实，接受政府采购监管部门对我方认定存在围标串标行为，我方愿意承担一切后果，并不再寻求任何旨在减轻或者免除法律责任的辩解。</w:t>
      </w:r>
    </w:p>
    <w:p w14:paraId="3A69DFED">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0C7B9CF0">
      <w:pPr>
        <w:autoSpaceDE w:val="0"/>
        <w:autoSpaceDN w:val="0"/>
        <w:spacing w:line="360" w:lineRule="auto"/>
        <w:ind w:firstLine="6120" w:firstLineChars="2550"/>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lang w:val="zh-CN"/>
        </w:rPr>
        <w:t xml:space="preserve">日期：  年  月   日  </w:t>
      </w:r>
      <w:r>
        <w:rPr>
          <w:rFonts w:hint="eastAsia" w:ascii="宋体" w:hAnsi="宋体" w:eastAsia="宋体" w:cs="宋体"/>
          <w:b/>
          <w:bCs w:val="0"/>
          <w:color w:val="auto"/>
          <w:sz w:val="30"/>
          <w:szCs w:val="30"/>
          <w:highlight w:val="none"/>
        </w:rPr>
        <w:br w:type="page"/>
      </w:r>
    </w:p>
    <w:p w14:paraId="7F4A3049">
      <w:pPr>
        <w:spacing w:line="520" w:lineRule="exact"/>
        <w:jc w:val="center"/>
        <w:rPr>
          <w:rFonts w:hint="eastAsia" w:ascii="宋体" w:hAnsi="宋体" w:eastAsia="宋体" w:cs="宋体"/>
          <w:color w:val="auto"/>
          <w:sz w:val="32"/>
          <w:szCs w:val="32"/>
          <w:highlight w:val="none"/>
        </w:rPr>
      </w:pPr>
      <w:r>
        <w:rPr>
          <w:rFonts w:hint="eastAsia" w:ascii="宋体" w:hAnsi="宋体" w:eastAsia="宋体" w:cs="宋体"/>
          <w:b/>
          <w:bCs w:val="0"/>
          <w:color w:val="auto"/>
          <w:sz w:val="30"/>
          <w:szCs w:val="30"/>
          <w:highlight w:val="none"/>
        </w:rPr>
        <w:t>法定代表人证明书</w:t>
      </w:r>
    </w:p>
    <w:p w14:paraId="5897AE98">
      <w:pPr>
        <w:spacing w:line="360" w:lineRule="auto"/>
        <w:ind w:left="540"/>
        <w:contextualSpacing/>
        <w:rPr>
          <w:rFonts w:hint="eastAsia" w:ascii="宋体" w:hAnsi="宋体" w:eastAsia="宋体" w:cs="宋体"/>
          <w:color w:val="auto"/>
          <w:sz w:val="32"/>
          <w:szCs w:val="32"/>
          <w:highlight w:val="none"/>
        </w:rPr>
      </w:pPr>
    </w:p>
    <w:p w14:paraId="3872CDD9">
      <w:pPr>
        <w:spacing w:line="360" w:lineRule="auto"/>
        <w:ind w:left="54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供应商名称：</w:t>
      </w:r>
      <w:r>
        <w:rPr>
          <w:rFonts w:hint="eastAsia" w:ascii="宋体" w:hAnsi="宋体" w:eastAsia="宋体" w:cs="宋体"/>
          <w:color w:val="auto"/>
          <w:sz w:val="24"/>
          <w:highlight w:val="none"/>
          <w:u w:val="single"/>
        </w:rPr>
        <w:t xml:space="preserve">                                                        </w:t>
      </w:r>
    </w:p>
    <w:p w14:paraId="386B31F1">
      <w:pPr>
        <w:spacing w:line="360" w:lineRule="auto"/>
        <w:ind w:left="54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single"/>
        </w:rPr>
        <w:t xml:space="preserve">                                                        </w:t>
      </w:r>
    </w:p>
    <w:p w14:paraId="5579DFB6">
      <w:pPr>
        <w:spacing w:line="360" w:lineRule="auto"/>
        <w:ind w:left="54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姓    名：</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性     别：</w:t>
      </w:r>
      <w:r>
        <w:rPr>
          <w:rFonts w:hint="eastAsia" w:ascii="宋体" w:hAnsi="宋体" w:eastAsia="宋体" w:cs="宋体"/>
          <w:color w:val="auto"/>
          <w:sz w:val="24"/>
          <w:highlight w:val="none"/>
          <w:u w:val="single"/>
        </w:rPr>
        <w:t xml:space="preserve">                </w:t>
      </w:r>
    </w:p>
    <w:p w14:paraId="227DA5EC">
      <w:pPr>
        <w:spacing w:line="360" w:lineRule="auto"/>
        <w:ind w:left="540"/>
        <w:contextualSpacing/>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年    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职     务：</w:t>
      </w:r>
      <w:r>
        <w:rPr>
          <w:rFonts w:hint="eastAsia" w:ascii="宋体" w:hAnsi="宋体" w:eastAsia="宋体" w:cs="宋体"/>
          <w:color w:val="auto"/>
          <w:sz w:val="24"/>
          <w:highlight w:val="none"/>
          <w:u w:val="single"/>
        </w:rPr>
        <w:t xml:space="preserve">                </w:t>
      </w:r>
    </w:p>
    <w:p w14:paraId="43FBBEFA">
      <w:pPr>
        <w:spacing w:line="360" w:lineRule="auto"/>
        <w:ind w:left="54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身份证号码：</w:t>
      </w:r>
      <w:r>
        <w:rPr>
          <w:rFonts w:hint="eastAsia" w:ascii="宋体" w:hAnsi="宋体" w:eastAsia="宋体" w:cs="宋体"/>
          <w:color w:val="auto"/>
          <w:sz w:val="24"/>
          <w:highlight w:val="none"/>
          <w:u w:val="single"/>
        </w:rPr>
        <w:t xml:space="preserve">                                        </w:t>
      </w:r>
    </w:p>
    <w:p w14:paraId="3E7D05A3">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系</w:t>
      </w:r>
      <w:r>
        <w:rPr>
          <w:rFonts w:hint="eastAsia" w:ascii="宋体" w:hAnsi="宋体" w:eastAsia="宋体" w:cs="宋体"/>
          <w:color w:val="auto"/>
          <w:sz w:val="24"/>
          <w:highlight w:val="none"/>
          <w:u w:val="single"/>
        </w:rPr>
        <w:t>（供应商名称）</w:t>
      </w:r>
      <w:r>
        <w:rPr>
          <w:rFonts w:hint="eastAsia" w:ascii="宋体" w:hAnsi="宋体" w:eastAsia="宋体" w:cs="宋体"/>
          <w:color w:val="auto"/>
          <w:sz w:val="24"/>
          <w:highlight w:val="none"/>
        </w:rPr>
        <w:t>的法定代表人。</w:t>
      </w:r>
    </w:p>
    <w:p w14:paraId="53EB73A7">
      <w:pPr>
        <w:spacing w:line="360" w:lineRule="auto"/>
        <w:ind w:left="54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特此证明。</w:t>
      </w:r>
    </w:p>
    <w:p w14:paraId="2176BA62">
      <w:pPr>
        <w:spacing w:line="360" w:lineRule="auto"/>
        <w:ind w:left="540"/>
        <w:contextualSpacing/>
        <w:rPr>
          <w:rFonts w:hint="eastAsia" w:ascii="宋体" w:hAnsi="宋体" w:eastAsia="宋体" w:cs="宋体"/>
          <w:color w:val="auto"/>
          <w:sz w:val="24"/>
          <w:highlight w:val="none"/>
        </w:rPr>
      </w:pPr>
    </w:p>
    <w:p w14:paraId="086A82AE">
      <w:pPr>
        <w:spacing w:line="360" w:lineRule="auto"/>
        <w:ind w:left="54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附件：法定代表人有效身份证正反面复印件</w:t>
      </w:r>
    </w:p>
    <w:tbl>
      <w:tblPr>
        <w:tblStyle w:val="31"/>
        <w:tblW w:w="9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0"/>
      </w:tblGrid>
      <w:tr w14:paraId="0904C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7" w:hRule="atLeast"/>
        </w:trPr>
        <w:tc>
          <w:tcPr>
            <w:tcW w:w="9480" w:type="dxa"/>
            <w:noWrap w:val="0"/>
            <w:vAlign w:val="top"/>
          </w:tcPr>
          <w:p w14:paraId="4B5856AE">
            <w:pPr>
              <w:spacing w:line="360" w:lineRule="auto"/>
              <w:rPr>
                <w:rFonts w:hint="eastAsia" w:ascii="宋体" w:hAnsi="宋体" w:eastAsia="宋体" w:cs="宋体"/>
                <w:b/>
                <w:color w:val="auto"/>
                <w:sz w:val="24"/>
                <w:highlight w:val="none"/>
              </w:rPr>
            </w:pPr>
          </w:p>
          <w:p w14:paraId="4E5E4384">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法定代表身份证复印件粘帖处（正、反面）</w:t>
            </w:r>
          </w:p>
        </w:tc>
      </w:tr>
    </w:tbl>
    <w:p w14:paraId="7B3BDBC9">
      <w:pPr>
        <w:spacing w:line="360" w:lineRule="auto"/>
        <w:ind w:left="540"/>
        <w:contextualSpacing/>
        <w:rPr>
          <w:rFonts w:hint="eastAsia" w:ascii="宋体" w:hAnsi="宋体" w:eastAsia="宋体" w:cs="宋体"/>
          <w:color w:val="auto"/>
          <w:sz w:val="24"/>
          <w:highlight w:val="none"/>
        </w:rPr>
      </w:pPr>
    </w:p>
    <w:p w14:paraId="48B1E73C">
      <w:pPr>
        <w:autoSpaceDE w:val="0"/>
        <w:autoSpaceDN w:val="0"/>
        <w:spacing w:line="360" w:lineRule="auto"/>
        <w:ind w:left="4365" w:leftChars="1850" w:hanging="480" w:hangingChars="200"/>
        <w:rPr>
          <w:rFonts w:hint="eastAsia" w:ascii="宋体" w:hAnsi="宋体" w:eastAsia="宋体" w:cs="宋体"/>
          <w:color w:val="auto"/>
          <w:kern w:val="0"/>
          <w:sz w:val="24"/>
          <w:highlight w:val="none"/>
        </w:rPr>
      </w:pPr>
    </w:p>
    <w:p w14:paraId="4CB52E92">
      <w:pPr>
        <w:autoSpaceDE w:val="0"/>
        <w:autoSpaceDN w:val="0"/>
        <w:spacing w:line="360" w:lineRule="auto"/>
        <w:ind w:firstLine="5280" w:firstLineChars="2200"/>
        <w:rPr>
          <w:rFonts w:hint="default"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rPr>
        <w:t>供应商名称（电子签章）：</w:t>
      </w:r>
      <w:r>
        <w:rPr>
          <w:rFonts w:hint="eastAsia" w:ascii="宋体" w:hAnsi="宋体" w:cs="宋体"/>
          <w:color w:val="auto"/>
          <w:kern w:val="0"/>
          <w:sz w:val="24"/>
          <w:highlight w:val="none"/>
          <w:u w:val="single"/>
          <w:lang w:val="en-US" w:eastAsia="zh-CN"/>
        </w:rPr>
        <w:t xml:space="preserve">         </w:t>
      </w:r>
    </w:p>
    <w:p w14:paraId="30488841">
      <w:pPr>
        <w:autoSpaceDE w:val="0"/>
        <w:autoSpaceDN w:val="0"/>
        <w:spacing w:line="360" w:lineRule="auto"/>
        <w:ind w:firstLine="6120" w:firstLineChars="2550"/>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lang w:val="zh-CN"/>
        </w:rPr>
        <w:t>日期：  年  月   日</w:t>
      </w:r>
    </w:p>
    <w:p w14:paraId="39939179">
      <w:pPr>
        <w:spacing w:line="360" w:lineRule="auto"/>
        <w:contextualSpacing/>
        <w:jc w:val="left"/>
        <w:rPr>
          <w:rFonts w:hint="eastAsia" w:ascii="宋体" w:hAnsi="宋体" w:eastAsia="宋体" w:cs="宋体"/>
          <w:color w:val="auto"/>
          <w:sz w:val="24"/>
          <w:highlight w:val="none"/>
        </w:rPr>
      </w:pPr>
    </w:p>
    <w:p w14:paraId="555E30C1">
      <w:pPr>
        <w:spacing w:line="360" w:lineRule="auto"/>
        <w:contextualSpacing/>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注：供应商为其他组织或者自然人时，本磋商文件规定的法定代表人指负责人或者自然人。本磋商文件所称负责人是指参加竞标的其他组织营业执照上的负责人，本磋商文件所称自然人指参与竞标的自然人本人。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66B23098">
      <w:pPr>
        <w:numPr>
          <w:ilvl w:val="0"/>
          <w:numId w:val="0"/>
        </w:numPr>
        <w:spacing w:line="360" w:lineRule="auto"/>
        <w:ind w:firstLine="480" w:firstLineChars="200"/>
        <w:contextualSpacing/>
        <w:jc w:val="left"/>
        <w:rPr>
          <w:rFonts w:hint="eastAsia" w:ascii="宋体" w:hAnsi="宋体" w:eastAsia="宋体" w:cs="宋体"/>
          <w:color w:val="auto"/>
          <w:sz w:val="24"/>
          <w:highlight w:val="none"/>
          <w:lang w:val="en-US" w:eastAsia="zh-CN"/>
        </w:rPr>
      </w:pPr>
    </w:p>
    <w:p w14:paraId="413B6750">
      <w:pPr>
        <w:spacing w:line="520" w:lineRule="exact"/>
        <w:jc w:val="center"/>
        <w:rPr>
          <w:rFonts w:hint="eastAsia" w:ascii="宋体" w:hAnsi="宋体" w:eastAsia="宋体" w:cs="宋体"/>
          <w:b/>
          <w:color w:val="auto"/>
          <w:kern w:val="2"/>
          <w:sz w:val="30"/>
          <w:szCs w:val="30"/>
          <w:highlight w:val="none"/>
          <w:lang w:val="en-US" w:eastAsia="zh-CN"/>
        </w:rPr>
      </w:pPr>
    </w:p>
    <w:p w14:paraId="0AB382DA">
      <w:pPr>
        <w:rPr>
          <w:rFonts w:hint="eastAsia" w:ascii="宋体" w:hAnsi="宋体" w:eastAsia="宋体" w:cs="宋体"/>
          <w:b/>
          <w:bCs/>
          <w:color w:val="auto"/>
          <w:sz w:val="30"/>
          <w:szCs w:val="30"/>
          <w:highlight w:val="none"/>
          <w:lang w:val="en-US" w:eastAsia="zh-CN"/>
        </w:rPr>
      </w:pPr>
      <w:r>
        <w:rPr>
          <w:rFonts w:hint="eastAsia" w:ascii="宋体" w:hAnsi="宋体" w:eastAsia="宋体" w:cs="宋体"/>
          <w:b/>
          <w:bCs/>
          <w:color w:val="auto"/>
          <w:sz w:val="30"/>
          <w:szCs w:val="30"/>
          <w:highlight w:val="none"/>
          <w:lang w:val="en-US" w:eastAsia="zh-CN"/>
        </w:rPr>
        <w:br w:type="page"/>
      </w:r>
    </w:p>
    <w:p w14:paraId="69D78F4A">
      <w:pPr>
        <w:keepNext w:val="0"/>
        <w:keepLines w:val="0"/>
        <w:pageBreakBefore w:val="0"/>
        <w:widowControl w:val="0"/>
        <w:kinsoku/>
        <w:wordWrap/>
        <w:overflowPunct/>
        <w:topLinePunct w:val="0"/>
        <w:autoSpaceDE/>
        <w:autoSpaceDN/>
        <w:bidi w:val="0"/>
        <w:adjustRightInd/>
        <w:snapToGrid/>
        <w:spacing w:line="520" w:lineRule="exact"/>
        <w:ind w:firstLine="0"/>
        <w:jc w:val="center"/>
        <w:textAlignment w:val="auto"/>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授权委托书</w:t>
      </w:r>
    </w:p>
    <w:p w14:paraId="1A6FE563">
      <w:pPr>
        <w:keepNext w:val="0"/>
        <w:keepLines w:val="0"/>
        <w:pageBreakBefore w:val="0"/>
        <w:widowControl w:val="0"/>
        <w:kinsoku/>
        <w:wordWrap/>
        <w:overflowPunct/>
        <w:topLinePunct w:val="0"/>
        <w:autoSpaceDE/>
        <w:autoSpaceDN/>
        <w:bidi w:val="0"/>
        <w:adjustRightInd/>
        <w:snapToGrid/>
        <w:spacing w:line="520" w:lineRule="exact"/>
        <w:ind w:firstLine="0"/>
        <w:jc w:val="center"/>
        <w:textAlignment w:val="auto"/>
        <w:rPr>
          <w:rFonts w:hint="eastAsia" w:ascii="宋体" w:hAnsi="宋体" w:eastAsia="宋体" w:cs="宋体"/>
          <w:color w:val="auto"/>
          <w:sz w:val="44"/>
          <w:szCs w:val="44"/>
          <w:highlight w:val="none"/>
        </w:rPr>
      </w:pPr>
      <w:r>
        <w:rPr>
          <w:rFonts w:hint="eastAsia" w:ascii="宋体" w:hAnsi="宋体" w:eastAsia="宋体" w:cs="宋体"/>
          <w:b/>
          <w:bCs/>
          <w:color w:val="auto"/>
          <w:sz w:val="30"/>
          <w:szCs w:val="30"/>
          <w:highlight w:val="none"/>
        </w:rPr>
        <w:t>（如有委托时）</w:t>
      </w:r>
    </w:p>
    <w:p w14:paraId="501FB0CA">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rPr>
        <w:t>（采购人名称）</w:t>
      </w:r>
      <w:r>
        <w:rPr>
          <w:rFonts w:hint="eastAsia" w:ascii="宋体" w:hAnsi="宋体" w:eastAsia="宋体" w:cs="宋体"/>
          <w:color w:val="auto"/>
          <w:sz w:val="24"/>
          <w:highlight w:val="none"/>
        </w:rPr>
        <w:t>：</w:t>
      </w:r>
    </w:p>
    <w:p w14:paraId="53B270A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w:t>
      </w:r>
      <w:r>
        <w:rPr>
          <w:rFonts w:hint="eastAsia" w:ascii="宋体" w:hAnsi="宋体" w:eastAsia="宋体" w:cs="宋体"/>
          <w:color w:val="auto"/>
          <w:sz w:val="24"/>
          <w:highlight w:val="none"/>
          <w:u w:val="single"/>
        </w:rPr>
        <w:t xml:space="preserve">  （姓名）  </w:t>
      </w:r>
      <w:r>
        <w:rPr>
          <w:rFonts w:hint="eastAsia" w:ascii="宋体" w:hAnsi="宋体" w:eastAsia="宋体" w:cs="宋体"/>
          <w:color w:val="auto"/>
          <w:sz w:val="24"/>
          <w:highlight w:val="none"/>
        </w:rPr>
        <w:t>系</w:t>
      </w:r>
      <w:r>
        <w:rPr>
          <w:rFonts w:hint="eastAsia" w:ascii="宋体" w:hAnsi="宋体" w:eastAsia="宋体" w:cs="宋体"/>
          <w:color w:val="auto"/>
          <w:sz w:val="24"/>
          <w:highlight w:val="none"/>
          <w:u w:val="single"/>
        </w:rPr>
        <w:t xml:space="preserve">  （供应商名称）  </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u w:val="single"/>
        </w:rPr>
        <w:t>□法定代表人/□负责人/□自然人本人</w:t>
      </w:r>
      <w:r>
        <w:rPr>
          <w:rFonts w:hint="eastAsia" w:ascii="宋体" w:hAnsi="宋体" w:eastAsia="宋体" w:cs="宋体"/>
          <w:color w:val="auto"/>
          <w:sz w:val="24"/>
          <w:highlight w:val="none"/>
        </w:rPr>
        <w:t>），现授权</w:t>
      </w:r>
      <w:r>
        <w:rPr>
          <w:rFonts w:hint="eastAsia" w:ascii="宋体" w:hAnsi="宋体" w:eastAsia="宋体" w:cs="宋体"/>
          <w:color w:val="auto"/>
          <w:sz w:val="24"/>
          <w:highlight w:val="none"/>
          <w:u w:val="single"/>
        </w:rPr>
        <w:t xml:space="preserve"> （姓名） </w:t>
      </w:r>
      <w:r>
        <w:rPr>
          <w:rFonts w:hint="eastAsia" w:ascii="宋体" w:hAnsi="宋体" w:eastAsia="宋体" w:cs="宋体"/>
          <w:color w:val="auto"/>
          <w:sz w:val="24"/>
          <w:highlight w:val="none"/>
        </w:rPr>
        <w:t>以我方的名义参加</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项目的竞标活动，并代表我方全权办理针对上述项目的所有采购程序和环节的具体事务和签署相关文件。</w:t>
      </w:r>
    </w:p>
    <w:p w14:paraId="1BC7935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我方对委托代理人的签字事项负全部责任。</w:t>
      </w:r>
    </w:p>
    <w:p w14:paraId="407940B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本授权书自签署之日起生效，在撤销授权的书面通知以前，本授权书一直有效。委托代理人在授权书有效期内签署的所有文件不因授权的撤销而失效。</w:t>
      </w:r>
    </w:p>
    <w:p w14:paraId="63A7101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委托代理人无转委托权，特此委托。</w:t>
      </w:r>
    </w:p>
    <w:p w14:paraId="16FDD51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附：法定代表人身份证明书及委托代理人有效身份证正反面复印件</w:t>
      </w:r>
    </w:p>
    <w:p w14:paraId="7F0700B2">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委托代理人（签字）：</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p>
    <w:p w14:paraId="3A862E51">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法定代表人（签字或盖章）：</w:t>
      </w:r>
      <w:r>
        <w:rPr>
          <w:rFonts w:hint="eastAsia" w:ascii="宋体" w:hAnsi="宋体" w:eastAsia="宋体" w:cs="宋体"/>
          <w:color w:val="auto"/>
          <w:sz w:val="24"/>
          <w:highlight w:val="none"/>
          <w:u w:val="single"/>
        </w:rPr>
        <w:t xml:space="preserve">                    </w:t>
      </w:r>
    </w:p>
    <w:p w14:paraId="2B652FB2">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委托代理人身份证号码：</w:t>
      </w:r>
      <w:r>
        <w:rPr>
          <w:rFonts w:hint="eastAsia" w:ascii="宋体" w:hAnsi="宋体" w:eastAsia="宋体" w:cs="宋体"/>
          <w:color w:val="auto"/>
          <w:sz w:val="24"/>
          <w:highlight w:val="none"/>
          <w:u w:val="single"/>
        </w:rPr>
        <w:t xml:space="preserve">                              </w:t>
      </w:r>
    </w:p>
    <w:tbl>
      <w:tblPr>
        <w:tblStyle w:val="32"/>
        <w:tblW w:w="98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0"/>
      </w:tblGrid>
      <w:tr w14:paraId="44CD0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0" w:hRule="atLeast"/>
        </w:trPr>
        <w:tc>
          <w:tcPr>
            <w:tcW w:w="9880" w:type="dxa"/>
            <w:noWrap w:val="0"/>
            <w:vAlign w:val="top"/>
          </w:tcPr>
          <w:p w14:paraId="0191173B">
            <w:pPr>
              <w:autoSpaceDE w:val="0"/>
              <w:autoSpaceDN w:val="0"/>
              <w:spacing w:line="360" w:lineRule="auto"/>
              <w:rPr>
                <w:rFonts w:hint="eastAsia" w:ascii="宋体" w:hAnsi="宋体" w:eastAsia="宋体" w:cs="宋体"/>
                <w:b/>
                <w:bCs/>
                <w:color w:val="auto"/>
                <w:sz w:val="24"/>
                <w:highlight w:val="none"/>
                <w:vertAlign w:val="baseline"/>
              </w:rPr>
            </w:pPr>
            <w:r>
              <w:rPr>
                <w:rFonts w:hint="eastAsia" w:ascii="宋体" w:hAnsi="宋体" w:eastAsia="宋体" w:cs="宋体"/>
                <w:b/>
                <w:color w:val="auto"/>
                <w:sz w:val="24"/>
                <w:highlight w:val="none"/>
              </w:rPr>
              <w:t>委托代理人有效身份证正反面复印件粘帖处（正、反面）</w:t>
            </w:r>
          </w:p>
        </w:tc>
      </w:tr>
    </w:tbl>
    <w:p w14:paraId="3896B42F">
      <w:pPr>
        <w:autoSpaceDE w:val="0"/>
        <w:autoSpaceDN w:val="0"/>
        <w:spacing w:line="360" w:lineRule="auto"/>
        <w:ind w:left="4365" w:leftChars="1850" w:hanging="480" w:hangingChars="200"/>
        <w:rPr>
          <w:rFonts w:hint="eastAsia" w:ascii="宋体" w:hAnsi="宋体" w:eastAsia="宋体" w:cs="宋体"/>
          <w:color w:val="auto"/>
          <w:sz w:val="24"/>
          <w:highlight w:val="none"/>
        </w:rPr>
      </w:pPr>
    </w:p>
    <w:p w14:paraId="6A6403E3">
      <w:pPr>
        <w:autoSpaceDE w:val="0"/>
        <w:autoSpaceDN w:val="0"/>
        <w:spacing w:line="360" w:lineRule="auto"/>
        <w:ind w:left="4365" w:leftChars="1850" w:hanging="480" w:hangingChars="200"/>
        <w:rPr>
          <w:rFonts w:hint="default" w:ascii="宋体" w:hAnsi="宋体" w:eastAsia="宋体" w:cs="宋体"/>
          <w:color w:val="auto"/>
          <w:kern w:val="0"/>
          <w:sz w:val="24"/>
          <w:highlight w:val="none"/>
          <w:lang w:val="en-US" w:eastAsia="zh-CN"/>
        </w:rPr>
      </w:pPr>
      <w:r>
        <w:rPr>
          <w:rFonts w:hint="eastAsia" w:ascii="宋体" w:hAnsi="宋体" w:eastAsia="宋体" w:cs="宋体"/>
          <w:color w:val="auto"/>
          <w:sz w:val="24"/>
          <w:highlight w:val="none"/>
        </w:rPr>
        <w:t xml:space="preserve"> </w:t>
      </w:r>
      <w:r>
        <w:rPr>
          <w:rFonts w:hint="eastAsia" w:ascii="宋体" w:hAnsi="宋体" w:eastAsia="宋体" w:cs="宋体"/>
          <w:color w:val="auto"/>
          <w:kern w:val="0"/>
          <w:sz w:val="24"/>
          <w:highlight w:val="none"/>
        </w:rPr>
        <w:t>供应商名称（电子签章）：</w:t>
      </w:r>
      <w:r>
        <w:rPr>
          <w:rFonts w:hint="eastAsia" w:ascii="宋体" w:hAnsi="宋体" w:cs="宋体"/>
          <w:color w:val="auto"/>
          <w:kern w:val="0"/>
          <w:sz w:val="24"/>
          <w:highlight w:val="none"/>
          <w:u w:val="single"/>
          <w:lang w:val="en-US" w:eastAsia="zh-CN"/>
        </w:rPr>
        <w:t xml:space="preserve">              </w:t>
      </w:r>
    </w:p>
    <w:p w14:paraId="1E1C2ECD">
      <w:pPr>
        <w:autoSpaceDE w:val="0"/>
        <w:autoSpaceDN w:val="0"/>
        <w:spacing w:line="360" w:lineRule="auto"/>
        <w:ind w:firstLine="6120" w:firstLineChars="2550"/>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lang w:val="zh-CN"/>
        </w:rPr>
        <w:t>日期：  年  月   日</w:t>
      </w:r>
    </w:p>
    <w:p w14:paraId="15B41CDE">
      <w:pPr>
        <w:spacing w:line="360" w:lineRule="auto"/>
        <w:rPr>
          <w:rFonts w:hint="eastAsia" w:ascii="宋体" w:hAnsi="宋体" w:eastAsia="宋体" w:cs="宋体"/>
          <w:color w:val="auto"/>
          <w:sz w:val="24"/>
          <w:highlight w:val="none"/>
        </w:rPr>
      </w:pPr>
    </w:p>
    <w:p w14:paraId="070FB1C4">
      <w:pP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注：1.法定代表人必须在授权委托书上亲笔签字或盖章，委托代理人必须在授权委托书上亲笔签字，</w:t>
      </w:r>
      <w:r>
        <w:rPr>
          <w:rFonts w:hint="eastAsia" w:ascii="宋体" w:hAnsi="宋体" w:eastAsia="宋体" w:cs="宋体"/>
          <w:b/>
          <w:color w:val="auto"/>
          <w:sz w:val="22"/>
          <w:szCs w:val="22"/>
          <w:highlight w:val="none"/>
        </w:rPr>
        <w:t>否则其响应文件按无效响应处理。</w:t>
      </w:r>
    </w:p>
    <w:p w14:paraId="65FFD7F1">
      <w:pPr>
        <w:spacing w:line="360" w:lineRule="auto"/>
        <w:ind w:firstLine="440" w:firstLineChars="20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0120D4A9">
      <w:pPr>
        <w:spacing w:line="360" w:lineRule="auto"/>
        <w:ind w:firstLine="440" w:firstLineChars="200"/>
        <w:jc w:val="left"/>
        <w:rPr>
          <w:rFonts w:hint="eastAsia" w:ascii="宋体" w:hAnsi="宋体" w:eastAsia="宋体" w:cs="宋体"/>
          <w:color w:val="auto"/>
          <w:sz w:val="24"/>
          <w:highlight w:val="none"/>
        </w:rPr>
      </w:pPr>
      <w:r>
        <w:rPr>
          <w:rFonts w:hint="eastAsia" w:ascii="宋体" w:hAnsi="宋体" w:eastAsia="宋体" w:cs="宋体"/>
          <w:color w:val="auto"/>
          <w:sz w:val="22"/>
          <w:szCs w:val="22"/>
          <w:highlight w:val="none"/>
        </w:rPr>
        <w:t>3.法人、其他组织竞标时“我方”是指“我单位”，自然人竞标时“我方”是指“本人”。</w:t>
      </w:r>
    </w:p>
    <w:p w14:paraId="5B7EDA45">
      <w:pPr>
        <w:autoSpaceDE w:val="0"/>
        <w:autoSpaceDN w:val="0"/>
        <w:spacing w:line="360" w:lineRule="auto"/>
        <w:ind w:firstLine="6144" w:firstLineChars="2550"/>
        <w:rPr>
          <w:rFonts w:hint="eastAsia" w:ascii="宋体" w:hAnsi="宋体" w:eastAsia="宋体" w:cs="宋体"/>
          <w:b/>
          <w:bCs/>
          <w:color w:val="auto"/>
          <w:sz w:val="24"/>
          <w:highlight w:val="none"/>
        </w:rPr>
      </w:pPr>
    </w:p>
    <w:p w14:paraId="435753B8">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color w:val="auto"/>
          <w:sz w:val="36"/>
          <w:szCs w:val="36"/>
          <w:highlight w:val="none"/>
          <w:lang w:val="en"/>
        </w:rPr>
      </w:pPr>
      <w:r>
        <w:rPr>
          <w:rFonts w:hint="eastAsia" w:ascii="宋体" w:hAnsi="宋体" w:eastAsia="宋体" w:cs="宋体"/>
          <w:b/>
          <w:bCs/>
          <w:color w:val="auto"/>
          <w:sz w:val="36"/>
          <w:szCs w:val="36"/>
          <w:highlight w:val="none"/>
          <w:lang w:val="en"/>
        </w:rPr>
        <w:br w:type="page"/>
      </w:r>
      <w:r>
        <w:rPr>
          <w:rFonts w:hint="eastAsia" w:ascii="宋体" w:hAnsi="宋体" w:eastAsia="宋体" w:cs="宋体"/>
          <w:b/>
          <w:bCs/>
          <w:color w:val="auto"/>
          <w:sz w:val="30"/>
          <w:szCs w:val="30"/>
          <w:highlight w:val="none"/>
          <w:lang w:val="en"/>
        </w:rPr>
        <w:t>商务条款偏离表</w:t>
      </w:r>
    </w:p>
    <w:p w14:paraId="0D23FB66">
      <w:pPr>
        <w:jc w:val="center"/>
        <w:rPr>
          <w:rFonts w:hint="eastAsia" w:ascii="宋体" w:hAnsi="宋体" w:eastAsia="宋体" w:cs="宋体"/>
          <w:b/>
          <w:bCs/>
          <w:color w:val="auto"/>
          <w:sz w:val="28"/>
          <w:szCs w:val="28"/>
          <w:highlight w:val="none"/>
        </w:rPr>
      </w:pPr>
    </w:p>
    <w:p w14:paraId="03B7AF69">
      <w:pPr>
        <w:spacing w:line="360" w:lineRule="auto"/>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采购项目名称：</w:t>
      </w:r>
      <w:r>
        <w:rPr>
          <w:rFonts w:hint="eastAsia" w:ascii="宋体" w:hAnsi="宋体" w:eastAsia="宋体" w:cs="宋体"/>
          <w:color w:val="auto"/>
          <w:sz w:val="24"/>
          <w:highlight w:val="none"/>
          <w:u w:val="single"/>
        </w:rPr>
        <w:t xml:space="preserve">                 </w:t>
      </w:r>
    </w:p>
    <w:p w14:paraId="450B05D8">
      <w:pPr>
        <w:spacing w:line="360" w:lineRule="auto"/>
        <w:contextualSpacing/>
        <w:rPr>
          <w:rFonts w:hint="default" w:ascii="宋体" w:hAnsi="宋体" w:eastAsia="宋体" w:cs="宋体"/>
          <w:color w:val="auto"/>
          <w:sz w:val="24"/>
          <w:highlight w:val="none"/>
          <w:u w:val="single"/>
          <w:lang w:val="en-US"/>
        </w:rPr>
      </w:pPr>
      <w:r>
        <w:rPr>
          <w:rFonts w:hint="eastAsia" w:ascii="宋体" w:hAnsi="宋体" w:eastAsia="宋体" w:cs="宋体"/>
          <w:color w:val="auto"/>
          <w:sz w:val="24"/>
          <w:highlight w:val="none"/>
        </w:rPr>
        <w:t>采购</w:t>
      </w:r>
      <w:r>
        <w:rPr>
          <w:rFonts w:hint="eastAsia" w:ascii="宋体" w:hAnsi="宋体" w:cs="宋体"/>
          <w:color w:val="auto"/>
          <w:sz w:val="24"/>
          <w:highlight w:val="none"/>
          <w:lang w:eastAsia="zh-CN"/>
        </w:rPr>
        <w:t>项目编号：</w:t>
      </w:r>
      <w:r>
        <w:rPr>
          <w:rFonts w:hint="eastAsia" w:ascii="宋体" w:hAnsi="宋体" w:cs="宋体"/>
          <w:color w:val="auto"/>
          <w:sz w:val="24"/>
          <w:highlight w:val="none"/>
          <w:u w:val="single"/>
          <w:lang w:val="en-US" w:eastAsia="zh-CN"/>
        </w:rPr>
        <w:t xml:space="preserve">                 </w:t>
      </w:r>
    </w:p>
    <w:p w14:paraId="5885D37A">
      <w:pPr>
        <w:spacing w:line="360" w:lineRule="auto"/>
        <w:contextualSpacing/>
        <w:rPr>
          <w:rFonts w:hint="eastAsia" w:ascii="宋体" w:hAnsi="宋体" w:eastAsia="宋体" w:cs="宋体"/>
          <w:color w:val="auto"/>
          <w:sz w:val="24"/>
          <w:highlight w:val="none"/>
          <w:u w:val="single"/>
        </w:rPr>
      </w:pPr>
    </w:p>
    <w:tbl>
      <w:tblPr>
        <w:tblStyle w:val="31"/>
        <w:tblpPr w:leftFromText="180" w:rightFromText="180" w:vertAnchor="text" w:horzAnchor="margin" w:tblpY="-9"/>
        <w:tblOverlap w:val="never"/>
        <w:tblW w:w="930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78"/>
        <w:gridCol w:w="2668"/>
        <w:gridCol w:w="2350"/>
        <w:gridCol w:w="2112"/>
      </w:tblGrid>
      <w:tr w14:paraId="6BD647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2178" w:type="dxa"/>
            <w:tcBorders>
              <w:top w:val="single" w:color="auto" w:sz="4" w:space="0"/>
              <w:bottom w:val="single" w:color="auto" w:sz="4" w:space="0"/>
              <w:right w:val="single" w:color="auto" w:sz="4" w:space="0"/>
            </w:tcBorders>
            <w:vAlign w:val="center"/>
          </w:tcPr>
          <w:p w14:paraId="7FAFF3C7">
            <w:pPr>
              <w:spacing w:line="360" w:lineRule="auto"/>
              <w:contextualSpacing/>
              <w:jc w:val="center"/>
              <w:rPr>
                <w:rFonts w:ascii="宋体" w:hAnsi="宋体" w:cs="宋体"/>
                <w:color w:val="auto"/>
                <w:sz w:val="24"/>
                <w:highlight w:val="none"/>
              </w:rPr>
            </w:pPr>
            <w:r>
              <w:rPr>
                <w:rFonts w:hint="eastAsia" w:ascii="宋体" w:hAnsi="宋体" w:cs="宋体"/>
                <w:color w:val="auto"/>
                <w:sz w:val="24"/>
                <w:highlight w:val="none"/>
              </w:rPr>
              <w:t>项目</w:t>
            </w:r>
          </w:p>
        </w:tc>
        <w:tc>
          <w:tcPr>
            <w:tcW w:w="2668" w:type="dxa"/>
            <w:tcBorders>
              <w:top w:val="single" w:color="auto" w:sz="4" w:space="0"/>
              <w:left w:val="single" w:color="auto" w:sz="4" w:space="0"/>
              <w:bottom w:val="single" w:color="auto" w:sz="4" w:space="0"/>
              <w:right w:val="single" w:color="auto" w:sz="4" w:space="0"/>
            </w:tcBorders>
            <w:vAlign w:val="center"/>
          </w:tcPr>
          <w:p w14:paraId="611488AB">
            <w:pPr>
              <w:spacing w:line="360" w:lineRule="auto"/>
              <w:contextualSpacing/>
              <w:jc w:val="center"/>
              <w:rPr>
                <w:rFonts w:ascii="宋体" w:hAnsi="宋体" w:cs="宋体"/>
                <w:color w:val="auto"/>
                <w:sz w:val="24"/>
                <w:highlight w:val="none"/>
              </w:rPr>
            </w:pPr>
            <w:r>
              <w:rPr>
                <w:rFonts w:hint="eastAsia" w:ascii="宋体" w:hAnsi="宋体" w:cs="宋体"/>
                <w:color w:val="auto"/>
                <w:sz w:val="24"/>
                <w:highlight w:val="none"/>
              </w:rPr>
              <w:t>磋商文件商务条款要求</w:t>
            </w:r>
          </w:p>
        </w:tc>
        <w:tc>
          <w:tcPr>
            <w:tcW w:w="2350" w:type="dxa"/>
            <w:tcBorders>
              <w:top w:val="single" w:color="auto" w:sz="4" w:space="0"/>
              <w:left w:val="single" w:color="auto" w:sz="4" w:space="0"/>
              <w:bottom w:val="single" w:color="auto" w:sz="4" w:space="0"/>
              <w:right w:val="single" w:color="auto" w:sz="4" w:space="0"/>
            </w:tcBorders>
            <w:vAlign w:val="center"/>
          </w:tcPr>
          <w:p w14:paraId="41138046">
            <w:pPr>
              <w:spacing w:line="360" w:lineRule="auto"/>
              <w:contextualSpacing/>
              <w:jc w:val="center"/>
              <w:rPr>
                <w:rFonts w:ascii="宋体" w:hAnsi="宋体" w:cs="宋体"/>
                <w:color w:val="auto"/>
                <w:sz w:val="24"/>
                <w:highlight w:val="none"/>
              </w:rPr>
            </w:pPr>
            <w:r>
              <w:rPr>
                <w:rFonts w:hint="eastAsia" w:ascii="宋体" w:hAnsi="宋体" w:cs="宋体"/>
                <w:color w:val="auto"/>
                <w:sz w:val="24"/>
                <w:highlight w:val="none"/>
              </w:rPr>
              <w:t>供应商的响应</w:t>
            </w:r>
          </w:p>
        </w:tc>
        <w:tc>
          <w:tcPr>
            <w:tcW w:w="2112" w:type="dxa"/>
            <w:tcBorders>
              <w:top w:val="single" w:color="auto" w:sz="4" w:space="0"/>
              <w:left w:val="single" w:color="auto" w:sz="4" w:space="0"/>
              <w:bottom w:val="single" w:color="auto" w:sz="4" w:space="0"/>
            </w:tcBorders>
            <w:vAlign w:val="center"/>
          </w:tcPr>
          <w:p w14:paraId="165CDF2E">
            <w:pPr>
              <w:spacing w:line="360" w:lineRule="auto"/>
              <w:contextualSpacing/>
              <w:jc w:val="center"/>
              <w:rPr>
                <w:rFonts w:ascii="宋体" w:hAnsi="宋体" w:cs="宋体"/>
                <w:color w:val="auto"/>
                <w:sz w:val="24"/>
                <w:highlight w:val="none"/>
              </w:rPr>
            </w:pPr>
            <w:r>
              <w:rPr>
                <w:rFonts w:hint="eastAsia" w:ascii="宋体" w:hAnsi="宋体" w:cs="宋体"/>
                <w:color w:val="auto"/>
                <w:sz w:val="24"/>
                <w:highlight w:val="none"/>
              </w:rPr>
              <w:t>偏离说明</w:t>
            </w:r>
          </w:p>
        </w:tc>
      </w:tr>
      <w:tr w14:paraId="7C1AAC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2178" w:type="dxa"/>
            <w:tcBorders>
              <w:top w:val="single" w:color="auto" w:sz="4" w:space="0"/>
              <w:bottom w:val="single" w:color="auto" w:sz="4" w:space="0"/>
              <w:right w:val="single" w:color="auto" w:sz="4" w:space="0"/>
            </w:tcBorders>
            <w:vAlign w:val="center"/>
          </w:tcPr>
          <w:p w14:paraId="3632C2AA">
            <w:pPr>
              <w:spacing w:line="360" w:lineRule="auto"/>
              <w:contextualSpacing/>
              <w:jc w:val="center"/>
              <w:rPr>
                <w:rFonts w:hint="default" w:ascii="宋体" w:hAnsi="宋体" w:eastAsia="宋体" w:cs="宋体"/>
                <w:color w:val="auto"/>
                <w:sz w:val="24"/>
                <w:highlight w:val="none"/>
                <w:lang w:val="en-US" w:eastAsia="zh-CN"/>
              </w:rPr>
            </w:pPr>
          </w:p>
        </w:tc>
        <w:tc>
          <w:tcPr>
            <w:tcW w:w="2668" w:type="dxa"/>
            <w:tcBorders>
              <w:top w:val="single" w:color="auto" w:sz="4" w:space="0"/>
              <w:left w:val="single" w:color="auto" w:sz="4" w:space="0"/>
              <w:bottom w:val="single" w:color="auto" w:sz="4" w:space="0"/>
              <w:right w:val="single" w:color="auto" w:sz="4" w:space="0"/>
            </w:tcBorders>
            <w:vAlign w:val="center"/>
          </w:tcPr>
          <w:p w14:paraId="3B002061">
            <w:pPr>
              <w:spacing w:line="360" w:lineRule="auto"/>
              <w:contextualSpacing/>
              <w:jc w:val="center"/>
              <w:rPr>
                <w:rFonts w:ascii="宋体" w:hAnsi="宋体" w:cs="宋体"/>
                <w:color w:val="auto"/>
                <w:sz w:val="24"/>
                <w:highlight w:val="none"/>
              </w:rPr>
            </w:pPr>
          </w:p>
        </w:tc>
        <w:tc>
          <w:tcPr>
            <w:tcW w:w="2350" w:type="dxa"/>
            <w:tcBorders>
              <w:top w:val="single" w:color="auto" w:sz="4" w:space="0"/>
              <w:left w:val="single" w:color="auto" w:sz="4" w:space="0"/>
              <w:bottom w:val="single" w:color="auto" w:sz="4" w:space="0"/>
              <w:right w:val="single" w:color="auto" w:sz="4" w:space="0"/>
            </w:tcBorders>
            <w:vAlign w:val="center"/>
          </w:tcPr>
          <w:p w14:paraId="2C49D794">
            <w:pPr>
              <w:spacing w:line="360" w:lineRule="auto"/>
              <w:contextualSpacing/>
              <w:jc w:val="center"/>
              <w:rPr>
                <w:rFonts w:ascii="宋体" w:hAnsi="宋体" w:cs="宋体"/>
                <w:color w:val="auto"/>
                <w:sz w:val="24"/>
                <w:highlight w:val="none"/>
              </w:rPr>
            </w:pPr>
          </w:p>
        </w:tc>
        <w:tc>
          <w:tcPr>
            <w:tcW w:w="2112" w:type="dxa"/>
            <w:tcBorders>
              <w:top w:val="single" w:color="auto" w:sz="4" w:space="0"/>
              <w:left w:val="single" w:color="auto" w:sz="4" w:space="0"/>
              <w:bottom w:val="single" w:color="auto" w:sz="4" w:space="0"/>
            </w:tcBorders>
            <w:vAlign w:val="center"/>
          </w:tcPr>
          <w:p w14:paraId="65C9B1FA">
            <w:pPr>
              <w:spacing w:line="360" w:lineRule="auto"/>
              <w:contextualSpacing/>
              <w:jc w:val="center"/>
              <w:rPr>
                <w:rFonts w:ascii="宋体" w:hAnsi="宋体" w:cs="宋体"/>
                <w:color w:val="auto"/>
                <w:sz w:val="24"/>
                <w:highlight w:val="none"/>
              </w:rPr>
            </w:pPr>
          </w:p>
        </w:tc>
      </w:tr>
      <w:tr w14:paraId="1F1829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2178" w:type="dxa"/>
            <w:tcBorders>
              <w:top w:val="single" w:color="auto" w:sz="4" w:space="0"/>
              <w:bottom w:val="single" w:color="auto" w:sz="4" w:space="0"/>
              <w:right w:val="single" w:color="auto" w:sz="4" w:space="0"/>
            </w:tcBorders>
            <w:vAlign w:val="center"/>
          </w:tcPr>
          <w:p w14:paraId="5FB9C930">
            <w:pPr>
              <w:spacing w:line="360" w:lineRule="auto"/>
              <w:contextualSpacing/>
              <w:jc w:val="center"/>
              <w:rPr>
                <w:rFonts w:ascii="宋体" w:hAnsi="宋体" w:cs="宋体"/>
                <w:color w:val="auto"/>
                <w:sz w:val="24"/>
                <w:highlight w:val="none"/>
              </w:rPr>
            </w:pPr>
          </w:p>
        </w:tc>
        <w:tc>
          <w:tcPr>
            <w:tcW w:w="2668" w:type="dxa"/>
            <w:tcBorders>
              <w:top w:val="single" w:color="auto" w:sz="4" w:space="0"/>
              <w:left w:val="single" w:color="auto" w:sz="4" w:space="0"/>
              <w:bottom w:val="single" w:color="auto" w:sz="4" w:space="0"/>
              <w:right w:val="single" w:color="auto" w:sz="4" w:space="0"/>
            </w:tcBorders>
            <w:vAlign w:val="center"/>
          </w:tcPr>
          <w:p w14:paraId="61208F13">
            <w:pPr>
              <w:spacing w:line="360" w:lineRule="auto"/>
              <w:contextualSpacing/>
              <w:jc w:val="center"/>
              <w:rPr>
                <w:rFonts w:ascii="宋体" w:hAnsi="宋体" w:cs="宋体"/>
                <w:color w:val="auto"/>
                <w:sz w:val="24"/>
                <w:highlight w:val="none"/>
              </w:rPr>
            </w:pPr>
          </w:p>
        </w:tc>
        <w:tc>
          <w:tcPr>
            <w:tcW w:w="2350" w:type="dxa"/>
            <w:tcBorders>
              <w:top w:val="single" w:color="auto" w:sz="4" w:space="0"/>
              <w:left w:val="single" w:color="auto" w:sz="4" w:space="0"/>
              <w:bottom w:val="single" w:color="auto" w:sz="4" w:space="0"/>
              <w:right w:val="single" w:color="auto" w:sz="4" w:space="0"/>
            </w:tcBorders>
            <w:vAlign w:val="center"/>
          </w:tcPr>
          <w:p w14:paraId="0DBF63BC">
            <w:pPr>
              <w:spacing w:line="360" w:lineRule="auto"/>
              <w:ind w:left="43"/>
              <w:contextualSpacing/>
              <w:jc w:val="center"/>
              <w:rPr>
                <w:rFonts w:ascii="宋体" w:hAnsi="宋体" w:cs="宋体"/>
                <w:color w:val="auto"/>
                <w:sz w:val="24"/>
                <w:highlight w:val="none"/>
              </w:rPr>
            </w:pPr>
          </w:p>
        </w:tc>
        <w:tc>
          <w:tcPr>
            <w:tcW w:w="2112" w:type="dxa"/>
            <w:tcBorders>
              <w:top w:val="single" w:color="auto" w:sz="4" w:space="0"/>
              <w:left w:val="single" w:color="auto" w:sz="4" w:space="0"/>
              <w:bottom w:val="single" w:color="auto" w:sz="4" w:space="0"/>
            </w:tcBorders>
            <w:vAlign w:val="center"/>
          </w:tcPr>
          <w:p w14:paraId="200B0805">
            <w:pPr>
              <w:spacing w:line="360" w:lineRule="auto"/>
              <w:ind w:left="43"/>
              <w:contextualSpacing/>
              <w:jc w:val="center"/>
              <w:rPr>
                <w:rFonts w:ascii="宋体" w:hAnsi="宋体" w:cs="宋体"/>
                <w:color w:val="auto"/>
                <w:sz w:val="24"/>
                <w:highlight w:val="none"/>
              </w:rPr>
            </w:pPr>
          </w:p>
        </w:tc>
      </w:tr>
      <w:tr w14:paraId="32D9FC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2178" w:type="dxa"/>
            <w:tcBorders>
              <w:top w:val="single" w:color="auto" w:sz="4" w:space="0"/>
              <w:bottom w:val="single" w:color="auto" w:sz="4" w:space="0"/>
              <w:right w:val="single" w:color="auto" w:sz="4" w:space="0"/>
            </w:tcBorders>
            <w:vAlign w:val="center"/>
          </w:tcPr>
          <w:p w14:paraId="493708F9">
            <w:pPr>
              <w:spacing w:line="360" w:lineRule="auto"/>
              <w:contextualSpacing/>
              <w:jc w:val="center"/>
              <w:rPr>
                <w:rFonts w:hint="default" w:ascii="宋体" w:hAnsi="宋体" w:eastAsia="宋体" w:cs="宋体"/>
                <w:color w:val="auto"/>
                <w:sz w:val="24"/>
                <w:highlight w:val="none"/>
                <w:lang w:val="en-US" w:eastAsia="zh-CN"/>
              </w:rPr>
            </w:pPr>
          </w:p>
        </w:tc>
        <w:tc>
          <w:tcPr>
            <w:tcW w:w="2668" w:type="dxa"/>
            <w:tcBorders>
              <w:top w:val="single" w:color="auto" w:sz="4" w:space="0"/>
              <w:left w:val="single" w:color="auto" w:sz="4" w:space="0"/>
              <w:bottom w:val="single" w:color="auto" w:sz="4" w:space="0"/>
              <w:right w:val="single" w:color="auto" w:sz="4" w:space="0"/>
            </w:tcBorders>
            <w:vAlign w:val="center"/>
          </w:tcPr>
          <w:p w14:paraId="66D25E1B">
            <w:pPr>
              <w:spacing w:line="360" w:lineRule="auto"/>
              <w:contextualSpacing/>
              <w:jc w:val="center"/>
              <w:rPr>
                <w:rFonts w:ascii="宋体" w:hAnsi="宋体" w:cs="宋体"/>
                <w:color w:val="auto"/>
                <w:sz w:val="24"/>
                <w:highlight w:val="none"/>
              </w:rPr>
            </w:pPr>
          </w:p>
        </w:tc>
        <w:tc>
          <w:tcPr>
            <w:tcW w:w="2350" w:type="dxa"/>
            <w:tcBorders>
              <w:top w:val="single" w:color="auto" w:sz="4" w:space="0"/>
              <w:left w:val="single" w:color="auto" w:sz="4" w:space="0"/>
              <w:bottom w:val="single" w:color="auto" w:sz="4" w:space="0"/>
              <w:right w:val="single" w:color="auto" w:sz="4" w:space="0"/>
            </w:tcBorders>
            <w:vAlign w:val="center"/>
          </w:tcPr>
          <w:p w14:paraId="1686A4F9">
            <w:pPr>
              <w:spacing w:line="360" w:lineRule="auto"/>
              <w:contextualSpacing/>
              <w:jc w:val="center"/>
              <w:rPr>
                <w:rFonts w:ascii="宋体" w:hAnsi="宋体" w:cs="宋体"/>
                <w:color w:val="auto"/>
                <w:sz w:val="24"/>
                <w:highlight w:val="none"/>
              </w:rPr>
            </w:pPr>
          </w:p>
        </w:tc>
        <w:tc>
          <w:tcPr>
            <w:tcW w:w="2112" w:type="dxa"/>
            <w:tcBorders>
              <w:top w:val="single" w:color="auto" w:sz="4" w:space="0"/>
              <w:left w:val="single" w:color="auto" w:sz="4" w:space="0"/>
              <w:bottom w:val="single" w:color="auto" w:sz="4" w:space="0"/>
            </w:tcBorders>
            <w:vAlign w:val="center"/>
          </w:tcPr>
          <w:p w14:paraId="24CC7F05">
            <w:pPr>
              <w:spacing w:line="360" w:lineRule="auto"/>
              <w:contextualSpacing/>
              <w:jc w:val="center"/>
              <w:rPr>
                <w:rFonts w:ascii="宋体" w:hAnsi="宋体" w:cs="宋体"/>
                <w:color w:val="auto"/>
                <w:sz w:val="24"/>
                <w:highlight w:val="none"/>
              </w:rPr>
            </w:pPr>
          </w:p>
        </w:tc>
      </w:tr>
      <w:tr w14:paraId="39CAB6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78" w:type="dxa"/>
            <w:tcBorders>
              <w:top w:val="single" w:color="auto" w:sz="4" w:space="0"/>
              <w:bottom w:val="single" w:color="auto" w:sz="4" w:space="0"/>
              <w:right w:val="single" w:color="auto" w:sz="4" w:space="0"/>
            </w:tcBorders>
            <w:vAlign w:val="center"/>
          </w:tcPr>
          <w:p w14:paraId="156694CB">
            <w:pPr>
              <w:spacing w:line="360" w:lineRule="auto"/>
              <w:contextualSpacing/>
              <w:jc w:val="center"/>
              <w:rPr>
                <w:rFonts w:hint="default" w:ascii="宋体" w:hAnsi="宋体" w:eastAsia="宋体" w:cs="宋体"/>
                <w:color w:val="auto"/>
                <w:sz w:val="24"/>
                <w:highlight w:val="none"/>
                <w:lang w:val="en-US" w:eastAsia="zh-CN"/>
              </w:rPr>
            </w:pPr>
          </w:p>
        </w:tc>
        <w:tc>
          <w:tcPr>
            <w:tcW w:w="2668" w:type="dxa"/>
            <w:tcBorders>
              <w:top w:val="single" w:color="auto" w:sz="4" w:space="0"/>
              <w:left w:val="single" w:color="auto" w:sz="4" w:space="0"/>
              <w:bottom w:val="single" w:color="auto" w:sz="4" w:space="0"/>
              <w:right w:val="single" w:color="auto" w:sz="4" w:space="0"/>
            </w:tcBorders>
            <w:vAlign w:val="center"/>
          </w:tcPr>
          <w:p w14:paraId="23392E28">
            <w:pPr>
              <w:spacing w:line="360" w:lineRule="auto"/>
              <w:contextualSpacing/>
              <w:jc w:val="center"/>
              <w:rPr>
                <w:rFonts w:ascii="宋体" w:hAnsi="宋体" w:cs="宋体"/>
                <w:color w:val="auto"/>
                <w:sz w:val="24"/>
                <w:highlight w:val="none"/>
              </w:rPr>
            </w:pPr>
          </w:p>
        </w:tc>
        <w:tc>
          <w:tcPr>
            <w:tcW w:w="2350" w:type="dxa"/>
            <w:tcBorders>
              <w:top w:val="single" w:color="auto" w:sz="4" w:space="0"/>
              <w:left w:val="single" w:color="auto" w:sz="4" w:space="0"/>
              <w:bottom w:val="single" w:color="auto" w:sz="4" w:space="0"/>
              <w:right w:val="single" w:color="auto" w:sz="4" w:space="0"/>
            </w:tcBorders>
            <w:vAlign w:val="center"/>
          </w:tcPr>
          <w:p w14:paraId="758575DE">
            <w:pPr>
              <w:spacing w:line="360" w:lineRule="auto"/>
              <w:contextualSpacing/>
              <w:jc w:val="center"/>
              <w:rPr>
                <w:rFonts w:ascii="宋体" w:hAnsi="宋体" w:cs="宋体"/>
                <w:color w:val="auto"/>
                <w:sz w:val="24"/>
                <w:highlight w:val="none"/>
              </w:rPr>
            </w:pPr>
          </w:p>
        </w:tc>
        <w:tc>
          <w:tcPr>
            <w:tcW w:w="2112" w:type="dxa"/>
            <w:tcBorders>
              <w:top w:val="single" w:color="auto" w:sz="4" w:space="0"/>
              <w:left w:val="single" w:color="auto" w:sz="4" w:space="0"/>
              <w:bottom w:val="single" w:color="auto" w:sz="4" w:space="0"/>
            </w:tcBorders>
            <w:vAlign w:val="center"/>
          </w:tcPr>
          <w:p w14:paraId="661899FB">
            <w:pPr>
              <w:spacing w:line="360" w:lineRule="auto"/>
              <w:contextualSpacing/>
              <w:jc w:val="center"/>
              <w:rPr>
                <w:rFonts w:ascii="宋体" w:hAnsi="宋体" w:cs="宋体"/>
                <w:color w:val="auto"/>
                <w:sz w:val="24"/>
                <w:highlight w:val="none"/>
              </w:rPr>
            </w:pPr>
          </w:p>
        </w:tc>
      </w:tr>
      <w:tr w14:paraId="7D1816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78" w:type="dxa"/>
            <w:tcBorders>
              <w:top w:val="single" w:color="auto" w:sz="4" w:space="0"/>
              <w:bottom w:val="single" w:color="auto" w:sz="4" w:space="0"/>
              <w:right w:val="single" w:color="auto" w:sz="4" w:space="0"/>
            </w:tcBorders>
            <w:vAlign w:val="center"/>
          </w:tcPr>
          <w:p w14:paraId="7F18E314">
            <w:pPr>
              <w:spacing w:line="360" w:lineRule="auto"/>
              <w:contextualSpacing/>
              <w:jc w:val="center"/>
              <w:rPr>
                <w:rFonts w:ascii="宋体" w:hAnsi="宋体" w:cs="宋体"/>
                <w:color w:val="auto"/>
                <w:sz w:val="24"/>
                <w:highlight w:val="none"/>
              </w:rPr>
            </w:pPr>
          </w:p>
        </w:tc>
        <w:tc>
          <w:tcPr>
            <w:tcW w:w="2668" w:type="dxa"/>
            <w:tcBorders>
              <w:top w:val="single" w:color="auto" w:sz="4" w:space="0"/>
              <w:left w:val="single" w:color="auto" w:sz="4" w:space="0"/>
              <w:bottom w:val="single" w:color="auto" w:sz="4" w:space="0"/>
              <w:right w:val="single" w:color="auto" w:sz="4" w:space="0"/>
            </w:tcBorders>
            <w:vAlign w:val="center"/>
          </w:tcPr>
          <w:p w14:paraId="31D5682F">
            <w:pPr>
              <w:spacing w:line="360" w:lineRule="auto"/>
              <w:contextualSpacing/>
              <w:jc w:val="center"/>
              <w:rPr>
                <w:rFonts w:ascii="宋体" w:hAnsi="宋体" w:cs="宋体"/>
                <w:color w:val="auto"/>
                <w:sz w:val="24"/>
                <w:highlight w:val="none"/>
              </w:rPr>
            </w:pPr>
          </w:p>
        </w:tc>
        <w:tc>
          <w:tcPr>
            <w:tcW w:w="2350" w:type="dxa"/>
            <w:tcBorders>
              <w:top w:val="single" w:color="auto" w:sz="4" w:space="0"/>
              <w:left w:val="single" w:color="auto" w:sz="4" w:space="0"/>
              <w:bottom w:val="single" w:color="auto" w:sz="4" w:space="0"/>
              <w:right w:val="single" w:color="auto" w:sz="4" w:space="0"/>
            </w:tcBorders>
            <w:vAlign w:val="center"/>
          </w:tcPr>
          <w:p w14:paraId="15D7DE74">
            <w:pPr>
              <w:spacing w:line="360" w:lineRule="auto"/>
              <w:contextualSpacing/>
              <w:jc w:val="center"/>
              <w:rPr>
                <w:rFonts w:ascii="宋体" w:hAnsi="宋体" w:cs="宋体"/>
                <w:color w:val="auto"/>
                <w:sz w:val="24"/>
                <w:highlight w:val="none"/>
              </w:rPr>
            </w:pPr>
          </w:p>
        </w:tc>
        <w:tc>
          <w:tcPr>
            <w:tcW w:w="2112" w:type="dxa"/>
            <w:tcBorders>
              <w:top w:val="single" w:color="auto" w:sz="4" w:space="0"/>
              <w:left w:val="single" w:color="auto" w:sz="4" w:space="0"/>
              <w:bottom w:val="single" w:color="auto" w:sz="4" w:space="0"/>
            </w:tcBorders>
            <w:vAlign w:val="center"/>
          </w:tcPr>
          <w:p w14:paraId="0FA3C726">
            <w:pPr>
              <w:spacing w:line="360" w:lineRule="auto"/>
              <w:contextualSpacing/>
              <w:jc w:val="center"/>
              <w:rPr>
                <w:rFonts w:ascii="宋体" w:hAnsi="宋体" w:cs="宋体"/>
                <w:color w:val="auto"/>
                <w:sz w:val="24"/>
                <w:highlight w:val="none"/>
              </w:rPr>
            </w:pPr>
          </w:p>
        </w:tc>
      </w:tr>
    </w:tbl>
    <w:p w14:paraId="04F350DD">
      <w:pPr>
        <w:spacing w:line="400" w:lineRule="exact"/>
        <w:contextualSpacing/>
        <w:rPr>
          <w:rFonts w:hint="eastAsia" w:ascii="宋体" w:hAnsi="宋体" w:eastAsia="宋体" w:cs="宋体"/>
          <w:color w:val="auto"/>
          <w:kern w:val="0"/>
          <w:sz w:val="24"/>
          <w:highlight w:val="none"/>
        </w:rPr>
      </w:pPr>
    </w:p>
    <w:p w14:paraId="37052325">
      <w:pPr>
        <w:spacing w:line="400" w:lineRule="exact"/>
        <w:contextualSpacing/>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注：</w:t>
      </w:r>
    </w:p>
    <w:p w14:paraId="7656BEDC">
      <w:pPr>
        <w:spacing w:line="400" w:lineRule="exact"/>
        <w:contextualSpacing/>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1.说明：应对照磋商文件“第二章 采购需求”中的</w:t>
      </w:r>
      <w:r>
        <w:rPr>
          <w:rFonts w:hint="eastAsia" w:ascii="宋体" w:hAnsi="宋体" w:cs="宋体"/>
          <w:color w:val="auto"/>
          <w:kern w:val="0"/>
          <w:sz w:val="24"/>
          <w:highlight w:val="none"/>
          <w:lang w:eastAsia="zh-CN"/>
        </w:rPr>
        <w:t>“</w:t>
      </w:r>
      <w:r>
        <w:rPr>
          <w:rFonts w:hint="eastAsia" w:ascii="宋体" w:hAnsi="宋体" w:cs="宋体"/>
          <w:b/>
          <w:bCs/>
          <w:color w:val="auto"/>
          <w:kern w:val="0"/>
          <w:sz w:val="24"/>
          <w:highlight w:val="none"/>
          <w:lang w:eastAsia="zh-CN"/>
        </w:rPr>
        <w:t>▲</w:t>
      </w:r>
      <w:r>
        <w:rPr>
          <w:rFonts w:hint="eastAsia" w:ascii="宋体" w:hAnsi="宋体" w:cs="宋体"/>
          <w:b/>
          <w:bCs/>
          <w:color w:val="auto"/>
          <w:kern w:val="0"/>
          <w:sz w:val="24"/>
          <w:highlight w:val="none"/>
          <w:lang w:val="en-US" w:eastAsia="zh-CN"/>
        </w:rPr>
        <w:t>三</w:t>
      </w:r>
      <w:r>
        <w:rPr>
          <w:rFonts w:hint="eastAsia" w:ascii="宋体" w:hAnsi="宋体" w:cs="宋体"/>
          <w:b/>
          <w:bCs/>
          <w:color w:val="auto"/>
          <w:kern w:val="0"/>
          <w:sz w:val="24"/>
          <w:highlight w:val="none"/>
          <w:lang w:eastAsia="zh-CN"/>
        </w:rPr>
        <w:t>、商务要求</w:t>
      </w:r>
      <w:r>
        <w:rPr>
          <w:rFonts w:hint="eastAsia" w:ascii="宋体" w:hAnsi="宋体" w:cs="宋体"/>
          <w:color w:val="auto"/>
          <w:kern w:val="0"/>
          <w:sz w:val="24"/>
          <w:highlight w:val="none"/>
          <w:lang w:eastAsia="zh-CN"/>
        </w:rPr>
        <w:t>”</w:t>
      </w:r>
      <w:r>
        <w:rPr>
          <w:rFonts w:hint="eastAsia" w:ascii="宋体" w:hAnsi="宋体" w:eastAsia="宋体" w:cs="宋体"/>
          <w:color w:val="auto"/>
          <w:kern w:val="0"/>
          <w:sz w:val="24"/>
          <w:highlight w:val="none"/>
        </w:rPr>
        <w:t>逐条作出明确响应，并作出偏离说明。</w:t>
      </w:r>
    </w:p>
    <w:p w14:paraId="4C917632">
      <w:pPr>
        <w:spacing w:line="400" w:lineRule="exact"/>
        <w:contextualSpacing/>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供应商应根据自身的承诺，对照磋商文件要求，在“偏离说明”中注明“正偏离”、“负偏离”或者“无偏离”。既不属于“正偏离”也不属于“负偏离”即为“无偏离”。当响应文件的商务内容低于竞争性磋商采购文件要求时，竞标人应当如实写明“负偏离”，否则视为虚假应标</w:t>
      </w:r>
    </w:p>
    <w:p w14:paraId="688E0E29">
      <w:pPr>
        <w:spacing w:line="400" w:lineRule="exac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3.表格内容均需按要求填写，不得留空，否则按竞标无效处理。</w:t>
      </w:r>
    </w:p>
    <w:p w14:paraId="26603051">
      <w:pPr>
        <w:spacing w:line="360" w:lineRule="auto"/>
        <w:ind w:firstLine="3840" w:firstLineChars="1600"/>
        <w:rPr>
          <w:rFonts w:hint="eastAsia" w:ascii="宋体" w:hAnsi="宋体" w:eastAsia="宋体" w:cs="宋体"/>
          <w:color w:val="auto"/>
          <w:kern w:val="0"/>
          <w:sz w:val="24"/>
          <w:highlight w:val="none"/>
        </w:rPr>
      </w:pPr>
    </w:p>
    <w:p w14:paraId="146CA18D">
      <w:pPr>
        <w:spacing w:line="360" w:lineRule="auto"/>
        <w:ind w:firstLine="3840" w:firstLineChars="1600"/>
        <w:rPr>
          <w:rFonts w:hint="default" w:ascii="宋体" w:hAnsi="宋体" w:eastAsia="宋体" w:cs="宋体"/>
          <w:color w:val="auto"/>
          <w:sz w:val="24"/>
          <w:highlight w:val="none"/>
          <w:lang w:val="en-US" w:eastAsia="zh-CN"/>
        </w:rPr>
      </w:pPr>
      <w:r>
        <w:rPr>
          <w:rFonts w:hint="eastAsia" w:ascii="宋体" w:hAnsi="宋体" w:eastAsia="宋体" w:cs="宋体"/>
          <w:color w:val="auto"/>
          <w:kern w:val="0"/>
          <w:sz w:val="24"/>
          <w:highlight w:val="none"/>
        </w:rPr>
        <w:t>供应商名称（电子签章）：</w:t>
      </w:r>
      <w:r>
        <w:rPr>
          <w:rFonts w:hint="eastAsia" w:ascii="宋体" w:hAnsi="宋体" w:cs="宋体"/>
          <w:color w:val="auto"/>
          <w:kern w:val="0"/>
          <w:sz w:val="24"/>
          <w:highlight w:val="none"/>
          <w:u w:val="single"/>
          <w:lang w:val="en-US" w:eastAsia="zh-CN"/>
        </w:rPr>
        <w:t xml:space="preserve">                 </w:t>
      </w:r>
    </w:p>
    <w:p w14:paraId="59166403">
      <w:pPr>
        <w:spacing w:line="360" w:lineRule="auto"/>
        <w:contextualSpacing/>
        <w:jc w:val="center"/>
        <w:rPr>
          <w:rFonts w:hint="eastAsia" w:ascii="宋体" w:hAnsi="宋体" w:eastAsia="宋体" w:cs="宋体"/>
          <w:color w:val="auto"/>
          <w:sz w:val="32"/>
          <w:szCs w:val="32"/>
          <w:highlight w:val="none"/>
        </w:rPr>
      </w:pPr>
      <w:r>
        <w:rPr>
          <w:rFonts w:hint="eastAsia" w:ascii="宋体" w:hAnsi="宋体" w:eastAsia="宋体" w:cs="宋体"/>
          <w:color w:val="auto"/>
          <w:kern w:val="0"/>
          <w:sz w:val="24"/>
          <w:highlight w:val="none"/>
          <w:lang w:val="zh-CN"/>
        </w:rPr>
        <w:t xml:space="preserve">                                                   日期：  年  月   日</w:t>
      </w:r>
    </w:p>
    <w:p w14:paraId="392F310D">
      <w:pPr>
        <w:autoSpaceDE w:val="0"/>
        <w:autoSpaceDN w:val="0"/>
        <w:spacing w:line="360" w:lineRule="auto"/>
        <w:ind w:firstLine="6144" w:firstLineChars="2550"/>
        <w:rPr>
          <w:rFonts w:hint="eastAsia" w:ascii="宋体" w:hAnsi="宋体" w:eastAsia="宋体" w:cs="宋体"/>
          <w:b/>
          <w:bCs/>
          <w:color w:val="auto"/>
          <w:sz w:val="24"/>
          <w:highlight w:val="none"/>
        </w:rPr>
      </w:pPr>
    </w:p>
    <w:p w14:paraId="572BF9F4">
      <w:pPr>
        <w:pStyle w:val="30"/>
        <w:jc w:val="center"/>
        <w:rPr>
          <w:rFonts w:hint="eastAsia" w:ascii="宋体" w:hAnsi="宋体" w:eastAsia="宋体" w:cs="宋体"/>
          <w:b/>
          <w:bCs w:val="0"/>
          <w:caps w:val="0"/>
          <w:smallCaps w:val="0"/>
          <w:color w:val="auto"/>
          <w:spacing w:val="0"/>
          <w:kern w:val="2"/>
          <w:sz w:val="30"/>
          <w:szCs w:val="30"/>
          <w:highlight w:val="none"/>
          <w:lang w:val="en-US" w:eastAsia="zh-CN"/>
        </w:rPr>
      </w:pPr>
      <w:r>
        <w:rPr>
          <w:rFonts w:hint="eastAsia" w:ascii="宋体" w:hAnsi="宋体" w:eastAsia="宋体" w:cs="宋体"/>
          <w:b/>
          <w:bCs/>
          <w:color w:val="auto"/>
          <w:sz w:val="30"/>
          <w:szCs w:val="30"/>
          <w:highlight w:val="none"/>
          <w:lang w:val="en-US" w:eastAsia="zh-CN"/>
        </w:rPr>
        <w:br w:type="page"/>
      </w:r>
    </w:p>
    <w:p w14:paraId="67DC10F2">
      <w:pPr>
        <w:keepNext w:val="0"/>
        <w:keepLines w:val="0"/>
        <w:pageBreakBefore w:val="0"/>
        <w:widowControl w:val="0"/>
        <w:kinsoku/>
        <w:wordWrap/>
        <w:overflowPunct/>
        <w:topLinePunct w:val="0"/>
        <w:autoSpaceDE/>
        <w:autoSpaceDN/>
        <w:bidi w:val="0"/>
        <w:adjustRightInd/>
        <w:snapToGrid/>
        <w:spacing w:line="520" w:lineRule="exact"/>
        <w:ind w:firstLine="0" w:firstLineChars="0"/>
        <w:jc w:val="center"/>
        <w:textAlignment w:val="auto"/>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服务需求偏离表</w:t>
      </w:r>
    </w:p>
    <w:p w14:paraId="697975B9">
      <w:pPr>
        <w:spacing w:line="360" w:lineRule="auto"/>
        <w:contextualSpacing/>
        <w:rPr>
          <w:rFonts w:hint="eastAsia" w:ascii="宋体" w:hAnsi="宋体" w:eastAsia="宋体" w:cs="宋体"/>
          <w:color w:val="auto"/>
          <w:kern w:val="0"/>
          <w:sz w:val="24"/>
          <w:highlight w:val="none"/>
        </w:rPr>
      </w:pPr>
    </w:p>
    <w:tbl>
      <w:tblPr>
        <w:tblStyle w:val="31"/>
        <w:tblW w:w="9313"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267"/>
        <w:gridCol w:w="900"/>
        <w:gridCol w:w="2989"/>
        <w:gridCol w:w="2690"/>
        <w:gridCol w:w="1467"/>
      </w:tblGrid>
      <w:tr w14:paraId="33DCAC4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cantSplit/>
          <w:trHeight w:val="420" w:hRule="atLeast"/>
          <w:jc w:val="center"/>
        </w:trPr>
        <w:tc>
          <w:tcPr>
            <w:tcW w:w="1267" w:type="dxa"/>
            <w:tcBorders>
              <w:top w:val="single" w:color="auto" w:sz="4" w:space="0"/>
            </w:tcBorders>
            <w:vAlign w:val="center"/>
          </w:tcPr>
          <w:p w14:paraId="5D6CF1A2">
            <w:pPr>
              <w:pStyle w:val="13"/>
              <w:spacing w:line="360" w:lineRule="auto"/>
              <w:ind w:firstLine="0" w:firstLineChars="0"/>
              <w:contextualSpacing/>
              <w:jc w:val="center"/>
              <w:rPr>
                <w:rFonts w:ascii="宋体" w:hAnsi="宋体" w:eastAsia="宋体" w:cs="宋体"/>
                <w:color w:val="auto"/>
                <w:kern w:val="2"/>
                <w:sz w:val="24"/>
                <w:szCs w:val="24"/>
                <w:highlight w:val="none"/>
              </w:rPr>
            </w:pPr>
            <w:bookmarkStart w:id="58" w:name="_Toc254970729"/>
            <w:bookmarkStart w:id="59" w:name="_Toc373333689"/>
            <w:bookmarkStart w:id="60" w:name="_Toc301781611"/>
            <w:bookmarkStart w:id="61" w:name="_Toc254970588"/>
            <w:bookmarkStart w:id="62" w:name="_Toc295404981"/>
            <w:bookmarkStart w:id="63" w:name="_Toc173066401"/>
            <w:bookmarkStart w:id="64" w:name="_Toc383699906"/>
            <w:bookmarkStart w:id="65" w:name="_Toc173211900"/>
            <w:bookmarkStart w:id="66" w:name="_Toc297193185"/>
            <w:r>
              <w:rPr>
                <w:rFonts w:hint="eastAsia" w:ascii="宋体" w:hAnsi="宋体" w:eastAsia="宋体" w:cs="宋体"/>
                <w:color w:val="auto"/>
                <w:kern w:val="2"/>
                <w:sz w:val="24"/>
                <w:szCs w:val="24"/>
                <w:highlight w:val="none"/>
              </w:rPr>
              <w:t>序号</w:t>
            </w:r>
            <w:bookmarkEnd w:id="58"/>
            <w:bookmarkEnd w:id="59"/>
            <w:bookmarkEnd w:id="60"/>
            <w:bookmarkEnd w:id="61"/>
            <w:bookmarkEnd w:id="62"/>
            <w:bookmarkEnd w:id="63"/>
            <w:bookmarkEnd w:id="64"/>
            <w:bookmarkEnd w:id="65"/>
            <w:bookmarkEnd w:id="66"/>
          </w:p>
        </w:tc>
        <w:tc>
          <w:tcPr>
            <w:tcW w:w="900" w:type="dxa"/>
            <w:tcBorders>
              <w:top w:val="single" w:color="auto" w:sz="4" w:space="0"/>
              <w:right w:val="single" w:color="auto" w:sz="4" w:space="0"/>
            </w:tcBorders>
            <w:vAlign w:val="center"/>
          </w:tcPr>
          <w:p w14:paraId="60045F49">
            <w:pPr>
              <w:pStyle w:val="13"/>
              <w:spacing w:line="360" w:lineRule="auto"/>
              <w:ind w:firstLine="0" w:firstLineChars="0"/>
              <w:contextualSpacing/>
              <w:jc w:val="center"/>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项目</w:t>
            </w:r>
          </w:p>
        </w:tc>
        <w:tc>
          <w:tcPr>
            <w:tcW w:w="2989" w:type="dxa"/>
            <w:tcBorders>
              <w:top w:val="single" w:color="auto" w:sz="4" w:space="0"/>
              <w:left w:val="single" w:color="auto" w:sz="4" w:space="0"/>
            </w:tcBorders>
            <w:vAlign w:val="center"/>
          </w:tcPr>
          <w:p w14:paraId="0BF499FC">
            <w:pPr>
              <w:pStyle w:val="13"/>
              <w:spacing w:line="360" w:lineRule="auto"/>
              <w:ind w:firstLine="0" w:firstLineChars="0"/>
              <w:contextualSpacing/>
              <w:jc w:val="center"/>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rPr>
              <w:t>磋商文件</w:t>
            </w:r>
            <w:r>
              <w:rPr>
                <w:rFonts w:hint="eastAsia" w:ascii="宋体" w:hAnsi="宋体" w:eastAsia="宋体" w:cs="宋体"/>
                <w:color w:val="auto"/>
                <w:kern w:val="2"/>
                <w:sz w:val="24"/>
                <w:szCs w:val="24"/>
                <w:highlight w:val="none"/>
                <w:lang w:val="en-US" w:eastAsia="zh-CN"/>
              </w:rPr>
              <w:t>要求</w:t>
            </w:r>
          </w:p>
        </w:tc>
        <w:tc>
          <w:tcPr>
            <w:tcW w:w="2690" w:type="dxa"/>
            <w:tcBorders>
              <w:top w:val="single" w:color="auto" w:sz="4" w:space="0"/>
            </w:tcBorders>
            <w:vAlign w:val="center"/>
          </w:tcPr>
          <w:p w14:paraId="6B63EDC0">
            <w:pPr>
              <w:pStyle w:val="13"/>
              <w:spacing w:line="360" w:lineRule="auto"/>
              <w:ind w:firstLine="0" w:firstLineChars="0"/>
              <w:contextualSpacing/>
              <w:jc w:val="center"/>
              <w:rPr>
                <w:rFonts w:ascii="宋体" w:hAnsi="宋体" w:eastAsia="宋体" w:cs="宋体"/>
                <w:color w:val="auto"/>
                <w:kern w:val="2"/>
                <w:sz w:val="24"/>
                <w:szCs w:val="24"/>
                <w:highlight w:val="none"/>
              </w:rPr>
            </w:pPr>
            <w:bookmarkStart w:id="67" w:name="_Toc254970731"/>
            <w:bookmarkStart w:id="68" w:name="_Toc173211902"/>
            <w:bookmarkStart w:id="69" w:name="_Toc301781613"/>
            <w:bookmarkStart w:id="70" w:name="_Toc295404983"/>
            <w:bookmarkStart w:id="71" w:name="_Toc297193187"/>
            <w:bookmarkStart w:id="72" w:name="_Toc254970590"/>
            <w:bookmarkStart w:id="73" w:name="_Toc373333691"/>
            <w:bookmarkStart w:id="74" w:name="_Toc173066403"/>
            <w:bookmarkStart w:id="75" w:name="_Toc383699908"/>
            <w:r>
              <w:rPr>
                <w:rFonts w:hint="eastAsia" w:ascii="宋体" w:hAnsi="宋体" w:eastAsia="宋体" w:cs="宋体"/>
                <w:color w:val="auto"/>
                <w:kern w:val="2"/>
                <w:sz w:val="24"/>
                <w:szCs w:val="24"/>
                <w:highlight w:val="none"/>
              </w:rPr>
              <w:t>竞标响应</w:t>
            </w:r>
            <w:bookmarkEnd w:id="67"/>
            <w:bookmarkEnd w:id="68"/>
            <w:bookmarkEnd w:id="69"/>
            <w:bookmarkEnd w:id="70"/>
            <w:bookmarkEnd w:id="71"/>
            <w:bookmarkEnd w:id="72"/>
            <w:bookmarkEnd w:id="73"/>
            <w:bookmarkEnd w:id="74"/>
            <w:bookmarkEnd w:id="75"/>
          </w:p>
        </w:tc>
        <w:tc>
          <w:tcPr>
            <w:tcW w:w="1467" w:type="dxa"/>
            <w:tcBorders>
              <w:top w:val="single" w:color="auto" w:sz="4" w:space="0"/>
            </w:tcBorders>
            <w:vAlign w:val="center"/>
          </w:tcPr>
          <w:p w14:paraId="7A94799C">
            <w:pPr>
              <w:pStyle w:val="13"/>
              <w:spacing w:line="360" w:lineRule="auto"/>
              <w:ind w:firstLine="0" w:firstLineChars="0"/>
              <w:contextualSpacing/>
              <w:jc w:val="center"/>
              <w:rPr>
                <w:rFonts w:ascii="宋体" w:hAnsi="宋体" w:eastAsia="宋体" w:cs="宋体"/>
                <w:color w:val="auto"/>
                <w:kern w:val="2"/>
                <w:sz w:val="24"/>
                <w:szCs w:val="24"/>
                <w:highlight w:val="none"/>
              </w:rPr>
            </w:pPr>
            <w:bookmarkStart w:id="76" w:name="_Toc254970732"/>
            <w:bookmarkStart w:id="77" w:name="_Toc297193188"/>
            <w:bookmarkStart w:id="78" w:name="_Toc383699909"/>
            <w:bookmarkStart w:id="79" w:name="_Toc254970591"/>
            <w:bookmarkStart w:id="80" w:name="_Toc295404984"/>
            <w:bookmarkStart w:id="81" w:name="_Toc373333692"/>
            <w:bookmarkStart w:id="82" w:name="_Toc173066404"/>
            <w:bookmarkStart w:id="83" w:name="_Toc173211903"/>
            <w:bookmarkStart w:id="84" w:name="_Toc301781614"/>
            <w:r>
              <w:rPr>
                <w:rFonts w:hint="eastAsia" w:ascii="宋体" w:hAnsi="宋体" w:eastAsia="宋体" w:cs="宋体"/>
                <w:color w:val="auto"/>
                <w:kern w:val="2"/>
                <w:sz w:val="24"/>
                <w:szCs w:val="24"/>
                <w:highlight w:val="none"/>
              </w:rPr>
              <w:t>偏离</w:t>
            </w:r>
            <w:bookmarkEnd w:id="76"/>
            <w:bookmarkEnd w:id="77"/>
            <w:bookmarkEnd w:id="78"/>
            <w:bookmarkEnd w:id="79"/>
            <w:bookmarkEnd w:id="80"/>
            <w:bookmarkEnd w:id="81"/>
            <w:bookmarkEnd w:id="82"/>
            <w:bookmarkEnd w:id="83"/>
            <w:bookmarkEnd w:id="84"/>
            <w:bookmarkStart w:id="85" w:name="_Toc254970592"/>
            <w:bookmarkStart w:id="86" w:name="_Toc373333693"/>
            <w:bookmarkStart w:id="87" w:name="_Toc173066405"/>
            <w:bookmarkStart w:id="88" w:name="_Toc173211904"/>
            <w:bookmarkStart w:id="89" w:name="_Toc295404985"/>
            <w:bookmarkStart w:id="90" w:name="_Toc297193189"/>
            <w:bookmarkStart w:id="91" w:name="_Toc383699910"/>
            <w:bookmarkStart w:id="92" w:name="_Toc301781615"/>
            <w:bookmarkStart w:id="93" w:name="_Toc254970733"/>
            <w:r>
              <w:rPr>
                <w:rFonts w:hint="eastAsia" w:ascii="宋体" w:hAnsi="宋体" w:eastAsia="宋体" w:cs="宋体"/>
                <w:color w:val="auto"/>
                <w:kern w:val="2"/>
                <w:sz w:val="24"/>
                <w:szCs w:val="24"/>
                <w:highlight w:val="none"/>
              </w:rPr>
              <w:t>说明</w:t>
            </w:r>
            <w:bookmarkEnd w:id="85"/>
            <w:bookmarkEnd w:id="86"/>
            <w:bookmarkEnd w:id="87"/>
            <w:bookmarkEnd w:id="88"/>
            <w:bookmarkEnd w:id="89"/>
            <w:bookmarkEnd w:id="90"/>
            <w:bookmarkEnd w:id="91"/>
            <w:bookmarkEnd w:id="92"/>
            <w:bookmarkEnd w:id="93"/>
          </w:p>
        </w:tc>
      </w:tr>
      <w:tr w14:paraId="128C879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267" w:type="dxa"/>
            <w:vAlign w:val="center"/>
          </w:tcPr>
          <w:p w14:paraId="58DB5554">
            <w:pPr>
              <w:pStyle w:val="13"/>
              <w:spacing w:line="360" w:lineRule="auto"/>
              <w:ind w:firstLine="0" w:firstLineChars="0"/>
              <w:contextualSpacing/>
              <w:jc w:val="left"/>
              <w:rPr>
                <w:rFonts w:hint="default" w:ascii="宋体" w:hAnsi="宋体" w:eastAsia="宋体" w:cs="宋体"/>
                <w:color w:val="auto"/>
                <w:kern w:val="2"/>
                <w:sz w:val="24"/>
                <w:szCs w:val="24"/>
                <w:highlight w:val="none"/>
                <w:lang w:val="en-US" w:eastAsia="zh-CN"/>
              </w:rPr>
            </w:pPr>
            <w:r>
              <w:rPr>
                <w:rFonts w:hint="eastAsia" w:ascii="仿宋" w:hAnsi="仿宋" w:eastAsia="仿宋" w:cs="仿宋"/>
                <w:color w:val="auto"/>
                <w:sz w:val="22"/>
                <w:szCs w:val="22"/>
                <w:highlight w:val="none"/>
              </w:rPr>
              <w:t>▲</w:t>
            </w:r>
            <w:r>
              <w:rPr>
                <w:rFonts w:hint="eastAsia" w:ascii="宋体" w:hAnsi="宋体" w:eastAsia="宋体" w:cs="宋体"/>
                <w:color w:val="auto"/>
                <w:kern w:val="2"/>
                <w:sz w:val="24"/>
                <w:szCs w:val="24"/>
                <w:highlight w:val="none"/>
                <w:lang w:val="en-US" w:eastAsia="zh-CN"/>
              </w:rPr>
              <w:t>一</w:t>
            </w:r>
          </w:p>
        </w:tc>
        <w:tc>
          <w:tcPr>
            <w:tcW w:w="900" w:type="dxa"/>
            <w:tcBorders>
              <w:right w:val="single" w:color="auto" w:sz="4" w:space="0"/>
            </w:tcBorders>
            <w:vAlign w:val="center"/>
          </w:tcPr>
          <w:p w14:paraId="2D7227DF">
            <w:pPr>
              <w:pStyle w:val="13"/>
              <w:spacing w:line="360" w:lineRule="auto"/>
              <w:ind w:firstLine="0" w:firstLineChars="0"/>
              <w:contextualSpacing/>
              <w:jc w:val="center"/>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承包范围</w:t>
            </w:r>
          </w:p>
        </w:tc>
        <w:tc>
          <w:tcPr>
            <w:tcW w:w="2989" w:type="dxa"/>
            <w:tcBorders>
              <w:left w:val="single" w:color="auto" w:sz="4" w:space="0"/>
            </w:tcBorders>
            <w:vAlign w:val="center"/>
          </w:tcPr>
          <w:p w14:paraId="61AC9CF4">
            <w:pPr>
              <w:pStyle w:val="13"/>
              <w:spacing w:line="360" w:lineRule="auto"/>
              <w:ind w:firstLine="0" w:firstLineChars="0"/>
              <w:contextualSpacing/>
              <w:jc w:val="center"/>
              <w:rPr>
                <w:rFonts w:ascii="宋体" w:hAnsi="宋体" w:eastAsia="宋体" w:cs="宋体"/>
                <w:color w:val="auto"/>
                <w:kern w:val="2"/>
                <w:sz w:val="24"/>
                <w:szCs w:val="24"/>
                <w:highlight w:val="none"/>
              </w:rPr>
            </w:pPr>
          </w:p>
        </w:tc>
        <w:tc>
          <w:tcPr>
            <w:tcW w:w="2690" w:type="dxa"/>
            <w:vAlign w:val="center"/>
          </w:tcPr>
          <w:p w14:paraId="4E06597C">
            <w:pPr>
              <w:pStyle w:val="13"/>
              <w:spacing w:line="360" w:lineRule="auto"/>
              <w:ind w:firstLine="0" w:firstLineChars="0"/>
              <w:contextualSpacing/>
              <w:jc w:val="center"/>
              <w:rPr>
                <w:rFonts w:ascii="宋体" w:hAnsi="宋体" w:eastAsia="宋体" w:cs="宋体"/>
                <w:color w:val="auto"/>
                <w:kern w:val="2"/>
                <w:sz w:val="24"/>
                <w:szCs w:val="24"/>
                <w:highlight w:val="none"/>
              </w:rPr>
            </w:pPr>
          </w:p>
        </w:tc>
        <w:tc>
          <w:tcPr>
            <w:tcW w:w="1467" w:type="dxa"/>
            <w:vAlign w:val="center"/>
          </w:tcPr>
          <w:p w14:paraId="19AC9F62">
            <w:pPr>
              <w:pStyle w:val="13"/>
              <w:spacing w:line="360" w:lineRule="auto"/>
              <w:ind w:firstLine="0" w:firstLineChars="0"/>
              <w:contextualSpacing/>
              <w:jc w:val="center"/>
              <w:rPr>
                <w:rFonts w:ascii="宋体" w:hAnsi="宋体" w:eastAsia="宋体" w:cs="宋体"/>
                <w:color w:val="auto"/>
                <w:kern w:val="2"/>
                <w:sz w:val="24"/>
                <w:szCs w:val="24"/>
                <w:highlight w:val="none"/>
              </w:rPr>
            </w:pPr>
          </w:p>
        </w:tc>
      </w:tr>
      <w:tr w14:paraId="1350BB9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267" w:type="dxa"/>
            <w:vAlign w:val="center"/>
          </w:tcPr>
          <w:p w14:paraId="1B497545">
            <w:pPr>
              <w:pStyle w:val="13"/>
              <w:spacing w:line="360" w:lineRule="auto"/>
              <w:ind w:firstLine="0" w:firstLineChars="0"/>
              <w:contextualSpacing/>
              <w:jc w:val="left"/>
              <w:rPr>
                <w:rFonts w:hint="eastAsia" w:ascii="宋体" w:hAnsi="宋体" w:eastAsia="宋体" w:cs="宋体"/>
                <w:color w:val="auto"/>
                <w:kern w:val="2"/>
                <w:sz w:val="24"/>
                <w:szCs w:val="24"/>
                <w:highlight w:val="none"/>
                <w:lang w:val="en-US" w:eastAsia="zh-CN"/>
              </w:rPr>
            </w:pPr>
            <w:r>
              <w:rPr>
                <w:rFonts w:hint="eastAsia" w:ascii="仿宋" w:hAnsi="仿宋" w:eastAsia="仿宋" w:cs="仿宋"/>
                <w:color w:val="auto"/>
                <w:sz w:val="22"/>
                <w:szCs w:val="22"/>
                <w:highlight w:val="none"/>
              </w:rPr>
              <w:t>▲</w:t>
            </w:r>
            <w:r>
              <w:rPr>
                <w:rFonts w:hint="eastAsia" w:ascii="宋体" w:hAnsi="宋体" w:eastAsia="宋体" w:cs="宋体"/>
                <w:color w:val="auto"/>
                <w:kern w:val="2"/>
                <w:sz w:val="24"/>
                <w:szCs w:val="24"/>
                <w:highlight w:val="none"/>
                <w:lang w:val="en-US" w:eastAsia="zh-CN"/>
              </w:rPr>
              <w:t>二</w:t>
            </w:r>
          </w:p>
        </w:tc>
        <w:tc>
          <w:tcPr>
            <w:tcW w:w="900" w:type="dxa"/>
            <w:tcBorders>
              <w:right w:val="single" w:color="auto" w:sz="4" w:space="0"/>
            </w:tcBorders>
            <w:vAlign w:val="center"/>
          </w:tcPr>
          <w:p w14:paraId="19CD1661">
            <w:pPr>
              <w:pStyle w:val="13"/>
              <w:spacing w:line="360" w:lineRule="auto"/>
              <w:ind w:firstLine="0" w:firstLineChars="0"/>
              <w:contextualSpacing/>
              <w:jc w:val="center"/>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服务要求</w:t>
            </w:r>
          </w:p>
        </w:tc>
        <w:tc>
          <w:tcPr>
            <w:tcW w:w="2989" w:type="dxa"/>
            <w:tcBorders>
              <w:left w:val="single" w:color="auto" w:sz="4" w:space="0"/>
            </w:tcBorders>
            <w:vAlign w:val="center"/>
          </w:tcPr>
          <w:p w14:paraId="1259C9FF">
            <w:pPr>
              <w:pStyle w:val="13"/>
              <w:spacing w:line="360" w:lineRule="auto"/>
              <w:ind w:firstLine="0" w:firstLineChars="0"/>
              <w:contextualSpacing/>
              <w:jc w:val="center"/>
              <w:rPr>
                <w:rFonts w:ascii="宋体" w:hAnsi="宋体" w:eastAsia="宋体" w:cs="宋体"/>
                <w:color w:val="auto"/>
                <w:kern w:val="2"/>
                <w:sz w:val="24"/>
                <w:szCs w:val="24"/>
                <w:highlight w:val="none"/>
              </w:rPr>
            </w:pPr>
          </w:p>
        </w:tc>
        <w:tc>
          <w:tcPr>
            <w:tcW w:w="2690" w:type="dxa"/>
            <w:vAlign w:val="center"/>
          </w:tcPr>
          <w:p w14:paraId="74CAB4CD">
            <w:pPr>
              <w:pStyle w:val="13"/>
              <w:spacing w:line="360" w:lineRule="auto"/>
              <w:ind w:firstLine="0" w:firstLineChars="0"/>
              <w:contextualSpacing/>
              <w:jc w:val="center"/>
              <w:rPr>
                <w:rFonts w:ascii="宋体" w:hAnsi="宋体" w:eastAsia="宋体" w:cs="宋体"/>
                <w:color w:val="auto"/>
                <w:kern w:val="2"/>
                <w:sz w:val="24"/>
                <w:szCs w:val="24"/>
                <w:highlight w:val="none"/>
              </w:rPr>
            </w:pPr>
          </w:p>
        </w:tc>
        <w:tc>
          <w:tcPr>
            <w:tcW w:w="1467" w:type="dxa"/>
            <w:vAlign w:val="center"/>
          </w:tcPr>
          <w:p w14:paraId="038F771D">
            <w:pPr>
              <w:pStyle w:val="13"/>
              <w:spacing w:line="360" w:lineRule="auto"/>
              <w:ind w:firstLine="0" w:firstLineChars="0"/>
              <w:contextualSpacing/>
              <w:jc w:val="center"/>
              <w:rPr>
                <w:rFonts w:ascii="宋体" w:hAnsi="宋体" w:eastAsia="宋体" w:cs="宋体"/>
                <w:color w:val="auto"/>
                <w:kern w:val="2"/>
                <w:sz w:val="24"/>
                <w:szCs w:val="24"/>
                <w:highlight w:val="none"/>
              </w:rPr>
            </w:pPr>
          </w:p>
        </w:tc>
      </w:tr>
    </w:tbl>
    <w:p w14:paraId="210962A5">
      <w:pPr>
        <w:spacing w:line="360" w:lineRule="auto"/>
        <w:contextualSpacing/>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注：</w:t>
      </w:r>
    </w:p>
    <w:p w14:paraId="2A318847">
      <w:pPr>
        <w:spacing w:line="360" w:lineRule="auto"/>
        <w:contextualSpacing/>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1.说明：应对照磋商文件“第二章”中</w:t>
      </w:r>
      <w:r>
        <w:rPr>
          <w:rFonts w:hint="eastAsia" w:ascii="宋体" w:hAnsi="宋体" w:cs="宋体"/>
          <w:color w:val="auto"/>
          <w:kern w:val="0"/>
          <w:szCs w:val="21"/>
          <w:highlight w:val="none"/>
          <w:lang w:val="en-US" w:eastAsia="zh-CN"/>
        </w:rPr>
        <w:t>的</w:t>
      </w:r>
      <w:r>
        <w:rPr>
          <w:rFonts w:hint="eastAsia" w:ascii="宋体" w:hAnsi="宋体" w:eastAsia="宋体" w:cs="宋体"/>
          <w:color w:val="auto"/>
          <w:kern w:val="0"/>
          <w:szCs w:val="21"/>
          <w:highlight w:val="none"/>
        </w:rPr>
        <w:t>条款逐条作出明确响应，并作出偏离说明。</w:t>
      </w:r>
    </w:p>
    <w:p w14:paraId="44503BA3">
      <w:pPr>
        <w:spacing w:line="400" w:lineRule="exact"/>
        <w:contextualSpacing/>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供应商应根据自身的承诺，对照磋商文件要求，在“偏离说明”中注明“正偏离”、“负偏离”或者“无偏离”。既不属于“正偏离”也不属于“负偏离”即为“无偏离”。当响应文件的商务内容低于竞争性磋商采购文件要求时，竞标人应当如实写明“负偏离”，否则视为虚假应标</w:t>
      </w:r>
    </w:p>
    <w:p w14:paraId="73F80A21">
      <w:pPr>
        <w:spacing w:line="40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3.表格内容均需按要求填写并盖章，不得留空，否则按竞标无效处理。</w:t>
      </w:r>
    </w:p>
    <w:p w14:paraId="24D9B65C">
      <w:pPr>
        <w:spacing w:line="400" w:lineRule="exact"/>
        <w:contextualSpacing/>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4.如技术偏离表中的竞标响应与佐证材料不一致的，以佐证材料为准。</w:t>
      </w:r>
    </w:p>
    <w:p w14:paraId="5DED5854">
      <w:pPr>
        <w:snapToGrid w:val="0"/>
        <w:spacing w:line="360" w:lineRule="auto"/>
        <w:ind w:firstLine="602" w:firstLineChars="200"/>
        <w:rPr>
          <w:rFonts w:hint="eastAsia" w:ascii="宋体" w:hAnsi="宋体" w:eastAsia="宋体" w:cs="宋体"/>
          <w:b/>
          <w:color w:val="auto"/>
          <w:sz w:val="30"/>
          <w:szCs w:val="30"/>
          <w:highlight w:val="none"/>
        </w:rPr>
      </w:pPr>
    </w:p>
    <w:p w14:paraId="39BA19D7">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061CDEFF">
      <w:pPr>
        <w:autoSpaceDE w:val="0"/>
        <w:autoSpaceDN w:val="0"/>
        <w:spacing w:line="360" w:lineRule="auto"/>
        <w:ind w:firstLine="6480" w:firstLineChars="27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日期：  年  月   日</w:t>
      </w:r>
    </w:p>
    <w:p w14:paraId="7CA47B40">
      <w:pPr>
        <w:autoSpaceDE w:val="0"/>
        <w:autoSpaceDN w:val="0"/>
        <w:spacing w:line="360" w:lineRule="auto"/>
        <w:ind w:firstLine="6480" w:firstLineChars="2700"/>
        <w:rPr>
          <w:rFonts w:hint="eastAsia" w:ascii="宋体" w:hAnsi="宋体" w:eastAsia="宋体" w:cs="宋体"/>
          <w:color w:val="auto"/>
          <w:sz w:val="24"/>
          <w:highlight w:val="none"/>
        </w:rPr>
      </w:pPr>
    </w:p>
    <w:p w14:paraId="6D4B10F4">
      <w:pPr>
        <w:autoSpaceDE w:val="0"/>
        <w:autoSpaceDN w:val="0"/>
        <w:spacing w:line="360" w:lineRule="auto"/>
        <w:ind w:firstLine="6480" w:firstLineChars="2700"/>
        <w:rPr>
          <w:rFonts w:hint="eastAsia" w:ascii="宋体" w:hAnsi="宋体" w:eastAsia="宋体" w:cs="宋体"/>
          <w:color w:val="auto"/>
          <w:sz w:val="24"/>
          <w:highlight w:val="none"/>
        </w:rPr>
      </w:pPr>
    </w:p>
    <w:p w14:paraId="74C01A09">
      <w:pPr>
        <w:autoSpaceDE w:val="0"/>
        <w:autoSpaceDN w:val="0"/>
        <w:spacing w:line="360" w:lineRule="auto"/>
        <w:ind w:firstLine="6480" w:firstLineChars="2700"/>
        <w:rPr>
          <w:rFonts w:hint="eastAsia" w:ascii="宋体" w:hAnsi="宋体" w:eastAsia="宋体" w:cs="宋体"/>
          <w:color w:val="auto"/>
          <w:sz w:val="24"/>
          <w:highlight w:val="none"/>
        </w:rPr>
      </w:pPr>
    </w:p>
    <w:p w14:paraId="0A11A6B4">
      <w:pPr>
        <w:autoSpaceDE w:val="0"/>
        <w:autoSpaceDN w:val="0"/>
        <w:spacing w:line="360" w:lineRule="auto"/>
        <w:ind w:firstLine="6480" w:firstLineChars="2700"/>
        <w:rPr>
          <w:rFonts w:hint="eastAsia" w:ascii="宋体" w:hAnsi="宋体" w:eastAsia="宋体" w:cs="宋体"/>
          <w:color w:val="auto"/>
          <w:sz w:val="24"/>
          <w:highlight w:val="none"/>
        </w:rPr>
      </w:pPr>
    </w:p>
    <w:p w14:paraId="55B74BB2">
      <w:pPr>
        <w:autoSpaceDE w:val="0"/>
        <w:autoSpaceDN w:val="0"/>
        <w:spacing w:line="360" w:lineRule="auto"/>
        <w:ind w:firstLine="6480" w:firstLineChars="2700"/>
        <w:rPr>
          <w:rFonts w:hint="eastAsia" w:ascii="宋体" w:hAnsi="宋体" w:eastAsia="宋体" w:cs="宋体"/>
          <w:color w:val="auto"/>
          <w:sz w:val="24"/>
          <w:highlight w:val="none"/>
        </w:rPr>
      </w:pPr>
    </w:p>
    <w:p w14:paraId="3FF4E5FE">
      <w:pPr>
        <w:autoSpaceDE w:val="0"/>
        <w:autoSpaceDN w:val="0"/>
        <w:spacing w:line="360" w:lineRule="auto"/>
        <w:ind w:firstLine="6480" w:firstLineChars="2700"/>
        <w:rPr>
          <w:rFonts w:hint="eastAsia" w:ascii="宋体" w:hAnsi="宋体" w:eastAsia="宋体" w:cs="宋体"/>
          <w:color w:val="auto"/>
          <w:sz w:val="24"/>
          <w:highlight w:val="none"/>
          <w:lang w:val="zh-CN"/>
        </w:rPr>
      </w:pPr>
    </w:p>
    <w:p w14:paraId="3D7BC239">
      <w:pPr>
        <w:pStyle w:val="30"/>
        <w:jc w:val="both"/>
        <w:rPr>
          <w:rFonts w:hint="eastAsia" w:ascii="宋体" w:hAnsi="宋体" w:eastAsia="宋体" w:cs="宋体"/>
          <w:b/>
          <w:bCs w:val="0"/>
          <w:caps w:val="0"/>
          <w:smallCaps w:val="0"/>
          <w:color w:val="auto"/>
          <w:spacing w:val="0"/>
          <w:kern w:val="2"/>
          <w:sz w:val="30"/>
          <w:szCs w:val="30"/>
          <w:highlight w:val="none"/>
          <w:lang w:val="en-US" w:eastAsia="zh-CN"/>
        </w:rPr>
      </w:pPr>
      <w:r>
        <w:rPr>
          <w:rFonts w:hint="eastAsia" w:ascii="宋体" w:hAnsi="宋体" w:eastAsia="宋体" w:cs="宋体"/>
          <w:b/>
          <w:bCs/>
          <w:color w:val="auto"/>
          <w:sz w:val="24"/>
          <w:highlight w:val="none"/>
        </w:rPr>
        <w:br w:type="page"/>
      </w:r>
    </w:p>
    <w:p w14:paraId="15631166">
      <w:pPr>
        <w:rPr>
          <w:rFonts w:hint="eastAsia" w:ascii="宋体" w:hAnsi="宋体" w:eastAsia="宋体" w:cs="宋体"/>
          <w:b/>
          <w:bCs w:val="0"/>
          <w:caps w:val="0"/>
          <w:smallCaps w:val="0"/>
          <w:color w:val="auto"/>
          <w:spacing w:val="0"/>
          <w:kern w:val="2"/>
          <w:sz w:val="30"/>
          <w:szCs w:val="30"/>
          <w:highlight w:val="none"/>
          <w:lang w:val="en-US" w:eastAsia="zh-CN"/>
        </w:rPr>
      </w:pPr>
    </w:p>
    <w:p w14:paraId="573C2459">
      <w:pPr>
        <w:keepNext w:val="0"/>
        <w:keepLines w:val="0"/>
        <w:pageBreakBefore w:val="0"/>
        <w:widowControl/>
        <w:kinsoku/>
        <w:wordWrap/>
        <w:overflowPunct/>
        <w:topLinePunct w:val="0"/>
        <w:autoSpaceDE/>
        <w:autoSpaceDN/>
        <w:bidi w:val="0"/>
        <w:adjustRightInd/>
        <w:snapToGrid/>
        <w:spacing w:before="0" w:beforeLines="0" w:after="0" w:line="240" w:lineRule="auto"/>
        <w:ind w:left="0" w:firstLine="0" w:firstLineChars="0"/>
        <w:jc w:val="center"/>
        <w:textAlignment w:val="auto"/>
        <w:rPr>
          <w:rFonts w:hint="eastAsia" w:ascii="宋体" w:hAnsi="宋体" w:eastAsia="宋体" w:cs="宋体"/>
          <w:b/>
          <w:bCs/>
          <w:color w:val="auto"/>
          <w:kern w:val="2"/>
          <w:sz w:val="30"/>
          <w:szCs w:val="30"/>
          <w:highlight w:val="none"/>
        </w:rPr>
      </w:pPr>
      <w:r>
        <w:rPr>
          <w:rFonts w:hint="eastAsia" w:ascii="宋体" w:hAnsi="宋体" w:eastAsia="宋体" w:cs="宋体"/>
          <w:b/>
          <w:bCs/>
          <w:color w:val="auto"/>
          <w:kern w:val="2"/>
          <w:sz w:val="30"/>
          <w:szCs w:val="30"/>
          <w:highlight w:val="none"/>
        </w:rPr>
        <w:t>响应函</w:t>
      </w:r>
    </w:p>
    <w:p w14:paraId="59047C02">
      <w:pPr>
        <w:spacing w:line="44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致：</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（采购代理机构名称）</w:t>
      </w:r>
    </w:p>
    <w:p w14:paraId="5EB3C986">
      <w:pPr>
        <w:spacing w:line="44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我方已仔细阅读了贵方组织的</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项目（</w:t>
      </w:r>
      <w:r>
        <w:rPr>
          <w:rFonts w:hint="eastAsia" w:ascii="宋体" w:hAnsi="宋体" w:cs="宋体"/>
          <w:color w:val="auto"/>
          <w:kern w:val="0"/>
          <w:sz w:val="24"/>
          <w:szCs w:val="24"/>
          <w:highlight w:val="none"/>
          <w:lang w:eastAsia="zh-CN"/>
        </w:rPr>
        <w:t>项目编号：</w:t>
      </w:r>
      <w:r>
        <w:rPr>
          <w:rFonts w:hint="eastAsia" w:ascii="宋体" w:hAnsi="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rPr>
        <w:t xml:space="preserve">）的竞争性磋商采购文件的全部内容，现正式递交下述文件参加贵方组织的本次政府采购活动： </w:t>
      </w:r>
    </w:p>
    <w:p w14:paraId="3C391749">
      <w:pPr>
        <w:spacing w:line="440" w:lineRule="exact"/>
        <w:ind w:firstLine="480" w:firstLineChars="200"/>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val="en-US" w:eastAsia="zh-CN"/>
        </w:rPr>
        <w:t>响应</w:t>
      </w:r>
      <w:r>
        <w:rPr>
          <w:rFonts w:hint="eastAsia" w:ascii="宋体" w:hAnsi="宋体" w:eastAsia="宋体" w:cs="宋体"/>
          <w:color w:val="auto"/>
          <w:kern w:val="0"/>
          <w:sz w:val="24"/>
          <w:szCs w:val="24"/>
          <w:highlight w:val="none"/>
        </w:rPr>
        <w:t>文件电子版</w:t>
      </w:r>
      <w:r>
        <w:rPr>
          <w:rFonts w:hint="eastAsia" w:ascii="宋体" w:hAnsi="宋体" w:eastAsia="宋体" w:cs="宋体"/>
          <w:color w:val="auto"/>
          <w:kern w:val="0"/>
          <w:sz w:val="24"/>
          <w:szCs w:val="24"/>
          <w:highlight w:val="none"/>
          <w:u w:val="none"/>
        </w:rPr>
        <w:t xml:space="preserve"> </w:t>
      </w:r>
      <w:r>
        <w:rPr>
          <w:rFonts w:hint="eastAsia" w:ascii="宋体" w:hAnsi="宋体" w:cs="宋体"/>
          <w:color w:val="auto"/>
          <w:kern w:val="0"/>
          <w:sz w:val="24"/>
          <w:szCs w:val="24"/>
          <w:highlight w:val="none"/>
          <w:u w:val="none"/>
          <w:lang w:val="en-US" w:eastAsia="zh-CN"/>
        </w:rPr>
        <w:t>壹</w:t>
      </w:r>
      <w:r>
        <w:rPr>
          <w:rFonts w:hint="eastAsia" w:ascii="宋体" w:hAnsi="宋体" w:eastAsia="宋体" w:cs="宋体"/>
          <w:color w:val="auto"/>
          <w:kern w:val="0"/>
          <w:sz w:val="24"/>
          <w:szCs w:val="24"/>
          <w:highlight w:val="none"/>
          <w:u w:val="none"/>
        </w:rPr>
        <w:t xml:space="preserve"> </w:t>
      </w:r>
      <w:r>
        <w:rPr>
          <w:rFonts w:hint="eastAsia" w:ascii="宋体" w:hAnsi="宋体" w:cs="宋体"/>
          <w:color w:val="auto"/>
          <w:kern w:val="0"/>
          <w:sz w:val="24"/>
          <w:szCs w:val="24"/>
          <w:highlight w:val="none"/>
          <w:lang w:val="en-US" w:eastAsia="zh-CN"/>
        </w:rPr>
        <w:t>套</w:t>
      </w:r>
      <w:r>
        <w:rPr>
          <w:rFonts w:hint="eastAsia" w:ascii="宋体" w:hAnsi="宋体" w:eastAsia="宋体" w:cs="宋体"/>
          <w:color w:val="auto"/>
          <w:kern w:val="0"/>
          <w:sz w:val="24"/>
          <w:szCs w:val="24"/>
          <w:highlight w:val="none"/>
        </w:rPr>
        <w:t>（包含按“第三章 供应商须知”提交的全部文件）；</w:t>
      </w:r>
    </w:p>
    <w:p w14:paraId="1F07AEE2">
      <w:pPr>
        <w:spacing w:line="44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据此函，签字人兹宣布：</w:t>
      </w:r>
    </w:p>
    <w:p w14:paraId="7F7620C6">
      <w:pPr>
        <w:pStyle w:val="16"/>
        <w:spacing w:line="46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r>
        <w:rPr>
          <w:rFonts w:hint="eastAsia" w:ascii="宋体" w:hAnsi="宋体" w:eastAsia="宋体" w:cs="宋体"/>
          <w:color w:val="auto"/>
          <w:sz w:val="24"/>
          <w:szCs w:val="24"/>
          <w:highlight w:val="none"/>
        </w:rPr>
        <w:t>我方愿意以报价文件电子版</w:t>
      </w:r>
      <w:r>
        <w:rPr>
          <w:rFonts w:hint="eastAsia" w:ascii="宋体" w:hAnsi="宋体" w:eastAsia="宋体" w:cs="宋体"/>
          <w:color w:val="auto"/>
          <w:sz w:val="24"/>
          <w:szCs w:val="24"/>
          <w:highlight w:val="none"/>
          <w:lang w:val="en-US" w:eastAsia="zh-CN"/>
        </w:rPr>
        <w:t>的响应报价表中</w:t>
      </w:r>
      <w:r>
        <w:rPr>
          <w:rFonts w:hint="eastAsia" w:ascii="宋体" w:hAnsi="宋体" w:eastAsia="宋体" w:cs="宋体"/>
          <w:color w:val="auto"/>
          <w:sz w:val="24"/>
          <w:szCs w:val="24"/>
          <w:highlight w:val="none"/>
        </w:rPr>
        <w:t>的报价，</w:t>
      </w:r>
      <w:r>
        <w:rPr>
          <w:rFonts w:hint="eastAsia" w:ascii="宋体" w:hAnsi="宋体" w:eastAsia="宋体" w:cs="宋体"/>
          <w:color w:val="auto"/>
          <w:sz w:val="24"/>
          <w:szCs w:val="24"/>
          <w:highlight w:val="none"/>
          <w:lang w:val="en-US" w:eastAsia="zh-CN"/>
        </w:rPr>
        <w:t>按照我方承诺的内容</w:t>
      </w:r>
      <w:r>
        <w:rPr>
          <w:rFonts w:hint="eastAsia" w:ascii="宋体" w:hAnsi="宋体" w:eastAsia="宋体" w:cs="宋体"/>
          <w:color w:val="auto"/>
          <w:sz w:val="24"/>
          <w:szCs w:val="24"/>
          <w:highlight w:val="none"/>
        </w:rPr>
        <w:t>提供本项目</w:t>
      </w:r>
      <w:r>
        <w:rPr>
          <w:rFonts w:hint="eastAsia" w:ascii="宋体" w:hAnsi="宋体" w:eastAsia="宋体" w:cs="宋体"/>
          <w:color w:val="auto"/>
          <w:sz w:val="24"/>
          <w:szCs w:val="24"/>
          <w:highlight w:val="none"/>
          <w:lang w:eastAsia="zh-CN"/>
        </w:rPr>
        <w:t>采购文件</w:t>
      </w:r>
      <w:r>
        <w:rPr>
          <w:rFonts w:hint="eastAsia" w:ascii="宋体" w:hAnsi="宋体" w:eastAsia="宋体" w:cs="宋体"/>
          <w:color w:val="auto"/>
          <w:sz w:val="24"/>
          <w:szCs w:val="24"/>
          <w:highlight w:val="none"/>
        </w:rPr>
        <w:t>第二章“</w:t>
      </w:r>
      <w:r>
        <w:rPr>
          <w:rFonts w:hint="eastAsia" w:ascii="宋体" w:hAnsi="宋体" w:eastAsia="宋体" w:cs="宋体"/>
          <w:color w:val="auto"/>
          <w:sz w:val="24"/>
          <w:szCs w:val="24"/>
          <w:highlight w:val="none"/>
          <w:lang w:val="en-US" w:eastAsia="zh-CN"/>
        </w:rPr>
        <w:t>采购</w:t>
      </w:r>
      <w:r>
        <w:rPr>
          <w:rFonts w:hint="eastAsia" w:ascii="宋体" w:hAnsi="宋体" w:eastAsia="宋体" w:cs="宋体"/>
          <w:color w:val="auto"/>
          <w:sz w:val="24"/>
          <w:szCs w:val="24"/>
          <w:highlight w:val="none"/>
        </w:rPr>
        <w:t>需求”中的相应的采购内容。</w:t>
      </w:r>
    </w:p>
    <w:p w14:paraId="3B812CDD">
      <w:pPr>
        <w:spacing w:line="440" w:lineRule="exact"/>
        <w:ind w:firstLine="482"/>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2、我方同意自本项目竞争性磋商采购文件采购公告规定的递交响应文件截止时间起遵循本响应函，并承诺在“第三章 供应商须知”规定的响应有效期内不修改、撤销响应文件。</w:t>
      </w:r>
    </w:p>
    <w:p w14:paraId="325B5DFF">
      <w:pPr>
        <w:spacing w:line="440" w:lineRule="exact"/>
        <w:ind w:firstLine="482"/>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3、我方在此声明，所递交的响应文件及有关资料内容完整、真实和准确。</w:t>
      </w:r>
    </w:p>
    <w:p w14:paraId="6F59B403">
      <w:pPr>
        <w:spacing w:line="440" w:lineRule="exact"/>
        <w:ind w:firstLine="482"/>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4、如本项目采购内容涉及须符合国家强制规定的，我方承诺我方本次竞标均符合国家有关强制规定。</w:t>
      </w:r>
    </w:p>
    <w:p w14:paraId="6E9DEF2A">
      <w:pPr>
        <w:spacing w:line="440" w:lineRule="exact"/>
        <w:ind w:firstLine="482"/>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5、我方承诺未被列入失信被执行人、</w:t>
      </w:r>
      <w:r>
        <w:rPr>
          <w:rFonts w:hint="eastAsia" w:ascii="宋体" w:hAnsi="宋体" w:eastAsia="宋体" w:cs="宋体"/>
          <w:color w:val="auto"/>
          <w:sz w:val="24"/>
          <w:szCs w:val="24"/>
          <w:highlight w:val="none"/>
        </w:rPr>
        <w:t>重大税收违法</w:t>
      </w:r>
      <w:r>
        <w:rPr>
          <w:rFonts w:hint="eastAsia" w:ascii="宋体" w:hAnsi="宋体" w:eastAsia="宋体" w:cs="宋体"/>
          <w:color w:val="auto"/>
          <w:sz w:val="24"/>
          <w:szCs w:val="24"/>
          <w:highlight w:val="none"/>
          <w:lang w:val="en-US" w:eastAsia="zh-CN"/>
        </w:rPr>
        <w:t>失信主体</w:t>
      </w:r>
      <w:r>
        <w:rPr>
          <w:rFonts w:hint="eastAsia" w:ascii="宋体" w:hAnsi="宋体" w:eastAsia="宋体" w:cs="宋体"/>
          <w:color w:val="auto"/>
          <w:kern w:val="0"/>
          <w:sz w:val="24"/>
          <w:szCs w:val="24"/>
          <w:highlight w:val="none"/>
        </w:rPr>
        <w:t>、政府采购严重违法失信行为记录名单，并已经具备《中华人民共和国政府采购法》中规定的参加政府采购活动的供应商应当具备的条件：</w:t>
      </w:r>
    </w:p>
    <w:p w14:paraId="6E105B95">
      <w:pPr>
        <w:numPr>
          <w:ilvl w:val="0"/>
          <w:numId w:val="2"/>
        </w:numPr>
        <w:tabs>
          <w:tab w:val="left" w:pos="945"/>
        </w:tabs>
        <w:spacing w:line="44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具有独立承担民事责任的能力；</w:t>
      </w:r>
    </w:p>
    <w:p w14:paraId="4A340B85">
      <w:pPr>
        <w:numPr>
          <w:ilvl w:val="0"/>
          <w:numId w:val="2"/>
        </w:numPr>
        <w:tabs>
          <w:tab w:val="left" w:pos="945"/>
        </w:tabs>
        <w:spacing w:line="44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具有良好的商业信誉和健全的财务会计制度；</w:t>
      </w:r>
    </w:p>
    <w:p w14:paraId="10020755">
      <w:pPr>
        <w:numPr>
          <w:ilvl w:val="0"/>
          <w:numId w:val="2"/>
        </w:numPr>
        <w:tabs>
          <w:tab w:val="left" w:pos="945"/>
        </w:tabs>
        <w:spacing w:line="44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具有履行合同所必需的设备和专业技术能力；</w:t>
      </w:r>
    </w:p>
    <w:p w14:paraId="6322AF23">
      <w:pPr>
        <w:numPr>
          <w:ilvl w:val="0"/>
          <w:numId w:val="2"/>
        </w:numPr>
        <w:tabs>
          <w:tab w:val="left" w:pos="945"/>
        </w:tabs>
        <w:spacing w:line="44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有依法缴纳税收和社会保障资金的良好记录；</w:t>
      </w:r>
    </w:p>
    <w:p w14:paraId="6E837543">
      <w:pPr>
        <w:numPr>
          <w:ilvl w:val="0"/>
          <w:numId w:val="2"/>
        </w:numPr>
        <w:tabs>
          <w:tab w:val="left" w:pos="945"/>
        </w:tabs>
        <w:spacing w:line="44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参加政府采购活动前三年内，在经营活动中没有重大违法记录；</w:t>
      </w:r>
    </w:p>
    <w:p w14:paraId="676CAC93">
      <w:pPr>
        <w:numPr>
          <w:ilvl w:val="0"/>
          <w:numId w:val="2"/>
        </w:numPr>
        <w:tabs>
          <w:tab w:val="left" w:pos="945"/>
        </w:tabs>
        <w:spacing w:line="44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法律、行政法规规定的其他条件。</w:t>
      </w:r>
    </w:p>
    <w:p w14:paraId="05EB8E89">
      <w:pPr>
        <w:spacing w:line="440" w:lineRule="exact"/>
        <w:ind w:firstLine="482"/>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如我方成交，我方承诺在收到成交通知书后，在成交通知书规定的期限内，根据竞争性磋商采购文件、我方的响应文件及有关澄清承诺书的要求按第六章“合同文本”与采购人订立书面合同，并按照合同约定承担完成合同的责任和义务。</w:t>
      </w:r>
    </w:p>
    <w:p w14:paraId="24E74195">
      <w:pPr>
        <w:spacing w:line="440" w:lineRule="exact"/>
        <w:ind w:firstLine="482"/>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7、我方已详细审核竞争性磋商采购文件，我方知道必须放弃提出含糊不清或误解问题的权利。</w:t>
      </w:r>
    </w:p>
    <w:p w14:paraId="4D051DEF">
      <w:pPr>
        <w:spacing w:line="440" w:lineRule="exact"/>
        <w:ind w:firstLine="482"/>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8、我方承诺满足竞争性磋商采购文件第六章“合同文本”的条款，承担完成合同的责任和义务。</w:t>
      </w:r>
    </w:p>
    <w:p w14:paraId="01132385">
      <w:pPr>
        <w:spacing w:line="440" w:lineRule="exact"/>
        <w:ind w:firstLine="482"/>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9、我方同意应贵方要求提供与本竞标有关的任何数据或资料。若贵方需要，我方愿意提供我方作出的一切承诺的证明材料。</w:t>
      </w:r>
    </w:p>
    <w:p w14:paraId="48A49AD1">
      <w:pPr>
        <w:spacing w:line="440" w:lineRule="exact"/>
        <w:ind w:firstLine="482"/>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10、我方完全理解贵方不一定接受响应报价最低的竞标人为成交供应商的行为。</w:t>
      </w:r>
    </w:p>
    <w:p w14:paraId="084B7113">
      <w:pPr>
        <w:spacing w:line="440" w:lineRule="exact"/>
        <w:ind w:firstLine="482"/>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我方将严格遵守《中华人民共和国政府采购法》第七十七条的规定，即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4B628220">
      <w:pPr>
        <w:numPr>
          <w:ilvl w:val="0"/>
          <w:numId w:val="3"/>
        </w:numPr>
        <w:tabs>
          <w:tab w:val="left" w:pos="945"/>
        </w:tabs>
        <w:spacing w:line="44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提供虚假材料谋取中标、成交的；</w:t>
      </w:r>
    </w:p>
    <w:p w14:paraId="53E53CCF">
      <w:pPr>
        <w:numPr>
          <w:ilvl w:val="0"/>
          <w:numId w:val="3"/>
        </w:numPr>
        <w:tabs>
          <w:tab w:val="left" w:pos="945"/>
        </w:tabs>
        <w:spacing w:line="44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采取不正当手段诋毁、排挤其他供应商的；</w:t>
      </w:r>
    </w:p>
    <w:p w14:paraId="3F3DD52D">
      <w:pPr>
        <w:keepNext w:val="0"/>
        <w:keepLines w:val="0"/>
        <w:pageBreakBefore w:val="0"/>
        <w:widowControl w:val="0"/>
        <w:numPr>
          <w:ilvl w:val="0"/>
          <w:numId w:val="3"/>
        </w:numPr>
        <w:tabs>
          <w:tab w:val="left" w:pos="945"/>
        </w:tabs>
        <w:kinsoku/>
        <w:wordWrap/>
        <w:overflowPunct/>
        <w:topLinePunct w:val="0"/>
        <w:autoSpaceDE/>
        <w:autoSpaceDN/>
        <w:bidi w:val="0"/>
        <w:adjustRightInd/>
        <w:snapToGrid/>
        <w:spacing w:line="44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与采购人、其他供应商或者采购代理机构恶意串通的；</w:t>
      </w:r>
    </w:p>
    <w:p w14:paraId="163BCA44">
      <w:pPr>
        <w:keepNext w:val="0"/>
        <w:keepLines w:val="0"/>
        <w:pageBreakBefore w:val="0"/>
        <w:widowControl w:val="0"/>
        <w:numPr>
          <w:ilvl w:val="0"/>
          <w:numId w:val="3"/>
        </w:numPr>
        <w:tabs>
          <w:tab w:val="left" w:pos="945"/>
        </w:tabs>
        <w:kinsoku/>
        <w:wordWrap/>
        <w:overflowPunct/>
        <w:topLinePunct w:val="0"/>
        <w:autoSpaceDE/>
        <w:autoSpaceDN/>
        <w:bidi w:val="0"/>
        <w:adjustRightInd/>
        <w:snapToGrid/>
        <w:spacing w:line="44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向采购人、采购代理机构行贿或者提供其他不正当利益的；</w:t>
      </w:r>
    </w:p>
    <w:p w14:paraId="2B7B89E6">
      <w:pPr>
        <w:keepNext w:val="0"/>
        <w:keepLines w:val="0"/>
        <w:pageBreakBefore w:val="0"/>
        <w:widowControl w:val="0"/>
        <w:numPr>
          <w:ilvl w:val="0"/>
          <w:numId w:val="3"/>
        </w:numPr>
        <w:tabs>
          <w:tab w:val="left" w:pos="945"/>
        </w:tabs>
        <w:kinsoku/>
        <w:wordWrap/>
        <w:overflowPunct/>
        <w:topLinePunct w:val="0"/>
        <w:autoSpaceDE/>
        <w:autoSpaceDN/>
        <w:bidi w:val="0"/>
        <w:adjustRightInd/>
        <w:snapToGrid/>
        <w:spacing w:line="44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在采购过程中与采购人进行协商</w:t>
      </w:r>
      <w:r>
        <w:rPr>
          <w:rFonts w:hint="eastAsia" w:ascii="宋体" w:hAnsi="宋体" w:cs="宋体"/>
          <w:color w:val="auto"/>
          <w:kern w:val="0"/>
          <w:sz w:val="24"/>
          <w:szCs w:val="24"/>
          <w:highlight w:val="none"/>
          <w:lang w:eastAsia="zh-CN"/>
        </w:rPr>
        <w:t>磋商</w:t>
      </w:r>
      <w:r>
        <w:rPr>
          <w:rFonts w:hint="eastAsia" w:ascii="宋体" w:hAnsi="宋体" w:eastAsia="宋体" w:cs="宋体"/>
          <w:color w:val="auto"/>
          <w:kern w:val="0"/>
          <w:sz w:val="24"/>
          <w:szCs w:val="24"/>
          <w:highlight w:val="none"/>
        </w:rPr>
        <w:t>的；</w:t>
      </w:r>
    </w:p>
    <w:p w14:paraId="6F58CB33">
      <w:pPr>
        <w:keepNext w:val="0"/>
        <w:keepLines w:val="0"/>
        <w:pageBreakBefore w:val="0"/>
        <w:widowControl w:val="0"/>
        <w:numPr>
          <w:ilvl w:val="0"/>
          <w:numId w:val="3"/>
        </w:numPr>
        <w:tabs>
          <w:tab w:val="left" w:pos="945"/>
        </w:tabs>
        <w:kinsoku/>
        <w:wordWrap/>
        <w:overflowPunct/>
        <w:topLinePunct w:val="0"/>
        <w:autoSpaceDE/>
        <w:autoSpaceDN/>
        <w:bidi w:val="0"/>
        <w:adjustRightInd/>
        <w:snapToGrid/>
        <w:spacing w:line="44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拒绝有关部门监督检查或提供虚假情况的。</w:t>
      </w:r>
    </w:p>
    <w:p w14:paraId="04D08940">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12.与本磋商有关的一切正式往来信函请寄：</w:t>
      </w:r>
    </w:p>
    <w:p w14:paraId="4D9CFEAD">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地址：</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 xml:space="preserve"> </w:t>
      </w:r>
    </w:p>
    <w:p w14:paraId="1A24FFCC">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电话：</w:t>
      </w:r>
      <w:r>
        <w:rPr>
          <w:rFonts w:hint="eastAsia" w:ascii="宋体" w:hAnsi="宋体" w:eastAsia="宋体" w:cs="宋体"/>
          <w:color w:val="auto"/>
          <w:kern w:val="0"/>
          <w:sz w:val="24"/>
          <w:szCs w:val="24"/>
          <w:highlight w:val="none"/>
          <w:u w:val="single"/>
        </w:rPr>
        <w:t xml:space="preserve">                                      　　　　　　　　　</w:t>
      </w:r>
    </w:p>
    <w:p w14:paraId="7202427E">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传真：</w:t>
      </w:r>
      <w:r>
        <w:rPr>
          <w:rFonts w:hint="eastAsia" w:ascii="宋体" w:hAnsi="宋体" w:eastAsia="宋体" w:cs="宋体"/>
          <w:color w:val="auto"/>
          <w:kern w:val="0"/>
          <w:sz w:val="24"/>
          <w:szCs w:val="24"/>
          <w:highlight w:val="none"/>
          <w:u w:val="single"/>
        </w:rPr>
        <w:t>　　　　　　　　　　　　　　　　　　　　　　　　　　　　</w:t>
      </w:r>
    </w:p>
    <w:p w14:paraId="5408B63E">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邮政编码：</w:t>
      </w:r>
      <w:r>
        <w:rPr>
          <w:rFonts w:hint="eastAsia" w:ascii="宋体" w:hAnsi="宋体" w:eastAsia="宋体" w:cs="宋体"/>
          <w:color w:val="auto"/>
          <w:kern w:val="0"/>
          <w:sz w:val="24"/>
          <w:szCs w:val="24"/>
          <w:highlight w:val="none"/>
          <w:u w:val="single"/>
        </w:rPr>
        <w:t xml:space="preserve">                                                    </w:t>
      </w:r>
    </w:p>
    <w:p w14:paraId="554CC493">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开户名称：</w:t>
      </w:r>
      <w:r>
        <w:rPr>
          <w:rFonts w:hint="eastAsia" w:ascii="宋体" w:hAnsi="宋体" w:eastAsia="宋体" w:cs="宋体"/>
          <w:color w:val="auto"/>
          <w:kern w:val="0"/>
          <w:sz w:val="24"/>
          <w:szCs w:val="24"/>
          <w:highlight w:val="none"/>
          <w:u w:val="single"/>
        </w:rPr>
        <w:t xml:space="preserve">                                                    </w:t>
      </w:r>
    </w:p>
    <w:p w14:paraId="59E39C2E">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开户银行：</w:t>
      </w:r>
      <w:r>
        <w:rPr>
          <w:rFonts w:hint="eastAsia" w:ascii="宋体" w:hAnsi="宋体" w:eastAsia="宋体" w:cs="宋体"/>
          <w:color w:val="auto"/>
          <w:kern w:val="0"/>
          <w:sz w:val="24"/>
          <w:szCs w:val="24"/>
          <w:highlight w:val="none"/>
          <w:u w:val="single"/>
        </w:rPr>
        <w:t xml:space="preserve">                                                    </w:t>
      </w:r>
    </w:p>
    <w:p w14:paraId="7A3A1DB5">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银行账号：</w:t>
      </w:r>
      <w:r>
        <w:rPr>
          <w:rFonts w:hint="eastAsia" w:ascii="宋体" w:hAnsi="宋体" w:eastAsia="宋体" w:cs="宋体"/>
          <w:color w:val="auto"/>
          <w:kern w:val="0"/>
          <w:sz w:val="24"/>
          <w:szCs w:val="24"/>
          <w:highlight w:val="none"/>
          <w:u w:val="single"/>
        </w:rPr>
        <w:t xml:space="preserve">                                                    </w:t>
      </w:r>
    </w:p>
    <w:p w14:paraId="180519CB">
      <w:pPr>
        <w:keepNext w:val="0"/>
        <w:keepLines w:val="0"/>
        <w:pageBreakBefore w:val="0"/>
        <w:widowControl w:val="0"/>
        <w:tabs>
          <w:tab w:val="left" w:pos="939"/>
        </w:tabs>
        <w:kinsoku/>
        <w:wordWrap/>
        <w:overflowPunct/>
        <w:topLinePunct w:val="0"/>
        <w:autoSpaceDE/>
        <w:autoSpaceDN/>
        <w:bidi w:val="0"/>
        <w:adjustRightInd/>
        <w:snapToGrid/>
        <w:spacing w:line="440" w:lineRule="exact"/>
        <w:ind w:left="141" w:leftChars="67" w:firstLine="360" w:firstLineChars="15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特此承诺。</w:t>
      </w:r>
    </w:p>
    <w:p w14:paraId="0C716EA9">
      <w:pPr>
        <w:spacing w:line="360" w:lineRule="auto"/>
        <w:contextualSpacing/>
        <w:jc w:val="left"/>
        <w:rPr>
          <w:rFonts w:hint="eastAsia" w:ascii="宋体" w:hAnsi="宋体" w:eastAsia="宋体" w:cs="宋体"/>
          <w:color w:val="auto"/>
          <w:sz w:val="24"/>
          <w:szCs w:val="24"/>
          <w:highlight w:val="none"/>
        </w:rPr>
      </w:pPr>
    </w:p>
    <w:p w14:paraId="746AA3AF">
      <w:pPr>
        <w:autoSpaceDE w:val="0"/>
        <w:autoSpaceDN w:val="0"/>
        <w:spacing w:line="360" w:lineRule="auto"/>
        <w:ind w:left="4335" w:leftChars="1950" w:hanging="240" w:hangingChars="1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供应商名称（电子签章）：</w:t>
      </w:r>
    </w:p>
    <w:p w14:paraId="0D22B2FC">
      <w:pPr>
        <w:autoSpaceDE w:val="0"/>
        <w:autoSpaceDN w:val="0"/>
        <w:spacing w:line="360" w:lineRule="auto"/>
        <w:ind w:firstLine="6480" w:firstLineChars="2700"/>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日期：  年  月   日</w:t>
      </w:r>
    </w:p>
    <w:p w14:paraId="773190DA">
      <w:pPr>
        <w:autoSpaceDE w:val="0"/>
        <w:autoSpaceDN w:val="0"/>
        <w:spacing w:line="360" w:lineRule="auto"/>
        <w:ind w:firstLine="6480" w:firstLineChars="2700"/>
        <w:rPr>
          <w:rFonts w:hint="eastAsia" w:ascii="宋体" w:hAnsi="宋体" w:eastAsia="宋体" w:cs="宋体"/>
          <w:color w:val="auto"/>
          <w:kern w:val="0"/>
          <w:sz w:val="24"/>
          <w:szCs w:val="24"/>
          <w:highlight w:val="none"/>
          <w:lang w:val="zh-CN"/>
        </w:rPr>
      </w:pPr>
    </w:p>
    <w:p w14:paraId="10E963BD">
      <w:pPr>
        <w:autoSpaceDE w:val="0"/>
        <w:autoSpaceDN w:val="0"/>
        <w:spacing w:line="360" w:lineRule="auto"/>
        <w:ind w:firstLine="6480" w:firstLineChars="2700"/>
        <w:rPr>
          <w:rFonts w:hint="eastAsia" w:ascii="宋体" w:hAnsi="宋体" w:eastAsia="宋体" w:cs="宋体"/>
          <w:color w:val="auto"/>
          <w:kern w:val="0"/>
          <w:sz w:val="24"/>
          <w:highlight w:val="none"/>
          <w:lang w:val="zh-CN"/>
        </w:rPr>
      </w:pPr>
    </w:p>
    <w:p w14:paraId="28BA5D84">
      <w:pPr>
        <w:autoSpaceDE w:val="0"/>
        <w:autoSpaceDN w:val="0"/>
        <w:spacing w:line="360" w:lineRule="auto"/>
        <w:ind w:firstLine="6480" w:firstLineChars="2700"/>
        <w:rPr>
          <w:rFonts w:hint="eastAsia" w:ascii="宋体" w:hAnsi="宋体" w:eastAsia="宋体" w:cs="宋体"/>
          <w:color w:val="auto"/>
          <w:kern w:val="0"/>
          <w:sz w:val="24"/>
          <w:highlight w:val="none"/>
          <w:lang w:val="zh-CN"/>
        </w:rPr>
      </w:pPr>
    </w:p>
    <w:p w14:paraId="5D020369">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left="0" w:firstLine="0" w:firstLineChars="0"/>
        <w:jc w:val="center"/>
        <w:textAlignment w:val="auto"/>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br w:type="page"/>
      </w:r>
      <w:r>
        <w:rPr>
          <w:rFonts w:hint="eastAsia" w:ascii="宋体" w:hAnsi="宋体" w:eastAsia="宋体" w:cs="宋体"/>
          <w:b/>
          <w:bCs/>
          <w:color w:val="auto"/>
          <w:sz w:val="30"/>
          <w:szCs w:val="30"/>
          <w:highlight w:val="none"/>
        </w:rPr>
        <w:t>响应报价表</w:t>
      </w:r>
    </w:p>
    <w:p w14:paraId="1D11B8CF">
      <w:pPr>
        <w:snapToGrid w:val="0"/>
        <w:spacing w:before="50" w:after="50"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p>
    <w:p w14:paraId="3C4A3D19">
      <w:pPr>
        <w:snapToGrid w:val="0"/>
        <w:spacing w:before="50" w:after="50" w:line="360" w:lineRule="auto"/>
        <w:rPr>
          <w:rFonts w:hint="default" w:ascii="宋体" w:hAnsi="宋体" w:eastAsia="宋体" w:cs="宋体"/>
          <w:color w:val="auto"/>
          <w:sz w:val="24"/>
          <w:highlight w:val="none"/>
          <w:u w:val="single"/>
          <w:lang w:val="en-US"/>
        </w:rPr>
      </w:pPr>
      <w:r>
        <w:rPr>
          <w:rFonts w:hint="eastAsia" w:ascii="宋体" w:hAnsi="宋体" w:cs="宋体"/>
          <w:color w:val="auto"/>
          <w:sz w:val="24"/>
          <w:highlight w:val="none"/>
          <w:lang w:eastAsia="zh-CN"/>
        </w:rPr>
        <w:t>项目编号：</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lang w:val="en-US" w:eastAsia="zh-CN"/>
        </w:rPr>
        <w:t xml:space="preserve">      </w:t>
      </w:r>
    </w:p>
    <w:p w14:paraId="52DD0719">
      <w:pPr>
        <w:snapToGrid w:val="0"/>
        <w:spacing w:before="50" w:after="50"/>
        <w:ind w:firstLine="420" w:firstLineChars="200"/>
        <w:jc w:val="left"/>
        <w:rPr>
          <w:rFonts w:hint="eastAsia" w:ascii="宋体" w:hAnsi="宋体" w:eastAsia="宋体" w:cs="宋体"/>
          <w:color w:val="auto"/>
          <w:kern w:val="0"/>
          <w:sz w:val="21"/>
          <w:szCs w:val="21"/>
          <w:highlight w:val="none"/>
          <w:lang w:val="zh-CN"/>
        </w:rPr>
      </w:pPr>
    </w:p>
    <w:tbl>
      <w:tblPr>
        <w:tblStyle w:val="31"/>
        <w:tblpPr w:leftFromText="180" w:rightFromText="180" w:vertAnchor="text" w:horzAnchor="page" w:tblpX="1404" w:tblpY="182"/>
        <w:tblOverlap w:val="never"/>
        <w:tblW w:w="92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
        <w:gridCol w:w="4590"/>
        <w:gridCol w:w="2761"/>
        <w:gridCol w:w="1154"/>
      </w:tblGrid>
      <w:tr w14:paraId="0029E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trPr>
        <w:tc>
          <w:tcPr>
            <w:tcW w:w="792" w:type="dxa"/>
            <w:tcBorders>
              <w:top w:val="single" w:color="auto" w:sz="4" w:space="0"/>
              <w:left w:val="single" w:color="auto" w:sz="4" w:space="0"/>
              <w:bottom w:val="single" w:color="auto" w:sz="4" w:space="0"/>
              <w:right w:val="single" w:color="auto" w:sz="4" w:space="0"/>
            </w:tcBorders>
            <w:vAlign w:val="center"/>
          </w:tcPr>
          <w:p w14:paraId="49701C4D">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4590" w:type="dxa"/>
            <w:tcBorders>
              <w:top w:val="single" w:color="auto" w:sz="4" w:space="0"/>
              <w:left w:val="single" w:color="auto" w:sz="4" w:space="0"/>
              <w:bottom w:val="single" w:color="auto" w:sz="4" w:space="0"/>
              <w:right w:val="single" w:color="auto" w:sz="4" w:space="0"/>
            </w:tcBorders>
            <w:vAlign w:val="center"/>
          </w:tcPr>
          <w:p w14:paraId="68533FBE">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标的的名称</w:t>
            </w:r>
          </w:p>
        </w:tc>
        <w:tc>
          <w:tcPr>
            <w:tcW w:w="2761" w:type="dxa"/>
            <w:tcBorders>
              <w:top w:val="single" w:color="auto" w:sz="4" w:space="0"/>
              <w:left w:val="single" w:color="auto" w:sz="4" w:space="0"/>
              <w:bottom w:val="single" w:color="auto" w:sz="4" w:space="0"/>
              <w:right w:val="single" w:color="auto" w:sz="4" w:space="0"/>
            </w:tcBorders>
            <w:vAlign w:val="center"/>
          </w:tcPr>
          <w:p w14:paraId="73806AD0">
            <w:pPr>
              <w:spacing w:line="360" w:lineRule="auto"/>
              <w:jc w:val="center"/>
              <w:rPr>
                <w:rFonts w:hint="eastAsia" w:ascii="宋体" w:hAnsi="宋体" w:eastAsia="宋体" w:cs="宋体"/>
                <w:color w:val="auto"/>
                <w:sz w:val="24"/>
                <w:szCs w:val="24"/>
                <w:highlight w:val="none"/>
                <w:lang w:eastAsia="zh-CN"/>
              </w:rPr>
            </w:pPr>
            <w:r>
              <w:rPr>
                <w:rFonts w:hint="eastAsia" w:ascii="宋体" w:hAnsi="宋体" w:cs="宋体"/>
                <w:b/>
                <w:bCs/>
                <w:color w:val="auto"/>
                <w:sz w:val="24"/>
                <w:szCs w:val="24"/>
                <w:highlight w:val="none"/>
                <w:lang w:val="en-US" w:eastAsia="zh-CN"/>
              </w:rPr>
              <w:t>总</w:t>
            </w:r>
            <w:r>
              <w:rPr>
                <w:rFonts w:hint="eastAsia" w:ascii="宋体" w:hAnsi="宋体" w:eastAsia="宋体" w:cs="宋体"/>
                <w:b/>
                <w:bCs/>
                <w:color w:val="auto"/>
                <w:sz w:val="24"/>
                <w:szCs w:val="24"/>
                <w:highlight w:val="none"/>
              </w:rPr>
              <w:t>报价</w:t>
            </w:r>
            <w:r>
              <w:rPr>
                <w:rFonts w:hint="eastAsia" w:ascii="宋体" w:hAnsi="宋体" w:cs="宋体"/>
                <w:b/>
                <w:bCs/>
                <w:color w:val="auto"/>
                <w:sz w:val="24"/>
                <w:szCs w:val="24"/>
                <w:highlight w:val="none"/>
                <w:lang w:eastAsia="zh-CN"/>
              </w:rPr>
              <w:t>（</w:t>
            </w:r>
            <w:r>
              <w:rPr>
                <w:rFonts w:hint="eastAsia" w:ascii="宋体" w:hAnsi="宋体" w:cs="宋体"/>
                <w:b/>
                <w:bCs/>
                <w:color w:val="auto"/>
                <w:sz w:val="24"/>
                <w:szCs w:val="24"/>
                <w:highlight w:val="none"/>
                <w:lang w:val="en-US" w:eastAsia="zh-CN"/>
              </w:rPr>
              <w:t>元</w:t>
            </w:r>
            <w:r>
              <w:rPr>
                <w:rFonts w:hint="eastAsia" w:ascii="宋体" w:hAnsi="宋体" w:cs="宋体"/>
                <w:b/>
                <w:bCs/>
                <w:color w:val="auto"/>
                <w:sz w:val="24"/>
                <w:szCs w:val="24"/>
                <w:highlight w:val="none"/>
                <w:lang w:eastAsia="zh-CN"/>
              </w:rPr>
              <w:t>）</w:t>
            </w:r>
          </w:p>
        </w:tc>
        <w:tc>
          <w:tcPr>
            <w:tcW w:w="1154" w:type="dxa"/>
            <w:tcBorders>
              <w:top w:val="single" w:color="auto" w:sz="4" w:space="0"/>
              <w:left w:val="single" w:color="auto" w:sz="4" w:space="0"/>
              <w:bottom w:val="single" w:color="auto" w:sz="4" w:space="0"/>
              <w:right w:val="single" w:color="auto" w:sz="4" w:space="0"/>
            </w:tcBorders>
            <w:vAlign w:val="center"/>
          </w:tcPr>
          <w:p w14:paraId="048A5D68">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14:paraId="3E1B1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trPr>
        <w:tc>
          <w:tcPr>
            <w:tcW w:w="792" w:type="dxa"/>
            <w:tcBorders>
              <w:top w:val="single" w:color="auto" w:sz="4" w:space="0"/>
              <w:left w:val="single" w:color="auto" w:sz="4" w:space="0"/>
              <w:bottom w:val="single" w:color="auto" w:sz="4" w:space="0"/>
              <w:right w:val="single" w:color="auto" w:sz="4" w:space="0"/>
            </w:tcBorders>
            <w:vAlign w:val="center"/>
          </w:tcPr>
          <w:p w14:paraId="6E3527E3">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4590" w:type="dxa"/>
            <w:tcBorders>
              <w:top w:val="single" w:color="auto" w:sz="4" w:space="0"/>
              <w:left w:val="single" w:color="auto" w:sz="4" w:space="0"/>
              <w:bottom w:val="single" w:color="auto" w:sz="4" w:space="0"/>
              <w:right w:val="single" w:color="auto" w:sz="4" w:space="0"/>
            </w:tcBorders>
            <w:vAlign w:val="center"/>
          </w:tcPr>
          <w:p w14:paraId="2C2B8D32">
            <w:pPr>
              <w:spacing w:line="360" w:lineRule="auto"/>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2025年柳城县东泉镇垃圾清运服务项目</w:t>
            </w:r>
          </w:p>
        </w:tc>
        <w:tc>
          <w:tcPr>
            <w:tcW w:w="2761" w:type="dxa"/>
            <w:tcBorders>
              <w:top w:val="single" w:color="auto" w:sz="4" w:space="0"/>
              <w:left w:val="single" w:color="auto" w:sz="4" w:space="0"/>
              <w:bottom w:val="single" w:color="auto" w:sz="4" w:space="0"/>
              <w:right w:val="single" w:color="auto" w:sz="4" w:space="0"/>
            </w:tcBorders>
            <w:vAlign w:val="center"/>
          </w:tcPr>
          <w:p w14:paraId="7D93E805">
            <w:pPr>
              <w:spacing w:line="360" w:lineRule="auto"/>
              <w:jc w:val="center"/>
              <w:rPr>
                <w:rFonts w:hint="default" w:ascii="宋体" w:hAnsi="宋体" w:eastAsia="宋体" w:cs="宋体"/>
                <w:color w:val="auto"/>
                <w:sz w:val="24"/>
                <w:szCs w:val="24"/>
                <w:highlight w:val="none"/>
                <w:lang w:val="en-US" w:eastAsia="zh-CN"/>
              </w:rPr>
            </w:pPr>
          </w:p>
        </w:tc>
        <w:tc>
          <w:tcPr>
            <w:tcW w:w="1154" w:type="dxa"/>
            <w:tcBorders>
              <w:top w:val="single" w:color="auto" w:sz="4" w:space="0"/>
              <w:left w:val="single" w:color="auto" w:sz="4" w:space="0"/>
              <w:bottom w:val="single" w:color="auto" w:sz="4" w:space="0"/>
              <w:right w:val="single" w:color="auto" w:sz="4" w:space="0"/>
            </w:tcBorders>
            <w:vAlign w:val="center"/>
          </w:tcPr>
          <w:p w14:paraId="5127847A">
            <w:pPr>
              <w:spacing w:line="360" w:lineRule="auto"/>
              <w:rPr>
                <w:rFonts w:hint="eastAsia" w:ascii="宋体" w:hAnsi="宋体" w:eastAsia="宋体" w:cs="宋体"/>
                <w:color w:val="auto"/>
                <w:sz w:val="24"/>
                <w:szCs w:val="24"/>
                <w:highlight w:val="none"/>
              </w:rPr>
            </w:pPr>
          </w:p>
        </w:tc>
      </w:tr>
      <w:tr w14:paraId="0551B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7" w:hRule="atLeast"/>
        </w:trPr>
        <w:tc>
          <w:tcPr>
            <w:tcW w:w="9297" w:type="dxa"/>
            <w:gridSpan w:val="4"/>
            <w:tcBorders>
              <w:top w:val="single" w:color="auto" w:sz="4" w:space="0"/>
              <w:left w:val="single" w:color="auto" w:sz="4" w:space="0"/>
              <w:bottom w:val="single" w:color="auto" w:sz="4" w:space="0"/>
              <w:right w:val="single" w:color="auto" w:sz="4" w:space="0"/>
            </w:tcBorders>
            <w:vAlign w:val="center"/>
          </w:tcPr>
          <w:p w14:paraId="399CEC7E">
            <w:pPr>
              <w:snapToGrid w:val="0"/>
              <w:spacing w:before="50" w:after="5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合同履行期限：</w:t>
            </w:r>
          </w:p>
        </w:tc>
      </w:tr>
      <w:tr w14:paraId="761BC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7" w:hRule="atLeast"/>
        </w:trPr>
        <w:tc>
          <w:tcPr>
            <w:tcW w:w="9297" w:type="dxa"/>
            <w:gridSpan w:val="4"/>
            <w:tcBorders>
              <w:top w:val="single" w:color="auto" w:sz="4" w:space="0"/>
              <w:left w:val="single" w:color="auto" w:sz="4" w:space="0"/>
              <w:bottom w:val="single" w:color="auto" w:sz="4" w:space="0"/>
              <w:right w:val="single" w:color="auto" w:sz="4" w:space="0"/>
            </w:tcBorders>
            <w:vAlign w:val="center"/>
          </w:tcPr>
          <w:p w14:paraId="1F2F7A9D">
            <w:pPr>
              <w:snapToGrid w:val="0"/>
              <w:spacing w:before="50" w:after="50"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rPr>
              <w:t>承诺：符合采购文</w:t>
            </w:r>
            <w:r>
              <w:rPr>
                <w:rFonts w:hint="eastAsia" w:ascii="宋体" w:hAnsi="宋体" w:eastAsia="宋体" w:cs="宋体"/>
                <w:color w:val="auto"/>
                <w:sz w:val="24"/>
                <w:szCs w:val="24"/>
                <w:highlight w:val="none"/>
              </w:rPr>
              <w:t>件要求</w:t>
            </w:r>
            <w:r>
              <w:rPr>
                <w:rFonts w:hint="eastAsia" w:ascii="宋体" w:hAnsi="宋体" w:eastAsia="宋体" w:cs="宋体"/>
                <w:color w:val="auto"/>
                <w:sz w:val="24"/>
                <w:szCs w:val="24"/>
                <w:highlight w:val="none"/>
                <w:lang w:eastAsia="zh-CN"/>
              </w:rPr>
              <w:t>。</w:t>
            </w:r>
          </w:p>
        </w:tc>
      </w:tr>
    </w:tbl>
    <w:p w14:paraId="7B89B1E7">
      <w:pPr>
        <w:snapToGrid w:val="0"/>
        <w:spacing w:before="50" w:after="50"/>
        <w:ind w:firstLine="420" w:firstLineChars="200"/>
        <w:jc w:val="left"/>
        <w:rPr>
          <w:rFonts w:hint="eastAsia" w:ascii="宋体" w:hAnsi="宋体" w:eastAsia="宋体" w:cs="宋体"/>
          <w:color w:val="auto"/>
          <w:kern w:val="0"/>
          <w:sz w:val="21"/>
          <w:szCs w:val="21"/>
          <w:highlight w:val="none"/>
          <w:lang w:val="zh-CN"/>
        </w:rPr>
      </w:pPr>
    </w:p>
    <w:p w14:paraId="65D2D32C">
      <w:pPr>
        <w:snapToGrid w:val="0"/>
        <w:spacing w:before="50" w:after="50"/>
        <w:ind w:firstLine="420" w:firstLineChars="200"/>
        <w:jc w:val="left"/>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注：</w:t>
      </w:r>
    </w:p>
    <w:p w14:paraId="43706728">
      <w:pPr>
        <w:snapToGrid w:val="0"/>
        <w:spacing w:before="50" w:after="50"/>
        <w:ind w:firstLine="420" w:firstLineChars="200"/>
        <w:jc w:val="left"/>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1、供应商需按本表格式填写，不得自行更改</w:t>
      </w:r>
      <w:r>
        <w:rPr>
          <w:rFonts w:hint="eastAsia" w:ascii="宋体" w:hAnsi="宋体" w:eastAsia="宋体" w:cs="宋体"/>
          <w:b w:val="0"/>
          <w:bCs/>
          <w:color w:val="auto"/>
          <w:kern w:val="0"/>
          <w:sz w:val="21"/>
          <w:szCs w:val="21"/>
          <w:highlight w:val="none"/>
          <w:lang w:val="zh-CN"/>
        </w:rPr>
        <w:t>。</w:t>
      </w:r>
    </w:p>
    <w:p w14:paraId="7B21CE97">
      <w:pPr>
        <w:snapToGrid w:val="0"/>
        <w:ind w:firstLine="422" w:firstLineChars="200"/>
        <w:jc w:val="left"/>
        <w:rPr>
          <w:rFonts w:hint="eastAsia" w:ascii="宋体" w:hAnsi="宋体" w:cs="宋体"/>
          <w:b/>
          <w:bCs/>
          <w:color w:val="auto"/>
          <w:kern w:val="0"/>
          <w:sz w:val="21"/>
          <w:szCs w:val="21"/>
          <w:highlight w:val="none"/>
          <w:lang w:val="en-US" w:eastAsia="zh-CN"/>
        </w:rPr>
      </w:pPr>
      <w:r>
        <w:rPr>
          <w:rFonts w:hint="eastAsia" w:ascii="宋体" w:hAnsi="宋体" w:cs="宋体"/>
          <w:b/>
          <w:bCs/>
          <w:color w:val="auto"/>
          <w:kern w:val="0"/>
          <w:sz w:val="21"/>
          <w:szCs w:val="21"/>
          <w:highlight w:val="none"/>
          <w:lang w:val="en-US" w:eastAsia="zh-CN"/>
        </w:rPr>
        <w:t>2、供应商的总报价不得超出本项目最高限价，否则按无效响应处理。</w:t>
      </w:r>
    </w:p>
    <w:p w14:paraId="7E9447F7">
      <w:pPr>
        <w:snapToGrid w:val="0"/>
        <w:ind w:firstLine="422" w:firstLineChars="200"/>
        <w:jc w:val="left"/>
        <w:rPr>
          <w:rFonts w:hint="default" w:ascii="宋体" w:hAnsi="宋体" w:cs="宋体"/>
          <w:b/>
          <w:bCs/>
          <w:color w:val="auto"/>
          <w:kern w:val="0"/>
          <w:sz w:val="21"/>
          <w:szCs w:val="21"/>
          <w:highlight w:val="none"/>
          <w:lang w:val="en-US" w:eastAsia="zh-CN"/>
        </w:rPr>
      </w:pPr>
      <w:r>
        <w:rPr>
          <w:rFonts w:hint="eastAsia" w:ascii="宋体" w:hAnsi="宋体" w:cs="宋体"/>
          <w:b/>
          <w:bCs/>
          <w:color w:val="auto"/>
          <w:kern w:val="0"/>
          <w:sz w:val="21"/>
          <w:szCs w:val="21"/>
          <w:highlight w:val="none"/>
          <w:lang w:val="en-US" w:eastAsia="zh-CN"/>
        </w:rPr>
        <w:t>3、供应商的总报价如果低于采购预算价的90%（不含）的，供应商应同时提供书面说明证明其报价合理性。</w:t>
      </w:r>
    </w:p>
    <w:p w14:paraId="6A6F07A8">
      <w:pPr>
        <w:autoSpaceDE w:val="0"/>
        <w:autoSpaceDN w:val="0"/>
        <w:spacing w:line="360" w:lineRule="auto"/>
        <w:ind w:left="4305" w:leftChars="1950" w:hanging="210" w:hangingChars="100"/>
        <w:rPr>
          <w:rFonts w:hint="eastAsia" w:ascii="宋体" w:hAnsi="宋体" w:eastAsia="宋体" w:cs="宋体"/>
          <w:color w:val="auto"/>
          <w:kern w:val="0"/>
          <w:sz w:val="21"/>
          <w:szCs w:val="21"/>
          <w:highlight w:val="none"/>
        </w:rPr>
      </w:pPr>
    </w:p>
    <w:p w14:paraId="7AE0CCC7">
      <w:pPr>
        <w:autoSpaceDE w:val="0"/>
        <w:autoSpaceDN w:val="0"/>
        <w:spacing w:line="360" w:lineRule="auto"/>
        <w:ind w:left="4305" w:leftChars="1950" w:hanging="210" w:hangingChars="1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供应商名称（电子签章）：</w:t>
      </w:r>
    </w:p>
    <w:p w14:paraId="306DB11E">
      <w:pPr>
        <w:spacing w:line="360" w:lineRule="auto"/>
        <w:contextualSpacing/>
        <w:jc w:val="righ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1"/>
          <w:szCs w:val="21"/>
          <w:highlight w:val="none"/>
          <w:lang w:val="zh-CN"/>
        </w:rPr>
        <w:t>日期：  年  月   日</w:t>
      </w:r>
    </w:p>
    <w:p w14:paraId="13679429">
      <w:pPr>
        <w:pStyle w:val="12"/>
        <w:rPr>
          <w:rFonts w:hint="eastAsia" w:ascii="宋体" w:hAnsi="宋体" w:eastAsia="宋体" w:cs="宋体"/>
          <w:color w:val="auto"/>
          <w:kern w:val="0"/>
          <w:sz w:val="24"/>
          <w:highlight w:val="none"/>
          <w:lang w:val="zh-CN"/>
        </w:rPr>
      </w:pPr>
    </w:p>
    <w:p w14:paraId="03F91F7F">
      <w:pPr>
        <w:pStyle w:val="24"/>
        <w:rPr>
          <w:rFonts w:hint="eastAsia" w:ascii="宋体" w:hAnsi="宋体" w:eastAsia="宋体" w:cs="宋体"/>
          <w:color w:val="auto"/>
          <w:kern w:val="0"/>
          <w:sz w:val="24"/>
          <w:highlight w:val="none"/>
          <w:lang w:val="zh-CN"/>
        </w:rPr>
      </w:pPr>
    </w:p>
    <w:p w14:paraId="6EBF09E0">
      <w:pPr>
        <w:rPr>
          <w:rFonts w:hint="eastAsia" w:ascii="宋体" w:hAnsi="宋体" w:eastAsia="宋体" w:cs="宋体"/>
          <w:color w:val="auto"/>
          <w:kern w:val="0"/>
          <w:sz w:val="24"/>
          <w:highlight w:val="none"/>
          <w:lang w:val="zh-CN"/>
        </w:rPr>
      </w:pPr>
    </w:p>
    <w:p w14:paraId="308E3FFB">
      <w:pPr>
        <w:pStyle w:val="12"/>
        <w:rPr>
          <w:rFonts w:hint="eastAsia" w:ascii="宋体" w:hAnsi="宋体" w:eastAsia="宋体" w:cs="宋体"/>
          <w:color w:val="auto"/>
          <w:kern w:val="0"/>
          <w:sz w:val="24"/>
          <w:highlight w:val="none"/>
          <w:lang w:val="zh-CN"/>
        </w:rPr>
      </w:pPr>
    </w:p>
    <w:p w14:paraId="49886893">
      <w:pPr>
        <w:pStyle w:val="24"/>
        <w:rPr>
          <w:rFonts w:hint="eastAsia" w:ascii="宋体" w:hAnsi="宋体" w:eastAsia="宋体" w:cs="宋体"/>
          <w:highlight w:val="none"/>
          <w:lang w:val="zh-CN"/>
        </w:rPr>
        <w:sectPr>
          <w:headerReference r:id="rId7" w:type="default"/>
          <w:footerReference r:id="rId8" w:type="default"/>
          <w:pgSz w:w="11910" w:h="16840"/>
          <w:pgMar w:top="1417" w:right="1417" w:bottom="1417" w:left="1417" w:header="720" w:footer="720" w:gutter="0"/>
          <w:pgNumType w:fmt="decimal"/>
          <w:cols w:space="720" w:num="1"/>
          <w:rtlGutter w:val="0"/>
        </w:sectPr>
      </w:pPr>
    </w:p>
    <w:p w14:paraId="44B5E21A">
      <w:pPr>
        <w:spacing w:line="360" w:lineRule="auto"/>
        <w:contextualSpacing/>
        <w:rPr>
          <w:rFonts w:hint="eastAsia" w:ascii="宋体" w:hAnsi="宋体" w:eastAsia="宋体" w:cs="宋体"/>
          <w:color w:val="auto"/>
          <w:sz w:val="24"/>
          <w:highlight w:val="none"/>
        </w:rPr>
      </w:pPr>
    </w:p>
    <w:p w14:paraId="2A19B416">
      <w:pPr>
        <w:spacing w:line="520" w:lineRule="exact"/>
        <w:jc w:val="center"/>
        <w:rPr>
          <w:rFonts w:hint="eastAsia" w:ascii="宋体" w:hAnsi="宋体" w:eastAsia="宋体" w:cs="宋体"/>
          <w:color w:val="auto"/>
          <w:sz w:val="24"/>
          <w:highlight w:val="none"/>
        </w:rPr>
      </w:pPr>
    </w:p>
    <w:p w14:paraId="041DA314">
      <w:pPr>
        <w:spacing w:line="520" w:lineRule="exact"/>
        <w:jc w:val="center"/>
        <w:rPr>
          <w:rFonts w:hint="eastAsia" w:ascii="宋体" w:hAnsi="宋体" w:eastAsia="宋体" w:cs="宋体"/>
          <w:color w:val="auto"/>
          <w:sz w:val="24"/>
          <w:highlight w:val="none"/>
        </w:rPr>
      </w:pPr>
    </w:p>
    <w:p w14:paraId="43533CF7">
      <w:pPr>
        <w:spacing w:line="520" w:lineRule="exact"/>
        <w:jc w:val="center"/>
        <w:rPr>
          <w:rFonts w:hint="eastAsia" w:ascii="宋体" w:hAnsi="宋体" w:eastAsia="宋体" w:cs="宋体"/>
          <w:color w:val="auto"/>
          <w:sz w:val="24"/>
          <w:highlight w:val="none"/>
        </w:rPr>
      </w:pPr>
    </w:p>
    <w:p w14:paraId="2E324440">
      <w:pPr>
        <w:spacing w:line="520" w:lineRule="exact"/>
        <w:jc w:val="center"/>
        <w:rPr>
          <w:rFonts w:hint="eastAsia" w:ascii="宋体" w:hAnsi="宋体" w:eastAsia="宋体" w:cs="宋体"/>
          <w:color w:val="auto"/>
          <w:sz w:val="24"/>
          <w:highlight w:val="none"/>
        </w:rPr>
      </w:pPr>
    </w:p>
    <w:p w14:paraId="67540204">
      <w:pPr>
        <w:keepNext/>
        <w:keepLines/>
        <w:spacing w:before="340" w:after="330" w:line="578" w:lineRule="auto"/>
        <w:jc w:val="center"/>
        <w:outlineLvl w:val="0"/>
        <w:rPr>
          <w:rFonts w:hint="eastAsia" w:ascii="宋体" w:hAnsi="宋体" w:eastAsia="宋体" w:cs="宋体"/>
          <w:b/>
          <w:bCs/>
          <w:color w:val="auto"/>
          <w:kern w:val="44"/>
          <w:sz w:val="32"/>
          <w:szCs w:val="32"/>
          <w:highlight w:val="none"/>
        </w:rPr>
      </w:pPr>
    </w:p>
    <w:p w14:paraId="544B55BB">
      <w:pPr>
        <w:keepNext/>
        <w:keepLines/>
        <w:spacing w:before="340" w:after="330" w:line="578" w:lineRule="auto"/>
        <w:jc w:val="center"/>
        <w:outlineLvl w:val="0"/>
        <w:rPr>
          <w:rFonts w:hint="eastAsia" w:ascii="宋体" w:hAnsi="宋体" w:eastAsia="宋体" w:cs="宋体"/>
          <w:color w:val="auto"/>
          <w:kern w:val="44"/>
          <w:sz w:val="44"/>
          <w:szCs w:val="44"/>
          <w:highlight w:val="none"/>
        </w:rPr>
      </w:pPr>
      <w:bookmarkStart w:id="94" w:name="_Toc25338"/>
      <w:r>
        <w:rPr>
          <w:rFonts w:hint="eastAsia" w:ascii="宋体" w:hAnsi="宋体" w:eastAsia="宋体" w:cs="宋体"/>
          <w:b/>
          <w:bCs/>
          <w:color w:val="auto"/>
          <w:kern w:val="44"/>
          <w:sz w:val="32"/>
          <w:szCs w:val="32"/>
          <w:highlight w:val="none"/>
        </w:rPr>
        <w:t>第六章  合同文本</w:t>
      </w:r>
      <w:r>
        <w:rPr>
          <w:rFonts w:hint="eastAsia" w:ascii="宋体" w:hAnsi="宋体" w:eastAsia="宋体" w:cs="宋体"/>
          <w:color w:val="auto"/>
          <w:kern w:val="44"/>
          <w:sz w:val="44"/>
          <w:szCs w:val="44"/>
          <w:highlight w:val="none"/>
        </w:rPr>
        <w:br w:type="page"/>
      </w:r>
      <w:bookmarkEnd w:id="94"/>
    </w:p>
    <w:p w14:paraId="3E335717">
      <w:pPr>
        <w:pStyle w:val="16"/>
        <w:jc w:val="center"/>
        <w:rPr>
          <w:rFonts w:hint="eastAsia" w:ascii="宋体" w:hAnsi="宋体" w:eastAsia="宋体" w:cs="宋体"/>
          <w:b/>
          <w:color w:val="auto"/>
          <w:sz w:val="52"/>
          <w:szCs w:val="52"/>
          <w:highlight w:val="none"/>
        </w:rPr>
      </w:pPr>
    </w:p>
    <w:p w14:paraId="5962B971">
      <w:pPr>
        <w:pStyle w:val="16"/>
        <w:jc w:val="center"/>
        <w:rPr>
          <w:rFonts w:hint="eastAsia" w:ascii="宋体" w:hAnsi="宋体" w:eastAsia="宋体" w:cs="宋体"/>
          <w:b/>
          <w:color w:val="auto"/>
          <w:sz w:val="52"/>
          <w:szCs w:val="52"/>
          <w:highlight w:val="none"/>
        </w:rPr>
      </w:pPr>
      <w:r>
        <w:rPr>
          <w:rFonts w:hint="eastAsia" w:ascii="宋体" w:hAnsi="宋体" w:eastAsia="宋体" w:cs="宋体"/>
          <w:b/>
          <w:color w:val="auto"/>
          <w:sz w:val="52"/>
          <w:szCs w:val="52"/>
          <w:highlight w:val="none"/>
        </w:rPr>
        <w:t>政府采购合同</w:t>
      </w:r>
    </w:p>
    <w:p w14:paraId="0255765B">
      <w:pPr>
        <w:pStyle w:val="16"/>
        <w:rPr>
          <w:rFonts w:hint="eastAsia" w:ascii="宋体" w:hAnsi="宋体" w:eastAsia="宋体" w:cs="宋体"/>
          <w:color w:val="auto"/>
          <w:highlight w:val="none"/>
        </w:rPr>
      </w:pPr>
    </w:p>
    <w:p w14:paraId="41A249B2">
      <w:pPr>
        <w:pStyle w:val="16"/>
        <w:rPr>
          <w:rFonts w:hint="eastAsia" w:ascii="宋体" w:hAnsi="宋体" w:eastAsia="宋体" w:cs="宋体"/>
          <w:color w:val="auto"/>
          <w:highlight w:val="none"/>
        </w:rPr>
      </w:pPr>
    </w:p>
    <w:p w14:paraId="2144412A">
      <w:pPr>
        <w:pStyle w:val="16"/>
        <w:rPr>
          <w:rFonts w:hint="eastAsia" w:ascii="宋体" w:hAnsi="宋体" w:eastAsia="宋体" w:cs="宋体"/>
          <w:color w:val="auto"/>
          <w:highlight w:val="none"/>
        </w:rPr>
      </w:pPr>
    </w:p>
    <w:p w14:paraId="678C1243">
      <w:pPr>
        <w:pStyle w:val="16"/>
        <w:rPr>
          <w:rFonts w:hint="eastAsia" w:ascii="宋体" w:hAnsi="宋体" w:eastAsia="宋体" w:cs="宋体"/>
          <w:color w:val="auto"/>
          <w:highlight w:val="none"/>
        </w:rPr>
      </w:pPr>
    </w:p>
    <w:p w14:paraId="15164F51">
      <w:pPr>
        <w:pStyle w:val="16"/>
        <w:rPr>
          <w:rFonts w:hint="eastAsia" w:ascii="宋体" w:hAnsi="宋体" w:eastAsia="宋体" w:cs="宋体"/>
          <w:color w:val="auto"/>
          <w:highlight w:val="none"/>
        </w:rPr>
      </w:pPr>
    </w:p>
    <w:p w14:paraId="11D12565">
      <w:pPr>
        <w:pStyle w:val="16"/>
        <w:rPr>
          <w:rFonts w:hint="eastAsia" w:ascii="宋体" w:hAnsi="宋体" w:eastAsia="宋体" w:cs="宋体"/>
          <w:color w:val="auto"/>
          <w:highlight w:val="none"/>
        </w:rPr>
      </w:pPr>
    </w:p>
    <w:p w14:paraId="79F10FF6">
      <w:pPr>
        <w:pStyle w:val="16"/>
        <w:rPr>
          <w:rFonts w:hint="eastAsia" w:ascii="宋体" w:hAnsi="宋体" w:eastAsia="宋体" w:cs="宋体"/>
          <w:color w:val="auto"/>
          <w:highlight w:val="none"/>
        </w:rPr>
      </w:pPr>
    </w:p>
    <w:p w14:paraId="43A6CEB5">
      <w:pPr>
        <w:pStyle w:val="16"/>
        <w:rPr>
          <w:rFonts w:hint="eastAsia" w:ascii="宋体" w:hAnsi="宋体" w:eastAsia="宋体" w:cs="宋体"/>
          <w:color w:val="auto"/>
          <w:highlight w:val="none"/>
        </w:rPr>
      </w:pPr>
    </w:p>
    <w:p w14:paraId="5AA09C98">
      <w:pPr>
        <w:pStyle w:val="16"/>
        <w:rPr>
          <w:rFonts w:hint="eastAsia" w:ascii="宋体" w:hAnsi="宋体" w:eastAsia="宋体" w:cs="宋体"/>
          <w:color w:val="auto"/>
          <w:highlight w:val="none"/>
        </w:rPr>
      </w:pPr>
    </w:p>
    <w:p w14:paraId="0EA56EF8">
      <w:pPr>
        <w:pStyle w:val="16"/>
        <w:rPr>
          <w:rFonts w:hint="eastAsia" w:ascii="宋体" w:hAnsi="宋体" w:eastAsia="宋体" w:cs="宋体"/>
          <w:color w:val="auto"/>
          <w:highlight w:val="none"/>
        </w:rPr>
      </w:pPr>
    </w:p>
    <w:p w14:paraId="1CD8628D">
      <w:pPr>
        <w:pStyle w:val="16"/>
        <w:rPr>
          <w:rFonts w:hint="eastAsia" w:ascii="宋体" w:hAnsi="宋体" w:eastAsia="宋体" w:cs="宋体"/>
          <w:color w:val="auto"/>
          <w:highlight w:val="none"/>
        </w:rPr>
      </w:pPr>
    </w:p>
    <w:p w14:paraId="06E3ADE9">
      <w:pPr>
        <w:pStyle w:val="16"/>
        <w:rPr>
          <w:rFonts w:hint="eastAsia" w:ascii="宋体" w:hAnsi="宋体" w:eastAsia="宋体" w:cs="宋体"/>
          <w:color w:val="auto"/>
          <w:highlight w:val="none"/>
        </w:rPr>
      </w:pPr>
    </w:p>
    <w:p w14:paraId="53E33C04">
      <w:pPr>
        <w:pStyle w:val="16"/>
        <w:rPr>
          <w:rFonts w:hint="eastAsia" w:ascii="宋体" w:hAnsi="宋体" w:eastAsia="宋体" w:cs="宋体"/>
          <w:color w:val="auto"/>
          <w:highlight w:val="none"/>
        </w:rPr>
      </w:pPr>
    </w:p>
    <w:p w14:paraId="0F0007AB">
      <w:pPr>
        <w:pStyle w:val="16"/>
        <w:ind w:firstLine="1590" w:firstLineChars="495"/>
        <w:rPr>
          <w:rFonts w:hint="eastAsia" w:ascii="宋体" w:hAnsi="宋体" w:eastAsia="宋体" w:cs="宋体"/>
          <w:b/>
          <w:color w:val="auto"/>
          <w:sz w:val="32"/>
          <w:szCs w:val="32"/>
          <w:highlight w:val="none"/>
          <w:u w:val="single"/>
        </w:rPr>
      </w:pPr>
      <w:r>
        <w:rPr>
          <w:rFonts w:hint="eastAsia" w:ascii="宋体" w:hAnsi="宋体" w:eastAsia="宋体" w:cs="宋体"/>
          <w:b/>
          <w:color w:val="auto"/>
          <w:sz w:val="32"/>
          <w:szCs w:val="32"/>
          <w:highlight w:val="none"/>
        </w:rPr>
        <w:t>合同名称：</w:t>
      </w:r>
      <w:r>
        <w:rPr>
          <w:rFonts w:hint="eastAsia" w:ascii="宋体" w:hAnsi="宋体" w:eastAsia="宋体" w:cs="宋体"/>
          <w:b/>
          <w:color w:val="auto"/>
          <w:sz w:val="32"/>
          <w:szCs w:val="32"/>
          <w:highlight w:val="none"/>
          <w:u w:val="single"/>
        </w:rPr>
        <w:t xml:space="preserve">                    </w:t>
      </w:r>
    </w:p>
    <w:p w14:paraId="399C30E4">
      <w:pPr>
        <w:pStyle w:val="16"/>
        <w:ind w:firstLine="1590" w:firstLineChars="495"/>
        <w:rPr>
          <w:rFonts w:hint="eastAsia" w:ascii="宋体" w:hAnsi="宋体" w:eastAsia="宋体" w:cs="宋体"/>
          <w:b/>
          <w:color w:val="auto"/>
          <w:sz w:val="32"/>
          <w:szCs w:val="32"/>
          <w:highlight w:val="none"/>
          <w:u w:val="single"/>
        </w:rPr>
      </w:pPr>
      <w:r>
        <w:rPr>
          <w:rFonts w:hint="eastAsia" w:ascii="宋体" w:hAnsi="宋体" w:eastAsia="宋体" w:cs="宋体"/>
          <w:b/>
          <w:color w:val="auto"/>
          <w:sz w:val="32"/>
          <w:szCs w:val="32"/>
          <w:highlight w:val="none"/>
        </w:rPr>
        <w:t>合同编号：</w:t>
      </w:r>
      <w:r>
        <w:rPr>
          <w:rFonts w:hint="eastAsia" w:ascii="宋体" w:hAnsi="宋体" w:eastAsia="宋体" w:cs="宋体"/>
          <w:b/>
          <w:color w:val="auto"/>
          <w:sz w:val="32"/>
          <w:szCs w:val="32"/>
          <w:highlight w:val="none"/>
          <w:u w:val="single"/>
        </w:rPr>
        <w:t xml:space="preserve">                    </w:t>
      </w:r>
    </w:p>
    <w:p w14:paraId="66195C0C">
      <w:pPr>
        <w:pStyle w:val="16"/>
        <w:jc w:val="center"/>
        <w:rPr>
          <w:rFonts w:hint="eastAsia" w:ascii="宋体" w:hAnsi="宋体" w:eastAsia="宋体" w:cs="宋体"/>
          <w:color w:val="auto"/>
          <w:highlight w:val="none"/>
        </w:rPr>
      </w:pPr>
    </w:p>
    <w:p w14:paraId="0DDDF5FE">
      <w:pPr>
        <w:pStyle w:val="16"/>
        <w:jc w:val="center"/>
        <w:rPr>
          <w:rFonts w:hint="eastAsia" w:ascii="宋体" w:hAnsi="宋体" w:eastAsia="宋体" w:cs="宋体"/>
          <w:color w:val="auto"/>
          <w:highlight w:val="none"/>
        </w:rPr>
      </w:pPr>
    </w:p>
    <w:p w14:paraId="7BFEDFA1">
      <w:pPr>
        <w:pStyle w:val="16"/>
        <w:jc w:val="center"/>
        <w:rPr>
          <w:rFonts w:hint="eastAsia" w:ascii="宋体" w:hAnsi="宋体" w:eastAsia="宋体" w:cs="宋体"/>
          <w:color w:val="auto"/>
          <w:highlight w:val="none"/>
        </w:rPr>
      </w:pPr>
    </w:p>
    <w:p w14:paraId="08AFCBA3">
      <w:pPr>
        <w:pStyle w:val="16"/>
        <w:spacing w:line="340" w:lineRule="exact"/>
        <w:ind w:firstLine="1590" w:firstLineChars="495"/>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采购单位（甲方）</w:t>
      </w:r>
      <w:r>
        <w:rPr>
          <w:rFonts w:hint="eastAsia" w:ascii="宋体" w:hAnsi="宋体" w:eastAsia="宋体" w:cs="宋体"/>
          <w:b/>
          <w:color w:val="auto"/>
          <w:sz w:val="32"/>
          <w:szCs w:val="32"/>
          <w:highlight w:val="none"/>
          <w:u w:val="single"/>
        </w:rPr>
        <w:t xml:space="preserve">                    </w:t>
      </w:r>
    </w:p>
    <w:p w14:paraId="4DFF128A">
      <w:pPr>
        <w:pStyle w:val="16"/>
        <w:spacing w:line="340" w:lineRule="exact"/>
        <w:ind w:firstLine="1590" w:firstLineChars="495"/>
        <w:rPr>
          <w:rFonts w:hint="eastAsia" w:ascii="宋体" w:hAnsi="宋体" w:eastAsia="宋体" w:cs="宋体"/>
          <w:b/>
          <w:color w:val="auto"/>
          <w:sz w:val="32"/>
          <w:szCs w:val="32"/>
          <w:highlight w:val="none"/>
        </w:rPr>
      </w:pPr>
    </w:p>
    <w:p w14:paraId="65423225">
      <w:pPr>
        <w:pStyle w:val="16"/>
        <w:spacing w:line="340" w:lineRule="exact"/>
        <w:ind w:firstLine="1590" w:firstLineChars="495"/>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供 应 商（乙方）</w:t>
      </w:r>
      <w:r>
        <w:rPr>
          <w:rFonts w:hint="eastAsia" w:ascii="宋体" w:hAnsi="宋体" w:eastAsia="宋体" w:cs="宋体"/>
          <w:b/>
          <w:color w:val="auto"/>
          <w:sz w:val="32"/>
          <w:szCs w:val="32"/>
          <w:highlight w:val="none"/>
          <w:u w:val="single"/>
        </w:rPr>
        <w:t xml:space="preserve">                    </w:t>
      </w:r>
    </w:p>
    <w:p w14:paraId="3062B06C">
      <w:pPr>
        <w:pStyle w:val="16"/>
        <w:jc w:val="center"/>
        <w:rPr>
          <w:rFonts w:hint="eastAsia" w:ascii="宋体" w:hAnsi="宋体" w:eastAsia="宋体" w:cs="宋体"/>
          <w:color w:val="auto"/>
          <w:highlight w:val="none"/>
        </w:rPr>
      </w:pPr>
    </w:p>
    <w:p w14:paraId="38861BD9">
      <w:pPr>
        <w:pStyle w:val="16"/>
        <w:jc w:val="center"/>
        <w:rPr>
          <w:rFonts w:hint="eastAsia" w:ascii="宋体" w:hAnsi="宋体" w:eastAsia="宋体" w:cs="宋体"/>
          <w:color w:val="auto"/>
          <w:highlight w:val="none"/>
        </w:rPr>
      </w:pPr>
    </w:p>
    <w:p w14:paraId="4827E2F6">
      <w:pPr>
        <w:pStyle w:val="16"/>
        <w:jc w:val="center"/>
        <w:rPr>
          <w:rFonts w:hint="eastAsia" w:ascii="宋体" w:hAnsi="宋体" w:eastAsia="宋体" w:cs="宋体"/>
          <w:color w:val="auto"/>
          <w:highlight w:val="none"/>
        </w:rPr>
      </w:pPr>
    </w:p>
    <w:p w14:paraId="33558A9F">
      <w:pPr>
        <w:pStyle w:val="16"/>
        <w:jc w:val="center"/>
        <w:rPr>
          <w:rFonts w:hint="eastAsia" w:ascii="宋体" w:hAnsi="宋体" w:eastAsia="宋体" w:cs="宋体"/>
          <w:color w:val="auto"/>
          <w:highlight w:val="none"/>
        </w:rPr>
      </w:pPr>
    </w:p>
    <w:p w14:paraId="5D7C32A0">
      <w:pPr>
        <w:pStyle w:val="16"/>
        <w:ind w:firstLine="1590" w:firstLineChars="495"/>
        <w:rPr>
          <w:rFonts w:hint="eastAsia" w:ascii="宋体" w:hAnsi="宋体" w:eastAsia="宋体" w:cs="宋体"/>
          <w:b/>
          <w:color w:val="auto"/>
          <w:sz w:val="32"/>
          <w:szCs w:val="32"/>
          <w:highlight w:val="none"/>
          <w:u w:val="single"/>
        </w:rPr>
      </w:pPr>
      <w:r>
        <w:rPr>
          <w:rFonts w:hint="eastAsia" w:ascii="宋体" w:hAnsi="宋体" w:eastAsia="宋体" w:cs="宋体"/>
          <w:b/>
          <w:color w:val="auto"/>
          <w:sz w:val="32"/>
          <w:szCs w:val="32"/>
          <w:highlight w:val="none"/>
        </w:rPr>
        <w:t>签订合同地点：</w:t>
      </w:r>
      <w:r>
        <w:rPr>
          <w:rFonts w:hint="eastAsia" w:ascii="宋体" w:hAnsi="宋体" w:eastAsia="宋体" w:cs="宋体"/>
          <w:b/>
          <w:color w:val="auto"/>
          <w:sz w:val="32"/>
          <w:szCs w:val="32"/>
          <w:highlight w:val="none"/>
          <w:u w:val="single"/>
        </w:rPr>
        <w:t xml:space="preserve">                    </w:t>
      </w:r>
    </w:p>
    <w:p w14:paraId="0683684E">
      <w:pPr>
        <w:pStyle w:val="16"/>
        <w:ind w:firstLine="1590" w:firstLineChars="495"/>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签订合同时间：</w:t>
      </w:r>
      <w:r>
        <w:rPr>
          <w:rFonts w:hint="eastAsia" w:ascii="宋体" w:hAnsi="宋体" w:eastAsia="宋体" w:cs="宋体"/>
          <w:b/>
          <w:color w:val="auto"/>
          <w:sz w:val="32"/>
          <w:szCs w:val="32"/>
          <w:highlight w:val="none"/>
          <w:u w:val="single"/>
        </w:rPr>
        <w:t xml:space="preserve">                    </w:t>
      </w:r>
    </w:p>
    <w:p w14:paraId="1C3099CD">
      <w:pPr>
        <w:pStyle w:val="16"/>
        <w:jc w:val="center"/>
        <w:rPr>
          <w:rFonts w:hint="eastAsia" w:ascii="宋体" w:hAnsi="宋体" w:eastAsia="宋体" w:cs="宋体"/>
          <w:color w:val="auto"/>
          <w:highlight w:val="none"/>
        </w:rPr>
      </w:pPr>
    </w:p>
    <w:p w14:paraId="33BE3918">
      <w:pPr>
        <w:pStyle w:val="16"/>
        <w:jc w:val="center"/>
        <w:rPr>
          <w:rFonts w:hint="eastAsia" w:ascii="宋体" w:hAnsi="宋体" w:eastAsia="宋体" w:cs="宋体"/>
          <w:b/>
          <w:bCs/>
          <w:color w:val="auto"/>
          <w:sz w:val="32"/>
          <w:szCs w:val="32"/>
          <w:highlight w:val="none"/>
        </w:rPr>
      </w:pPr>
      <w:r>
        <w:rPr>
          <w:rFonts w:hint="eastAsia" w:ascii="宋体" w:hAnsi="宋体" w:eastAsia="宋体" w:cs="宋体"/>
          <w:color w:val="auto"/>
          <w:highlight w:val="none"/>
        </w:rPr>
        <w:br w:type="page"/>
      </w:r>
      <w:r>
        <w:rPr>
          <w:rFonts w:hint="eastAsia" w:ascii="宋体" w:hAnsi="宋体" w:eastAsia="宋体" w:cs="宋体"/>
          <w:b/>
          <w:bCs/>
          <w:color w:val="auto"/>
          <w:sz w:val="32"/>
          <w:szCs w:val="32"/>
          <w:highlight w:val="none"/>
        </w:rPr>
        <w:t>《采购合同》</w:t>
      </w:r>
    </w:p>
    <w:p w14:paraId="71DDC324">
      <w:pPr>
        <w:keepNext w:val="0"/>
        <w:keepLines w:val="0"/>
        <w:pageBreakBefore w:val="0"/>
        <w:kinsoku/>
        <w:wordWrap/>
        <w:overflowPunct/>
        <w:topLinePunct w:val="0"/>
        <w:autoSpaceDE/>
        <w:autoSpaceDN/>
        <w:bidi w:val="0"/>
        <w:adjustRightInd/>
        <w:snapToGrid/>
        <w:spacing w:line="360" w:lineRule="auto"/>
        <w:ind w:right="0"/>
        <w:textAlignment w:val="auto"/>
        <w:rPr>
          <w:rFonts w:ascii="宋体" w:hAnsi="宋体" w:cs="宋体"/>
          <w:bCs/>
          <w:color w:val="auto"/>
          <w:sz w:val="24"/>
          <w:szCs w:val="24"/>
          <w:highlight w:val="none"/>
          <w:u w:val="single"/>
        </w:rPr>
      </w:pPr>
      <w:r>
        <w:rPr>
          <w:rFonts w:hint="eastAsia" w:ascii="宋体" w:hAnsi="宋体" w:cs="宋体"/>
          <w:color w:val="auto"/>
          <w:sz w:val="24"/>
          <w:szCs w:val="24"/>
          <w:highlight w:val="none"/>
        </w:rPr>
        <w:t xml:space="preserve">采购计划号：                                   </w:t>
      </w:r>
      <w:r>
        <w:rPr>
          <w:rFonts w:hint="eastAsia" w:ascii="宋体" w:hAnsi="宋体" w:cs="宋体"/>
          <w:bCs/>
          <w:color w:val="auto"/>
          <w:sz w:val="24"/>
          <w:szCs w:val="24"/>
          <w:highlight w:val="none"/>
        </w:rPr>
        <w:t>合同编号：</w:t>
      </w:r>
    </w:p>
    <w:p w14:paraId="5CFCC590">
      <w:pPr>
        <w:keepNext w:val="0"/>
        <w:keepLines w:val="0"/>
        <w:pageBreakBefore w:val="0"/>
        <w:kinsoku/>
        <w:wordWrap/>
        <w:overflowPunct/>
        <w:topLinePunct w:val="0"/>
        <w:autoSpaceDE/>
        <w:autoSpaceDN/>
        <w:bidi w:val="0"/>
        <w:adjustRightInd/>
        <w:snapToGrid/>
        <w:spacing w:line="360" w:lineRule="auto"/>
        <w:ind w:right="0"/>
        <w:textAlignment w:val="auto"/>
        <w:rPr>
          <w:rFonts w:ascii="宋体" w:hAnsi="宋体" w:cs="宋体"/>
          <w:color w:val="auto"/>
          <w:sz w:val="24"/>
          <w:szCs w:val="24"/>
          <w:highlight w:val="none"/>
          <w:u w:val="single"/>
        </w:rPr>
      </w:pPr>
      <w:r>
        <w:rPr>
          <w:rFonts w:hint="eastAsia" w:ascii="宋体" w:hAnsi="宋体" w:cs="宋体"/>
          <w:color w:val="auto"/>
          <w:sz w:val="24"/>
          <w:szCs w:val="24"/>
          <w:highlight w:val="none"/>
        </w:rPr>
        <w:t>采购人（甲方）：                               供应商（乙方）：</w:t>
      </w:r>
    </w:p>
    <w:p w14:paraId="6F387702">
      <w:pPr>
        <w:keepNext w:val="0"/>
        <w:keepLines w:val="0"/>
        <w:pageBreakBefore w:val="0"/>
        <w:kinsoku/>
        <w:wordWrap/>
        <w:overflowPunct/>
        <w:topLinePunct w:val="0"/>
        <w:autoSpaceDE/>
        <w:autoSpaceDN/>
        <w:bidi w:val="0"/>
        <w:adjustRightInd/>
        <w:snapToGrid/>
        <w:spacing w:line="360" w:lineRule="auto"/>
        <w:ind w:right="0"/>
        <w:textAlignment w:val="auto"/>
        <w:rPr>
          <w:rFonts w:ascii="宋体" w:hAnsi="宋体" w:cs="宋体"/>
          <w:color w:val="auto"/>
          <w:sz w:val="24"/>
          <w:szCs w:val="24"/>
          <w:highlight w:val="none"/>
          <w:u w:val="single"/>
        </w:rPr>
      </w:pPr>
      <w:r>
        <w:rPr>
          <w:rFonts w:hint="eastAsia" w:ascii="宋体" w:hAnsi="宋体" w:cs="宋体"/>
          <w:color w:val="auto"/>
          <w:sz w:val="24"/>
          <w:szCs w:val="24"/>
          <w:highlight w:val="none"/>
        </w:rPr>
        <w:t>项目名称：                                     项目编号：</w:t>
      </w:r>
    </w:p>
    <w:p w14:paraId="1D92984D">
      <w:pPr>
        <w:keepNext w:val="0"/>
        <w:keepLines w:val="0"/>
        <w:pageBreakBefore w:val="0"/>
        <w:kinsoku/>
        <w:wordWrap/>
        <w:overflowPunct/>
        <w:topLinePunct w:val="0"/>
        <w:autoSpaceDE/>
        <w:autoSpaceDN/>
        <w:bidi w:val="0"/>
        <w:adjustRightInd/>
        <w:snapToGrid/>
        <w:spacing w:line="360" w:lineRule="auto"/>
        <w:ind w:right="0"/>
        <w:textAlignment w:val="auto"/>
        <w:rPr>
          <w:rFonts w:ascii="宋体" w:hAnsi="宋体" w:cs="宋体"/>
          <w:color w:val="auto"/>
          <w:sz w:val="24"/>
          <w:szCs w:val="24"/>
          <w:highlight w:val="none"/>
          <w:u w:val="single"/>
        </w:rPr>
      </w:pPr>
      <w:r>
        <w:rPr>
          <w:rFonts w:hint="eastAsia" w:ascii="宋体" w:hAnsi="宋体" w:cs="宋体"/>
          <w:color w:val="auto"/>
          <w:sz w:val="24"/>
          <w:szCs w:val="24"/>
          <w:highlight w:val="none"/>
        </w:rPr>
        <w:t>签订地点：                                     签订时间：</w:t>
      </w:r>
    </w:p>
    <w:p w14:paraId="30A6CEBE">
      <w:pPr>
        <w:keepNext w:val="0"/>
        <w:keepLines w:val="0"/>
        <w:pageBreakBefore w:val="0"/>
        <w:kinsoku/>
        <w:wordWrap/>
        <w:overflowPunct/>
        <w:topLinePunct w:val="0"/>
        <w:autoSpaceDE/>
        <w:autoSpaceDN/>
        <w:bidi w:val="0"/>
        <w:adjustRightInd/>
        <w:snapToGrid/>
        <w:spacing w:line="360" w:lineRule="auto"/>
        <w:ind w:right="0"/>
        <w:textAlignment w:val="auto"/>
        <w:rPr>
          <w:rFonts w:ascii="宋体" w:hAnsi="宋体" w:cs="宋体"/>
          <w:color w:val="auto"/>
          <w:sz w:val="24"/>
          <w:szCs w:val="24"/>
          <w:highlight w:val="none"/>
        </w:rPr>
      </w:pPr>
      <w:r>
        <w:rPr>
          <w:rFonts w:hint="eastAsia" w:ascii="宋体" w:hAnsi="宋体" w:cs="宋体"/>
          <w:color w:val="auto"/>
          <w:sz w:val="24"/>
          <w:szCs w:val="24"/>
          <w:highlight w:val="none"/>
        </w:rPr>
        <w:t>本合同为中小企业预留合同：</w:t>
      </w:r>
      <w:r>
        <w:rPr>
          <w:rFonts w:hint="eastAsia" w:ascii="宋体" w:hAnsi="宋体" w:cs="宋体"/>
          <w:color w:val="auto"/>
          <w:sz w:val="24"/>
          <w:szCs w:val="24"/>
          <w:highlight w:val="none"/>
          <w:u w:val="single"/>
        </w:rPr>
        <w:t>（是/否）</w:t>
      </w:r>
      <w:r>
        <w:rPr>
          <w:rFonts w:hint="eastAsia" w:ascii="宋体" w:hAnsi="宋体" w:cs="宋体"/>
          <w:color w:val="auto"/>
          <w:sz w:val="24"/>
          <w:szCs w:val="24"/>
          <w:highlight w:val="none"/>
        </w:rPr>
        <w:t>。</w:t>
      </w:r>
    </w:p>
    <w:p w14:paraId="4894ECFC">
      <w:pPr>
        <w:keepNext w:val="0"/>
        <w:keepLines w:val="0"/>
        <w:pageBreakBefore w:val="0"/>
        <w:kinsoku/>
        <w:wordWrap/>
        <w:overflowPunct/>
        <w:topLinePunct w:val="0"/>
        <w:autoSpaceDE/>
        <w:autoSpaceDN/>
        <w:bidi w:val="0"/>
        <w:adjustRightInd/>
        <w:snapToGrid/>
        <w:spacing w:after="0" w:line="360" w:lineRule="auto"/>
        <w:ind w:left="0" w:right="0" w:firstLine="480" w:firstLineChars="200"/>
        <w:jc w:val="both"/>
        <w:textAlignment w:val="auto"/>
        <w:rPr>
          <w:rFonts w:hint="eastAsia" w:ascii="宋体" w:hAnsi="宋体" w:eastAsia="宋体" w:cs="宋体"/>
          <w:sz w:val="24"/>
          <w:szCs w:val="24"/>
          <w:highlight w:val="none"/>
        </w:rPr>
      </w:pPr>
    </w:p>
    <w:p w14:paraId="0267F5AF">
      <w:pPr>
        <w:keepNext w:val="0"/>
        <w:keepLines w:val="0"/>
        <w:pageBreakBefore w:val="0"/>
        <w:kinsoku/>
        <w:wordWrap/>
        <w:overflowPunct/>
        <w:topLinePunct w:val="0"/>
        <w:autoSpaceDE/>
        <w:autoSpaceDN/>
        <w:bidi w:val="0"/>
        <w:adjustRightInd/>
        <w:snapToGrid/>
        <w:spacing w:after="0" w:line="360" w:lineRule="auto"/>
        <w:ind w:left="0" w:righ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为加快推进“美丽东泉”乡村建设工作步伐，持续改善乡村人居环境，统筹城乡发展，推进生态文明建设，促进人与自然协调发展。根据我镇实际情况，将东泉镇各村（社区）的垃圾进行集中清运处理，经</w:t>
      </w:r>
      <w:r>
        <w:rPr>
          <w:rFonts w:hint="eastAsia" w:ascii="宋体" w:hAnsi="宋体" w:eastAsia="宋体" w:cs="宋体"/>
          <w:sz w:val="24"/>
          <w:szCs w:val="24"/>
          <w:highlight w:val="none"/>
          <w:lang w:val="en-US" w:eastAsia="zh-CN"/>
        </w:rPr>
        <w:t>竞争性磋商采购</w:t>
      </w:r>
      <w:r>
        <w:rPr>
          <w:rFonts w:hint="eastAsia" w:ascii="宋体" w:hAnsi="宋体" w:eastAsia="宋体" w:cs="宋体"/>
          <w:sz w:val="24"/>
          <w:szCs w:val="24"/>
          <w:highlight w:val="none"/>
        </w:rPr>
        <w:t>，依照《民法典》及其他有关法律、行政法规，遵循平等、自愿、公平和诚实信用的原则，双方就</w:t>
      </w:r>
      <w:r>
        <w:rPr>
          <w:rFonts w:hint="eastAsia" w:ascii="宋体" w:hAnsi="宋体" w:eastAsia="宋体" w:cs="宋体"/>
          <w:sz w:val="24"/>
          <w:szCs w:val="24"/>
          <w:highlight w:val="none"/>
          <w:u w:val="single"/>
        </w:rPr>
        <w:t>2025年柳城县东泉镇垃圾清运服务项目</w:t>
      </w:r>
      <w:r>
        <w:rPr>
          <w:rFonts w:hint="eastAsia" w:ascii="宋体" w:hAnsi="宋体" w:eastAsia="宋体" w:cs="宋体"/>
          <w:sz w:val="24"/>
          <w:szCs w:val="24"/>
          <w:highlight w:val="none"/>
          <w:lang w:val="en-US" w:eastAsia="zh-CN"/>
        </w:rPr>
        <w:t>合同（</w:t>
      </w:r>
      <w:r>
        <w:rPr>
          <w:rFonts w:hint="eastAsia" w:ascii="宋体" w:hAnsi="宋体" w:eastAsia="宋体" w:cs="宋体"/>
          <w:color w:val="auto"/>
          <w:sz w:val="24"/>
          <w:szCs w:val="24"/>
          <w:highlight w:val="none"/>
          <w:lang w:val="en-US" w:eastAsia="zh-CN"/>
        </w:rPr>
        <w:t>以下简称：《合同》）</w:t>
      </w:r>
      <w:r>
        <w:rPr>
          <w:rFonts w:hint="eastAsia" w:ascii="宋体" w:hAnsi="宋体" w:eastAsia="宋体" w:cs="宋体"/>
          <w:sz w:val="24"/>
          <w:szCs w:val="24"/>
          <w:highlight w:val="none"/>
        </w:rPr>
        <w:t>事宜协商一致，订立本合同。</w:t>
      </w:r>
    </w:p>
    <w:p w14:paraId="4BAE5C5E">
      <w:pPr>
        <w:keepNext w:val="0"/>
        <w:keepLines w:val="0"/>
        <w:pageBreakBefore w:val="0"/>
        <w:kinsoku/>
        <w:wordWrap/>
        <w:overflowPunct/>
        <w:topLinePunct w:val="0"/>
        <w:autoSpaceDE/>
        <w:autoSpaceDN/>
        <w:bidi w:val="0"/>
        <w:adjustRightInd/>
        <w:snapToGrid/>
        <w:spacing w:after="0" w:line="360" w:lineRule="auto"/>
        <w:ind w:right="0"/>
        <w:jc w:val="both"/>
        <w:textAlignment w:val="auto"/>
        <w:rPr>
          <w:rFonts w:hint="eastAsia" w:ascii="宋体" w:hAnsi="宋体" w:eastAsia="宋体" w:cs="宋体"/>
          <w:sz w:val="24"/>
          <w:szCs w:val="24"/>
          <w:highlight w:val="none"/>
        </w:rPr>
      </w:pPr>
      <w:r>
        <w:rPr>
          <w:rFonts w:hint="eastAsia" w:ascii="宋体" w:hAnsi="宋体" w:eastAsia="宋体" w:cs="宋体"/>
          <w:b/>
          <w:bCs/>
          <w:sz w:val="24"/>
          <w:szCs w:val="24"/>
          <w:highlight w:val="none"/>
        </w:rPr>
        <w:t>一、</w:t>
      </w:r>
      <w:r>
        <w:rPr>
          <w:rFonts w:hint="eastAsia" w:ascii="宋体" w:hAnsi="宋体" w:eastAsia="宋体" w:cs="宋体"/>
          <w:b/>
          <w:bCs/>
          <w:sz w:val="24"/>
          <w:szCs w:val="24"/>
          <w:highlight w:val="none"/>
          <w:lang w:val="en-US" w:eastAsia="zh-CN"/>
        </w:rPr>
        <w:t>承包</w:t>
      </w:r>
      <w:r>
        <w:rPr>
          <w:rFonts w:hint="eastAsia" w:ascii="宋体" w:hAnsi="宋体" w:eastAsia="宋体" w:cs="宋体"/>
          <w:b/>
          <w:bCs/>
          <w:sz w:val="24"/>
          <w:szCs w:val="24"/>
          <w:highlight w:val="none"/>
        </w:rPr>
        <w:t>范围</w:t>
      </w:r>
    </w:p>
    <w:p w14:paraId="2FF7098B">
      <w:pPr>
        <w:keepNext w:val="0"/>
        <w:keepLines w:val="0"/>
        <w:pageBreakBefore w:val="0"/>
        <w:widowControl w:val="0"/>
        <w:kinsoku/>
        <w:wordWrap/>
        <w:overflowPunct/>
        <w:topLinePunct w:val="0"/>
        <w:autoSpaceDE/>
        <w:autoSpaceDN/>
        <w:bidi w:val="0"/>
        <w:adjustRightInd/>
        <w:snapToGrid/>
        <w:spacing w:after="0" w:line="360" w:lineRule="auto"/>
        <w:ind w:left="0" w:right="0"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东泉镇集镇：东泉镇集镇范围</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除东泉镇农贸市场、东泉镇广场，东泉镇新天地小区</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青山</w:t>
      </w:r>
      <w:r>
        <w:rPr>
          <w:rFonts w:hint="eastAsia" w:ascii="宋体" w:hAnsi="宋体" w:eastAsia="宋体" w:cs="宋体"/>
          <w:sz w:val="24"/>
          <w:szCs w:val="24"/>
          <w:highlight w:val="none"/>
          <w:lang w:eastAsia="zh-CN"/>
        </w:rPr>
        <w:t>公路到集镇两旁垃圾桶（简称青山沿线），</w:t>
      </w:r>
      <w:r>
        <w:rPr>
          <w:rFonts w:hint="eastAsia" w:ascii="宋体" w:hAnsi="宋体" w:eastAsia="宋体" w:cs="宋体"/>
          <w:sz w:val="24"/>
          <w:szCs w:val="24"/>
          <w:highlight w:val="none"/>
        </w:rPr>
        <w:t>前屯</w:t>
      </w:r>
      <w:r>
        <w:rPr>
          <w:rFonts w:hint="eastAsia" w:ascii="宋体" w:hAnsi="宋体" w:eastAsia="宋体" w:cs="宋体"/>
          <w:sz w:val="24"/>
          <w:szCs w:val="24"/>
          <w:highlight w:val="none"/>
          <w:lang w:eastAsia="zh-CN"/>
        </w:rPr>
        <w:t>到集镇公路两旁垃圾桶（简称前屯沿线）。</w:t>
      </w:r>
    </w:p>
    <w:p w14:paraId="039E4E32">
      <w:pPr>
        <w:keepNext w:val="0"/>
        <w:keepLines w:val="0"/>
        <w:pageBreakBefore w:val="0"/>
        <w:widowControl w:val="0"/>
        <w:kinsoku/>
        <w:wordWrap/>
        <w:overflowPunct/>
        <w:topLinePunct w:val="0"/>
        <w:autoSpaceDE/>
        <w:autoSpaceDN/>
        <w:bidi w:val="0"/>
        <w:adjustRightInd/>
        <w:snapToGrid/>
        <w:spacing w:after="0" w:line="360" w:lineRule="auto"/>
        <w:ind w:left="0" w:right="0" w:firstLine="480" w:firstLineChars="200"/>
        <w:jc w:val="both"/>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2.东泉镇</w:t>
      </w:r>
      <w:r>
        <w:rPr>
          <w:rFonts w:hint="eastAsia" w:ascii="宋体" w:hAnsi="宋体" w:eastAsia="宋体" w:cs="宋体"/>
          <w:sz w:val="24"/>
          <w:szCs w:val="24"/>
          <w:highlight w:val="none"/>
        </w:rPr>
        <w:t>19个村2个社区：对河村</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对河歌圩</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永安村</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高田村、新龙村</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莫道村</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尖石村</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螺田村</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青山村</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洲村村</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大樟村</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前屯村</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碑塘村</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雷塘村</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思江村</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凉亭村</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黄塘村</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走马村</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中段村</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西安村</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东泉社区</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西安社区</w:t>
      </w:r>
      <w:r>
        <w:rPr>
          <w:rFonts w:hint="eastAsia" w:ascii="宋体" w:hAnsi="宋体" w:eastAsia="宋体" w:cs="宋体"/>
          <w:sz w:val="24"/>
          <w:szCs w:val="24"/>
          <w:highlight w:val="none"/>
          <w:lang w:eastAsia="zh-CN"/>
        </w:rPr>
        <w:t>。</w:t>
      </w:r>
    </w:p>
    <w:p w14:paraId="60CE68A0">
      <w:pPr>
        <w:keepNext w:val="0"/>
        <w:keepLines w:val="0"/>
        <w:pageBreakBefore w:val="0"/>
        <w:widowControl w:val="0"/>
        <w:kinsoku/>
        <w:wordWrap/>
        <w:overflowPunct/>
        <w:topLinePunct w:val="0"/>
        <w:autoSpaceDE/>
        <w:autoSpaceDN/>
        <w:bidi w:val="0"/>
        <w:adjustRightInd/>
        <w:snapToGrid/>
        <w:spacing w:after="0" w:line="360" w:lineRule="auto"/>
        <w:ind w:left="0" w:right="0"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3.东泉镇三里坳垃圾中转站日常维护管理</w:t>
      </w:r>
      <w:r>
        <w:rPr>
          <w:rFonts w:hint="eastAsia" w:ascii="宋体" w:hAnsi="宋体" w:eastAsia="宋体" w:cs="宋体"/>
          <w:color w:val="auto"/>
          <w:sz w:val="24"/>
          <w:szCs w:val="24"/>
          <w:highlight w:val="none"/>
          <w:lang w:val="en-US" w:eastAsia="zh-CN"/>
        </w:rPr>
        <w:t>和电费支付</w:t>
      </w:r>
      <w:r>
        <w:rPr>
          <w:rFonts w:hint="eastAsia" w:ascii="宋体" w:hAnsi="宋体" w:eastAsia="宋体" w:cs="宋体"/>
          <w:sz w:val="24"/>
          <w:szCs w:val="24"/>
          <w:highlight w:val="none"/>
          <w:lang w:val="en-US" w:eastAsia="zh-CN"/>
        </w:rPr>
        <w:t>。</w:t>
      </w:r>
    </w:p>
    <w:p w14:paraId="266AEAAF">
      <w:pPr>
        <w:keepNext w:val="0"/>
        <w:keepLines w:val="0"/>
        <w:pageBreakBefore w:val="0"/>
        <w:kinsoku/>
        <w:wordWrap/>
        <w:overflowPunct/>
        <w:topLinePunct w:val="0"/>
        <w:autoSpaceDE/>
        <w:autoSpaceDN/>
        <w:bidi w:val="0"/>
        <w:adjustRightInd/>
        <w:snapToGrid/>
        <w:spacing w:line="360" w:lineRule="auto"/>
        <w:ind w:right="0"/>
        <w:textAlignment w:val="auto"/>
        <w:rPr>
          <w:rFonts w:hint="eastAsia" w:ascii="宋体" w:hAnsi="宋体" w:eastAsia="宋体" w:cs="宋体"/>
          <w:sz w:val="24"/>
          <w:szCs w:val="24"/>
          <w:highlight w:val="none"/>
        </w:rPr>
      </w:pPr>
      <w:r>
        <w:rPr>
          <w:rFonts w:hint="eastAsia" w:ascii="宋体" w:hAnsi="宋体" w:eastAsia="宋体" w:cs="宋体"/>
          <w:b/>
          <w:bCs/>
          <w:sz w:val="24"/>
          <w:szCs w:val="24"/>
          <w:highlight w:val="none"/>
        </w:rPr>
        <w:t>二</w:t>
      </w:r>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lang w:val="en-US" w:eastAsia="zh-CN"/>
        </w:rPr>
        <w:t>服务</w:t>
      </w:r>
      <w:r>
        <w:rPr>
          <w:rFonts w:hint="eastAsia" w:ascii="宋体" w:hAnsi="宋体" w:eastAsia="宋体" w:cs="宋体"/>
          <w:b/>
          <w:bCs/>
          <w:sz w:val="24"/>
          <w:szCs w:val="24"/>
          <w:highlight w:val="none"/>
        </w:rPr>
        <w:t>期限</w:t>
      </w:r>
    </w:p>
    <w:p w14:paraId="1047179C">
      <w:pPr>
        <w:keepNext w:val="0"/>
        <w:keepLines w:val="0"/>
        <w:pageBreakBefore w:val="0"/>
        <w:widowControl w:val="0"/>
        <w:kinsoku/>
        <w:wordWrap/>
        <w:overflowPunct/>
        <w:topLinePunct w:val="0"/>
        <w:autoSpaceDE/>
        <w:autoSpaceDN/>
        <w:bidi w:val="0"/>
        <w:adjustRightInd/>
        <w:snapToGrid/>
        <w:spacing w:after="0" w:line="360" w:lineRule="auto"/>
        <w:ind w:left="0" w:righ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u w:val="single"/>
        </w:rPr>
        <w:t>2025年  月   日至2026年  月  日</w:t>
      </w:r>
      <w:r>
        <w:rPr>
          <w:rFonts w:hint="eastAsia" w:ascii="宋体" w:hAnsi="宋体" w:eastAsia="宋体" w:cs="宋体"/>
          <w:sz w:val="24"/>
          <w:szCs w:val="24"/>
          <w:highlight w:val="none"/>
        </w:rPr>
        <w:t>，期限为1年。本项目合同履约到期或结束后，甲方依据本项目的服务履约评价情况及实际需求，并根据《财政部关于推进和完善服务项目政府有关问题的通知》（财库〔2014〕37号）及《政府购买服务管理办法》（财政部令第102号）等规定，在年度预算保障的前提下，对于购买内</w:t>
      </w:r>
      <w:bookmarkStart w:id="100" w:name="_GoBack"/>
      <w:bookmarkEnd w:id="100"/>
      <w:r>
        <w:rPr>
          <w:rFonts w:hint="eastAsia" w:ascii="宋体" w:hAnsi="宋体" w:eastAsia="宋体" w:cs="宋体"/>
          <w:sz w:val="24"/>
          <w:szCs w:val="24"/>
          <w:highlight w:val="none"/>
        </w:rPr>
        <w:t>容（采购需求）相对固定、连续（延续）性强、经费来源稳定、价格变化幅度小的政府采购服务项目，通过一年一续签方式签订合同，期限总长不得超过二年。</w:t>
      </w:r>
    </w:p>
    <w:p w14:paraId="27B90092">
      <w:pPr>
        <w:keepNext w:val="0"/>
        <w:keepLines w:val="0"/>
        <w:pageBreakBefore w:val="0"/>
        <w:widowControl w:val="0"/>
        <w:kinsoku/>
        <w:wordWrap/>
        <w:overflowPunct/>
        <w:topLinePunct w:val="0"/>
        <w:autoSpaceDE/>
        <w:autoSpaceDN/>
        <w:bidi w:val="0"/>
        <w:adjustRightInd/>
        <w:snapToGrid/>
        <w:spacing w:after="0" w:line="360" w:lineRule="auto"/>
        <w:ind w:right="0"/>
        <w:jc w:val="both"/>
        <w:textAlignment w:val="auto"/>
        <w:rPr>
          <w:rFonts w:hint="eastAsia" w:ascii="宋体" w:hAnsi="宋体" w:eastAsia="宋体" w:cs="宋体"/>
          <w:sz w:val="24"/>
          <w:szCs w:val="24"/>
          <w:highlight w:val="none"/>
        </w:rPr>
      </w:pPr>
      <w:r>
        <w:rPr>
          <w:rFonts w:hint="eastAsia" w:ascii="宋体" w:hAnsi="宋体" w:eastAsia="宋体" w:cs="宋体"/>
          <w:b/>
          <w:bCs/>
          <w:sz w:val="24"/>
          <w:szCs w:val="24"/>
          <w:highlight w:val="none"/>
        </w:rPr>
        <w:t>三、</w:t>
      </w:r>
      <w:r>
        <w:rPr>
          <w:rFonts w:hint="eastAsia" w:ascii="宋体" w:hAnsi="宋体" w:eastAsia="宋体" w:cs="宋体"/>
          <w:b/>
          <w:bCs/>
          <w:sz w:val="24"/>
          <w:szCs w:val="24"/>
          <w:highlight w:val="none"/>
          <w:lang w:val="en-US" w:eastAsia="zh-CN"/>
        </w:rPr>
        <w:t>清运费</w:t>
      </w:r>
      <w:r>
        <w:rPr>
          <w:rFonts w:hint="eastAsia" w:ascii="宋体" w:hAnsi="宋体" w:eastAsia="宋体" w:cs="宋体"/>
          <w:b/>
          <w:bCs/>
          <w:sz w:val="24"/>
          <w:szCs w:val="24"/>
          <w:highlight w:val="none"/>
        </w:rPr>
        <w:t>及</w:t>
      </w:r>
      <w:r>
        <w:rPr>
          <w:rFonts w:hint="eastAsia" w:ascii="宋体" w:hAnsi="宋体" w:eastAsia="宋体" w:cs="宋体"/>
          <w:b/>
          <w:bCs/>
          <w:sz w:val="24"/>
          <w:szCs w:val="24"/>
          <w:highlight w:val="none"/>
          <w:lang w:val="en-US" w:eastAsia="zh-CN"/>
        </w:rPr>
        <w:t>支付</w:t>
      </w:r>
      <w:r>
        <w:rPr>
          <w:rFonts w:hint="eastAsia" w:ascii="宋体" w:hAnsi="宋体" w:eastAsia="宋体" w:cs="宋体"/>
          <w:b/>
          <w:bCs/>
          <w:sz w:val="24"/>
          <w:szCs w:val="24"/>
          <w:highlight w:val="none"/>
        </w:rPr>
        <w:t>方式</w:t>
      </w:r>
    </w:p>
    <w:p w14:paraId="5F9CB612">
      <w:pPr>
        <w:keepNext w:val="0"/>
        <w:keepLines w:val="0"/>
        <w:pageBreakBefore w:val="0"/>
        <w:kinsoku/>
        <w:wordWrap/>
        <w:overflowPunct/>
        <w:topLinePunct w:val="0"/>
        <w:autoSpaceDE/>
        <w:autoSpaceDN/>
        <w:bidi w:val="0"/>
        <w:adjustRightInd/>
        <w:snapToGrid/>
        <w:spacing w:after="0" w:line="360" w:lineRule="auto"/>
        <w:ind w:left="0" w:right="0" w:firstLine="480" w:firstLineChars="200"/>
        <w:jc w:val="both"/>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（一）</w:t>
      </w:r>
      <w:r>
        <w:rPr>
          <w:rFonts w:hint="eastAsia" w:ascii="宋体" w:hAnsi="宋体" w:eastAsia="宋体" w:cs="宋体"/>
          <w:color w:val="000000"/>
          <w:sz w:val="24"/>
          <w:szCs w:val="24"/>
          <w:highlight w:val="none"/>
          <w:lang w:val="en-US" w:eastAsia="zh-CN"/>
        </w:rPr>
        <w:t>清运费总金额：</w:t>
      </w:r>
      <w:r>
        <w:rPr>
          <w:rFonts w:hint="eastAsia" w:ascii="宋体" w:hAnsi="宋体" w:eastAsia="宋体" w:cs="宋体"/>
          <w:color w:val="000000"/>
          <w:sz w:val="24"/>
          <w:szCs w:val="24"/>
          <w:highlight w:val="none"/>
          <w:u w:val="single"/>
          <w:lang w:val="en-US" w:eastAsia="zh-CN"/>
        </w:rPr>
        <w:t>人民币     （¥     元）</w:t>
      </w:r>
      <w:r>
        <w:rPr>
          <w:rFonts w:hint="eastAsia" w:ascii="宋体" w:hAnsi="宋体" w:eastAsia="宋体" w:cs="宋体"/>
          <w:color w:val="000000"/>
          <w:sz w:val="24"/>
          <w:szCs w:val="24"/>
          <w:highlight w:val="none"/>
          <w:lang w:val="en-US" w:eastAsia="zh-CN"/>
        </w:rPr>
        <w:t>。支付方式：按月支付，即甲方以银行转账方式每月支付给乙方一次清运费</w:t>
      </w:r>
      <w:r>
        <w:rPr>
          <w:rFonts w:hint="eastAsia" w:ascii="宋体" w:hAnsi="宋体" w:eastAsia="宋体" w:cs="宋体"/>
          <w:color w:val="000000"/>
          <w:sz w:val="24"/>
          <w:szCs w:val="24"/>
          <w:highlight w:val="none"/>
          <w:u w:val="single"/>
          <w:lang w:val="en-US" w:eastAsia="zh-CN"/>
        </w:rPr>
        <w:t>人民币    (¥     ）</w:t>
      </w:r>
      <w:r>
        <w:rPr>
          <w:rFonts w:hint="eastAsia" w:ascii="宋体" w:hAnsi="宋体" w:eastAsia="宋体" w:cs="宋体"/>
          <w:color w:val="000000"/>
          <w:sz w:val="24"/>
          <w:szCs w:val="24"/>
          <w:highlight w:val="none"/>
          <w:lang w:val="en-US" w:eastAsia="zh-CN"/>
        </w:rPr>
        <w:t>。</w:t>
      </w:r>
    </w:p>
    <w:p w14:paraId="2C4B095B">
      <w:pPr>
        <w:keepNext w:val="0"/>
        <w:keepLines w:val="0"/>
        <w:pageBreakBefore w:val="0"/>
        <w:kinsoku/>
        <w:wordWrap/>
        <w:overflowPunct/>
        <w:topLinePunct w:val="0"/>
        <w:autoSpaceDE/>
        <w:autoSpaceDN/>
        <w:bidi w:val="0"/>
        <w:adjustRightInd/>
        <w:snapToGrid/>
        <w:spacing w:after="0" w:line="360" w:lineRule="auto"/>
        <w:ind w:left="0" w:right="0" w:firstLine="480" w:firstLineChars="200"/>
        <w:jc w:val="both"/>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（二）</w:t>
      </w:r>
      <w:r>
        <w:rPr>
          <w:rFonts w:hint="eastAsia" w:ascii="宋体" w:hAnsi="宋体" w:eastAsia="宋体" w:cs="宋体"/>
          <w:color w:val="000000"/>
          <w:sz w:val="24"/>
          <w:szCs w:val="24"/>
          <w:highlight w:val="none"/>
          <w:lang w:val="en-US" w:eastAsia="zh-CN"/>
        </w:rPr>
        <w:t>处罚</w:t>
      </w:r>
      <w:r>
        <w:rPr>
          <w:rFonts w:hint="eastAsia" w:ascii="宋体" w:hAnsi="宋体" w:eastAsia="宋体" w:cs="宋体"/>
          <w:color w:val="000000"/>
          <w:sz w:val="24"/>
          <w:szCs w:val="24"/>
          <w:highlight w:val="none"/>
        </w:rPr>
        <w:t>制度：</w:t>
      </w:r>
    </w:p>
    <w:p w14:paraId="3BD7FF4F">
      <w:pPr>
        <w:keepNext w:val="0"/>
        <w:keepLines w:val="0"/>
        <w:pageBreakBefore w:val="0"/>
        <w:widowControl/>
        <w:kinsoku/>
        <w:wordWrap/>
        <w:overflowPunct/>
        <w:topLinePunct w:val="0"/>
        <w:autoSpaceDE/>
        <w:autoSpaceDN/>
        <w:bidi w:val="0"/>
        <w:adjustRightInd/>
        <w:snapToGrid/>
        <w:spacing w:line="360" w:lineRule="auto"/>
        <w:ind w:left="0" w:leftChars="0" w:right="0" w:firstLine="482" w:firstLineChars="200"/>
        <w:textAlignment w:val="auto"/>
        <w:rPr>
          <w:rFonts w:hint="eastAsia" w:ascii="宋体" w:hAnsi="宋体" w:eastAsia="宋体" w:cs="宋体"/>
          <w:color w:val="000000"/>
          <w:kern w:val="0"/>
          <w:sz w:val="24"/>
          <w:szCs w:val="24"/>
          <w:highlight w:val="none"/>
          <w:lang w:val="en-US" w:eastAsia="zh-CN"/>
        </w:rPr>
      </w:pPr>
      <w:r>
        <w:rPr>
          <w:rFonts w:hint="eastAsia" w:ascii="宋体" w:hAnsi="宋体" w:eastAsia="宋体" w:cs="宋体"/>
          <w:b/>
          <w:bCs/>
          <w:color w:val="000000"/>
          <w:kern w:val="0"/>
          <w:sz w:val="24"/>
          <w:szCs w:val="24"/>
          <w:highlight w:val="none"/>
          <w:lang w:val="en-US" w:eastAsia="zh-CN"/>
        </w:rPr>
        <w:t>1.县级以上。</w:t>
      </w:r>
      <w:r>
        <w:rPr>
          <w:rFonts w:hint="eastAsia" w:ascii="宋体" w:hAnsi="宋体" w:eastAsia="宋体" w:cs="宋体"/>
          <w:color w:val="000000"/>
          <w:kern w:val="0"/>
          <w:sz w:val="24"/>
          <w:szCs w:val="24"/>
          <w:highlight w:val="none"/>
          <w:lang w:val="en-US" w:eastAsia="zh-CN"/>
        </w:rPr>
        <w:t>如被县级及以上相关部门督查通报，则扣除所承包区域当月10％清运费（¥</w:t>
      </w:r>
      <w:r>
        <w:rPr>
          <w:rFonts w:hint="eastAsia" w:ascii="宋体" w:hAnsi="宋体" w:eastAsia="宋体" w:cs="宋体"/>
          <w:color w:val="000000"/>
          <w:kern w:val="0"/>
          <w:sz w:val="24"/>
          <w:szCs w:val="24"/>
          <w:highlight w:val="none"/>
          <w:u w:val="single"/>
          <w:lang w:val="en-US" w:eastAsia="zh-CN"/>
        </w:rPr>
        <w:t xml:space="preserve">        </w:t>
      </w:r>
      <w:r>
        <w:rPr>
          <w:rFonts w:hint="eastAsia" w:ascii="宋体" w:hAnsi="宋体" w:eastAsia="宋体" w:cs="宋体"/>
          <w:color w:val="000000"/>
          <w:kern w:val="0"/>
          <w:sz w:val="24"/>
          <w:szCs w:val="24"/>
          <w:highlight w:val="none"/>
          <w:lang w:val="en-US" w:eastAsia="zh-CN"/>
        </w:rPr>
        <w:t>），不予以发放，该条可与镇级</w:t>
      </w:r>
      <w:r>
        <w:rPr>
          <w:rFonts w:hint="eastAsia" w:ascii="宋体" w:hAnsi="宋体" w:eastAsia="宋体" w:cs="宋体"/>
          <w:b w:val="0"/>
          <w:bCs/>
          <w:color w:val="auto"/>
          <w:kern w:val="0"/>
          <w:sz w:val="24"/>
          <w:szCs w:val="24"/>
          <w:highlight w:val="none"/>
          <w:lang w:val="en-US" w:eastAsia="zh-CN"/>
        </w:rPr>
        <w:t>①叠加处罚</w:t>
      </w:r>
      <w:r>
        <w:rPr>
          <w:rFonts w:hint="eastAsia" w:ascii="宋体" w:hAnsi="宋体" w:eastAsia="宋体" w:cs="宋体"/>
          <w:color w:val="000000"/>
          <w:kern w:val="0"/>
          <w:sz w:val="24"/>
          <w:szCs w:val="24"/>
          <w:highlight w:val="none"/>
          <w:lang w:val="en-US" w:eastAsia="zh-CN"/>
        </w:rPr>
        <w:t>。</w:t>
      </w:r>
    </w:p>
    <w:p w14:paraId="099583B1">
      <w:pPr>
        <w:keepNext w:val="0"/>
        <w:keepLines w:val="0"/>
        <w:pageBreakBefore w:val="0"/>
        <w:widowControl/>
        <w:kinsoku/>
        <w:wordWrap/>
        <w:overflowPunct/>
        <w:topLinePunct w:val="0"/>
        <w:autoSpaceDE/>
        <w:autoSpaceDN/>
        <w:bidi w:val="0"/>
        <w:adjustRightInd/>
        <w:snapToGrid/>
        <w:spacing w:line="360" w:lineRule="auto"/>
        <w:ind w:left="0" w:leftChars="0" w:right="0" w:firstLine="482" w:firstLineChars="200"/>
        <w:textAlignment w:val="auto"/>
        <w:rPr>
          <w:rFonts w:hint="eastAsia" w:ascii="宋体" w:hAnsi="宋体" w:eastAsia="宋体" w:cs="宋体"/>
          <w:b/>
          <w:bCs w:val="0"/>
          <w:color w:val="auto"/>
          <w:kern w:val="0"/>
          <w:sz w:val="24"/>
          <w:szCs w:val="24"/>
          <w:highlight w:val="none"/>
          <w:lang w:val="en-US" w:eastAsia="zh-CN"/>
        </w:rPr>
      </w:pPr>
      <w:r>
        <w:rPr>
          <w:rFonts w:hint="eastAsia" w:ascii="宋体" w:hAnsi="宋体" w:eastAsia="宋体" w:cs="宋体"/>
          <w:b/>
          <w:bCs w:val="0"/>
          <w:color w:val="auto"/>
          <w:kern w:val="0"/>
          <w:sz w:val="24"/>
          <w:szCs w:val="24"/>
          <w:highlight w:val="none"/>
          <w:lang w:val="en-US" w:eastAsia="zh-CN"/>
        </w:rPr>
        <w:t>2.镇级。</w:t>
      </w:r>
    </w:p>
    <w:p w14:paraId="74C33DB7">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①经群众举报并核实，乙方工作人员或派遣其他人对各垃圾池（箱）的垃圾进行焚烧的每发现核实一处扣除当月1%清运费，最高扣除10%。</w:t>
      </w:r>
    </w:p>
    <w:p w14:paraId="5F7948DA">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②以《东泉镇垃圾集中处理督查方案》为依据，开展</w:t>
      </w:r>
      <w:r>
        <w:rPr>
          <w:rFonts w:hint="eastAsia" w:ascii="宋体" w:hAnsi="宋体" w:eastAsia="宋体" w:cs="宋体"/>
          <w:color w:val="auto"/>
          <w:kern w:val="0"/>
          <w:sz w:val="24"/>
          <w:szCs w:val="24"/>
          <w:highlight w:val="none"/>
        </w:rPr>
        <w:t>定期</w:t>
      </w:r>
      <w:r>
        <w:rPr>
          <w:rFonts w:hint="eastAsia" w:ascii="宋体" w:hAnsi="宋体" w:eastAsia="宋体" w:cs="宋体"/>
          <w:color w:val="auto"/>
          <w:kern w:val="0"/>
          <w:sz w:val="24"/>
          <w:szCs w:val="24"/>
          <w:highlight w:val="none"/>
          <w:lang w:val="en-US" w:eastAsia="zh-CN"/>
        </w:rPr>
        <w:t>和</w:t>
      </w:r>
      <w:r>
        <w:rPr>
          <w:rFonts w:hint="eastAsia" w:ascii="宋体" w:hAnsi="宋体" w:eastAsia="宋体" w:cs="宋体"/>
          <w:color w:val="auto"/>
          <w:kern w:val="0"/>
          <w:sz w:val="24"/>
          <w:szCs w:val="24"/>
          <w:highlight w:val="none"/>
        </w:rPr>
        <w:t>不定期督查</w:t>
      </w:r>
      <w:r>
        <w:rPr>
          <w:rFonts w:hint="eastAsia" w:ascii="宋体" w:hAnsi="宋体" w:eastAsia="宋体" w:cs="宋体"/>
          <w:color w:val="auto"/>
          <w:kern w:val="0"/>
          <w:sz w:val="24"/>
          <w:szCs w:val="24"/>
          <w:highlight w:val="none"/>
          <w:lang w:val="en-US" w:eastAsia="zh-CN"/>
        </w:rPr>
        <w:t>考核</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kern w:val="0"/>
          <w:sz w:val="24"/>
          <w:szCs w:val="24"/>
          <w:highlight w:val="none"/>
          <w:lang w:val="en-US" w:eastAsia="zh-CN"/>
        </w:rPr>
        <w:t>当镇级督查中发现</w:t>
      </w:r>
      <w:r>
        <w:rPr>
          <w:rFonts w:hint="eastAsia" w:ascii="宋体" w:hAnsi="宋体" w:eastAsia="宋体" w:cs="宋体"/>
          <w:color w:val="auto"/>
          <w:spacing w:val="8"/>
          <w:sz w:val="24"/>
          <w:szCs w:val="24"/>
          <w:highlight w:val="none"/>
          <w:lang w:val="en-US" w:eastAsia="zh-CN"/>
        </w:rPr>
        <w:t>垃圾集中处理</w:t>
      </w:r>
      <w:r>
        <w:rPr>
          <w:rFonts w:hint="eastAsia" w:ascii="宋体" w:hAnsi="宋体" w:eastAsia="宋体" w:cs="宋体"/>
          <w:color w:val="auto"/>
          <w:kern w:val="0"/>
          <w:sz w:val="24"/>
          <w:szCs w:val="24"/>
          <w:highlight w:val="none"/>
          <w:lang w:val="en-US" w:eastAsia="zh-CN"/>
        </w:rPr>
        <w:t>存在问题，造成环境影响的，将按如下细则进行处罚，且镇级两条处罚制度可叠加处罚：</w:t>
      </w:r>
    </w:p>
    <w:p w14:paraId="6F893222">
      <w:pPr>
        <w:keepNext w:val="0"/>
        <w:keepLines w:val="0"/>
        <w:pageBreakBefore w:val="0"/>
        <w:widowControl/>
        <w:kinsoku/>
        <w:wordWrap/>
        <w:overflowPunct/>
        <w:topLinePunct w:val="0"/>
        <w:autoSpaceDE/>
        <w:autoSpaceDN/>
        <w:bidi w:val="0"/>
        <w:adjustRightInd/>
        <w:snapToGrid/>
        <w:spacing w:line="360" w:lineRule="auto"/>
        <w:ind w:left="0" w:right="0" w:firstLine="480" w:firstLineChars="200"/>
        <w:jc w:val="both"/>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（1）处罚明细表</w:t>
      </w: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7"/>
        <w:gridCol w:w="1547"/>
        <w:gridCol w:w="2143"/>
        <w:gridCol w:w="1177"/>
        <w:gridCol w:w="2735"/>
      </w:tblGrid>
      <w:tr w14:paraId="2B473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7" w:type="dxa"/>
            <w:noWrap w:val="0"/>
            <w:vAlign w:val="top"/>
          </w:tcPr>
          <w:p w14:paraId="45266017">
            <w:pPr>
              <w:keepNext w:val="0"/>
              <w:keepLines w:val="0"/>
              <w:pageBreakBefore w:val="0"/>
              <w:widowControl/>
              <w:kinsoku/>
              <w:wordWrap/>
              <w:overflowPunct/>
              <w:topLinePunct w:val="0"/>
              <w:autoSpaceDE/>
              <w:autoSpaceDN/>
              <w:bidi w:val="0"/>
              <w:adjustRightInd/>
              <w:snapToGrid/>
              <w:spacing w:line="360" w:lineRule="auto"/>
              <w:ind w:left="0" w:right="0" w:firstLine="0" w:firstLineChars="0"/>
              <w:jc w:val="center"/>
              <w:textAlignment w:val="auto"/>
              <w:rPr>
                <w:rFonts w:hint="eastAsia" w:ascii="宋体" w:hAnsi="宋体" w:eastAsia="宋体" w:cs="宋体"/>
                <w:color w:val="000000"/>
                <w:kern w:val="0"/>
                <w:sz w:val="24"/>
                <w:szCs w:val="24"/>
                <w:highlight w:val="none"/>
                <w:vertAlign w:val="baseline"/>
                <w:lang w:val="en-US" w:eastAsia="zh-CN"/>
              </w:rPr>
            </w:pPr>
            <w:r>
              <w:rPr>
                <w:rFonts w:hint="eastAsia" w:ascii="宋体" w:hAnsi="宋体" w:eastAsia="宋体" w:cs="宋体"/>
                <w:color w:val="000000"/>
                <w:kern w:val="0"/>
                <w:sz w:val="24"/>
                <w:szCs w:val="24"/>
                <w:highlight w:val="none"/>
                <w:vertAlign w:val="baseline"/>
                <w:lang w:val="en-US" w:eastAsia="zh-CN"/>
              </w:rPr>
              <w:t>*年*月</w:t>
            </w:r>
          </w:p>
        </w:tc>
        <w:tc>
          <w:tcPr>
            <w:tcW w:w="1547" w:type="dxa"/>
            <w:noWrap w:val="0"/>
            <w:vAlign w:val="top"/>
          </w:tcPr>
          <w:p w14:paraId="072EC11C">
            <w:pPr>
              <w:keepNext w:val="0"/>
              <w:keepLines w:val="0"/>
              <w:pageBreakBefore w:val="0"/>
              <w:widowControl/>
              <w:kinsoku/>
              <w:wordWrap/>
              <w:overflowPunct/>
              <w:topLinePunct w:val="0"/>
              <w:autoSpaceDE/>
              <w:autoSpaceDN/>
              <w:bidi w:val="0"/>
              <w:adjustRightInd/>
              <w:snapToGrid/>
              <w:spacing w:line="360" w:lineRule="auto"/>
              <w:ind w:left="0" w:right="0" w:firstLine="0" w:firstLineChars="0"/>
              <w:jc w:val="center"/>
              <w:textAlignment w:val="auto"/>
              <w:rPr>
                <w:rFonts w:hint="eastAsia" w:ascii="宋体" w:hAnsi="宋体" w:eastAsia="宋体" w:cs="宋体"/>
                <w:color w:val="000000"/>
                <w:kern w:val="0"/>
                <w:sz w:val="24"/>
                <w:szCs w:val="24"/>
                <w:highlight w:val="none"/>
                <w:vertAlign w:val="baseline"/>
                <w:lang w:val="en-US" w:eastAsia="zh-CN"/>
              </w:rPr>
            </w:pPr>
            <w:r>
              <w:rPr>
                <w:rFonts w:hint="eastAsia" w:ascii="宋体" w:hAnsi="宋体" w:eastAsia="宋体" w:cs="宋体"/>
                <w:color w:val="000000"/>
                <w:kern w:val="0"/>
                <w:sz w:val="24"/>
                <w:szCs w:val="24"/>
                <w:highlight w:val="none"/>
                <w:vertAlign w:val="baseline"/>
                <w:lang w:val="en-US" w:eastAsia="zh-CN"/>
              </w:rPr>
              <w:t>次数</w:t>
            </w:r>
          </w:p>
        </w:tc>
        <w:tc>
          <w:tcPr>
            <w:tcW w:w="2143" w:type="dxa"/>
            <w:noWrap w:val="0"/>
            <w:vAlign w:val="top"/>
          </w:tcPr>
          <w:p w14:paraId="131910D8">
            <w:pPr>
              <w:keepNext w:val="0"/>
              <w:keepLines w:val="0"/>
              <w:pageBreakBefore w:val="0"/>
              <w:widowControl/>
              <w:kinsoku/>
              <w:wordWrap/>
              <w:overflowPunct/>
              <w:topLinePunct w:val="0"/>
              <w:autoSpaceDE/>
              <w:autoSpaceDN/>
              <w:bidi w:val="0"/>
              <w:adjustRightInd/>
              <w:snapToGrid/>
              <w:spacing w:line="360" w:lineRule="auto"/>
              <w:ind w:left="0" w:right="0" w:firstLine="0" w:firstLineChars="0"/>
              <w:jc w:val="center"/>
              <w:textAlignment w:val="auto"/>
              <w:rPr>
                <w:rFonts w:hint="eastAsia" w:ascii="宋体" w:hAnsi="宋体" w:eastAsia="宋体" w:cs="宋体"/>
                <w:color w:val="000000"/>
                <w:kern w:val="0"/>
                <w:sz w:val="24"/>
                <w:szCs w:val="24"/>
                <w:highlight w:val="none"/>
                <w:vertAlign w:val="baseline"/>
                <w:lang w:val="en-US" w:eastAsia="zh-CN"/>
              </w:rPr>
            </w:pPr>
            <w:r>
              <w:rPr>
                <w:rFonts w:hint="eastAsia" w:ascii="宋体" w:hAnsi="宋体" w:eastAsia="宋体" w:cs="宋体"/>
                <w:color w:val="000000"/>
                <w:kern w:val="0"/>
                <w:sz w:val="24"/>
                <w:szCs w:val="24"/>
                <w:highlight w:val="none"/>
                <w:vertAlign w:val="baseline"/>
                <w:lang w:val="en-US" w:eastAsia="zh-CN"/>
              </w:rPr>
              <w:t>整改及处罚</w:t>
            </w:r>
          </w:p>
        </w:tc>
        <w:tc>
          <w:tcPr>
            <w:tcW w:w="1177" w:type="dxa"/>
            <w:noWrap w:val="0"/>
            <w:vAlign w:val="top"/>
          </w:tcPr>
          <w:p w14:paraId="2B786568">
            <w:pPr>
              <w:keepNext w:val="0"/>
              <w:keepLines w:val="0"/>
              <w:pageBreakBefore w:val="0"/>
              <w:widowControl/>
              <w:kinsoku/>
              <w:wordWrap/>
              <w:overflowPunct/>
              <w:topLinePunct w:val="0"/>
              <w:autoSpaceDE/>
              <w:autoSpaceDN/>
              <w:bidi w:val="0"/>
              <w:adjustRightInd/>
              <w:snapToGrid/>
              <w:spacing w:line="360" w:lineRule="auto"/>
              <w:ind w:left="0" w:right="0" w:firstLine="0" w:firstLineChars="0"/>
              <w:jc w:val="center"/>
              <w:textAlignment w:val="auto"/>
              <w:rPr>
                <w:rFonts w:hint="eastAsia" w:ascii="宋体" w:hAnsi="宋体" w:eastAsia="宋体" w:cs="宋体"/>
                <w:color w:val="000000"/>
                <w:kern w:val="0"/>
                <w:sz w:val="24"/>
                <w:szCs w:val="24"/>
                <w:highlight w:val="none"/>
                <w:vertAlign w:val="baseline"/>
                <w:lang w:val="en-US" w:eastAsia="zh-CN"/>
              </w:rPr>
            </w:pPr>
            <w:r>
              <w:rPr>
                <w:rFonts w:hint="eastAsia" w:ascii="宋体" w:hAnsi="宋体" w:eastAsia="宋体" w:cs="宋体"/>
                <w:color w:val="000000"/>
                <w:kern w:val="0"/>
                <w:sz w:val="24"/>
                <w:szCs w:val="24"/>
                <w:highlight w:val="none"/>
                <w:vertAlign w:val="baseline"/>
                <w:lang w:val="en-US" w:eastAsia="zh-CN"/>
              </w:rPr>
              <w:t>次数</w:t>
            </w:r>
          </w:p>
        </w:tc>
        <w:tc>
          <w:tcPr>
            <w:tcW w:w="2735" w:type="dxa"/>
            <w:noWrap w:val="0"/>
            <w:vAlign w:val="top"/>
          </w:tcPr>
          <w:p w14:paraId="684DC676">
            <w:pPr>
              <w:keepNext w:val="0"/>
              <w:keepLines w:val="0"/>
              <w:pageBreakBefore w:val="0"/>
              <w:widowControl/>
              <w:kinsoku/>
              <w:wordWrap/>
              <w:overflowPunct/>
              <w:topLinePunct w:val="0"/>
              <w:autoSpaceDE/>
              <w:autoSpaceDN/>
              <w:bidi w:val="0"/>
              <w:adjustRightInd/>
              <w:snapToGrid/>
              <w:spacing w:line="360" w:lineRule="auto"/>
              <w:ind w:left="0" w:right="0" w:firstLine="0" w:firstLineChars="0"/>
              <w:jc w:val="center"/>
              <w:textAlignment w:val="auto"/>
              <w:rPr>
                <w:rFonts w:hint="eastAsia" w:ascii="宋体" w:hAnsi="宋体" w:eastAsia="宋体" w:cs="宋体"/>
                <w:color w:val="000000"/>
                <w:kern w:val="0"/>
                <w:sz w:val="24"/>
                <w:szCs w:val="24"/>
                <w:highlight w:val="none"/>
                <w:vertAlign w:val="baseline"/>
                <w:lang w:val="en-US" w:eastAsia="zh-CN"/>
              </w:rPr>
            </w:pPr>
            <w:r>
              <w:rPr>
                <w:rFonts w:hint="eastAsia" w:ascii="宋体" w:hAnsi="宋体" w:eastAsia="宋体" w:cs="宋体"/>
                <w:color w:val="000000"/>
                <w:kern w:val="0"/>
                <w:sz w:val="24"/>
                <w:szCs w:val="24"/>
                <w:highlight w:val="none"/>
                <w:vertAlign w:val="baseline"/>
                <w:lang w:val="en-US" w:eastAsia="zh-CN"/>
              </w:rPr>
              <w:t>整改及处罚</w:t>
            </w:r>
          </w:p>
        </w:tc>
      </w:tr>
      <w:tr w14:paraId="37994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1547" w:type="dxa"/>
            <w:noWrap w:val="0"/>
            <w:vAlign w:val="top"/>
          </w:tcPr>
          <w:p w14:paraId="70B94B8E">
            <w:pPr>
              <w:keepNext w:val="0"/>
              <w:keepLines w:val="0"/>
              <w:pageBreakBefore w:val="0"/>
              <w:widowControl/>
              <w:kinsoku/>
              <w:wordWrap/>
              <w:overflowPunct/>
              <w:topLinePunct w:val="0"/>
              <w:autoSpaceDE/>
              <w:autoSpaceDN/>
              <w:bidi w:val="0"/>
              <w:adjustRightInd/>
              <w:snapToGrid/>
              <w:spacing w:line="360" w:lineRule="auto"/>
              <w:ind w:left="0" w:right="0" w:firstLine="0" w:firstLineChars="0"/>
              <w:jc w:val="center"/>
              <w:textAlignment w:val="auto"/>
              <w:rPr>
                <w:rFonts w:hint="eastAsia" w:ascii="宋体" w:hAnsi="宋体" w:eastAsia="宋体" w:cs="宋体"/>
                <w:color w:val="000000"/>
                <w:kern w:val="0"/>
                <w:sz w:val="24"/>
                <w:szCs w:val="24"/>
                <w:highlight w:val="none"/>
                <w:vertAlign w:val="baseline"/>
                <w:lang w:val="en-US" w:eastAsia="zh-CN"/>
              </w:rPr>
            </w:pPr>
            <w:r>
              <w:rPr>
                <w:rFonts w:hint="eastAsia" w:ascii="宋体" w:hAnsi="宋体" w:eastAsia="宋体" w:cs="宋体"/>
                <w:color w:val="000000"/>
                <w:kern w:val="0"/>
                <w:sz w:val="24"/>
                <w:szCs w:val="24"/>
                <w:highlight w:val="none"/>
                <w:vertAlign w:val="baseline"/>
                <w:lang w:val="en-US" w:eastAsia="zh-CN"/>
              </w:rPr>
              <w:t>第一周</w:t>
            </w:r>
          </w:p>
        </w:tc>
        <w:tc>
          <w:tcPr>
            <w:tcW w:w="1547" w:type="dxa"/>
            <w:noWrap w:val="0"/>
            <w:vAlign w:val="top"/>
          </w:tcPr>
          <w:p w14:paraId="1752DE3F">
            <w:pPr>
              <w:keepNext w:val="0"/>
              <w:keepLines w:val="0"/>
              <w:pageBreakBefore w:val="0"/>
              <w:widowControl/>
              <w:kinsoku/>
              <w:wordWrap/>
              <w:overflowPunct/>
              <w:topLinePunct w:val="0"/>
              <w:autoSpaceDE/>
              <w:autoSpaceDN/>
              <w:bidi w:val="0"/>
              <w:adjustRightInd/>
              <w:snapToGrid/>
              <w:spacing w:line="360" w:lineRule="auto"/>
              <w:ind w:left="0" w:right="0" w:firstLine="0" w:firstLineChars="0"/>
              <w:jc w:val="center"/>
              <w:textAlignment w:val="auto"/>
              <w:rPr>
                <w:rFonts w:hint="eastAsia" w:ascii="宋体" w:hAnsi="宋体" w:eastAsia="宋体" w:cs="宋体"/>
                <w:color w:val="000000"/>
                <w:kern w:val="0"/>
                <w:sz w:val="24"/>
                <w:szCs w:val="24"/>
                <w:highlight w:val="none"/>
                <w:vertAlign w:val="baseline"/>
                <w:lang w:val="en-US" w:eastAsia="zh-CN"/>
              </w:rPr>
            </w:pPr>
            <w:r>
              <w:rPr>
                <w:rFonts w:hint="eastAsia" w:ascii="宋体" w:hAnsi="宋体" w:eastAsia="宋体" w:cs="宋体"/>
                <w:color w:val="000000"/>
                <w:kern w:val="0"/>
                <w:sz w:val="24"/>
                <w:szCs w:val="24"/>
                <w:highlight w:val="none"/>
                <w:vertAlign w:val="baseline"/>
                <w:lang w:val="en-US" w:eastAsia="zh-CN"/>
              </w:rPr>
              <w:t>第1次</w:t>
            </w:r>
          </w:p>
        </w:tc>
        <w:tc>
          <w:tcPr>
            <w:tcW w:w="2143" w:type="dxa"/>
            <w:noWrap w:val="0"/>
            <w:vAlign w:val="top"/>
          </w:tcPr>
          <w:p w14:paraId="290EC173">
            <w:pPr>
              <w:keepNext w:val="0"/>
              <w:keepLines w:val="0"/>
              <w:pageBreakBefore w:val="0"/>
              <w:widowControl/>
              <w:kinsoku/>
              <w:wordWrap/>
              <w:overflowPunct/>
              <w:topLinePunct w:val="0"/>
              <w:autoSpaceDE/>
              <w:autoSpaceDN/>
              <w:bidi w:val="0"/>
              <w:adjustRightInd/>
              <w:snapToGrid/>
              <w:spacing w:line="360" w:lineRule="auto"/>
              <w:ind w:left="0" w:right="0" w:firstLine="0" w:firstLineChars="0"/>
              <w:jc w:val="center"/>
              <w:textAlignment w:val="auto"/>
              <w:rPr>
                <w:rFonts w:hint="eastAsia" w:ascii="宋体" w:hAnsi="宋体" w:eastAsia="宋体" w:cs="宋体"/>
                <w:color w:val="000000"/>
                <w:kern w:val="0"/>
                <w:sz w:val="24"/>
                <w:szCs w:val="24"/>
                <w:highlight w:val="none"/>
                <w:vertAlign w:val="baseline"/>
                <w:lang w:val="en-US" w:eastAsia="zh-CN"/>
              </w:rPr>
            </w:pPr>
            <w:r>
              <w:rPr>
                <w:rFonts w:hint="eastAsia" w:ascii="宋体" w:hAnsi="宋体" w:eastAsia="宋体" w:cs="宋体"/>
                <w:color w:val="000000"/>
                <w:kern w:val="0"/>
                <w:sz w:val="24"/>
                <w:szCs w:val="24"/>
                <w:highlight w:val="none"/>
                <w:vertAlign w:val="baseline"/>
                <w:lang w:val="en-US" w:eastAsia="zh-CN"/>
              </w:rPr>
              <w:t>两日内完成整改不作处罚</w:t>
            </w:r>
          </w:p>
        </w:tc>
        <w:tc>
          <w:tcPr>
            <w:tcW w:w="1177" w:type="dxa"/>
            <w:noWrap w:val="0"/>
            <w:vAlign w:val="top"/>
          </w:tcPr>
          <w:p w14:paraId="4F90D20B">
            <w:pPr>
              <w:keepNext w:val="0"/>
              <w:keepLines w:val="0"/>
              <w:pageBreakBefore w:val="0"/>
              <w:widowControl/>
              <w:kinsoku/>
              <w:wordWrap/>
              <w:overflowPunct/>
              <w:topLinePunct w:val="0"/>
              <w:autoSpaceDE/>
              <w:autoSpaceDN/>
              <w:bidi w:val="0"/>
              <w:adjustRightInd/>
              <w:snapToGrid/>
              <w:spacing w:line="360" w:lineRule="auto"/>
              <w:ind w:left="0" w:right="0" w:firstLine="0" w:firstLineChars="0"/>
              <w:jc w:val="center"/>
              <w:textAlignment w:val="auto"/>
              <w:rPr>
                <w:rFonts w:hint="eastAsia" w:ascii="宋体" w:hAnsi="宋体" w:eastAsia="宋体" w:cs="宋体"/>
                <w:color w:val="000000"/>
                <w:kern w:val="0"/>
                <w:sz w:val="24"/>
                <w:szCs w:val="24"/>
                <w:highlight w:val="none"/>
                <w:vertAlign w:val="baseline"/>
                <w:lang w:val="en-US" w:eastAsia="zh-CN"/>
              </w:rPr>
            </w:pPr>
            <w:r>
              <w:rPr>
                <w:rFonts w:hint="eastAsia" w:ascii="宋体" w:hAnsi="宋体" w:eastAsia="宋体" w:cs="宋体"/>
                <w:color w:val="000000"/>
                <w:kern w:val="0"/>
                <w:sz w:val="24"/>
                <w:szCs w:val="24"/>
                <w:highlight w:val="none"/>
                <w:vertAlign w:val="baseline"/>
                <w:lang w:val="en-US" w:eastAsia="zh-CN"/>
              </w:rPr>
              <w:t>第2次及以上</w:t>
            </w:r>
          </w:p>
        </w:tc>
        <w:tc>
          <w:tcPr>
            <w:tcW w:w="2735" w:type="dxa"/>
            <w:noWrap w:val="0"/>
            <w:vAlign w:val="top"/>
          </w:tcPr>
          <w:p w14:paraId="1B27E3B5">
            <w:pPr>
              <w:keepNext w:val="0"/>
              <w:keepLines w:val="0"/>
              <w:pageBreakBefore w:val="0"/>
              <w:widowControl/>
              <w:kinsoku/>
              <w:wordWrap/>
              <w:overflowPunct/>
              <w:topLinePunct w:val="0"/>
              <w:autoSpaceDE/>
              <w:autoSpaceDN/>
              <w:bidi w:val="0"/>
              <w:adjustRightInd/>
              <w:snapToGrid/>
              <w:spacing w:line="360" w:lineRule="auto"/>
              <w:ind w:left="0" w:right="0" w:firstLine="0" w:firstLineChars="0"/>
              <w:jc w:val="center"/>
              <w:textAlignment w:val="auto"/>
              <w:rPr>
                <w:rFonts w:hint="eastAsia" w:ascii="宋体" w:hAnsi="宋体" w:eastAsia="宋体" w:cs="宋体"/>
                <w:color w:val="000000"/>
                <w:kern w:val="0"/>
                <w:sz w:val="24"/>
                <w:szCs w:val="24"/>
                <w:highlight w:val="none"/>
                <w:vertAlign w:val="baseline"/>
                <w:lang w:val="en-US" w:eastAsia="zh-CN"/>
              </w:rPr>
            </w:pPr>
            <w:r>
              <w:rPr>
                <w:rFonts w:hint="eastAsia" w:ascii="宋体" w:hAnsi="宋体" w:eastAsia="宋体" w:cs="宋体"/>
                <w:color w:val="000000"/>
                <w:kern w:val="0"/>
                <w:sz w:val="24"/>
                <w:szCs w:val="24"/>
                <w:highlight w:val="none"/>
                <w:vertAlign w:val="baseline"/>
                <w:lang w:val="en-US" w:eastAsia="zh-CN"/>
              </w:rPr>
              <w:t>两日内完成整改并扣除当月1％清运费</w:t>
            </w:r>
          </w:p>
        </w:tc>
      </w:tr>
      <w:tr w14:paraId="3BDB2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1547" w:type="dxa"/>
            <w:noWrap w:val="0"/>
            <w:vAlign w:val="top"/>
          </w:tcPr>
          <w:p w14:paraId="104E70BD">
            <w:pPr>
              <w:keepNext w:val="0"/>
              <w:keepLines w:val="0"/>
              <w:pageBreakBefore w:val="0"/>
              <w:widowControl/>
              <w:kinsoku/>
              <w:wordWrap/>
              <w:overflowPunct/>
              <w:topLinePunct w:val="0"/>
              <w:autoSpaceDE/>
              <w:autoSpaceDN/>
              <w:bidi w:val="0"/>
              <w:adjustRightInd/>
              <w:snapToGrid/>
              <w:spacing w:line="360" w:lineRule="auto"/>
              <w:ind w:left="0" w:right="0" w:firstLine="0" w:firstLineChars="0"/>
              <w:jc w:val="center"/>
              <w:textAlignment w:val="auto"/>
              <w:rPr>
                <w:rFonts w:hint="eastAsia" w:ascii="宋体" w:hAnsi="宋体" w:eastAsia="宋体" w:cs="宋体"/>
                <w:color w:val="000000"/>
                <w:kern w:val="0"/>
                <w:sz w:val="24"/>
                <w:szCs w:val="24"/>
                <w:highlight w:val="none"/>
                <w:vertAlign w:val="baseline"/>
                <w:lang w:val="en-US" w:eastAsia="zh-CN"/>
              </w:rPr>
            </w:pPr>
            <w:r>
              <w:rPr>
                <w:rFonts w:hint="eastAsia" w:ascii="宋体" w:hAnsi="宋体" w:eastAsia="宋体" w:cs="宋体"/>
                <w:color w:val="000000"/>
                <w:kern w:val="0"/>
                <w:sz w:val="24"/>
                <w:szCs w:val="24"/>
                <w:highlight w:val="none"/>
                <w:vertAlign w:val="baseline"/>
                <w:lang w:val="en-US" w:eastAsia="zh-CN"/>
              </w:rPr>
              <w:t>第二周</w:t>
            </w:r>
          </w:p>
        </w:tc>
        <w:tc>
          <w:tcPr>
            <w:tcW w:w="1547" w:type="dxa"/>
            <w:noWrap w:val="0"/>
            <w:vAlign w:val="top"/>
          </w:tcPr>
          <w:p w14:paraId="146EE7B4">
            <w:pPr>
              <w:keepNext w:val="0"/>
              <w:keepLines w:val="0"/>
              <w:pageBreakBefore w:val="0"/>
              <w:widowControl/>
              <w:kinsoku/>
              <w:wordWrap/>
              <w:overflowPunct/>
              <w:topLinePunct w:val="0"/>
              <w:autoSpaceDE/>
              <w:autoSpaceDN/>
              <w:bidi w:val="0"/>
              <w:adjustRightInd/>
              <w:snapToGrid/>
              <w:spacing w:line="360" w:lineRule="auto"/>
              <w:ind w:left="0" w:right="0" w:firstLine="0" w:firstLineChars="0"/>
              <w:jc w:val="center"/>
              <w:textAlignment w:val="auto"/>
              <w:rPr>
                <w:rFonts w:hint="eastAsia" w:ascii="宋体" w:hAnsi="宋体" w:eastAsia="宋体" w:cs="宋体"/>
                <w:color w:val="000000"/>
                <w:kern w:val="0"/>
                <w:sz w:val="24"/>
                <w:szCs w:val="24"/>
                <w:highlight w:val="none"/>
                <w:vertAlign w:val="baseline"/>
                <w:lang w:val="en-US" w:eastAsia="zh-CN"/>
              </w:rPr>
            </w:pPr>
            <w:r>
              <w:rPr>
                <w:rFonts w:hint="eastAsia" w:ascii="宋体" w:hAnsi="宋体" w:eastAsia="宋体" w:cs="宋体"/>
                <w:color w:val="000000"/>
                <w:kern w:val="0"/>
                <w:sz w:val="24"/>
                <w:szCs w:val="24"/>
                <w:highlight w:val="none"/>
                <w:vertAlign w:val="baseline"/>
                <w:lang w:val="en-US" w:eastAsia="zh-CN"/>
              </w:rPr>
              <w:t>第1次</w:t>
            </w:r>
          </w:p>
        </w:tc>
        <w:tc>
          <w:tcPr>
            <w:tcW w:w="2143" w:type="dxa"/>
            <w:noWrap w:val="0"/>
            <w:vAlign w:val="top"/>
          </w:tcPr>
          <w:p w14:paraId="0A8CDAD6">
            <w:pPr>
              <w:keepNext w:val="0"/>
              <w:keepLines w:val="0"/>
              <w:pageBreakBefore w:val="0"/>
              <w:widowControl/>
              <w:kinsoku/>
              <w:wordWrap/>
              <w:overflowPunct/>
              <w:topLinePunct w:val="0"/>
              <w:autoSpaceDE/>
              <w:autoSpaceDN/>
              <w:bidi w:val="0"/>
              <w:adjustRightInd/>
              <w:snapToGrid/>
              <w:spacing w:line="360" w:lineRule="auto"/>
              <w:ind w:left="0" w:right="0" w:firstLine="0" w:firstLineChars="0"/>
              <w:jc w:val="center"/>
              <w:textAlignment w:val="auto"/>
              <w:rPr>
                <w:rFonts w:hint="eastAsia" w:ascii="宋体" w:hAnsi="宋体" w:eastAsia="宋体" w:cs="宋体"/>
                <w:color w:val="000000"/>
                <w:kern w:val="0"/>
                <w:sz w:val="24"/>
                <w:szCs w:val="24"/>
                <w:highlight w:val="none"/>
                <w:vertAlign w:val="baseline"/>
                <w:lang w:val="en-US" w:eastAsia="zh-CN"/>
              </w:rPr>
            </w:pPr>
            <w:r>
              <w:rPr>
                <w:rFonts w:hint="eastAsia" w:ascii="宋体" w:hAnsi="宋体" w:eastAsia="宋体" w:cs="宋体"/>
                <w:color w:val="000000"/>
                <w:kern w:val="0"/>
                <w:sz w:val="24"/>
                <w:szCs w:val="24"/>
                <w:highlight w:val="none"/>
                <w:vertAlign w:val="baseline"/>
                <w:lang w:val="en-US" w:eastAsia="zh-CN"/>
              </w:rPr>
              <w:t>两日内完成整改不作处罚</w:t>
            </w:r>
          </w:p>
        </w:tc>
        <w:tc>
          <w:tcPr>
            <w:tcW w:w="1177" w:type="dxa"/>
            <w:noWrap w:val="0"/>
            <w:vAlign w:val="top"/>
          </w:tcPr>
          <w:p w14:paraId="4D7FCA85">
            <w:pPr>
              <w:keepNext w:val="0"/>
              <w:keepLines w:val="0"/>
              <w:pageBreakBefore w:val="0"/>
              <w:widowControl/>
              <w:kinsoku/>
              <w:wordWrap/>
              <w:overflowPunct/>
              <w:topLinePunct w:val="0"/>
              <w:autoSpaceDE/>
              <w:autoSpaceDN/>
              <w:bidi w:val="0"/>
              <w:adjustRightInd/>
              <w:snapToGrid/>
              <w:spacing w:line="360" w:lineRule="auto"/>
              <w:ind w:left="0" w:right="0" w:firstLine="0" w:firstLineChars="0"/>
              <w:jc w:val="center"/>
              <w:textAlignment w:val="auto"/>
              <w:rPr>
                <w:rFonts w:hint="eastAsia" w:ascii="宋体" w:hAnsi="宋体" w:eastAsia="宋体" w:cs="宋体"/>
                <w:color w:val="000000"/>
                <w:kern w:val="0"/>
                <w:sz w:val="24"/>
                <w:szCs w:val="24"/>
                <w:highlight w:val="none"/>
                <w:vertAlign w:val="baseline"/>
                <w:lang w:val="en-US" w:eastAsia="zh-CN"/>
              </w:rPr>
            </w:pPr>
            <w:r>
              <w:rPr>
                <w:rFonts w:hint="eastAsia" w:ascii="宋体" w:hAnsi="宋体" w:eastAsia="宋体" w:cs="宋体"/>
                <w:color w:val="000000"/>
                <w:kern w:val="0"/>
                <w:sz w:val="24"/>
                <w:szCs w:val="24"/>
                <w:highlight w:val="none"/>
                <w:vertAlign w:val="baseline"/>
                <w:lang w:val="en-US" w:eastAsia="zh-CN"/>
              </w:rPr>
              <w:t>第2次及以上</w:t>
            </w:r>
          </w:p>
        </w:tc>
        <w:tc>
          <w:tcPr>
            <w:tcW w:w="2735" w:type="dxa"/>
            <w:noWrap w:val="0"/>
            <w:vAlign w:val="top"/>
          </w:tcPr>
          <w:p w14:paraId="48195C31">
            <w:pPr>
              <w:keepNext w:val="0"/>
              <w:keepLines w:val="0"/>
              <w:pageBreakBefore w:val="0"/>
              <w:widowControl/>
              <w:kinsoku/>
              <w:wordWrap/>
              <w:overflowPunct/>
              <w:topLinePunct w:val="0"/>
              <w:autoSpaceDE/>
              <w:autoSpaceDN/>
              <w:bidi w:val="0"/>
              <w:adjustRightInd/>
              <w:snapToGrid/>
              <w:spacing w:line="360" w:lineRule="auto"/>
              <w:ind w:left="0" w:right="0" w:firstLine="0" w:firstLineChars="0"/>
              <w:jc w:val="center"/>
              <w:textAlignment w:val="auto"/>
              <w:rPr>
                <w:rFonts w:hint="eastAsia" w:ascii="宋体" w:hAnsi="宋体" w:eastAsia="宋体" w:cs="宋体"/>
                <w:color w:val="000000"/>
                <w:kern w:val="0"/>
                <w:sz w:val="24"/>
                <w:szCs w:val="24"/>
                <w:highlight w:val="none"/>
                <w:vertAlign w:val="baseline"/>
                <w:lang w:val="en-US" w:eastAsia="zh-CN"/>
              </w:rPr>
            </w:pPr>
            <w:r>
              <w:rPr>
                <w:rFonts w:hint="eastAsia" w:ascii="宋体" w:hAnsi="宋体" w:eastAsia="宋体" w:cs="宋体"/>
                <w:color w:val="000000"/>
                <w:kern w:val="0"/>
                <w:sz w:val="24"/>
                <w:szCs w:val="24"/>
                <w:highlight w:val="none"/>
                <w:vertAlign w:val="baseline"/>
                <w:lang w:val="en-US" w:eastAsia="zh-CN"/>
              </w:rPr>
              <w:t>两日内完成整改并扣除当月1％清运费</w:t>
            </w:r>
          </w:p>
        </w:tc>
      </w:tr>
      <w:tr w14:paraId="4A76E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1547" w:type="dxa"/>
            <w:noWrap w:val="0"/>
            <w:vAlign w:val="top"/>
          </w:tcPr>
          <w:p w14:paraId="79A551AF">
            <w:pPr>
              <w:keepNext w:val="0"/>
              <w:keepLines w:val="0"/>
              <w:pageBreakBefore w:val="0"/>
              <w:widowControl/>
              <w:kinsoku/>
              <w:wordWrap/>
              <w:overflowPunct/>
              <w:topLinePunct w:val="0"/>
              <w:autoSpaceDE/>
              <w:autoSpaceDN/>
              <w:bidi w:val="0"/>
              <w:adjustRightInd/>
              <w:snapToGrid/>
              <w:spacing w:line="360" w:lineRule="auto"/>
              <w:ind w:left="0" w:right="0" w:firstLine="0" w:firstLineChars="0"/>
              <w:jc w:val="center"/>
              <w:textAlignment w:val="auto"/>
              <w:rPr>
                <w:rFonts w:hint="eastAsia" w:ascii="宋体" w:hAnsi="宋体" w:eastAsia="宋体" w:cs="宋体"/>
                <w:color w:val="000000"/>
                <w:kern w:val="0"/>
                <w:sz w:val="24"/>
                <w:szCs w:val="24"/>
                <w:highlight w:val="none"/>
                <w:vertAlign w:val="baseline"/>
                <w:lang w:val="en-US" w:eastAsia="zh-CN"/>
              </w:rPr>
            </w:pPr>
            <w:r>
              <w:rPr>
                <w:rFonts w:hint="eastAsia" w:ascii="宋体" w:hAnsi="宋体" w:eastAsia="宋体" w:cs="宋体"/>
                <w:color w:val="000000"/>
                <w:kern w:val="0"/>
                <w:sz w:val="24"/>
                <w:szCs w:val="24"/>
                <w:highlight w:val="none"/>
                <w:vertAlign w:val="baseline"/>
                <w:lang w:val="en-US" w:eastAsia="zh-CN"/>
              </w:rPr>
              <w:t>第三周</w:t>
            </w:r>
          </w:p>
        </w:tc>
        <w:tc>
          <w:tcPr>
            <w:tcW w:w="1547" w:type="dxa"/>
            <w:noWrap w:val="0"/>
            <w:vAlign w:val="top"/>
          </w:tcPr>
          <w:p w14:paraId="2EEEB1D2">
            <w:pPr>
              <w:keepNext w:val="0"/>
              <w:keepLines w:val="0"/>
              <w:pageBreakBefore w:val="0"/>
              <w:widowControl/>
              <w:kinsoku/>
              <w:wordWrap/>
              <w:overflowPunct/>
              <w:topLinePunct w:val="0"/>
              <w:autoSpaceDE/>
              <w:autoSpaceDN/>
              <w:bidi w:val="0"/>
              <w:adjustRightInd/>
              <w:snapToGrid/>
              <w:spacing w:line="360" w:lineRule="auto"/>
              <w:ind w:left="0" w:right="0" w:firstLine="0" w:firstLineChars="0"/>
              <w:jc w:val="center"/>
              <w:textAlignment w:val="auto"/>
              <w:rPr>
                <w:rFonts w:hint="eastAsia" w:ascii="宋体" w:hAnsi="宋体" w:eastAsia="宋体" w:cs="宋体"/>
                <w:color w:val="000000"/>
                <w:kern w:val="0"/>
                <w:sz w:val="24"/>
                <w:szCs w:val="24"/>
                <w:highlight w:val="none"/>
                <w:vertAlign w:val="baseline"/>
                <w:lang w:val="en-US" w:eastAsia="zh-CN"/>
              </w:rPr>
            </w:pPr>
            <w:r>
              <w:rPr>
                <w:rFonts w:hint="eastAsia" w:ascii="宋体" w:hAnsi="宋体" w:eastAsia="宋体" w:cs="宋体"/>
                <w:color w:val="000000"/>
                <w:kern w:val="0"/>
                <w:sz w:val="24"/>
                <w:szCs w:val="24"/>
                <w:highlight w:val="none"/>
                <w:vertAlign w:val="baseline"/>
                <w:lang w:val="en-US" w:eastAsia="zh-CN"/>
              </w:rPr>
              <w:t>第1次</w:t>
            </w:r>
          </w:p>
        </w:tc>
        <w:tc>
          <w:tcPr>
            <w:tcW w:w="2143" w:type="dxa"/>
            <w:noWrap w:val="0"/>
            <w:vAlign w:val="top"/>
          </w:tcPr>
          <w:p w14:paraId="3AD81E6D">
            <w:pPr>
              <w:keepNext w:val="0"/>
              <w:keepLines w:val="0"/>
              <w:pageBreakBefore w:val="0"/>
              <w:widowControl/>
              <w:kinsoku/>
              <w:wordWrap/>
              <w:overflowPunct/>
              <w:topLinePunct w:val="0"/>
              <w:autoSpaceDE/>
              <w:autoSpaceDN/>
              <w:bidi w:val="0"/>
              <w:adjustRightInd/>
              <w:snapToGrid/>
              <w:spacing w:line="360" w:lineRule="auto"/>
              <w:ind w:left="0" w:right="0" w:firstLine="0" w:firstLineChars="0"/>
              <w:jc w:val="center"/>
              <w:textAlignment w:val="auto"/>
              <w:rPr>
                <w:rFonts w:hint="eastAsia" w:ascii="宋体" w:hAnsi="宋体" w:eastAsia="宋体" w:cs="宋体"/>
                <w:color w:val="000000"/>
                <w:kern w:val="0"/>
                <w:sz w:val="24"/>
                <w:szCs w:val="24"/>
                <w:highlight w:val="none"/>
                <w:vertAlign w:val="baseline"/>
                <w:lang w:val="en-US" w:eastAsia="zh-CN"/>
              </w:rPr>
            </w:pPr>
            <w:r>
              <w:rPr>
                <w:rFonts w:hint="eastAsia" w:ascii="宋体" w:hAnsi="宋体" w:eastAsia="宋体" w:cs="宋体"/>
                <w:color w:val="000000"/>
                <w:kern w:val="0"/>
                <w:sz w:val="24"/>
                <w:szCs w:val="24"/>
                <w:highlight w:val="none"/>
                <w:vertAlign w:val="baseline"/>
                <w:lang w:val="en-US" w:eastAsia="zh-CN"/>
              </w:rPr>
              <w:t>两日内完成整改不作处罚</w:t>
            </w:r>
          </w:p>
        </w:tc>
        <w:tc>
          <w:tcPr>
            <w:tcW w:w="1177" w:type="dxa"/>
            <w:noWrap w:val="0"/>
            <w:vAlign w:val="top"/>
          </w:tcPr>
          <w:p w14:paraId="567EAA00">
            <w:pPr>
              <w:keepNext w:val="0"/>
              <w:keepLines w:val="0"/>
              <w:pageBreakBefore w:val="0"/>
              <w:widowControl/>
              <w:kinsoku/>
              <w:wordWrap/>
              <w:overflowPunct/>
              <w:topLinePunct w:val="0"/>
              <w:autoSpaceDE/>
              <w:autoSpaceDN/>
              <w:bidi w:val="0"/>
              <w:adjustRightInd/>
              <w:snapToGrid/>
              <w:spacing w:line="360" w:lineRule="auto"/>
              <w:ind w:left="0" w:right="0" w:firstLine="0" w:firstLineChars="0"/>
              <w:jc w:val="center"/>
              <w:textAlignment w:val="auto"/>
              <w:rPr>
                <w:rFonts w:hint="eastAsia" w:ascii="宋体" w:hAnsi="宋体" w:eastAsia="宋体" w:cs="宋体"/>
                <w:color w:val="000000"/>
                <w:kern w:val="0"/>
                <w:sz w:val="24"/>
                <w:szCs w:val="24"/>
                <w:highlight w:val="none"/>
                <w:vertAlign w:val="baseline"/>
                <w:lang w:val="en-US" w:eastAsia="zh-CN"/>
              </w:rPr>
            </w:pPr>
            <w:r>
              <w:rPr>
                <w:rFonts w:hint="eastAsia" w:ascii="宋体" w:hAnsi="宋体" w:eastAsia="宋体" w:cs="宋体"/>
                <w:color w:val="000000"/>
                <w:kern w:val="0"/>
                <w:sz w:val="24"/>
                <w:szCs w:val="24"/>
                <w:highlight w:val="none"/>
                <w:vertAlign w:val="baseline"/>
                <w:lang w:val="en-US" w:eastAsia="zh-CN"/>
              </w:rPr>
              <w:t>第2次及以上</w:t>
            </w:r>
          </w:p>
        </w:tc>
        <w:tc>
          <w:tcPr>
            <w:tcW w:w="2735" w:type="dxa"/>
            <w:noWrap w:val="0"/>
            <w:vAlign w:val="top"/>
          </w:tcPr>
          <w:p w14:paraId="152D5CA2">
            <w:pPr>
              <w:keepNext w:val="0"/>
              <w:keepLines w:val="0"/>
              <w:pageBreakBefore w:val="0"/>
              <w:widowControl/>
              <w:kinsoku/>
              <w:wordWrap/>
              <w:overflowPunct/>
              <w:topLinePunct w:val="0"/>
              <w:autoSpaceDE/>
              <w:autoSpaceDN/>
              <w:bidi w:val="0"/>
              <w:adjustRightInd/>
              <w:snapToGrid/>
              <w:spacing w:line="360" w:lineRule="auto"/>
              <w:ind w:left="0" w:right="0" w:firstLine="0" w:firstLineChars="0"/>
              <w:jc w:val="center"/>
              <w:textAlignment w:val="auto"/>
              <w:rPr>
                <w:rFonts w:hint="eastAsia" w:ascii="宋体" w:hAnsi="宋体" w:eastAsia="宋体" w:cs="宋体"/>
                <w:color w:val="000000"/>
                <w:kern w:val="0"/>
                <w:sz w:val="24"/>
                <w:szCs w:val="24"/>
                <w:highlight w:val="none"/>
                <w:vertAlign w:val="baseline"/>
                <w:lang w:val="en-US" w:eastAsia="zh-CN"/>
              </w:rPr>
            </w:pPr>
            <w:r>
              <w:rPr>
                <w:rFonts w:hint="eastAsia" w:ascii="宋体" w:hAnsi="宋体" w:eastAsia="宋体" w:cs="宋体"/>
                <w:color w:val="000000"/>
                <w:kern w:val="0"/>
                <w:sz w:val="24"/>
                <w:szCs w:val="24"/>
                <w:highlight w:val="none"/>
                <w:vertAlign w:val="baseline"/>
                <w:lang w:val="en-US" w:eastAsia="zh-CN"/>
              </w:rPr>
              <w:t>两日内完成整改并扣除当月1％清运费</w:t>
            </w:r>
          </w:p>
        </w:tc>
      </w:tr>
      <w:tr w14:paraId="0428C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7" w:type="dxa"/>
            <w:noWrap w:val="0"/>
            <w:vAlign w:val="top"/>
          </w:tcPr>
          <w:p w14:paraId="5476C5DC">
            <w:pPr>
              <w:keepNext w:val="0"/>
              <w:keepLines w:val="0"/>
              <w:pageBreakBefore w:val="0"/>
              <w:widowControl/>
              <w:kinsoku/>
              <w:wordWrap/>
              <w:overflowPunct/>
              <w:topLinePunct w:val="0"/>
              <w:autoSpaceDE/>
              <w:autoSpaceDN/>
              <w:bidi w:val="0"/>
              <w:adjustRightInd/>
              <w:snapToGrid/>
              <w:spacing w:line="360" w:lineRule="auto"/>
              <w:ind w:left="0" w:right="0" w:firstLine="0" w:firstLineChars="0"/>
              <w:jc w:val="center"/>
              <w:textAlignment w:val="auto"/>
              <w:rPr>
                <w:rFonts w:hint="eastAsia" w:ascii="宋体" w:hAnsi="宋体" w:eastAsia="宋体" w:cs="宋体"/>
                <w:color w:val="000000"/>
                <w:kern w:val="0"/>
                <w:sz w:val="24"/>
                <w:szCs w:val="24"/>
                <w:highlight w:val="none"/>
                <w:vertAlign w:val="baseline"/>
                <w:lang w:val="en-US" w:eastAsia="zh-CN"/>
              </w:rPr>
            </w:pPr>
            <w:r>
              <w:rPr>
                <w:rFonts w:hint="eastAsia" w:ascii="宋体" w:hAnsi="宋体" w:eastAsia="宋体" w:cs="宋体"/>
                <w:color w:val="000000"/>
                <w:kern w:val="0"/>
                <w:sz w:val="24"/>
                <w:szCs w:val="24"/>
                <w:highlight w:val="none"/>
                <w:vertAlign w:val="baseline"/>
                <w:lang w:val="en-US" w:eastAsia="zh-CN"/>
              </w:rPr>
              <w:t>第四周</w:t>
            </w:r>
          </w:p>
        </w:tc>
        <w:tc>
          <w:tcPr>
            <w:tcW w:w="1547" w:type="dxa"/>
            <w:noWrap w:val="0"/>
            <w:vAlign w:val="top"/>
          </w:tcPr>
          <w:p w14:paraId="48182C7A">
            <w:pPr>
              <w:keepNext w:val="0"/>
              <w:keepLines w:val="0"/>
              <w:pageBreakBefore w:val="0"/>
              <w:widowControl/>
              <w:kinsoku/>
              <w:wordWrap/>
              <w:overflowPunct/>
              <w:topLinePunct w:val="0"/>
              <w:autoSpaceDE/>
              <w:autoSpaceDN/>
              <w:bidi w:val="0"/>
              <w:adjustRightInd/>
              <w:snapToGrid/>
              <w:spacing w:line="360" w:lineRule="auto"/>
              <w:ind w:left="0" w:right="0" w:firstLine="0" w:firstLineChars="0"/>
              <w:jc w:val="center"/>
              <w:textAlignment w:val="auto"/>
              <w:rPr>
                <w:rFonts w:hint="eastAsia" w:ascii="宋体" w:hAnsi="宋体" w:eastAsia="宋体" w:cs="宋体"/>
                <w:color w:val="000000"/>
                <w:kern w:val="0"/>
                <w:sz w:val="24"/>
                <w:szCs w:val="24"/>
                <w:highlight w:val="none"/>
                <w:vertAlign w:val="baseline"/>
                <w:lang w:val="en-US" w:eastAsia="zh-CN"/>
              </w:rPr>
            </w:pPr>
            <w:r>
              <w:rPr>
                <w:rFonts w:hint="eastAsia" w:ascii="宋体" w:hAnsi="宋体" w:eastAsia="宋体" w:cs="宋体"/>
                <w:color w:val="000000"/>
                <w:kern w:val="0"/>
                <w:sz w:val="24"/>
                <w:szCs w:val="24"/>
                <w:highlight w:val="none"/>
                <w:vertAlign w:val="baseline"/>
                <w:lang w:val="en-US" w:eastAsia="zh-CN"/>
              </w:rPr>
              <w:t>第1次</w:t>
            </w:r>
          </w:p>
        </w:tc>
        <w:tc>
          <w:tcPr>
            <w:tcW w:w="2143" w:type="dxa"/>
            <w:noWrap w:val="0"/>
            <w:vAlign w:val="top"/>
          </w:tcPr>
          <w:p w14:paraId="702C9481">
            <w:pPr>
              <w:keepNext w:val="0"/>
              <w:keepLines w:val="0"/>
              <w:pageBreakBefore w:val="0"/>
              <w:widowControl/>
              <w:kinsoku/>
              <w:wordWrap/>
              <w:overflowPunct/>
              <w:topLinePunct w:val="0"/>
              <w:autoSpaceDE/>
              <w:autoSpaceDN/>
              <w:bidi w:val="0"/>
              <w:adjustRightInd/>
              <w:snapToGrid/>
              <w:spacing w:line="360" w:lineRule="auto"/>
              <w:ind w:left="0" w:right="0" w:firstLine="0" w:firstLineChars="0"/>
              <w:jc w:val="center"/>
              <w:textAlignment w:val="auto"/>
              <w:rPr>
                <w:rFonts w:hint="eastAsia" w:ascii="宋体" w:hAnsi="宋体" w:eastAsia="宋体" w:cs="宋体"/>
                <w:color w:val="000000"/>
                <w:kern w:val="0"/>
                <w:sz w:val="24"/>
                <w:szCs w:val="24"/>
                <w:highlight w:val="none"/>
                <w:vertAlign w:val="baseline"/>
                <w:lang w:val="en-US" w:eastAsia="zh-CN"/>
              </w:rPr>
            </w:pPr>
            <w:r>
              <w:rPr>
                <w:rFonts w:hint="eastAsia" w:ascii="宋体" w:hAnsi="宋体" w:eastAsia="宋体" w:cs="宋体"/>
                <w:color w:val="000000"/>
                <w:kern w:val="0"/>
                <w:sz w:val="24"/>
                <w:szCs w:val="24"/>
                <w:highlight w:val="none"/>
                <w:vertAlign w:val="baseline"/>
                <w:lang w:val="en-US" w:eastAsia="zh-CN"/>
              </w:rPr>
              <w:t>两日内完成整改不作处罚</w:t>
            </w:r>
          </w:p>
        </w:tc>
        <w:tc>
          <w:tcPr>
            <w:tcW w:w="1177" w:type="dxa"/>
            <w:noWrap w:val="0"/>
            <w:vAlign w:val="top"/>
          </w:tcPr>
          <w:p w14:paraId="465CF13D">
            <w:pPr>
              <w:keepNext w:val="0"/>
              <w:keepLines w:val="0"/>
              <w:pageBreakBefore w:val="0"/>
              <w:widowControl/>
              <w:kinsoku/>
              <w:wordWrap/>
              <w:overflowPunct/>
              <w:topLinePunct w:val="0"/>
              <w:autoSpaceDE/>
              <w:autoSpaceDN/>
              <w:bidi w:val="0"/>
              <w:adjustRightInd/>
              <w:snapToGrid/>
              <w:spacing w:line="360" w:lineRule="auto"/>
              <w:ind w:left="0" w:right="0" w:firstLine="0" w:firstLineChars="0"/>
              <w:jc w:val="center"/>
              <w:textAlignment w:val="auto"/>
              <w:rPr>
                <w:rFonts w:hint="eastAsia" w:ascii="宋体" w:hAnsi="宋体" w:eastAsia="宋体" w:cs="宋体"/>
                <w:color w:val="000000"/>
                <w:kern w:val="0"/>
                <w:sz w:val="24"/>
                <w:szCs w:val="24"/>
                <w:highlight w:val="none"/>
                <w:vertAlign w:val="baseline"/>
                <w:lang w:val="en-US" w:eastAsia="zh-CN"/>
              </w:rPr>
            </w:pPr>
            <w:r>
              <w:rPr>
                <w:rFonts w:hint="eastAsia" w:ascii="宋体" w:hAnsi="宋体" w:eastAsia="宋体" w:cs="宋体"/>
                <w:color w:val="000000"/>
                <w:kern w:val="0"/>
                <w:sz w:val="24"/>
                <w:szCs w:val="24"/>
                <w:highlight w:val="none"/>
                <w:vertAlign w:val="baseline"/>
                <w:lang w:val="en-US" w:eastAsia="zh-CN"/>
              </w:rPr>
              <w:t>第2次及以上</w:t>
            </w:r>
          </w:p>
        </w:tc>
        <w:tc>
          <w:tcPr>
            <w:tcW w:w="2735" w:type="dxa"/>
            <w:noWrap w:val="0"/>
            <w:vAlign w:val="top"/>
          </w:tcPr>
          <w:p w14:paraId="4CB783FA">
            <w:pPr>
              <w:keepNext w:val="0"/>
              <w:keepLines w:val="0"/>
              <w:pageBreakBefore w:val="0"/>
              <w:widowControl/>
              <w:kinsoku/>
              <w:wordWrap/>
              <w:overflowPunct/>
              <w:topLinePunct w:val="0"/>
              <w:autoSpaceDE/>
              <w:autoSpaceDN/>
              <w:bidi w:val="0"/>
              <w:adjustRightInd/>
              <w:snapToGrid/>
              <w:spacing w:line="360" w:lineRule="auto"/>
              <w:ind w:left="0" w:right="0" w:firstLine="0" w:firstLineChars="0"/>
              <w:jc w:val="center"/>
              <w:textAlignment w:val="auto"/>
              <w:rPr>
                <w:rFonts w:hint="eastAsia" w:ascii="宋体" w:hAnsi="宋体" w:eastAsia="宋体" w:cs="宋体"/>
                <w:color w:val="000000"/>
                <w:kern w:val="0"/>
                <w:sz w:val="24"/>
                <w:szCs w:val="24"/>
                <w:highlight w:val="none"/>
                <w:vertAlign w:val="baseline"/>
                <w:lang w:val="en-US" w:eastAsia="zh-CN"/>
              </w:rPr>
            </w:pPr>
            <w:r>
              <w:rPr>
                <w:rFonts w:hint="eastAsia" w:ascii="宋体" w:hAnsi="宋体" w:eastAsia="宋体" w:cs="宋体"/>
                <w:color w:val="000000"/>
                <w:kern w:val="0"/>
                <w:sz w:val="24"/>
                <w:szCs w:val="24"/>
                <w:highlight w:val="none"/>
                <w:vertAlign w:val="baseline"/>
                <w:lang w:val="en-US" w:eastAsia="zh-CN"/>
              </w:rPr>
              <w:t>两日内完成整改并扣除当月1％清运费</w:t>
            </w:r>
          </w:p>
        </w:tc>
      </w:tr>
      <w:tr w14:paraId="56781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5" w:hRule="atLeast"/>
          <w:jc w:val="center"/>
        </w:trPr>
        <w:tc>
          <w:tcPr>
            <w:tcW w:w="9149" w:type="dxa"/>
            <w:gridSpan w:val="5"/>
            <w:noWrap w:val="0"/>
            <w:vAlign w:val="top"/>
          </w:tcPr>
          <w:p w14:paraId="759C39C0">
            <w:pPr>
              <w:keepNext w:val="0"/>
              <w:keepLines w:val="0"/>
              <w:pageBreakBefore w:val="0"/>
              <w:widowControl/>
              <w:kinsoku/>
              <w:wordWrap/>
              <w:overflowPunct/>
              <w:topLinePunct w:val="0"/>
              <w:autoSpaceDE/>
              <w:autoSpaceDN/>
              <w:bidi w:val="0"/>
              <w:adjustRightInd/>
              <w:snapToGrid/>
              <w:spacing w:line="360" w:lineRule="auto"/>
              <w:ind w:left="0" w:right="0" w:firstLine="480" w:firstLineChars="200"/>
              <w:jc w:val="both"/>
              <w:textAlignment w:val="auto"/>
              <w:rPr>
                <w:rFonts w:hint="eastAsia" w:ascii="宋体" w:hAnsi="宋体" w:eastAsia="宋体" w:cs="宋体"/>
                <w:color w:val="auto"/>
                <w:kern w:val="0"/>
                <w:sz w:val="24"/>
                <w:szCs w:val="24"/>
                <w:highlight w:val="none"/>
                <w:vertAlign w:val="baseline"/>
                <w:lang w:val="en-US" w:eastAsia="zh-CN"/>
              </w:rPr>
            </w:pPr>
            <w:r>
              <w:rPr>
                <w:rFonts w:hint="eastAsia" w:ascii="宋体" w:hAnsi="宋体" w:eastAsia="宋体" w:cs="宋体"/>
                <w:color w:val="auto"/>
                <w:kern w:val="0"/>
                <w:sz w:val="24"/>
                <w:szCs w:val="24"/>
                <w:highlight w:val="none"/>
                <w:vertAlign w:val="baseline"/>
                <w:lang w:val="en-US" w:eastAsia="zh-CN"/>
              </w:rPr>
              <w:t>说明：</w:t>
            </w:r>
          </w:p>
          <w:p w14:paraId="20FDB636">
            <w:pPr>
              <w:keepNext w:val="0"/>
              <w:keepLines w:val="0"/>
              <w:pageBreakBefore w:val="0"/>
              <w:widowControl/>
              <w:kinsoku/>
              <w:wordWrap/>
              <w:overflowPunct/>
              <w:topLinePunct w:val="0"/>
              <w:autoSpaceDE/>
              <w:autoSpaceDN/>
              <w:bidi w:val="0"/>
              <w:adjustRightInd/>
              <w:snapToGrid/>
              <w:spacing w:line="360" w:lineRule="auto"/>
              <w:ind w:left="0" w:right="0" w:firstLine="480" w:firstLineChars="200"/>
              <w:jc w:val="both"/>
              <w:textAlignment w:val="auto"/>
              <w:rPr>
                <w:rFonts w:hint="eastAsia" w:ascii="宋体" w:hAnsi="宋体" w:eastAsia="宋体" w:cs="宋体"/>
                <w:color w:val="auto"/>
                <w:kern w:val="0"/>
                <w:sz w:val="24"/>
                <w:szCs w:val="24"/>
                <w:highlight w:val="none"/>
                <w:vertAlign w:val="baseline"/>
                <w:lang w:val="en-US" w:eastAsia="zh-CN"/>
              </w:rPr>
            </w:pPr>
            <w:r>
              <w:rPr>
                <w:rFonts w:hint="eastAsia" w:ascii="宋体" w:hAnsi="宋体" w:eastAsia="宋体" w:cs="宋体"/>
                <w:color w:val="auto"/>
                <w:kern w:val="0"/>
                <w:sz w:val="24"/>
                <w:szCs w:val="24"/>
                <w:highlight w:val="none"/>
                <w:vertAlign w:val="baseline"/>
                <w:lang w:val="en-US" w:eastAsia="zh-CN"/>
              </w:rPr>
              <w:t>1.当月累计仅有1次符合扣除当月1％清运费情形的，不扣除当月清运费；</w:t>
            </w:r>
          </w:p>
          <w:p w14:paraId="00E03C48">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color w:val="auto"/>
                <w:kern w:val="0"/>
                <w:sz w:val="24"/>
                <w:szCs w:val="24"/>
                <w:highlight w:val="none"/>
                <w:vertAlign w:val="baseline"/>
                <w:lang w:val="en-US" w:eastAsia="zh-CN"/>
              </w:rPr>
            </w:pPr>
            <w:r>
              <w:rPr>
                <w:rFonts w:hint="eastAsia" w:ascii="宋体" w:hAnsi="宋体" w:eastAsia="宋体" w:cs="宋体"/>
                <w:color w:val="auto"/>
                <w:kern w:val="0"/>
                <w:sz w:val="24"/>
                <w:szCs w:val="24"/>
                <w:highlight w:val="none"/>
                <w:vertAlign w:val="baseline"/>
                <w:lang w:val="en-US" w:eastAsia="zh-CN"/>
              </w:rPr>
              <w:t>2.当月累计有2次符合扣除当月1％清运费情形的，则扣除当月2％清运费；</w:t>
            </w:r>
          </w:p>
          <w:p w14:paraId="243D0ED9">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right="0" w:firstLine="480" w:firstLineChars="200"/>
              <w:jc w:val="both"/>
              <w:textAlignment w:val="auto"/>
              <w:rPr>
                <w:rFonts w:hint="eastAsia" w:ascii="宋体" w:hAnsi="宋体" w:eastAsia="宋体" w:cs="宋体"/>
                <w:color w:val="auto"/>
                <w:kern w:val="0"/>
                <w:sz w:val="24"/>
                <w:szCs w:val="24"/>
                <w:highlight w:val="none"/>
                <w:vertAlign w:val="baseline"/>
                <w:lang w:val="en-US" w:eastAsia="zh-CN"/>
              </w:rPr>
            </w:pPr>
            <w:r>
              <w:rPr>
                <w:rFonts w:hint="eastAsia" w:ascii="宋体" w:hAnsi="宋体" w:eastAsia="宋体" w:cs="宋体"/>
                <w:color w:val="auto"/>
                <w:kern w:val="0"/>
                <w:sz w:val="24"/>
                <w:szCs w:val="24"/>
                <w:highlight w:val="none"/>
                <w:vertAlign w:val="baseline"/>
                <w:lang w:val="en-US" w:eastAsia="zh-CN"/>
              </w:rPr>
              <w:t>3.当月累计有3次符合扣除当月1％清运费情形的，则扣除当月3％清运费；</w:t>
            </w:r>
          </w:p>
          <w:p w14:paraId="5333F634">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right="0" w:firstLine="480" w:firstLineChars="200"/>
              <w:jc w:val="both"/>
              <w:textAlignment w:val="auto"/>
              <w:rPr>
                <w:rFonts w:hint="eastAsia" w:ascii="宋体" w:hAnsi="宋体" w:eastAsia="宋体" w:cs="宋体"/>
                <w:color w:val="auto"/>
                <w:kern w:val="0"/>
                <w:sz w:val="24"/>
                <w:szCs w:val="24"/>
                <w:highlight w:val="none"/>
                <w:vertAlign w:val="baseline"/>
                <w:lang w:val="en-US" w:eastAsia="zh-CN"/>
              </w:rPr>
            </w:pPr>
            <w:r>
              <w:rPr>
                <w:rFonts w:hint="eastAsia" w:ascii="宋体" w:hAnsi="宋体" w:eastAsia="宋体" w:cs="宋体"/>
                <w:color w:val="auto"/>
                <w:kern w:val="0"/>
                <w:sz w:val="24"/>
                <w:szCs w:val="24"/>
                <w:highlight w:val="none"/>
                <w:vertAlign w:val="baseline"/>
                <w:lang w:val="en-US" w:eastAsia="zh-CN"/>
              </w:rPr>
              <w:t>4.当月累计有4次符合扣除当月1％清运费情形的，则扣除当月5％清运费；</w:t>
            </w:r>
          </w:p>
          <w:p w14:paraId="140AD06E">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right="0" w:firstLine="480" w:firstLineChars="200"/>
              <w:jc w:val="both"/>
              <w:textAlignment w:val="auto"/>
              <w:rPr>
                <w:rFonts w:hint="eastAsia" w:ascii="宋体" w:hAnsi="宋体" w:eastAsia="宋体" w:cs="宋体"/>
                <w:color w:val="auto"/>
                <w:kern w:val="0"/>
                <w:sz w:val="24"/>
                <w:szCs w:val="24"/>
                <w:highlight w:val="none"/>
                <w:vertAlign w:val="baseline"/>
                <w:lang w:val="en-US" w:eastAsia="zh-CN"/>
              </w:rPr>
            </w:pPr>
            <w:r>
              <w:rPr>
                <w:rFonts w:hint="eastAsia" w:ascii="宋体" w:hAnsi="宋体" w:eastAsia="宋体" w:cs="宋体"/>
                <w:color w:val="auto"/>
                <w:kern w:val="0"/>
                <w:sz w:val="24"/>
                <w:szCs w:val="24"/>
                <w:highlight w:val="none"/>
                <w:vertAlign w:val="baseline"/>
                <w:lang w:val="en-US" w:eastAsia="zh-CN"/>
              </w:rPr>
              <w:t>5.跨越周划入两个相邻月份的自然日占比高的月份。</w:t>
            </w:r>
          </w:p>
        </w:tc>
      </w:tr>
    </w:tbl>
    <w:p w14:paraId="60BF8113">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bidi="ar-SA"/>
        </w:rPr>
        <w:t>（2）督查考核细则详见：《东泉镇集镇保洁、村屯垃圾清运及市容整治督查方案》简称（方案）</w:t>
      </w:r>
      <w:r>
        <w:rPr>
          <w:rFonts w:hint="eastAsia" w:ascii="宋体" w:hAnsi="宋体" w:eastAsia="宋体" w:cs="宋体"/>
          <w:color w:val="000000"/>
          <w:kern w:val="0"/>
          <w:sz w:val="24"/>
          <w:szCs w:val="24"/>
          <w:highlight w:val="none"/>
          <w:lang w:val="en-US" w:eastAsia="zh-CN"/>
        </w:rPr>
        <w:t>。</w:t>
      </w:r>
    </w:p>
    <w:p w14:paraId="07ED5A79">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bidi="ar-SA"/>
        </w:rPr>
        <w:t>（3）</w:t>
      </w:r>
      <w:r>
        <w:rPr>
          <w:rFonts w:hint="eastAsia" w:ascii="宋体" w:hAnsi="宋体" w:eastAsia="宋体" w:cs="宋体"/>
          <w:color w:val="000000"/>
          <w:kern w:val="0"/>
          <w:sz w:val="24"/>
          <w:szCs w:val="24"/>
          <w:highlight w:val="none"/>
          <w:lang w:val="en-US" w:eastAsia="zh-CN"/>
        </w:rPr>
        <w:t>《东泉镇集镇保洁及村屯垃圾清运要求明细表》附件1。</w:t>
      </w:r>
    </w:p>
    <w:p w14:paraId="23BFC14E">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right="0" w:firstLine="482" w:firstLineChars="200"/>
        <w:textAlignment w:val="auto"/>
        <w:rPr>
          <w:rFonts w:hint="eastAsia" w:ascii="宋体" w:hAnsi="宋体" w:eastAsia="宋体" w:cs="宋体"/>
          <w:b/>
          <w:bCs/>
          <w:color w:val="000000"/>
          <w:kern w:val="0"/>
          <w:sz w:val="24"/>
          <w:szCs w:val="24"/>
          <w:highlight w:val="none"/>
          <w:lang w:val="en-US" w:eastAsia="zh-CN"/>
        </w:rPr>
      </w:pPr>
      <w:r>
        <w:rPr>
          <w:rFonts w:hint="eastAsia" w:ascii="宋体" w:hAnsi="宋体" w:eastAsia="宋体" w:cs="宋体"/>
          <w:b/>
          <w:bCs/>
          <w:color w:val="000000"/>
          <w:kern w:val="0"/>
          <w:sz w:val="24"/>
          <w:szCs w:val="24"/>
          <w:highlight w:val="none"/>
          <w:lang w:val="en-US" w:eastAsia="zh-CN"/>
        </w:rPr>
        <w:t>3.扣款处罚文件依据：</w:t>
      </w:r>
    </w:p>
    <w:p w14:paraId="608FD36E">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（1）县级以上扣款处罚，以县级及以上相关部门的通报文件为依据。</w:t>
      </w:r>
    </w:p>
    <w:p w14:paraId="00266BC3">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（2）镇级扣款处罚，以镇级定期或不定期督查结果为依据，按《处罚明细表》实行，如存在两级及以上的同类处罚，不予叠加，只取处罚高的一级。</w:t>
      </w:r>
    </w:p>
    <w:p w14:paraId="229539E6">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right="0" w:firstLine="482" w:firstLineChars="200"/>
        <w:textAlignment w:val="auto"/>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4.</w:t>
      </w:r>
      <w:r>
        <w:rPr>
          <w:rFonts w:hint="eastAsia" w:ascii="宋体" w:hAnsi="宋体" w:eastAsia="宋体" w:cs="宋体"/>
          <w:b/>
          <w:bCs/>
          <w:color w:val="000000"/>
          <w:kern w:val="0"/>
          <w:sz w:val="24"/>
          <w:szCs w:val="24"/>
          <w:highlight w:val="none"/>
          <w:lang w:val="en-US" w:eastAsia="zh-CN"/>
        </w:rPr>
        <w:t>申诉</w:t>
      </w:r>
      <w:r>
        <w:rPr>
          <w:rFonts w:hint="eastAsia" w:ascii="宋体" w:hAnsi="宋体" w:eastAsia="宋体" w:cs="宋体"/>
          <w:b/>
          <w:bCs/>
          <w:color w:val="000000"/>
          <w:sz w:val="24"/>
          <w:szCs w:val="24"/>
          <w:highlight w:val="none"/>
        </w:rPr>
        <w:t>：</w:t>
      </w:r>
    </w:p>
    <w:p w14:paraId="4E709180">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bCs/>
          <w:color w:val="000000"/>
          <w:sz w:val="24"/>
          <w:szCs w:val="24"/>
          <w:highlight w:val="none"/>
        </w:rPr>
      </w:pPr>
      <w:r>
        <w:rPr>
          <w:rFonts w:hint="eastAsia" w:ascii="宋体" w:hAnsi="宋体" w:eastAsia="宋体" w:cs="宋体"/>
          <w:color w:val="000000"/>
          <w:kern w:val="0"/>
          <w:sz w:val="24"/>
          <w:szCs w:val="24"/>
          <w:highlight w:val="none"/>
          <w:lang w:val="en-US" w:eastAsia="zh-CN"/>
        </w:rPr>
        <w:t>乙方对甲方扣款处罚存在异议，乙方在规定期限内可向甲方职能部门进行扣款处罚申诉，申诉成功可免除相应的扣款处罚，申诉所需材料详见（方案）。</w:t>
      </w:r>
    </w:p>
    <w:p w14:paraId="29D7BA96">
      <w:pPr>
        <w:keepNext w:val="0"/>
        <w:keepLines w:val="0"/>
        <w:pageBreakBefore w:val="0"/>
        <w:kinsoku/>
        <w:wordWrap/>
        <w:overflowPunct/>
        <w:topLinePunct w:val="0"/>
        <w:autoSpaceDE/>
        <w:autoSpaceDN/>
        <w:bidi w:val="0"/>
        <w:adjustRightInd/>
        <w:snapToGrid/>
        <w:spacing w:after="0" w:line="360" w:lineRule="auto"/>
        <w:ind w:right="0"/>
        <w:jc w:val="both"/>
        <w:textAlignment w:val="auto"/>
        <w:rPr>
          <w:rFonts w:hint="eastAsia" w:ascii="宋体" w:hAnsi="宋体" w:eastAsia="宋体" w:cs="宋体"/>
          <w:color w:val="000000"/>
          <w:sz w:val="24"/>
          <w:szCs w:val="24"/>
          <w:highlight w:val="none"/>
        </w:rPr>
      </w:pPr>
      <w:r>
        <w:rPr>
          <w:rFonts w:hint="eastAsia" w:ascii="宋体" w:hAnsi="宋体" w:eastAsia="宋体" w:cs="宋体"/>
          <w:b/>
          <w:bCs/>
          <w:color w:val="000000"/>
          <w:sz w:val="24"/>
          <w:szCs w:val="24"/>
          <w:highlight w:val="none"/>
        </w:rPr>
        <w:t>四、甲方责任</w:t>
      </w:r>
    </w:p>
    <w:p w14:paraId="737B4D7F">
      <w:pPr>
        <w:keepNext w:val="0"/>
        <w:keepLines w:val="0"/>
        <w:pageBreakBefore w:val="0"/>
        <w:kinsoku/>
        <w:wordWrap/>
        <w:overflowPunct/>
        <w:topLinePunct w:val="0"/>
        <w:autoSpaceDE/>
        <w:autoSpaceDN/>
        <w:bidi w:val="0"/>
        <w:adjustRightInd/>
        <w:snapToGrid/>
        <w:spacing w:after="0" w:line="360" w:lineRule="auto"/>
        <w:ind w:left="0" w:right="0" w:firstLine="480" w:firstLineChars="200"/>
        <w:jc w:val="both"/>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（一）</w:t>
      </w:r>
      <w:r>
        <w:rPr>
          <w:rFonts w:hint="eastAsia" w:ascii="宋体" w:hAnsi="宋体" w:eastAsia="宋体" w:cs="宋体"/>
          <w:sz w:val="24"/>
          <w:szCs w:val="24"/>
          <w:highlight w:val="none"/>
        </w:rPr>
        <w:t>甲方负责对乙方工作进行监督和管理，并根据乙方的工作表现、工作成效，</w:t>
      </w:r>
      <w:r>
        <w:rPr>
          <w:rFonts w:hint="eastAsia" w:ascii="宋体" w:hAnsi="宋体" w:eastAsia="宋体" w:cs="宋体"/>
          <w:color w:val="000000"/>
          <w:sz w:val="24"/>
          <w:szCs w:val="24"/>
          <w:highlight w:val="none"/>
        </w:rPr>
        <w:t>核准每月应付金额</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经乙方确认后</w:t>
      </w:r>
      <w:r>
        <w:rPr>
          <w:rFonts w:hint="eastAsia" w:ascii="宋体" w:hAnsi="宋体" w:eastAsia="宋体" w:cs="宋体"/>
          <w:color w:val="000000"/>
          <w:sz w:val="24"/>
          <w:szCs w:val="24"/>
          <w:highlight w:val="none"/>
          <w:lang w:eastAsia="zh-CN"/>
        </w:rPr>
        <w:t>，</w:t>
      </w:r>
      <w:r>
        <w:rPr>
          <w:rFonts w:hint="eastAsia" w:ascii="宋体" w:hAnsi="宋体" w:eastAsia="宋体" w:cs="宋体"/>
          <w:color w:val="auto"/>
          <w:sz w:val="24"/>
          <w:szCs w:val="24"/>
          <w:highlight w:val="none"/>
          <w:lang w:val="en-US" w:eastAsia="zh-CN"/>
        </w:rPr>
        <w:t>待上级拨付资金入账后</w:t>
      </w:r>
      <w:r>
        <w:rPr>
          <w:rFonts w:hint="eastAsia" w:ascii="宋体" w:hAnsi="宋体" w:eastAsia="宋体" w:cs="宋体"/>
          <w:color w:val="auto"/>
          <w:sz w:val="24"/>
          <w:szCs w:val="24"/>
          <w:highlight w:val="none"/>
        </w:rPr>
        <w:t>15日</w:t>
      </w:r>
      <w:r>
        <w:rPr>
          <w:rFonts w:hint="eastAsia" w:ascii="宋体" w:hAnsi="宋体" w:eastAsia="宋体" w:cs="宋体"/>
          <w:color w:val="auto"/>
          <w:sz w:val="24"/>
          <w:szCs w:val="24"/>
          <w:highlight w:val="none"/>
          <w:lang w:val="en-US" w:eastAsia="zh-CN"/>
        </w:rPr>
        <w:t>内</w:t>
      </w:r>
      <w:r>
        <w:rPr>
          <w:rFonts w:hint="eastAsia" w:ascii="宋体" w:hAnsi="宋体" w:eastAsia="宋体" w:cs="宋体"/>
          <w:color w:val="auto"/>
          <w:sz w:val="24"/>
          <w:szCs w:val="24"/>
          <w:highlight w:val="none"/>
          <w:lang w:eastAsia="zh-CN"/>
        </w:rPr>
        <w:t>，</w:t>
      </w:r>
      <w:r>
        <w:rPr>
          <w:rFonts w:hint="eastAsia" w:ascii="宋体" w:hAnsi="宋体" w:eastAsia="宋体" w:cs="宋体"/>
          <w:sz w:val="24"/>
          <w:szCs w:val="24"/>
          <w:highlight w:val="none"/>
        </w:rPr>
        <w:t>按拨款</w:t>
      </w:r>
      <w:r>
        <w:rPr>
          <w:rFonts w:hint="eastAsia" w:ascii="宋体" w:hAnsi="宋体" w:eastAsia="宋体" w:cs="宋体"/>
          <w:sz w:val="24"/>
          <w:szCs w:val="24"/>
          <w:highlight w:val="none"/>
          <w:lang w:val="en-US" w:eastAsia="zh-CN"/>
        </w:rPr>
        <w:t>方式</w:t>
      </w:r>
      <w:r>
        <w:rPr>
          <w:rFonts w:hint="eastAsia" w:ascii="宋体" w:hAnsi="宋体" w:eastAsia="宋体" w:cs="宋体"/>
          <w:sz w:val="24"/>
          <w:szCs w:val="24"/>
          <w:highlight w:val="none"/>
        </w:rPr>
        <w:t>支付</w:t>
      </w:r>
      <w:r>
        <w:rPr>
          <w:rFonts w:hint="eastAsia" w:ascii="宋体" w:hAnsi="宋体" w:eastAsia="宋体" w:cs="宋体"/>
          <w:sz w:val="24"/>
          <w:szCs w:val="24"/>
          <w:highlight w:val="none"/>
          <w:lang w:val="en-US" w:eastAsia="zh-CN"/>
        </w:rPr>
        <w:t>《合同》</w:t>
      </w:r>
      <w:r>
        <w:rPr>
          <w:rFonts w:hint="eastAsia" w:ascii="宋体" w:hAnsi="宋体" w:eastAsia="宋体" w:cs="宋体"/>
          <w:sz w:val="24"/>
          <w:szCs w:val="24"/>
          <w:highlight w:val="none"/>
        </w:rPr>
        <w:t>费用。</w:t>
      </w:r>
    </w:p>
    <w:p w14:paraId="4FEAD0E3">
      <w:pPr>
        <w:keepNext w:val="0"/>
        <w:keepLines w:val="0"/>
        <w:pageBreakBefore w:val="0"/>
        <w:kinsoku/>
        <w:wordWrap/>
        <w:overflowPunct/>
        <w:topLinePunct w:val="0"/>
        <w:autoSpaceDE/>
        <w:autoSpaceDN/>
        <w:bidi w:val="0"/>
        <w:adjustRightInd/>
        <w:snapToGrid/>
        <w:spacing w:after="0" w:line="360" w:lineRule="auto"/>
        <w:ind w:left="0" w:right="0" w:firstLine="480" w:firstLineChars="200"/>
        <w:jc w:val="both"/>
        <w:textAlignment w:val="auto"/>
        <w:rPr>
          <w:rFonts w:hint="eastAsia" w:ascii="宋体" w:hAnsi="宋体" w:eastAsia="宋体" w:cs="宋体"/>
          <w:color w:val="000000"/>
          <w:sz w:val="24"/>
          <w:szCs w:val="24"/>
          <w:highlight w:val="none"/>
        </w:rPr>
      </w:pPr>
      <w:r>
        <w:rPr>
          <w:rFonts w:hint="eastAsia" w:ascii="宋体" w:hAnsi="宋体" w:eastAsia="宋体" w:cs="宋体"/>
          <w:sz w:val="24"/>
          <w:szCs w:val="24"/>
          <w:highlight w:val="none"/>
        </w:rPr>
        <w:t>（二）甲方在固定地点配置垃圾箱，或者修建垃圾池，</w:t>
      </w:r>
      <w:r>
        <w:rPr>
          <w:rFonts w:hint="eastAsia" w:ascii="宋体" w:hAnsi="宋体" w:eastAsia="宋体" w:cs="宋体"/>
          <w:color w:val="000000"/>
          <w:sz w:val="24"/>
          <w:szCs w:val="24"/>
          <w:highlight w:val="none"/>
        </w:rPr>
        <w:t>如要调换位置甲方事先通知乙方。</w:t>
      </w:r>
    </w:p>
    <w:p w14:paraId="62B32F11">
      <w:pPr>
        <w:keepNext w:val="0"/>
        <w:keepLines w:val="0"/>
        <w:pageBreakBefore w:val="0"/>
        <w:kinsoku/>
        <w:wordWrap/>
        <w:overflowPunct/>
        <w:topLinePunct w:val="0"/>
        <w:autoSpaceDE/>
        <w:autoSpaceDN/>
        <w:bidi w:val="0"/>
        <w:adjustRightInd/>
        <w:snapToGrid/>
        <w:spacing w:after="0" w:line="360" w:lineRule="auto"/>
        <w:ind w:left="0" w:right="0" w:firstLine="480" w:firstLineChars="200"/>
        <w:jc w:val="both"/>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auto"/>
          <w:sz w:val="24"/>
          <w:szCs w:val="24"/>
          <w:highlight w:val="none"/>
        </w:rPr>
        <w:t>（三）甲方将现有环卫设施交由乙方管理使用，包含勾臂车</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辆，电动车</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辆及垃圾箱等其他环卫设施。</w:t>
      </w:r>
    </w:p>
    <w:p w14:paraId="26471050">
      <w:pPr>
        <w:keepNext w:val="0"/>
        <w:keepLines w:val="0"/>
        <w:pageBreakBefore w:val="0"/>
        <w:widowControl w:val="0"/>
        <w:kinsoku/>
        <w:wordWrap/>
        <w:overflowPunct/>
        <w:topLinePunct w:val="0"/>
        <w:autoSpaceDE/>
        <w:autoSpaceDN/>
        <w:bidi w:val="0"/>
        <w:adjustRightInd/>
        <w:snapToGrid/>
        <w:spacing w:after="0" w:line="360" w:lineRule="auto"/>
        <w:ind w:right="0"/>
        <w:jc w:val="both"/>
        <w:textAlignment w:val="auto"/>
        <w:rPr>
          <w:rFonts w:hint="eastAsia" w:ascii="宋体" w:hAnsi="宋体" w:eastAsia="宋体" w:cs="宋体"/>
          <w:color w:val="000000"/>
          <w:sz w:val="24"/>
          <w:szCs w:val="24"/>
          <w:highlight w:val="none"/>
        </w:rPr>
      </w:pPr>
      <w:r>
        <w:rPr>
          <w:rFonts w:hint="eastAsia" w:ascii="宋体" w:hAnsi="宋体" w:eastAsia="宋体" w:cs="宋体"/>
          <w:b/>
          <w:bCs/>
          <w:color w:val="000000"/>
          <w:sz w:val="24"/>
          <w:szCs w:val="24"/>
          <w:highlight w:val="none"/>
        </w:rPr>
        <w:t>五、乙方责任</w:t>
      </w:r>
    </w:p>
    <w:p w14:paraId="1F44A6C0">
      <w:pPr>
        <w:keepNext w:val="0"/>
        <w:keepLines w:val="0"/>
        <w:pageBreakBefore w:val="0"/>
        <w:widowControl/>
        <w:kinsoku/>
        <w:wordWrap/>
        <w:overflowPunct/>
        <w:topLinePunct w:val="0"/>
        <w:autoSpaceDE/>
        <w:autoSpaceDN/>
        <w:bidi w:val="0"/>
        <w:adjustRightInd/>
        <w:snapToGrid/>
        <w:spacing w:after="0" w:line="360" w:lineRule="auto"/>
        <w:ind w:left="0" w:right="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000000"/>
          <w:sz w:val="24"/>
          <w:szCs w:val="24"/>
          <w:highlight w:val="none"/>
        </w:rPr>
        <w:t>乙方</w:t>
      </w:r>
      <w:r>
        <w:rPr>
          <w:rFonts w:hint="eastAsia" w:ascii="宋体" w:hAnsi="宋体" w:eastAsia="宋体" w:cs="宋体"/>
          <w:color w:val="000000"/>
          <w:sz w:val="24"/>
          <w:szCs w:val="24"/>
          <w:highlight w:val="none"/>
          <w:lang w:val="en-US" w:eastAsia="zh-CN"/>
        </w:rPr>
        <w:t>必须遵守垃圾清运的相关规章制度，</w:t>
      </w:r>
      <w:r>
        <w:rPr>
          <w:rFonts w:hint="eastAsia" w:ascii="宋体" w:hAnsi="宋体" w:eastAsia="宋体" w:cs="宋体"/>
          <w:color w:val="000000"/>
          <w:sz w:val="24"/>
          <w:szCs w:val="24"/>
          <w:highlight w:val="none"/>
        </w:rPr>
        <w:t>按</w:t>
      </w:r>
      <w:r>
        <w:rPr>
          <w:rFonts w:hint="eastAsia" w:ascii="宋体" w:hAnsi="宋体" w:eastAsia="宋体" w:cs="宋体"/>
          <w:color w:val="000000"/>
          <w:sz w:val="24"/>
          <w:szCs w:val="24"/>
          <w:highlight w:val="none"/>
          <w:lang w:val="en-US" w:eastAsia="zh-CN"/>
        </w:rPr>
        <w:t>照</w:t>
      </w:r>
      <w:r>
        <w:rPr>
          <w:rFonts w:hint="eastAsia" w:ascii="宋体" w:hAnsi="宋体" w:eastAsia="宋体" w:cs="宋体"/>
          <w:color w:val="000000"/>
          <w:sz w:val="24"/>
          <w:szCs w:val="24"/>
          <w:highlight w:val="none"/>
        </w:rPr>
        <w:t>甲方的要求做好承包区域的保洁、垃圾清运</w:t>
      </w:r>
      <w:r>
        <w:rPr>
          <w:rFonts w:hint="eastAsia" w:ascii="宋体" w:hAnsi="宋体" w:eastAsia="宋体" w:cs="宋体"/>
          <w:color w:val="000000"/>
          <w:sz w:val="24"/>
          <w:szCs w:val="24"/>
          <w:highlight w:val="none"/>
          <w:lang w:eastAsia="zh-CN"/>
        </w:rPr>
        <w:t>、市容整治、维护劝阻</w:t>
      </w:r>
      <w:r>
        <w:rPr>
          <w:rFonts w:hint="eastAsia" w:ascii="宋体" w:hAnsi="宋体" w:eastAsia="宋体" w:cs="宋体"/>
          <w:color w:val="000000"/>
          <w:sz w:val="24"/>
          <w:szCs w:val="24"/>
          <w:highlight w:val="none"/>
        </w:rPr>
        <w:t>工作，确保我镇乡村清洁工作能够有序、正常开展。</w:t>
      </w:r>
      <w:r>
        <w:rPr>
          <w:rFonts w:hint="eastAsia" w:ascii="宋体" w:hAnsi="宋体" w:eastAsia="宋体" w:cs="宋体"/>
          <w:color w:val="auto"/>
          <w:sz w:val="24"/>
          <w:szCs w:val="24"/>
          <w:highlight w:val="none"/>
        </w:rPr>
        <w:t>如乙方</w:t>
      </w:r>
      <w:r>
        <w:rPr>
          <w:rFonts w:hint="eastAsia" w:ascii="宋体" w:hAnsi="宋体" w:eastAsia="宋体" w:cs="宋体"/>
          <w:color w:val="auto"/>
          <w:sz w:val="24"/>
          <w:szCs w:val="24"/>
          <w:highlight w:val="none"/>
          <w:lang w:val="en-US" w:eastAsia="zh-CN"/>
        </w:rPr>
        <w:t>连续2个月未能按照工作内容及标准执行</w:t>
      </w:r>
      <w:r>
        <w:rPr>
          <w:rFonts w:hint="eastAsia" w:ascii="宋体" w:hAnsi="宋体" w:eastAsia="宋体" w:cs="宋体"/>
          <w:color w:val="auto"/>
          <w:sz w:val="24"/>
          <w:szCs w:val="24"/>
          <w:highlight w:val="none"/>
        </w:rPr>
        <w:t>，甲方有权终止</w:t>
      </w:r>
      <w:r>
        <w:rPr>
          <w:rFonts w:hint="eastAsia" w:ascii="宋体" w:hAnsi="宋体" w:eastAsia="宋体" w:cs="宋体"/>
          <w:color w:val="auto"/>
          <w:sz w:val="24"/>
          <w:szCs w:val="24"/>
          <w:highlight w:val="none"/>
          <w:lang w:val="en-US" w:eastAsia="zh-CN"/>
        </w:rPr>
        <w:t>该合同</w:t>
      </w:r>
      <w:r>
        <w:rPr>
          <w:rFonts w:hint="eastAsia" w:ascii="宋体" w:hAnsi="宋体" w:eastAsia="宋体" w:cs="宋体"/>
          <w:color w:val="auto"/>
          <w:sz w:val="24"/>
          <w:szCs w:val="24"/>
          <w:highlight w:val="none"/>
        </w:rPr>
        <w:t>。</w:t>
      </w:r>
    </w:p>
    <w:p w14:paraId="18F69E9F">
      <w:pPr>
        <w:keepNext w:val="0"/>
        <w:keepLines w:val="0"/>
        <w:pageBreakBefore w:val="0"/>
        <w:kinsoku/>
        <w:wordWrap/>
        <w:overflowPunct/>
        <w:topLinePunct w:val="0"/>
        <w:autoSpaceDE/>
        <w:autoSpaceDN/>
        <w:bidi w:val="0"/>
        <w:adjustRightInd/>
        <w:snapToGrid/>
        <w:spacing w:after="0" w:line="360" w:lineRule="auto"/>
        <w:ind w:left="0" w:right="0" w:firstLine="480" w:firstLineChars="200"/>
        <w:jc w:val="both"/>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（一）工作内容及标准</w:t>
      </w:r>
    </w:p>
    <w:p w14:paraId="784B0839">
      <w:pPr>
        <w:keepNext w:val="0"/>
        <w:keepLines w:val="0"/>
        <w:pageBreakBefore w:val="0"/>
        <w:kinsoku/>
        <w:wordWrap/>
        <w:overflowPunct/>
        <w:topLinePunct w:val="0"/>
        <w:autoSpaceDE/>
        <w:autoSpaceDN/>
        <w:bidi w:val="0"/>
        <w:adjustRightInd/>
        <w:snapToGrid/>
        <w:spacing w:after="0" w:line="360" w:lineRule="auto"/>
        <w:ind w:left="0" w:right="0" w:firstLine="482" w:firstLineChars="200"/>
        <w:jc w:val="both"/>
        <w:textAlignment w:val="auto"/>
        <w:rPr>
          <w:rFonts w:hint="eastAsia" w:ascii="宋体" w:hAnsi="宋体" w:eastAsia="宋体" w:cs="宋体"/>
          <w:b/>
          <w:sz w:val="24"/>
          <w:szCs w:val="24"/>
          <w:highlight w:val="none"/>
          <w:lang w:val="en-US" w:eastAsia="zh-CN"/>
        </w:rPr>
      </w:pPr>
      <w:r>
        <w:rPr>
          <w:rFonts w:hint="eastAsia" w:ascii="宋体" w:hAnsi="宋体" w:eastAsia="宋体" w:cs="宋体"/>
          <w:b/>
          <w:sz w:val="24"/>
          <w:szCs w:val="24"/>
          <w:highlight w:val="none"/>
        </w:rPr>
        <w:t>1.集镇保洁、垃圾清运</w:t>
      </w:r>
      <w:r>
        <w:rPr>
          <w:rFonts w:hint="eastAsia" w:ascii="宋体" w:hAnsi="宋体" w:eastAsia="宋体" w:cs="宋体"/>
          <w:b/>
          <w:sz w:val="24"/>
          <w:szCs w:val="24"/>
          <w:highlight w:val="none"/>
          <w:lang w:val="en-US" w:eastAsia="zh-CN"/>
        </w:rPr>
        <w:t>及市容整治</w:t>
      </w:r>
    </w:p>
    <w:p w14:paraId="23143349">
      <w:pPr>
        <w:keepNext w:val="0"/>
        <w:keepLines w:val="0"/>
        <w:pageBreakBefore w:val="0"/>
        <w:kinsoku/>
        <w:wordWrap/>
        <w:overflowPunct/>
        <w:topLinePunct w:val="0"/>
        <w:autoSpaceDE/>
        <w:autoSpaceDN/>
        <w:bidi w:val="0"/>
        <w:adjustRightInd/>
        <w:snapToGrid/>
        <w:spacing w:after="0" w:line="360" w:lineRule="auto"/>
        <w:ind w:left="0" w:righ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①做好</w:t>
      </w:r>
      <w:r>
        <w:rPr>
          <w:rFonts w:hint="eastAsia" w:ascii="宋体" w:hAnsi="宋体" w:eastAsia="宋体" w:cs="宋体"/>
          <w:sz w:val="24"/>
          <w:szCs w:val="24"/>
          <w:highlight w:val="none"/>
          <w:lang w:val="en-US" w:eastAsia="zh-CN"/>
        </w:rPr>
        <w:t>集镇</w:t>
      </w:r>
      <w:r>
        <w:rPr>
          <w:rFonts w:hint="eastAsia" w:ascii="宋体" w:hAnsi="宋体" w:eastAsia="宋体" w:cs="宋体"/>
          <w:sz w:val="24"/>
          <w:szCs w:val="24"/>
          <w:highlight w:val="none"/>
        </w:rPr>
        <w:t>责任区域内各条街道小巷、路段保洁</w:t>
      </w:r>
      <w:r>
        <w:rPr>
          <w:rFonts w:hint="eastAsia" w:ascii="宋体" w:hAnsi="宋体" w:eastAsia="宋体" w:cs="宋体"/>
          <w:sz w:val="24"/>
          <w:szCs w:val="24"/>
          <w:highlight w:val="none"/>
          <w:lang w:eastAsia="zh-CN"/>
        </w:rPr>
        <w:t>及市容维护</w:t>
      </w:r>
      <w:r>
        <w:rPr>
          <w:rFonts w:hint="eastAsia" w:ascii="宋体" w:hAnsi="宋体" w:eastAsia="宋体" w:cs="宋体"/>
          <w:sz w:val="24"/>
          <w:szCs w:val="24"/>
          <w:highlight w:val="none"/>
        </w:rPr>
        <w:t>工作，将范围内的垃圾箱（池）的垃圾组织清运，杜绝遗留卫生死角，做到</w:t>
      </w:r>
      <w:r>
        <w:rPr>
          <w:rFonts w:hint="eastAsia" w:ascii="宋体" w:hAnsi="宋体" w:eastAsia="宋体" w:cs="宋体"/>
          <w:color w:val="000000"/>
          <w:sz w:val="24"/>
          <w:szCs w:val="24"/>
          <w:highlight w:val="none"/>
        </w:rPr>
        <w:t>路面清洁干净无垃圾，人行道上无杂草，街道、主要道路两旁无“牛皮癣”，及时清除小广告；乙方必须负责清理垃圾池（桶）</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2米范围内）</w:t>
      </w:r>
      <w:r>
        <w:rPr>
          <w:rFonts w:hint="eastAsia" w:ascii="宋体" w:hAnsi="宋体" w:eastAsia="宋体" w:cs="宋体"/>
          <w:color w:val="000000"/>
          <w:sz w:val="24"/>
          <w:szCs w:val="24"/>
          <w:highlight w:val="none"/>
        </w:rPr>
        <w:t>周围的垃圾，确保垃圾池（桶）外无垃圾</w:t>
      </w:r>
      <w:r>
        <w:rPr>
          <w:rFonts w:hint="eastAsia" w:ascii="宋体" w:hAnsi="宋体" w:eastAsia="宋体" w:cs="宋体"/>
          <w:sz w:val="24"/>
          <w:szCs w:val="24"/>
          <w:highlight w:val="none"/>
        </w:rPr>
        <w:t>。</w:t>
      </w:r>
    </w:p>
    <w:p w14:paraId="40871FD1">
      <w:pPr>
        <w:keepNext w:val="0"/>
        <w:keepLines w:val="0"/>
        <w:pageBreakBefore w:val="0"/>
        <w:kinsoku/>
        <w:wordWrap/>
        <w:overflowPunct/>
        <w:topLinePunct w:val="0"/>
        <w:autoSpaceDE/>
        <w:autoSpaceDN/>
        <w:bidi w:val="0"/>
        <w:adjustRightInd/>
        <w:snapToGrid/>
        <w:spacing w:after="0" w:line="360" w:lineRule="auto"/>
        <w:ind w:left="0" w:righ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②每天上门收集集镇住户（商户）的垃圾</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每日</w:t>
      </w:r>
      <w:r>
        <w:rPr>
          <w:rFonts w:hint="eastAsia" w:ascii="宋体" w:hAnsi="宋体" w:eastAsia="宋体" w:cs="宋体"/>
          <w:sz w:val="24"/>
          <w:szCs w:val="24"/>
          <w:highlight w:val="none"/>
        </w:rPr>
        <w:t>对集镇内垃圾池（桶）的垃圾进行清运。</w:t>
      </w:r>
    </w:p>
    <w:p w14:paraId="5D83D304">
      <w:pPr>
        <w:keepNext w:val="0"/>
        <w:keepLines w:val="0"/>
        <w:pageBreakBefore w:val="0"/>
        <w:kinsoku/>
        <w:wordWrap/>
        <w:overflowPunct/>
        <w:topLinePunct w:val="0"/>
        <w:autoSpaceDE/>
        <w:autoSpaceDN/>
        <w:bidi w:val="0"/>
        <w:adjustRightInd/>
        <w:snapToGrid/>
        <w:spacing w:after="0" w:line="360" w:lineRule="auto"/>
        <w:ind w:left="0" w:right="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sz w:val="24"/>
          <w:szCs w:val="24"/>
          <w:highlight w:val="none"/>
        </w:rPr>
        <w:t>③做</w:t>
      </w:r>
      <w:r>
        <w:rPr>
          <w:rFonts w:hint="eastAsia" w:ascii="宋体" w:hAnsi="宋体" w:eastAsia="宋体" w:cs="宋体"/>
          <w:sz w:val="24"/>
          <w:szCs w:val="24"/>
          <w:highlight w:val="none"/>
          <w:lang w:eastAsia="zh-CN"/>
        </w:rPr>
        <w:t>好</w:t>
      </w:r>
      <w:r>
        <w:rPr>
          <w:rFonts w:hint="eastAsia" w:ascii="宋体" w:hAnsi="宋体" w:eastAsia="宋体" w:cs="宋体"/>
          <w:sz w:val="24"/>
          <w:szCs w:val="24"/>
          <w:highlight w:val="none"/>
        </w:rPr>
        <w:t>三里坳</w:t>
      </w:r>
      <w:r>
        <w:rPr>
          <w:rFonts w:hint="eastAsia" w:ascii="宋体" w:hAnsi="宋体" w:eastAsia="宋体" w:cs="宋体"/>
          <w:sz w:val="24"/>
          <w:szCs w:val="24"/>
          <w:highlight w:val="none"/>
          <w:lang w:val="en-US" w:eastAsia="zh-CN"/>
        </w:rPr>
        <w:t>垃圾</w:t>
      </w:r>
      <w:r>
        <w:rPr>
          <w:rFonts w:hint="eastAsia" w:ascii="宋体" w:hAnsi="宋体" w:eastAsia="宋体" w:cs="宋体"/>
          <w:sz w:val="24"/>
          <w:szCs w:val="24"/>
          <w:highlight w:val="none"/>
        </w:rPr>
        <w:t>中转站的日常管理维护，负责人员的安排、车辆进出登记</w:t>
      </w:r>
      <w:r>
        <w:rPr>
          <w:rFonts w:hint="eastAsia" w:ascii="宋体" w:hAnsi="宋体" w:eastAsia="宋体" w:cs="宋体"/>
          <w:sz w:val="24"/>
          <w:szCs w:val="24"/>
          <w:highlight w:val="none"/>
          <w:lang w:eastAsia="zh-CN"/>
        </w:rPr>
        <w:t>、</w:t>
      </w:r>
      <w:r>
        <w:rPr>
          <w:rFonts w:hint="eastAsia" w:ascii="宋体" w:hAnsi="宋体" w:eastAsia="宋体" w:cs="宋体"/>
          <w:color w:val="auto"/>
          <w:sz w:val="24"/>
          <w:szCs w:val="24"/>
          <w:highlight w:val="none"/>
          <w:lang w:val="en-US" w:eastAsia="zh-CN"/>
        </w:rPr>
        <w:t>支付中转站的电费</w:t>
      </w:r>
      <w:r>
        <w:rPr>
          <w:rFonts w:hint="eastAsia" w:ascii="宋体" w:hAnsi="宋体" w:eastAsia="宋体" w:cs="宋体"/>
          <w:sz w:val="24"/>
          <w:szCs w:val="24"/>
          <w:highlight w:val="none"/>
        </w:rPr>
        <w:t>等，确保垃圾中转站的正常工作运转。</w:t>
      </w:r>
      <w:r>
        <w:rPr>
          <w:rFonts w:hint="eastAsia" w:ascii="宋体" w:hAnsi="宋体" w:eastAsia="宋体" w:cs="宋体"/>
          <w:color w:val="auto"/>
          <w:sz w:val="24"/>
          <w:szCs w:val="24"/>
          <w:highlight w:val="none"/>
          <w:lang w:val="en-US" w:eastAsia="zh-CN"/>
        </w:rPr>
        <w:t>督促转运单位及时对中转站的垃圾进行转运，严禁焚烧垃圾，</w:t>
      </w:r>
      <w:r>
        <w:rPr>
          <w:rFonts w:hint="eastAsia" w:ascii="宋体" w:hAnsi="宋体" w:eastAsia="宋体" w:cs="宋体"/>
          <w:color w:val="auto"/>
          <w:sz w:val="24"/>
          <w:szCs w:val="24"/>
          <w:highlight w:val="none"/>
        </w:rPr>
        <w:t>禁止垃圾堆积，做到日产日清，保持清洁卫生。</w:t>
      </w:r>
    </w:p>
    <w:p w14:paraId="3158EC52">
      <w:pPr>
        <w:keepNext w:val="0"/>
        <w:keepLines w:val="0"/>
        <w:pageBreakBefore w:val="0"/>
        <w:kinsoku/>
        <w:wordWrap/>
        <w:overflowPunct/>
        <w:topLinePunct w:val="0"/>
        <w:autoSpaceDE/>
        <w:autoSpaceDN/>
        <w:bidi w:val="0"/>
        <w:adjustRightInd/>
        <w:snapToGrid/>
        <w:spacing w:after="0" w:line="360" w:lineRule="auto"/>
        <w:ind w:left="0" w:right="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④集镇歌圩</w:t>
      </w:r>
      <w:r>
        <w:rPr>
          <w:rFonts w:hint="eastAsia" w:ascii="宋体" w:hAnsi="宋体" w:eastAsia="宋体" w:cs="宋体"/>
          <w:color w:val="auto"/>
          <w:sz w:val="24"/>
          <w:szCs w:val="24"/>
          <w:highlight w:val="none"/>
          <w:lang w:val="en-US" w:eastAsia="zh-CN"/>
        </w:rPr>
        <w:t>场地及公共厕所，每周打扫一次，厕所</w:t>
      </w:r>
      <w:r>
        <w:rPr>
          <w:rFonts w:hint="eastAsia" w:ascii="宋体" w:hAnsi="宋体" w:eastAsia="宋体" w:cs="宋体"/>
          <w:color w:val="auto"/>
          <w:sz w:val="24"/>
          <w:szCs w:val="24"/>
          <w:highlight w:val="none"/>
        </w:rPr>
        <w:t>无异味。</w:t>
      </w:r>
    </w:p>
    <w:p w14:paraId="32428282">
      <w:pPr>
        <w:keepNext w:val="0"/>
        <w:keepLines w:val="0"/>
        <w:pageBreakBefore w:val="0"/>
        <w:kinsoku/>
        <w:wordWrap/>
        <w:overflowPunct/>
        <w:topLinePunct w:val="0"/>
        <w:autoSpaceDE/>
        <w:autoSpaceDN/>
        <w:bidi w:val="0"/>
        <w:adjustRightInd/>
        <w:snapToGrid/>
        <w:spacing w:after="0" w:line="360" w:lineRule="auto"/>
        <w:ind w:left="0" w:right="0" w:firstLine="482" w:firstLineChars="200"/>
        <w:jc w:val="both"/>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lang w:val="en-US" w:eastAsia="zh-CN"/>
        </w:rPr>
        <w:t>2</w:t>
      </w:r>
      <w:r>
        <w:rPr>
          <w:rFonts w:hint="eastAsia" w:ascii="宋体" w:hAnsi="宋体" w:eastAsia="宋体" w:cs="宋体"/>
          <w:b/>
          <w:sz w:val="24"/>
          <w:szCs w:val="24"/>
          <w:highlight w:val="none"/>
        </w:rPr>
        <w:t>.</w:t>
      </w:r>
      <w:r>
        <w:rPr>
          <w:rFonts w:hint="eastAsia" w:ascii="宋体" w:hAnsi="宋体" w:eastAsia="宋体" w:cs="宋体"/>
          <w:b/>
          <w:sz w:val="24"/>
          <w:szCs w:val="24"/>
          <w:highlight w:val="none"/>
          <w:lang w:val="en-US" w:eastAsia="zh-CN"/>
        </w:rPr>
        <w:t>社区、</w:t>
      </w:r>
      <w:r>
        <w:rPr>
          <w:rFonts w:hint="eastAsia" w:ascii="宋体" w:hAnsi="宋体" w:eastAsia="宋体" w:cs="宋体"/>
          <w:b/>
          <w:sz w:val="24"/>
          <w:szCs w:val="24"/>
          <w:highlight w:val="none"/>
        </w:rPr>
        <w:t>村屯垃圾清运</w:t>
      </w:r>
    </w:p>
    <w:p w14:paraId="699EA676">
      <w:pPr>
        <w:keepNext w:val="0"/>
        <w:keepLines w:val="0"/>
        <w:pageBreakBefore w:val="0"/>
        <w:kinsoku/>
        <w:wordWrap/>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乙方必须按各村</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社区</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规定的责任范围进行垃圾清理，负责清理群众已经收集集中在垃圾池（箱）的垃圾并运</w:t>
      </w:r>
      <w:r>
        <w:rPr>
          <w:rFonts w:hint="eastAsia" w:ascii="宋体" w:hAnsi="宋体" w:eastAsia="宋体" w:cs="宋体"/>
          <w:color w:val="000000"/>
          <w:sz w:val="24"/>
          <w:szCs w:val="24"/>
          <w:highlight w:val="none"/>
          <w:lang w:val="en-US" w:eastAsia="zh-CN"/>
        </w:rPr>
        <w:t>送</w:t>
      </w:r>
      <w:r>
        <w:rPr>
          <w:rFonts w:hint="eastAsia" w:ascii="宋体" w:hAnsi="宋体" w:eastAsia="宋体" w:cs="宋体"/>
          <w:color w:val="000000"/>
          <w:sz w:val="24"/>
          <w:szCs w:val="24"/>
          <w:highlight w:val="none"/>
        </w:rPr>
        <w:t>至</w:t>
      </w:r>
      <w:r>
        <w:rPr>
          <w:rFonts w:hint="eastAsia" w:ascii="宋体" w:hAnsi="宋体" w:eastAsia="宋体" w:cs="宋体"/>
          <w:color w:val="000000"/>
          <w:sz w:val="24"/>
          <w:szCs w:val="24"/>
          <w:highlight w:val="none"/>
          <w:lang w:val="en-US" w:eastAsia="zh-CN"/>
        </w:rPr>
        <w:t>东泉镇</w:t>
      </w:r>
      <w:r>
        <w:rPr>
          <w:rFonts w:hint="eastAsia" w:ascii="宋体" w:hAnsi="宋体" w:eastAsia="宋体" w:cs="宋体"/>
          <w:sz w:val="24"/>
          <w:szCs w:val="24"/>
          <w:highlight w:val="none"/>
        </w:rPr>
        <w:t>三里坳</w:t>
      </w:r>
      <w:r>
        <w:rPr>
          <w:rFonts w:hint="eastAsia" w:ascii="宋体" w:hAnsi="宋体" w:eastAsia="宋体" w:cs="宋体"/>
          <w:color w:val="000000"/>
          <w:sz w:val="24"/>
          <w:szCs w:val="24"/>
          <w:highlight w:val="none"/>
        </w:rPr>
        <w:t>垃圾中转站，同时工作中要注意安全。</w:t>
      </w:r>
    </w:p>
    <w:p w14:paraId="52DE1A8B">
      <w:pPr>
        <w:keepNext w:val="0"/>
        <w:keepLines w:val="0"/>
        <w:pageBreakBefore w:val="0"/>
        <w:numPr>
          <w:ilvl w:val="0"/>
          <w:numId w:val="0"/>
        </w:numPr>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kern w:val="2"/>
          <w:sz w:val="24"/>
          <w:szCs w:val="24"/>
          <w:highlight w:val="none"/>
          <w:vertAlign w:val="baseline"/>
          <w:lang w:val="en-US" w:eastAsia="zh-CN" w:bidi="ar-SA"/>
        </w:rPr>
        <w:t>1.</w:t>
      </w:r>
      <w:r>
        <w:rPr>
          <w:rFonts w:hint="eastAsia" w:ascii="宋体" w:hAnsi="宋体" w:eastAsia="宋体" w:cs="宋体"/>
          <w:sz w:val="24"/>
          <w:szCs w:val="24"/>
          <w:highlight w:val="none"/>
          <w:vertAlign w:val="baseline"/>
          <w:lang w:val="en-US" w:eastAsia="zh-CN"/>
        </w:rPr>
        <w:t>东泉社区的垃圾每日清运1次；</w:t>
      </w:r>
    </w:p>
    <w:p w14:paraId="0A81FF78">
      <w:pPr>
        <w:keepNext w:val="0"/>
        <w:keepLines w:val="0"/>
        <w:pageBreakBefore w:val="0"/>
        <w:numPr>
          <w:ilvl w:val="0"/>
          <w:numId w:val="0"/>
        </w:numPr>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vertAlign w:val="baseline"/>
        </w:rPr>
      </w:pPr>
      <w:r>
        <w:rPr>
          <w:rFonts w:hint="eastAsia" w:ascii="宋体" w:hAnsi="宋体" w:eastAsia="宋体" w:cs="宋体"/>
          <w:kern w:val="2"/>
          <w:sz w:val="24"/>
          <w:szCs w:val="24"/>
          <w:highlight w:val="none"/>
          <w:vertAlign w:val="baseline"/>
          <w:lang w:val="en-US" w:eastAsia="zh-CN" w:bidi="ar-SA"/>
        </w:rPr>
        <w:t>2.</w:t>
      </w:r>
      <w:r>
        <w:rPr>
          <w:rFonts w:hint="eastAsia" w:ascii="宋体" w:hAnsi="宋体" w:eastAsia="宋体" w:cs="宋体"/>
          <w:sz w:val="24"/>
          <w:szCs w:val="24"/>
          <w:highlight w:val="none"/>
          <w:vertAlign w:val="baseline"/>
          <w:lang w:val="en-US" w:eastAsia="zh-CN"/>
        </w:rPr>
        <w:t>西安社区、西安村、、中段村、走马村、雷塘村、尖石村、对河村、永安村,1个社区7个行政村各屯</w:t>
      </w:r>
      <w:r>
        <w:rPr>
          <w:rFonts w:hint="eastAsia" w:ascii="宋体" w:hAnsi="宋体" w:eastAsia="宋体" w:cs="宋体"/>
          <w:sz w:val="24"/>
          <w:szCs w:val="24"/>
          <w:highlight w:val="none"/>
          <w:vertAlign w:val="baseline"/>
        </w:rPr>
        <w:t>的垃圾</w:t>
      </w:r>
      <w:r>
        <w:rPr>
          <w:rFonts w:hint="eastAsia" w:ascii="宋体" w:hAnsi="宋体" w:eastAsia="宋体" w:cs="宋体"/>
          <w:sz w:val="24"/>
          <w:szCs w:val="24"/>
          <w:highlight w:val="none"/>
          <w:vertAlign w:val="baseline"/>
          <w:lang w:val="en-US" w:eastAsia="zh-CN"/>
        </w:rPr>
        <w:t>最多间隔两</w:t>
      </w:r>
      <w:r>
        <w:rPr>
          <w:rFonts w:hint="eastAsia" w:ascii="宋体" w:hAnsi="宋体" w:eastAsia="宋体" w:cs="宋体"/>
          <w:sz w:val="24"/>
          <w:szCs w:val="24"/>
          <w:highlight w:val="none"/>
          <w:vertAlign w:val="baseline"/>
        </w:rPr>
        <w:t>天清运</w:t>
      </w:r>
      <w:r>
        <w:rPr>
          <w:rFonts w:hint="eastAsia" w:ascii="宋体" w:hAnsi="宋体" w:eastAsia="宋体" w:cs="宋体"/>
          <w:sz w:val="24"/>
          <w:szCs w:val="24"/>
          <w:highlight w:val="none"/>
          <w:vertAlign w:val="baseline"/>
          <w:lang w:val="en-US" w:eastAsia="zh-CN"/>
        </w:rPr>
        <w:t>1次；</w:t>
      </w:r>
    </w:p>
    <w:p w14:paraId="756A5902">
      <w:pPr>
        <w:keepNext w:val="0"/>
        <w:keepLines w:val="0"/>
        <w:pageBreakBefore w:val="0"/>
        <w:numPr>
          <w:ilvl w:val="0"/>
          <w:numId w:val="0"/>
        </w:numPr>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vertAlign w:val="baseline"/>
        </w:rPr>
      </w:pPr>
      <w:r>
        <w:rPr>
          <w:rFonts w:hint="eastAsia" w:ascii="宋体" w:hAnsi="宋体" w:eastAsia="宋体" w:cs="宋体"/>
          <w:kern w:val="2"/>
          <w:sz w:val="24"/>
          <w:szCs w:val="24"/>
          <w:highlight w:val="none"/>
          <w:vertAlign w:val="baseline"/>
          <w:lang w:val="en-US" w:eastAsia="zh-CN" w:bidi="ar-SA"/>
        </w:rPr>
        <w:t>3.</w:t>
      </w:r>
      <w:r>
        <w:rPr>
          <w:rFonts w:hint="eastAsia" w:ascii="宋体" w:hAnsi="宋体" w:eastAsia="宋体" w:cs="宋体"/>
          <w:sz w:val="24"/>
          <w:szCs w:val="24"/>
          <w:highlight w:val="none"/>
          <w:vertAlign w:val="baseline"/>
          <w:lang w:val="en-US" w:eastAsia="zh-CN"/>
        </w:rPr>
        <w:t>高田村、新龙村、莫道村、螺田村、青山村、洲村村、大樟村、前屯村、碑塘村、思江村、凉亭村、黄塘村，12个行政村</w:t>
      </w:r>
      <w:r>
        <w:rPr>
          <w:rFonts w:hint="eastAsia" w:ascii="宋体" w:hAnsi="宋体" w:eastAsia="宋体" w:cs="宋体"/>
          <w:sz w:val="24"/>
          <w:szCs w:val="24"/>
          <w:highlight w:val="none"/>
          <w:vertAlign w:val="baseline"/>
        </w:rPr>
        <w:t>各屯的垃圾</w:t>
      </w:r>
      <w:r>
        <w:rPr>
          <w:rFonts w:hint="eastAsia" w:ascii="宋体" w:hAnsi="宋体" w:eastAsia="宋体" w:cs="宋体"/>
          <w:sz w:val="24"/>
          <w:szCs w:val="24"/>
          <w:highlight w:val="none"/>
          <w:vertAlign w:val="baseline"/>
          <w:lang w:val="en-US" w:eastAsia="zh-CN"/>
        </w:rPr>
        <w:t>最多间隔三</w:t>
      </w:r>
      <w:r>
        <w:rPr>
          <w:rFonts w:hint="eastAsia" w:ascii="宋体" w:hAnsi="宋体" w:eastAsia="宋体" w:cs="宋体"/>
          <w:sz w:val="24"/>
          <w:szCs w:val="24"/>
          <w:highlight w:val="none"/>
          <w:vertAlign w:val="baseline"/>
        </w:rPr>
        <w:t>天清运</w:t>
      </w:r>
      <w:r>
        <w:rPr>
          <w:rFonts w:hint="eastAsia" w:ascii="宋体" w:hAnsi="宋体" w:eastAsia="宋体" w:cs="宋体"/>
          <w:sz w:val="24"/>
          <w:szCs w:val="24"/>
          <w:highlight w:val="none"/>
          <w:vertAlign w:val="baseline"/>
          <w:lang w:val="en-US" w:eastAsia="zh-CN"/>
        </w:rPr>
        <w:t>1次</w:t>
      </w:r>
      <w:r>
        <w:rPr>
          <w:rFonts w:hint="eastAsia" w:ascii="宋体" w:hAnsi="宋体" w:eastAsia="宋体" w:cs="宋体"/>
          <w:sz w:val="24"/>
          <w:szCs w:val="24"/>
          <w:highlight w:val="none"/>
          <w:vertAlign w:val="baseline"/>
        </w:rPr>
        <w:t>。</w:t>
      </w:r>
    </w:p>
    <w:p w14:paraId="41BA9163">
      <w:pPr>
        <w:keepNext w:val="0"/>
        <w:keepLines w:val="0"/>
        <w:pageBreakBefore w:val="0"/>
        <w:kinsoku/>
        <w:wordWrap/>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（二）人员、设备管理要求：</w:t>
      </w:r>
    </w:p>
    <w:p w14:paraId="370C80BA">
      <w:pPr>
        <w:keepNext w:val="0"/>
        <w:keepLines w:val="0"/>
        <w:pageBreakBefore w:val="0"/>
        <w:kinsoku/>
        <w:wordWrap/>
        <w:overflowPunct/>
        <w:topLinePunct w:val="0"/>
        <w:autoSpaceDE/>
        <w:autoSpaceDN/>
        <w:bidi w:val="0"/>
        <w:adjustRightInd/>
        <w:snapToGrid/>
        <w:spacing w:after="0" w:line="360" w:lineRule="auto"/>
        <w:ind w:left="0" w:right="0" w:firstLine="480" w:firstLineChars="200"/>
        <w:jc w:val="both"/>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rPr>
        <w:t>1</w:t>
      </w:r>
      <w:r>
        <w:rPr>
          <w:rFonts w:hint="eastAsia" w:ascii="宋体" w:hAnsi="宋体" w:eastAsia="宋体" w:cs="宋体"/>
          <w:color w:val="000000"/>
          <w:sz w:val="24"/>
          <w:szCs w:val="24"/>
          <w:highlight w:val="none"/>
          <w:lang w:val="en-US" w:eastAsia="zh-CN"/>
        </w:rPr>
        <w:t>.</w:t>
      </w:r>
      <w:r>
        <w:rPr>
          <w:rFonts w:hint="eastAsia" w:ascii="宋体" w:hAnsi="宋体" w:eastAsia="宋体" w:cs="宋体"/>
          <w:color w:val="000000"/>
          <w:sz w:val="24"/>
          <w:szCs w:val="24"/>
          <w:highlight w:val="none"/>
        </w:rPr>
        <w:t>乙方自行配置动力垃圾车及其他清扫用具，配备装卸垃圾工作人员，人工费由乙方承担；同时要求乙方对配备人员队伍管理有序，遵纪守法，服从工作安排，乙方</w:t>
      </w:r>
      <w:r>
        <w:rPr>
          <w:rFonts w:hint="eastAsia" w:ascii="宋体" w:hAnsi="宋体" w:eastAsia="宋体" w:cs="宋体"/>
          <w:color w:val="000000"/>
          <w:sz w:val="24"/>
          <w:szCs w:val="24"/>
          <w:highlight w:val="none"/>
          <w:lang w:val="en-US" w:eastAsia="zh-CN"/>
        </w:rPr>
        <w:t>需按照《劳动法》给</w:t>
      </w:r>
      <w:r>
        <w:rPr>
          <w:rFonts w:hint="eastAsia" w:ascii="宋体" w:hAnsi="宋体" w:eastAsia="宋体" w:cs="宋体"/>
          <w:color w:val="000000"/>
          <w:sz w:val="24"/>
          <w:szCs w:val="24"/>
          <w:highlight w:val="none"/>
        </w:rPr>
        <w:t>聘请的工作人员</w:t>
      </w:r>
      <w:r>
        <w:rPr>
          <w:rFonts w:hint="eastAsia" w:ascii="宋体" w:hAnsi="宋体" w:eastAsia="宋体" w:cs="宋体"/>
          <w:color w:val="000000"/>
          <w:sz w:val="24"/>
          <w:szCs w:val="24"/>
          <w:highlight w:val="none"/>
          <w:lang w:val="en-US" w:eastAsia="zh-CN"/>
        </w:rPr>
        <w:t>购买相应的人生安全保险</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如有乙方聘请的相关工作人员或者第三方人员发生事故死亡或者受伤及财产损失的由乙方承担全部责任与甲方无关。</w:t>
      </w:r>
    </w:p>
    <w:p w14:paraId="40D92B36">
      <w:pPr>
        <w:keepNext w:val="0"/>
        <w:keepLines w:val="0"/>
        <w:pageBreakBefore w:val="0"/>
        <w:widowControl/>
        <w:kinsoku/>
        <w:wordWrap/>
        <w:overflowPunct/>
        <w:topLinePunct w:val="0"/>
        <w:autoSpaceDE/>
        <w:autoSpaceDN/>
        <w:bidi w:val="0"/>
        <w:adjustRightInd/>
        <w:snapToGrid/>
        <w:spacing w:after="0" w:line="360" w:lineRule="auto"/>
        <w:ind w:left="0" w:right="0" w:firstLine="480" w:firstLineChars="200"/>
        <w:jc w:val="both"/>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rPr>
        <w:t>2</w:t>
      </w:r>
      <w:r>
        <w:rPr>
          <w:rFonts w:hint="eastAsia" w:ascii="宋体" w:hAnsi="宋体" w:eastAsia="宋体" w:cs="宋体"/>
          <w:color w:val="000000"/>
          <w:sz w:val="24"/>
          <w:szCs w:val="24"/>
          <w:highlight w:val="none"/>
          <w:lang w:val="en-US" w:eastAsia="zh-CN"/>
        </w:rPr>
        <w:t>.</w:t>
      </w:r>
      <w:r>
        <w:rPr>
          <w:rFonts w:hint="eastAsia" w:ascii="宋体" w:hAnsi="宋体" w:eastAsia="宋体" w:cs="宋体"/>
          <w:color w:val="000000"/>
          <w:sz w:val="24"/>
          <w:szCs w:val="24"/>
          <w:highlight w:val="none"/>
        </w:rPr>
        <w:t>乙方妥善管理甲方交付的环卫设备，折损及时维修，期满或终止，乙方须如数交回给甲方，损坏或丢失的要负责修复或照价赔偿。</w:t>
      </w:r>
      <w:r>
        <w:rPr>
          <w:rFonts w:hint="eastAsia" w:ascii="宋体" w:hAnsi="宋体" w:eastAsia="宋体" w:cs="宋体"/>
          <w:color w:val="000000"/>
          <w:sz w:val="24"/>
          <w:szCs w:val="24"/>
          <w:highlight w:val="none"/>
          <w:lang w:val="en-US" w:eastAsia="zh-CN"/>
        </w:rPr>
        <w:t>设备因正常老化或达到报废期限的需及时告知甲方进行处理。</w:t>
      </w:r>
    </w:p>
    <w:p w14:paraId="7E1BC5FA">
      <w:pPr>
        <w:keepNext w:val="0"/>
        <w:keepLines w:val="0"/>
        <w:pageBreakBefore w:val="0"/>
        <w:widowControl/>
        <w:kinsoku/>
        <w:wordWrap/>
        <w:overflowPunct/>
        <w:topLinePunct w:val="0"/>
        <w:autoSpaceDE/>
        <w:autoSpaceDN/>
        <w:bidi w:val="0"/>
        <w:adjustRightInd/>
        <w:snapToGrid/>
        <w:spacing w:after="0" w:line="360" w:lineRule="auto"/>
        <w:ind w:left="0" w:right="0" w:firstLine="480" w:firstLineChars="200"/>
        <w:jc w:val="both"/>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rPr>
        <w:t>3.车辆的管理维护使用，负责车辆加油维修、年检、购买保险等一切费用开支，乙方须保持车辆的正常运作，服务期间所产生的责任事故均由乙方自行承担。</w:t>
      </w:r>
      <w:r>
        <w:rPr>
          <w:rFonts w:hint="eastAsia" w:ascii="宋体" w:hAnsi="宋体" w:eastAsia="宋体" w:cs="宋体"/>
          <w:color w:val="000000"/>
          <w:sz w:val="24"/>
          <w:szCs w:val="24"/>
          <w:highlight w:val="none"/>
          <w:lang w:val="en-US" w:eastAsia="zh-CN"/>
        </w:rPr>
        <w:t>乙方管理的甲方的一切车辆、设备在乙方及其工作人员使用过程中发生的所有事故责任由乙方全部责任与甲方无关。</w:t>
      </w:r>
    </w:p>
    <w:p w14:paraId="3B6281D1">
      <w:pPr>
        <w:keepNext w:val="0"/>
        <w:keepLines w:val="0"/>
        <w:pageBreakBefore w:val="0"/>
        <w:widowControl/>
        <w:kinsoku/>
        <w:wordWrap/>
        <w:overflowPunct/>
        <w:topLinePunct w:val="0"/>
        <w:autoSpaceDE/>
        <w:autoSpaceDN/>
        <w:bidi w:val="0"/>
        <w:adjustRightInd/>
        <w:snapToGrid/>
        <w:spacing w:after="0" w:line="360" w:lineRule="auto"/>
        <w:ind w:left="0" w:right="0" w:firstLine="480" w:firstLineChars="200"/>
        <w:jc w:val="both"/>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（三）其他要求</w:t>
      </w:r>
    </w:p>
    <w:p w14:paraId="427E9DB9">
      <w:pPr>
        <w:keepNext w:val="0"/>
        <w:keepLines w:val="0"/>
        <w:pageBreakBefore w:val="0"/>
        <w:widowControl/>
        <w:kinsoku/>
        <w:wordWrap/>
        <w:overflowPunct/>
        <w:topLinePunct w:val="0"/>
        <w:autoSpaceDE/>
        <w:autoSpaceDN/>
        <w:bidi w:val="0"/>
        <w:adjustRightInd/>
        <w:snapToGrid/>
        <w:spacing w:after="0" w:line="360" w:lineRule="auto"/>
        <w:ind w:left="0" w:right="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1.乙方在合同期间，每日需收集带有时间水印的各个垃圾箱（池）的清理图片，每周第二个工作日18:00前将上一周图片报送至甲方职能部门。</w:t>
      </w:r>
    </w:p>
    <w:p w14:paraId="7BAC1DF8">
      <w:pPr>
        <w:keepNext w:val="0"/>
        <w:keepLines w:val="0"/>
        <w:pageBreakBefore w:val="0"/>
        <w:widowControl/>
        <w:kinsoku/>
        <w:wordWrap/>
        <w:overflowPunct/>
        <w:topLinePunct w:val="0"/>
        <w:autoSpaceDE/>
        <w:autoSpaceDN/>
        <w:bidi w:val="0"/>
        <w:adjustRightInd/>
        <w:snapToGrid/>
        <w:spacing w:after="0" w:line="360" w:lineRule="auto"/>
        <w:ind w:left="0" w:right="0" w:firstLine="480" w:firstLineChars="200"/>
        <w:jc w:val="both"/>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2</w:t>
      </w:r>
      <w:r>
        <w:rPr>
          <w:rFonts w:hint="eastAsia" w:ascii="宋体" w:hAnsi="宋体" w:eastAsia="宋体" w:cs="宋体"/>
          <w:color w:val="000000"/>
          <w:sz w:val="24"/>
          <w:szCs w:val="24"/>
          <w:highlight w:val="none"/>
        </w:rPr>
        <w:t>.在合同期间，如有政策变化，乙方需按新政策调整后组织实施。</w:t>
      </w:r>
    </w:p>
    <w:p w14:paraId="4639CA0A">
      <w:pPr>
        <w:keepNext w:val="0"/>
        <w:keepLines w:val="0"/>
        <w:pageBreakBefore w:val="0"/>
        <w:widowControl/>
        <w:kinsoku/>
        <w:wordWrap/>
        <w:overflowPunct/>
        <w:topLinePunct w:val="0"/>
        <w:autoSpaceDE/>
        <w:autoSpaceDN/>
        <w:bidi w:val="0"/>
        <w:adjustRightInd/>
        <w:snapToGrid/>
        <w:spacing w:after="0" w:line="360" w:lineRule="auto"/>
        <w:ind w:left="0" w:right="0" w:firstLine="480" w:firstLineChars="200"/>
        <w:jc w:val="both"/>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3</w:t>
      </w:r>
      <w:r>
        <w:rPr>
          <w:rFonts w:hint="eastAsia" w:ascii="宋体" w:hAnsi="宋体" w:eastAsia="宋体" w:cs="宋体"/>
          <w:color w:val="000000"/>
          <w:sz w:val="24"/>
          <w:szCs w:val="24"/>
          <w:highlight w:val="none"/>
        </w:rPr>
        <w:t>.如迎接上级部门检查或开展活动需要临时清理其他垃圾</w:t>
      </w:r>
      <w:r>
        <w:rPr>
          <w:rFonts w:hint="eastAsia" w:ascii="宋体" w:hAnsi="宋体" w:eastAsia="宋体" w:cs="宋体"/>
          <w:color w:val="000000"/>
          <w:sz w:val="24"/>
          <w:szCs w:val="24"/>
          <w:highlight w:val="none"/>
          <w:lang w:val="en-US" w:eastAsia="zh-CN"/>
        </w:rPr>
        <w:t>及环境卫生整治的</w:t>
      </w:r>
      <w:r>
        <w:rPr>
          <w:rFonts w:hint="eastAsia" w:ascii="宋体" w:hAnsi="宋体" w:eastAsia="宋体" w:cs="宋体"/>
          <w:color w:val="000000"/>
          <w:sz w:val="24"/>
          <w:szCs w:val="24"/>
          <w:highlight w:val="none"/>
        </w:rPr>
        <w:t>，甲方提前通知乙方，乙方须</w:t>
      </w:r>
      <w:r>
        <w:rPr>
          <w:rFonts w:hint="eastAsia" w:ascii="宋体" w:hAnsi="宋体" w:eastAsia="宋体" w:cs="宋体"/>
          <w:color w:val="000000"/>
          <w:sz w:val="24"/>
          <w:szCs w:val="24"/>
          <w:highlight w:val="none"/>
          <w:lang w:val="en-US" w:eastAsia="zh-CN"/>
        </w:rPr>
        <w:t>及时</w:t>
      </w:r>
      <w:r>
        <w:rPr>
          <w:rFonts w:hint="eastAsia" w:ascii="宋体" w:hAnsi="宋体" w:eastAsia="宋体" w:cs="宋体"/>
          <w:color w:val="000000"/>
          <w:sz w:val="24"/>
          <w:szCs w:val="24"/>
          <w:highlight w:val="none"/>
        </w:rPr>
        <w:t>按照甲方的要求安排</w:t>
      </w:r>
      <w:r>
        <w:rPr>
          <w:rFonts w:hint="eastAsia" w:ascii="宋体" w:hAnsi="宋体" w:eastAsia="宋体" w:cs="宋体"/>
          <w:color w:val="000000"/>
          <w:sz w:val="24"/>
          <w:szCs w:val="24"/>
          <w:highlight w:val="none"/>
          <w:lang w:val="en-US" w:eastAsia="zh-CN"/>
        </w:rPr>
        <w:t>人员</w:t>
      </w:r>
      <w:r>
        <w:rPr>
          <w:rFonts w:hint="eastAsia" w:ascii="宋体" w:hAnsi="宋体" w:eastAsia="宋体" w:cs="宋体"/>
          <w:color w:val="000000"/>
          <w:sz w:val="24"/>
          <w:szCs w:val="24"/>
          <w:highlight w:val="none"/>
        </w:rPr>
        <w:t>和车辆</w:t>
      </w:r>
      <w:r>
        <w:rPr>
          <w:rFonts w:hint="eastAsia" w:ascii="宋体" w:hAnsi="宋体" w:eastAsia="宋体" w:cs="宋体"/>
          <w:color w:val="auto"/>
          <w:sz w:val="24"/>
          <w:szCs w:val="24"/>
          <w:highlight w:val="none"/>
          <w:lang w:val="en-US" w:eastAsia="zh-CN"/>
        </w:rPr>
        <w:t>开展</w:t>
      </w:r>
      <w:r>
        <w:rPr>
          <w:rFonts w:hint="eastAsia" w:ascii="宋体" w:hAnsi="宋体" w:eastAsia="宋体" w:cs="宋体"/>
          <w:color w:val="000000"/>
          <w:sz w:val="24"/>
          <w:szCs w:val="24"/>
          <w:highlight w:val="none"/>
          <w:lang w:val="en-US" w:eastAsia="zh-CN"/>
        </w:rPr>
        <w:t>工作，如：节假日的整治、晚会等，同时不得额外收取保洁费和清运费。</w:t>
      </w:r>
    </w:p>
    <w:p w14:paraId="1B8B9DDA">
      <w:pPr>
        <w:keepNext w:val="0"/>
        <w:keepLines w:val="0"/>
        <w:pageBreakBefore w:val="0"/>
        <w:widowControl/>
        <w:kinsoku/>
        <w:wordWrap/>
        <w:overflowPunct/>
        <w:topLinePunct w:val="0"/>
        <w:autoSpaceDE/>
        <w:autoSpaceDN/>
        <w:bidi w:val="0"/>
        <w:adjustRightInd/>
        <w:snapToGrid/>
        <w:spacing w:after="0" w:line="360" w:lineRule="auto"/>
        <w:ind w:left="0" w:right="0" w:firstLine="480" w:firstLineChars="200"/>
        <w:jc w:val="both"/>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4.春节、节假日及其他特殊时节，垃圾量增多时，乙方必须增加人员和设备，确保清运及时有效。</w:t>
      </w:r>
    </w:p>
    <w:p w14:paraId="4CC9D965">
      <w:pPr>
        <w:keepNext w:val="0"/>
        <w:keepLines w:val="0"/>
        <w:pageBreakBefore w:val="0"/>
        <w:widowControl/>
        <w:kinsoku/>
        <w:wordWrap/>
        <w:overflowPunct/>
        <w:topLinePunct w:val="0"/>
        <w:autoSpaceDE/>
        <w:autoSpaceDN/>
        <w:bidi w:val="0"/>
        <w:adjustRightInd/>
        <w:snapToGrid/>
        <w:spacing w:after="0" w:line="360" w:lineRule="auto"/>
        <w:ind w:left="0" w:right="0" w:firstLine="480" w:firstLineChars="200"/>
        <w:jc w:val="both"/>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5.合同期内因乙方原因造成垃圾池（箱、桶）损坏的由乙方负责修缮。</w:t>
      </w:r>
    </w:p>
    <w:p w14:paraId="5D9DC83D">
      <w:pPr>
        <w:keepNext w:val="0"/>
        <w:keepLines w:val="0"/>
        <w:pageBreakBefore w:val="0"/>
        <w:widowControl/>
        <w:kinsoku/>
        <w:wordWrap/>
        <w:overflowPunct/>
        <w:topLinePunct w:val="0"/>
        <w:autoSpaceDE/>
        <w:autoSpaceDN/>
        <w:bidi w:val="0"/>
        <w:adjustRightInd/>
        <w:snapToGrid/>
        <w:spacing w:after="0" w:line="360" w:lineRule="auto"/>
        <w:ind w:right="0"/>
        <w:jc w:val="both"/>
        <w:textAlignment w:val="auto"/>
        <w:rPr>
          <w:rFonts w:hint="eastAsia" w:ascii="宋体" w:hAnsi="宋体" w:eastAsia="宋体" w:cs="宋体"/>
          <w:color w:val="000000"/>
          <w:sz w:val="24"/>
          <w:szCs w:val="24"/>
          <w:highlight w:val="none"/>
        </w:rPr>
      </w:pPr>
      <w:r>
        <w:rPr>
          <w:rFonts w:hint="eastAsia" w:ascii="宋体" w:hAnsi="宋体" w:eastAsia="宋体" w:cs="宋体"/>
          <w:b/>
          <w:bCs/>
          <w:color w:val="000000"/>
          <w:sz w:val="24"/>
          <w:szCs w:val="24"/>
          <w:highlight w:val="none"/>
        </w:rPr>
        <w:t>六、解决纠纷的方式</w:t>
      </w:r>
    </w:p>
    <w:p w14:paraId="6ECA6A1C">
      <w:pPr>
        <w:keepNext w:val="0"/>
        <w:keepLines w:val="0"/>
        <w:pageBreakBefore w:val="0"/>
        <w:widowControl/>
        <w:kinsoku/>
        <w:wordWrap/>
        <w:overflowPunct/>
        <w:topLinePunct w:val="0"/>
        <w:autoSpaceDE/>
        <w:autoSpaceDN/>
        <w:bidi w:val="0"/>
        <w:adjustRightInd/>
        <w:snapToGrid/>
        <w:spacing w:after="0" w:line="360" w:lineRule="auto"/>
        <w:ind w:left="0" w:righ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1.乙方在合同期间，须遵守约定，履行职责，如未能按合同标准实施，</w:t>
      </w:r>
      <w:r>
        <w:rPr>
          <w:rFonts w:hint="eastAsia" w:ascii="宋体" w:hAnsi="宋体" w:eastAsia="宋体" w:cs="宋体"/>
          <w:sz w:val="24"/>
          <w:szCs w:val="24"/>
          <w:highlight w:val="none"/>
          <w:lang w:val="en-US" w:eastAsia="zh-CN"/>
        </w:rPr>
        <w:t>连续</w:t>
      </w:r>
      <w:r>
        <w:rPr>
          <w:rFonts w:hint="eastAsia" w:ascii="宋体" w:hAnsi="宋体" w:eastAsia="宋体" w:cs="宋体"/>
          <w:color w:val="auto"/>
          <w:sz w:val="24"/>
          <w:szCs w:val="24"/>
          <w:highlight w:val="none"/>
          <w:lang w:val="en-US" w:eastAsia="zh-CN"/>
        </w:rPr>
        <w:t>6个月内</w:t>
      </w:r>
      <w:r>
        <w:rPr>
          <w:rFonts w:hint="eastAsia" w:ascii="宋体" w:hAnsi="宋体" w:eastAsia="宋体" w:cs="宋体"/>
          <w:color w:val="auto"/>
          <w:sz w:val="24"/>
          <w:szCs w:val="24"/>
          <w:highlight w:val="none"/>
        </w:rPr>
        <w:t>经甲方提出</w:t>
      </w:r>
      <w:r>
        <w:rPr>
          <w:rFonts w:hint="eastAsia" w:ascii="宋体" w:hAnsi="宋体" w:eastAsia="宋体" w:cs="宋体"/>
          <w:color w:val="auto"/>
          <w:sz w:val="24"/>
          <w:szCs w:val="24"/>
          <w:highlight w:val="none"/>
          <w:lang w:val="en-US" w:eastAsia="zh-CN"/>
        </w:rPr>
        <w:t>3次以上</w:t>
      </w:r>
      <w:r>
        <w:rPr>
          <w:rFonts w:hint="eastAsia" w:ascii="宋体" w:hAnsi="宋体" w:eastAsia="宋体" w:cs="宋体"/>
          <w:sz w:val="24"/>
          <w:szCs w:val="24"/>
          <w:highlight w:val="none"/>
        </w:rPr>
        <w:t>整改</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乙方未能按甲方要求整改</w:t>
      </w:r>
      <w:r>
        <w:rPr>
          <w:rFonts w:hint="eastAsia" w:ascii="宋体" w:hAnsi="宋体" w:eastAsia="宋体" w:cs="宋体"/>
          <w:sz w:val="24"/>
          <w:szCs w:val="24"/>
          <w:highlight w:val="none"/>
        </w:rPr>
        <w:t>，甲方有权终止合同。</w:t>
      </w:r>
    </w:p>
    <w:p w14:paraId="4ACD6648">
      <w:pPr>
        <w:keepNext w:val="0"/>
        <w:keepLines w:val="0"/>
        <w:pageBreakBefore w:val="0"/>
        <w:widowControl/>
        <w:kinsoku/>
        <w:wordWrap/>
        <w:overflowPunct/>
        <w:topLinePunct w:val="0"/>
        <w:autoSpaceDE/>
        <w:autoSpaceDN/>
        <w:bidi w:val="0"/>
        <w:adjustRightInd/>
        <w:snapToGrid/>
        <w:spacing w:after="0" w:line="360" w:lineRule="auto"/>
        <w:ind w:left="0" w:righ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2.甲、乙双方发生纠纷时，应尽量协商解决。协商不成时，可以向甲方所在地仲裁机构请求仲裁或向甲方所在地人民法院起诉。</w:t>
      </w:r>
    </w:p>
    <w:p w14:paraId="57A8DDC9">
      <w:pPr>
        <w:keepNext w:val="0"/>
        <w:keepLines w:val="0"/>
        <w:pageBreakBefore w:val="0"/>
        <w:widowControl/>
        <w:kinsoku/>
        <w:wordWrap/>
        <w:overflowPunct/>
        <w:topLinePunct w:val="0"/>
        <w:autoSpaceDE/>
        <w:autoSpaceDN/>
        <w:bidi w:val="0"/>
        <w:adjustRightInd/>
        <w:snapToGrid/>
        <w:spacing w:after="0" w:line="360" w:lineRule="auto"/>
        <w:ind w:left="0" w:righ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3.合同期满，甲方如有意向继续发包，乙方在同等条件下有优先权。</w:t>
      </w:r>
    </w:p>
    <w:p w14:paraId="2C86928B">
      <w:pPr>
        <w:keepNext w:val="0"/>
        <w:keepLines w:val="0"/>
        <w:pageBreakBefore w:val="0"/>
        <w:widowControl/>
        <w:kinsoku/>
        <w:wordWrap/>
        <w:overflowPunct/>
        <w:topLinePunct w:val="0"/>
        <w:autoSpaceDE/>
        <w:autoSpaceDN/>
        <w:bidi w:val="0"/>
        <w:adjustRightInd/>
        <w:snapToGrid/>
        <w:spacing w:after="0" w:line="360" w:lineRule="auto"/>
        <w:ind w:left="0" w:righ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4.在合同期间，如有政策变化，乙方须按新政策调整后组织实施。</w:t>
      </w:r>
    </w:p>
    <w:p w14:paraId="3209593A">
      <w:pPr>
        <w:keepNext w:val="0"/>
        <w:keepLines w:val="0"/>
        <w:pageBreakBefore w:val="0"/>
        <w:widowControl/>
        <w:kinsoku/>
        <w:wordWrap/>
        <w:overflowPunct/>
        <w:topLinePunct w:val="0"/>
        <w:autoSpaceDE/>
        <w:autoSpaceDN/>
        <w:bidi w:val="0"/>
        <w:adjustRightInd/>
        <w:snapToGrid/>
        <w:spacing w:after="0" w:line="360" w:lineRule="auto"/>
        <w:ind w:left="0" w:right="0"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乙方应遵守相关的法律法规和安全生产的相关工作要求，自行承担所有的安全事故责任。因乙方责任引发的安全事故、责任事故，乙方不能妥善处理，或不配合处理的，甲方可以先行处置，所产生的资金费用由乙方支付，甲方处置所产生的相关资金费用在该合同费用中抵扣。</w:t>
      </w:r>
    </w:p>
    <w:p w14:paraId="43D7F936">
      <w:pPr>
        <w:keepNext w:val="0"/>
        <w:keepLines w:val="0"/>
        <w:pageBreakBefore w:val="0"/>
        <w:widowControl/>
        <w:kinsoku/>
        <w:wordWrap/>
        <w:overflowPunct/>
        <w:topLinePunct w:val="0"/>
        <w:autoSpaceDE/>
        <w:autoSpaceDN/>
        <w:bidi w:val="0"/>
        <w:adjustRightInd/>
        <w:snapToGrid/>
        <w:spacing w:after="0" w:line="360" w:lineRule="auto"/>
        <w:ind w:left="0" w:right="0"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6.甲方可按照上级部门关于乡镇和村屯的卫生清洁工作文件或政策要求，提前和乙方终止合同。</w:t>
      </w:r>
    </w:p>
    <w:p w14:paraId="0F867C50">
      <w:pPr>
        <w:keepNext w:val="0"/>
        <w:keepLines w:val="0"/>
        <w:pageBreakBefore w:val="0"/>
        <w:widowControl/>
        <w:kinsoku/>
        <w:wordWrap/>
        <w:overflowPunct/>
        <w:topLinePunct w:val="0"/>
        <w:autoSpaceDE/>
        <w:autoSpaceDN/>
        <w:bidi w:val="0"/>
        <w:adjustRightInd/>
        <w:snapToGrid/>
        <w:spacing w:after="0" w:line="360" w:lineRule="auto"/>
        <w:ind w:left="0" w:right="0" w:firstLine="482" w:firstLineChars="200"/>
        <w:jc w:val="both"/>
        <w:textAlignment w:val="auto"/>
        <w:rPr>
          <w:rFonts w:hint="eastAsia" w:ascii="宋体" w:hAnsi="宋体" w:eastAsia="宋体" w:cs="宋体"/>
          <w:sz w:val="24"/>
          <w:szCs w:val="24"/>
          <w:highlight w:val="none"/>
          <w:lang w:eastAsia="zh-CN"/>
        </w:rPr>
      </w:pPr>
      <w:r>
        <w:rPr>
          <w:rFonts w:hint="eastAsia" w:ascii="宋体" w:hAnsi="宋体" w:eastAsia="宋体" w:cs="宋体"/>
          <w:b/>
          <w:bCs/>
          <w:sz w:val="24"/>
          <w:szCs w:val="24"/>
          <w:highlight w:val="none"/>
          <w:lang w:val="en-US" w:eastAsia="zh-CN"/>
        </w:rPr>
        <w:t>七</w:t>
      </w:r>
      <w:r>
        <w:rPr>
          <w:rFonts w:hint="eastAsia" w:ascii="宋体" w:hAnsi="宋体" w:eastAsia="宋体" w:cs="宋体"/>
          <w:b/>
          <w:bCs/>
          <w:sz w:val="24"/>
          <w:szCs w:val="24"/>
          <w:highlight w:val="none"/>
        </w:rPr>
        <w:t>、</w:t>
      </w:r>
      <w:r>
        <w:rPr>
          <w:rFonts w:hint="eastAsia" w:ascii="宋体" w:hAnsi="宋体" w:eastAsia="宋体" w:cs="宋体"/>
          <w:sz w:val="24"/>
          <w:szCs w:val="24"/>
          <w:highlight w:val="none"/>
        </w:rPr>
        <w:t>合同未尽事宜，经双方协商可另行签订补充合同，补充合同与本合同具有同等效力</w:t>
      </w:r>
      <w:r>
        <w:rPr>
          <w:rFonts w:hint="eastAsia" w:ascii="宋体" w:hAnsi="宋体" w:eastAsia="宋体" w:cs="宋体"/>
          <w:sz w:val="24"/>
          <w:szCs w:val="24"/>
          <w:highlight w:val="none"/>
          <w:lang w:eastAsia="zh-CN"/>
        </w:rPr>
        <w:t>。</w:t>
      </w:r>
    </w:p>
    <w:p w14:paraId="18FE38E5">
      <w:pPr>
        <w:keepNext w:val="0"/>
        <w:keepLines w:val="0"/>
        <w:pageBreakBefore w:val="0"/>
        <w:widowControl/>
        <w:kinsoku/>
        <w:wordWrap/>
        <w:overflowPunct/>
        <w:topLinePunct w:val="0"/>
        <w:autoSpaceDE/>
        <w:autoSpaceDN/>
        <w:bidi w:val="0"/>
        <w:adjustRightInd/>
        <w:snapToGrid/>
        <w:spacing w:after="0" w:line="360" w:lineRule="auto"/>
        <w:ind w:left="0" w:right="0" w:firstLine="482" w:firstLineChars="200"/>
        <w:jc w:val="both"/>
        <w:textAlignment w:val="auto"/>
        <w:rPr>
          <w:rFonts w:hint="eastAsia" w:ascii="宋体" w:hAnsi="宋体" w:eastAsia="宋体" w:cs="宋体"/>
          <w:sz w:val="24"/>
          <w:szCs w:val="24"/>
          <w:highlight w:val="none"/>
        </w:rPr>
      </w:pPr>
      <w:r>
        <w:rPr>
          <w:rFonts w:hint="eastAsia" w:ascii="宋体" w:hAnsi="宋体" w:eastAsia="宋体" w:cs="宋体"/>
          <w:b/>
          <w:bCs/>
          <w:sz w:val="24"/>
          <w:szCs w:val="24"/>
          <w:highlight w:val="none"/>
          <w:lang w:val="en-US" w:eastAsia="zh-CN"/>
        </w:rPr>
        <w:t>八</w:t>
      </w:r>
      <w:r>
        <w:rPr>
          <w:rFonts w:hint="eastAsia" w:ascii="宋体" w:hAnsi="宋体" w:eastAsia="宋体" w:cs="宋体"/>
          <w:b/>
          <w:bCs/>
          <w:sz w:val="24"/>
          <w:szCs w:val="24"/>
          <w:highlight w:val="none"/>
        </w:rPr>
        <w:t>、</w:t>
      </w:r>
      <w:r>
        <w:rPr>
          <w:rFonts w:hint="eastAsia" w:ascii="宋体" w:hAnsi="宋体" w:eastAsia="宋体" w:cs="宋体"/>
          <w:sz w:val="24"/>
          <w:szCs w:val="24"/>
          <w:highlight w:val="none"/>
        </w:rPr>
        <w:t>本合同一式</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份，甲、乙双方各执</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份，双方签字后</w:t>
      </w:r>
      <w:r>
        <w:rPr>
          <w:rFonts w:hint="eastAsia" w:ascii="宋体" w:hAnsi="宋体" w:eastAsia="宋体" w:cs="宋体"/>
          <w:sz w:val="24"/>
          <w:szCs w:val="24"/>
          <w:highlight w:val="none"/>
          <w:lang w:val="en-US" w:eastAsia="zh-CN"/>
        </w:rPr>
        <w:t>次月1</w:t>
      </w:r>
      <w:r>
        <w:rPr>
          <w:rFonts w:hint="eastAsia" w:ascii="宋体" w:hAnsi="宋体" w:eastAsia="宋体" w:cs="宋体"/>
          <w:sz w:val="24"/>
          <w:szCs w:val="24"/>
          <w:highlight w:val="none"/>
        </w:rPr>
        <w:t>日生效。</w:t>
      </w:r>
    </w:p>
    <w:p w14:paraId="784A121E">
      <w:pPr>
        <w:keepNext w:val="0"/>
        <w:keepLines w:val="0"/>
        <w:pageBreakBefore w:val="0"/>
        <w:widowControl/>
        <w:kinsoku/>
        <w:wordWrap/>
        <w:overflowPunct/>
        <w:topLinePunct w:val="0"/>
        <w:autoSpaceDE/>
        <w:autoSpaceDN/>
        <w:bidi w:val="0"/>
        <w:adjustRightInd/>
        <w:snapToGrid/>
        <w:spacing w:after="0" w:line="360" w:lineRule="auto"/>
        <w:ind w:left="0" w:right="0" w:firstLine="480" w:firstLineChars="200"/>
        <w:jc w:val="both"/>
        <w:textAlignment w:val="auto"/>
        <w:rPr>
          <w:rFonts w:hint="eastAsia" w:ascii="宋体" w:hAnsi="宋体" w:eastAsia="宋体" w:cs="宋体"/>
          <w:sz w:val="24"/>
          <w:szCs w:val="24"/>
          <w:highlight w:val="none"/>
        </w:rPr>
      </w:pP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82"/>
        <w:gridCol w:w="4270"/>
      </w:tblGrid>
      <w:tr w14:paraId="17994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4282" w:type="dxa"/>
            <w:noWrap w:val="0"/>
            <w:vAlign w:val="center"/>
          </w:tcPr>
          <w:p w14:paraId="3F7A6ED3">
            <w:pPr>
              <w:keepNext w:val="0"/>
              <w:keepLines w:val="0"/>
              <w:pageBreakBefore w:val="0"/>
              <w:widowControl w:val="0"/>
              <w:kinsoku/>
              <w:wordWrap w:val="0"/>
              <w:overflowPunct/>
              <w:topLinePunct w:val="0"/>
              <w:autoSpaceDE/>
              <w:autoSpaceDN/>
              <w:bidi w:val="0"/>
              <w:adjustRightInd/>
              <w:snapToGrid/>
              <w:spacing w:line="360" w:lineRule="auto"/>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甲方(章) </w:t>
            </w:r>
          </w:p>
          <w:p w14:paraId="4AD0F343">
            <w:pPr>
              <w:keepNext w:val="0"/>
              <w:keepLines w:val="0"/>
              <w:pageBreakBefore w:val="0"/>
              <w:widowControl w:val="0"/>
              <w:kinsoku/>
              <w:wordWrap w:val="0"/>
              <w:overflowPunct/>
              <w:topLinePunct w:val="0"/>
              <w:autoSpaceDE/>
              <w:autoSpaceDN/>
              <w:bidi w:val="0"/>
              <w:adjustRightInd/>
              <w:snapToGrid/>
              <w:spacing w:line="360" w:lineRule="auto"/>
              <w:jc w:val="righ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年    月    日</w:t>
            </w:r>
          </w:p>
        </w:tc>
        <w:tc>
          <w:tcPr>
            <w:tcW w:w="4270" w:type="dxa"/>
            <w:noWrap w:val="0"/>
            <w:vAlign w:val="center"/>
          </w:tcPr>
          <w:p w14:paraId="54F36EC7">
            <w:pPr>
              <w:keepNext w:val="0"/>
              <w:keepLines w:val="0"/>
              <w:pageBreakBefore w:val="0"/>
              <w:widowControl w:val="0"/>
              <w:kinsoku/>
              <w:wordWrap w:val="0"/>
              <w:overflowPunct/>
              <w:topLinePunct w:val="0"/>
              <w:autoSpaceDE/>
              <w:autoSpaceDN/>
              <w:bidi w:val="0"/>
              <w:adjustRightInd/>
              <w:snapToGrid/>
              <w:spacing w:line="360" w:lineRule="auto"/>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乙方(章)</w:t>
            </w:r>
          </w:p>
          <w:p w14:paraId="34A32226">
            <w:pPr>
              <w:keepNext w:val="0"/>
              <w:keepLines w:val="0"/>
              <w:pageBreakBefore w:val="0"/>
              <w:widowControl w:val="0"/>
              <w:kinsoku/>
              <w:wordWrap w:val="0"/>
              <w:overflowPunct/>
              <w:topLinePunct w:val="0"/>
              <w:autoSpaceDE/>
              <w:autoSpaceDN/>
              <w:bidi w:val="0"/>
              <w:adjustRightInd/>
              <w:snapToGrid/>
              <w:spacing w:line="360" w:lineRule="auto"/>
              <w:jc w:val="righ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年    月    日</w:t>
            </w:r>
          </w:p>
        </w:tc>
      </w:tr>
      <w:tr w14:paraId="0AE1E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4282" w:type="dxa"/>
            <w:noWrap w:val="0"/>
            <w:vAlign w:val="center"/>
          </w:tcPr>
          <w:p w14:paraId="27CDC43E">
            <w:pPr>
              <w:keepNext w:val="0"/>
              <w:keepLines w:val="0"/>
              <w:pageBreakBefore w:val="0"/>
              <w:widowControl w:val="0"/>
              <w:kinsoku/>
              <w:wordWrap w:val="0"/>
              <w:overflowPunct/>
              <w:topLinePunct w:val="0"/>
              <w:autoSpaceDE/>
              <w:autoSpaceDN/>
              <w:bidi w:val="0"/>
              <w:adjustRightInd/>
              <w:snapToGrid/>
              <w:spacing w:line="360" w:lineRule="auto"/>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单位地址：</w:t>
            </w:r>
          </w:p>
          <w:p w14:paraId="0D149C13">
            <w:pPr>
              <w:keepNext w:val="0"/>
              <w:keepLines w:val="0"/>
              <w:pageBreakBefore w:val="0"/>
              <w:widowControl w:val="0"/>
              <w:kinsoku/>
              <w:wordWrap w:val="0"/>
              <w:overflowPunct/>
              <w:topLinePunct w:val="0"/>
              <w:autoSpaceDE/>
              <w:autoSpaceDN/>
              <w:bidi w:val="0"/>
              <w:adjustRightInd/>
              <w:snapToGrid/>
              <w:spacing w:line="360" w:lineRule="auto"/>
              <w:textAlignment w:val="auto"/>
              <w:rPr>
                <w:rFonts w:hint="eastAsia" w:ascii="宋体" w:hAnsi="宋体" w:eastAsia="宋体" w:cs="宋体"/>
                <w:color w:val="000000"/>
                <w:sz w:val="24"/>
                <w:szCs w:val="24"/>
                <w:highlight w:val="none"/>
              </w:rPr>
            </w:pPr>
          </w:p>
        </w:tc>
        <w:tc>
          <w:tcPr>
            <w:tcW w:w="4270" w:type="dxa"/>
            <w:noWrap w:val="0"/>
            <w:vAlign w:val="center"/>
          </w:tcPr>
          <w:p w14:paraId="292CD427">
            <w:pPr>
              <w:keepNext w:val="0"/>
              <w:keepLines w:val="0"/>
              <w:pageBreakBefore w:val="0"/>
              <w:widowControl w:val="0"/>
              <w:kinsoku/>
              <w:wordWrap w:val="0"/>
              <w:overflowPunct/>
              <w:topLinePunct w:val="0"/>
              <w:autoSpaceDE/>
              <w:autoSpaceDN/>
              <w:bidi w:val="0"/>
              <w:adjustRightInd/>
              <w:snapToGrid/>
              <w:spacing w:line="360" w:lineRule="auto"/>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单位地址：</w:t>
            </w:r>
          </w:p>
        </w:tc>
      </w:tr>
      <w:tr w14:paraId="2DCE1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4282" w:type="dxa"/>
            <w:noWrap w:val="0"/>
            <w:vAlign w:val="center"/>
          </w:tcPr>
          <w:p w14:paraId="2B414F3D">
            <w:pPr>
              <w:keepNext w:val="0"/>
              <w:keepLines w:val="0"/>
              <w:pageBreakBefore w:val="0"/>
              <w:widowControl w:val="0"/>
              <w:kinsoku/>
              <w:wordWrap w:val="0"/>
              <w:overflowPunct/>
              <w:topLinePunct w:val="0"/>
              <w:autoSpaceDE/>
              <w:autoSpaceDN/>
              <w:bidi w:val="0"/>
              <w:adjustRightInd/>
              <w:snapToGrid/>
              <w:spacing w:line="360" w:lineRule="auto"/>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法定代表人：</w:t>
            </w:r>
          </w:p>
          <w:p w14:paraId="7FE88CE1">
            <w:pPr>
              <w:keepNext w:val="0"/>
              <w:keepLines w:val="0"/>
              <w:pageBreakBefore w:val="0"/>
              <w:widowControl w:val="0"/>
              <w:kinsoku/>
              <w:wordWrap w:val="0"/>
              <w:overflowPunct/>
              <w:topLinePunct w:val="0"/>
              <w:autoSpaceDE/>
              <w:autoSpaceDN/>
              <w:bidi w:val="0"/>
              <w:adjustRightInd/>
              <w:snapToGrid/>
              <w:spacing w:line="360" w:lineRule="auto"/>
              <w:textAlignment w:val="auto"/>
              <w:rPr>
                <w:rFonts w:hint="eastAsia" w:ascii="宋体" w:hAnsi="宋体" w:eastAsia="宋体" w:cs="宋体"/>
                <w:color w:val="000000"/>
                <w:sz w:val="24"/>
                <w:szCs w:val="24"/>
                <w:highlight w:val="none"/>
              </w:rPr>
            </w:pPr>
          </w:p>
        </w:tc>
        <w:tc>
          <w:tcPr>
            <w:tcW w:w="4270" w:type="dxa"/>
            <w:noWrap w:val="0"/>
            <w:vAlign w:val="center"/>
          </w:tcPr>
          <w:p w14:paraId="0F06C2BB">
            <w:pPr>
              <w:keepNext w:val="0"/>
              <w:keepLines w:val="0"/>
              <w:pageBreakBefore w:val="0"/>
              <w:widowControl w:val="0"/>
              <w:kinsoku/>
              <w:wordWrap w:val="0"/>
              <w:overflowPunct/>
              <w:topLinePunct w:val="0"/>
              <w:autoSpaceDE/>
              <w:autoSpaceDN/>
              <w:bidi w:val="0"/>
              <w:adjustRightInd/>
              <w:snapToGrid/>
              <w:spacing w:line="360" w:lineRule="auto"/>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法定代表人：</w:t>
            </w:r>
          </w:p>
        </w:tc>
      </w:tr>
      <w:tr w14:paraId="1C667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4282" w:type="dxa"/>
            <w:noWrap w:val="0"/>
            <w:vAlign w:val="center"/>
          </w:tcPr>
          <w:p w14:paraId="0CF9BCAA">
            <w:pPr>
              <w:keepNext w:val="0"/>
              <w:keepLines w:val="0"/>
              <w:pageBreakBefore w:val="0"/>
              <w:widowControl w:val="0"/>
              <w:kinsoku/>
              <w:wordWrap w:val="0"/>
              <w:overflowPunct/>
              <w:topLinePunct w:val="0"/>
              <w:autoSpaceDE/>
              <w:autoSpaceDN/>
              <w:bidi w:val="0"/>
              <w:adjustRightInd/>
              <w:snapToGrid/>
              <w:spacing w:line="360" w:lineRule="auto"/>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委托代理人：</w:t>
            </w:r>
          </w:p>
          <w:p w14:paraId="2D3F9077">
            <w:pPr>
              <w:keepNext w:val="0"/>
              <w:keepLines w:val="0"/>
              <w:pageBreakBefore w:val="0"/>
              <w:widowControl w:val="0"/>
              <w:kinsoku/>
              <w:wordWrap w:val="0"/>
              <w:overflowPunct/>
              <w:topLinePunct w:val="0"/>
              <w:autoSpaceDE/>
              <w:autoSpaceDN/>
              <w:bidi w:val="0"/>
              <w:adjustRightInd/>
              <w:snapToGrid/>
              <w:spacing w:line="360" w:lineRule="auto"/>
              <w:textAlignment w:val="auto"/>
              <w:rPr>
                <w:rFonts w:hint="eastAsia" w:ascii="宋体" w:hAnsi="宋体" w:eastAsia="宋体" w:cs="宋体"/>
                <w:color w:val="000000"/>
                <w:sz w:val="24"/>
                <w:szCs w:val="24"/>
                <w:highlight w:val="none"/>
              </w:rPr>
            </w:pPr>
          </w:p>
        </w:tc>
        <w:tc>
          <w:tcPr>
            <w:tcW w:w="4270" w:type="dxa"/>
            <w:noWrap w:val="0"/>
            <w:vAlign w:val="center"/>
          </w:tcPr>
          <w:p w14:paraId="3AB54D96">
            <w:pPr>
              <w:keepNext w:val="0"/>
              <w:keepLines w:val="0"/>
              <w:pageBreakBefore w:val="0"/>
              <w:widowControl w:val="0"/>
              <w:kinsoku/>
              <w:wordWrap w:val="0"/>
              <w:overflowPunct/>
              <w:topLinePunct w:val="0"/>
              <w:autoSpaceDE/>
              <w:autoSpaceDN/>
              <w:bidi w:val="0"/>
              <w:adjustRightInd/>
              <w:snapToGrid/>
              <w:spacing w:line="360" w:lineRule="auto"/>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委托代理人：</w:t>
            </w:r>
          </w:p>
        </w:tc>
      </w:tr>
      <w:tr w14:paraId="10FF8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4282" w:type="dxa"/>
            <w:noWrap w:val="0"/>
            <w:vAlign w:val="center"/>
          </w:tcPr>
          <w:p w14:paraId="6E11D432">
            <w:pPr>
              <w:keepNext w:val="0"/>
              <w:keepLines w:val="0"/>
              <w:pageBreakBefore w:val="0"/>
              <w:widowControl w:val="0"/>
              <w:kinsoku/>
              <w:wordWrap w:val="0"/>
              <w:overflowPunct/>
              <w:topLinePunct w:val="0"/>
              <w:autoSpaceDE/>
              <w:autoSpaceDN/>
              <w:bidi w:val="0"/>
              <w:adjustRightInd/>
              <w:snapToGrid/>
              <w:spacing w:line="360" w:lineRule="auto"/>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电话：</w:t>
            </w:r>
          </w:p>
          <w:p w14:paraId="37DB98BF">
            <w:pPr>
              <w:keepNext w:val="0"/>
              <w:keepLines w:val="0"/>
              <w:pageBreakBefore w:val="0"/>
              <w:widowControl w:val="0"/>
              <w:kinsoku/>
              <w:wordWrap w:val="0"/>
              <w:overflowPunct/>
              <w:topLinePunct w:val="0"/>
              <w:autoSpaceDE/>
              <w:autoSpaceDN/>
              <w:bidi w:val="0"/>
              <w:adjustRightInd/>
              <w:snapToGrid/>
              <w:spacing w:line="360" w:lineRule="auto"/>
              <w:textAlignment w:val="auto"/>
              <w:rPr>
                <w:rFonts w:hint="eastAsia" w:ascii="宋体" w:hAnsi="宋体" w:eastAsia="宋体" w:cs="宋体"/>
                <w:color w:val="000000"/>
                <w:sz w:val="24"/>
                <w:szCs w:val="24"/>
                <w:highlight w:val="none"/>
              </w:rPr>
            </w:pPr>
          </w:p>
        </w:tc>
        <w:tc>
          <w:tcPr>
            <w:tcW w:w="4270" w:type="dxa"/>
            <w:noWrap w:val="0"/>
            <w:vAlign w:val="center"/>
          </w:tcPr>
          <w:p w14:paraId="67AB1A7A">
            <w:pPr>
              <w:keepNext w:val="0"/>
              <w:keepLines w:val="0"/>
              <w:pageBreakBefore w:val="0"/>
              <w:widowControl w:val="0"/>
              <w:kinsoku/>
              <w:wordWrap w:val="0"/>
              <w:overflowPunct/>
              <w:topLinePunct w:val="0"/>
              <w:autoSpaceDE/>
              <w:autoSpaceDN/>
              <w:bidi w:val="0"/>
              <w:adjustRightInd/>
              <w:snapToGrid/>
              <w:spacing w:line="360" w:lineRule="auto"/>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电话：</w:t>
            </w:r>
          </w:p>
        </w:tc>
      </w:tr>
      <w:tr w14:paraId="12476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4282" w:type="dxa"/>
            <w:noWrap w:val="0"/>
            <w:vAlign w:val="center"/>
          </w:tcPr>
          <w:p w14:paraId="38EED95F">
            <w:pPr>
              <w:keepNext w:val="0"/>
              <w:keepLines w:val="0"/>
              <w:pageBreakBefore w:val="0"/>
              <w:widowControl w:val="0"/>
              <w:kinsoku/>
              <w:wordWrap w:val="0"/>
              <w:overflowPunct/>
              <w:topLinePunct w:val="0"/>
              <w:autoSpaceDE/>
              <w:autoSpaceDN/>
              <w:bidi w:val="0"/>
              <w:adjustRightInd/>
              <w:snapToGrid/>
              <w:spacing w:line="360" w:lineRule="auto"/>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开户银行：</w:t>
            </w:r>
          </w:p>
          <w:p w14:paraId="00BF5DD9">
            <w:pPr>
              <w:keepNext w:val="0"/>
              <w:keepLines w:val="0"/>
              <w:pageBreakBefore w:val="0"/>
              <w:widowControl w:val="0"/>
              <w:kinsoku/>
              <w:wordWrap w:val="0"/>
              <w:overflowPunct/>
              <w:topLinePunct w:val="0"/>
              <w:autoSpaceDE/>
              <w:autoSpaceDN/>
              <w:bidi w:val="0"/>
              <w:adjustRightInd/>
              <w:snapToGrid/>
              <w:spacing w:line="360" w:lineRule="auto"/>
              <w:textAlignment w:val="auto"/>
              <w:rPr>
                <w:rFonts w:hint="eastAsia" w:ascii="宋体" w:hAnsi="宋体" w:eastAsia="宋体" w:cs="宋体"/>
                <w:color w:val="000000"/>
                <w:sz w:val="24"/>
                <w:szCs w:val="24"/>
                <w:highlight w:val="none"/>
              </w:rPr>
            </w:pPr>
          </w:p>
        </w:tc>
        <w:tc>
          <w:tcPr>
            <w:tcW w:w="4270" w:type="dxa"/>
            <w:noWrap w:val="0"/>
            <w:vAlign w:val="center"/>
          </w:tcPr>
          <w:p w14:paraId="16AE0A23">
            <w:pPr>
              <w:keepNext w:val="0"/>
              <w:keepLines w:val="0"/>
              <w:pageBreakBefore w:val="0"/>
              <w:widowControl w:val="0"/>
              <w:kinsoku/>
              <w:wordWrap w:val="0"/>
              <w:overflowPunct/>
              <w:topLinePunct w:val="0"/>
              <w:autoSpaceDE/>
              <w:autoSpaceDN/>
              <w:bidi w:val="0"/>
              <w:adjustRightInd/>
              <w:snapToGrid/>
              <w:spacing w:line="360" w:lineRule="auto"/>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开户银行：</w:t>
            </w:r>
          </w:p>
        </w:tc>
      </w:tr>
      <w:tr w14:paraId="4DD74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4282" w:type="dxa"/>
            <w:noWrap w:val="0"/>
            <w:vAlign w:val="center"/>
          </w:tcPr>
          <w:p w14:paraId="2E091F4F">
            <w:pPr>
              <w:keepNext w:val="0"/>
              <w:keepLines w:val="0"/>
              <w:pageBreakBefore w:val="0"/>
              <w:widowControl w:val="0"/>
              <w:kinsoku/>
              <w:wordWrap w:val="0"/>
              <w:overflowPunct/>
              <w:topLinePunct w:val="0"/>
              <w:autoSpaceDE/>
              <w:autoSpaceDN/>
              <w:bidi w:val="0"/>
              <w:adjustRightInd/>
              <w:snapToGrid/>
              <w:spacing w:line="360" w:lineRule="auto"/>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账号：</w:t>
            </w:r>
          </w:p>
          <w:p w14:paraId="33264A77">
            <w:pPr>
              <w:keepNext w:val="0"/>
              <w:keepLines w:val="0"/>
              <w:pageBreakBefore w:val="0"/>
              <w:widowControl w:val="0"/>
              <w:kinsoku/>
              <w:wordWrap w:val="0"/>
              <w:overflowPunct/>
              <w:topLinePunct w:val="0"/>
              <w:autoSpaceDE/>
              <w:autoSpaceDN/>
              <w:bidi w:val="0"/>
              <w:adjustRightInd/>
              <w:snapToGrid/>
              <w:spacing w:line="360" w:lineRule="auto"/>
              <w:textAlignment w:val="auto"/>
              <w:rPr>
                <w:rFonts w:hint="eastAsia" w:ascii="宋体" w:hAnsi="宋体" w:eastAsia="宋体" w:cs="宋体"/>
                <w:color w:val="000000"/>
                <w:sz w:val="24"/>
                <w:szCs w:val="24"/>
                <w:highlight w:val="none"/>
              </w:rPr>
            </w:pPr>
          </w:p>
        </w:tc>
        <w:tc>
          <w:tcPr>
            <w:tcW w:w="4270" w:type="dxa"/>
            <w:noWrap w:val="0"/>
            <w:vAlign w:val="center"/>
          </w:tcPr>
          <w:p w14:paraId="3BFFEA08">
            <w:pPr>
              <w:keepNext w:val="0"/>
              <w:keepLines w:val="0"/>
              <w:pageBreakBefore w:val="0"/>
              <w:widowControl w:val="0"/>
              <w:kinsoku/>
              <w:wordWrap w:val="0"/>
              <w:overflowPunct/>
              <w:topLinePunct w:val="0"/>
              <w:autoSpaceDE/>
              <w:autoSpaceDN/>
              <w:bidi w:val="0"/>
              <w:adjustRightInd/>
              <w:snapToGrid/>
              <w:spacing w:line="360" w:lineRule="auto"/>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账号：</w:t>
            </w:r>
          </w:p>
        </w:tc>
      </w:tr>
    </w:tbl>
    <w:p w14:paraId="1DB03801">
      <w:pPr>
        <w:rPr>
          <w:rFonts w:hint="eastAsia" w:ascii="仿宋_GB2312" w:hAnsi="仿宋" w:eastAsia="仿宋_GB2312"/>
          <w:spacing w:val="-30"/>
          <w:sz w:val="32"/>
          <w:szCs w:val="32"/>
          <w:highlight w:val="none"/>
          <w:lang w:val="en-US" w:eastAsia="zh-CN"/>
        </w:rPr>
      </w:pPr>
      <w:r>
        <w:rPr>
          <w:rFonts w:hint="eastAsia" w:ascii="仿宋_GB2312" w:hAnsi="仿宋" w:eastAsia="仿宋_GB2312"/>
          <w:spacing w:val="-30"/>
          <w:sz w:val="32"/>
          <w:szCs w:val="32"/>
          <w:highlight w:val="none"/>
          <w:lang w:val="en-US" w:eastAsia="zh-CN"/>
        </w:rPr>
        <w:br w:type="page"/>
      </w:r>
    </w:p>
    <w:p w14:paraId="044C573E">
      <w:pPr>
        <w:keepNext w:val="0"/>
        <w:keepLines w:val="0"/>
        <w:pageBreakBefore w:val="0"/>
        <w:widowControl/>
        <w:kinsoku/>
        <w:wordWrap/>
        <w:overflowPunct/>
        <w:topLinePunct w:val="0"/>
        <w:autoSpaceDE/>
        <w:autoSpaceDN/>
        <w:bidi w:val="0"/>
        <w:adjustRightInd/>
        <w:snapToGrid/>
        <w:spacing w:line="520" w:lineRule="exact"/>
        <w:textAlignment w:val="auto"/>
        <w:rPr>
          <w:rFonts w:hint="default" w:ascii="仿宋_GB2312" w:hAnsi="仿宋" w:eastAsia="仿宋_GB2312"/>
          <w:spacing w:val="-30"/>
          <w:sz w:val="32"/>
          <w:szCs w:val="32"/>
          <w:lang w:val="en-US" w:eastAsia="zh-CN"/>
        </w:rPr>
      </w:pPr>
      <w:r>
        <w:rPr>
          <w:rFonts w:hint="eastAsia" w:ascii="仿宋_GB2312" w:hAnsi="仿宋" w:eastAsia="仿宋_GB2312"/>
          <w:spacing w:val="-30"/>
          <w:sz w:val="32"/>
          <w:szCs w:val="32"/>
          <w:lang w:val="en-US" w:eastAsia="zh-CN"/>
        </w:rPr>
        <w:t>附件1：</w:t>
      </w:r>
    </w:p>
    <w:tbl>
      <w:tblPr>
        <w:tblStyle w:val="31"/>
        <w:tblW w:w="988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656"/>
        <w:gridCol w:w="696"/>
        <w:gridCol w:w="1896"/>
        <w:gridCol w:w="936"/>
        <w:gridCol w:w="936"/>
        <w:gridCol w:w="936"/>
        <w:gridCol w:w="2136"/>
        <w:gridCol w:w="696"/>
      </w:tblGrid>
      <w:tr w14:paraId="4ADBFD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blHeader/>
          <w:jc w:val="center"/>
        </w:trPr>
        <w:tc>
          <w:tcPr>
            <w:tcW w:w="9888" w:type="dxa"/>
            <w:gridSpan w:val="8"/>
            <w:tcBorders>
              <w:top w:val="nil"/>
              <w:left w:val="nil"/>
              <w:bottom w:val="nil"/>
              <w:right w:val="nil"/>
            </w:tcBorders>
            <w:noWrap/>
            <w:vAlign w:val="center"/>
          </w:tcPr>
          <w:p w14:paraId="468BED8A">
            <w:pPr>
              <w:keepNext w:val="0"/>
              <w:keepLines w:val="0"/>
              <w:widowControl/>
              <w:suppressLineNumbers w:val="0"/>
              <w:jc w:val="center"/>
              <w:textAlignment w:val="center"/>
              <w:rPr>
                <w:rFonts w:hint="eastAsia" w:ascii="宋体" w:hAnsi="宋体" w:eastAsia="宋体" w:cs="宋体"/>
                <w:i w:val="0"/>
                <w:iCs w:val="0"/>
                <w:color w:val="000000"/>
                <w:sz w:val="40"/>
                <w:szCs w:val="40"/>
                <w:u w:val="none"/>
              </w:rPr>
            </w:pPr>
            <w:r>
              <w:rPr>
                <w:rFonts w:hint="eastAsia" w:ascii="宋体" w:hAnsi="宋体" w:eastAsia="宋体" w:cs="宋体"/>
                <w:i w:val="0"/>
                <w:iCs w:val="0"/>
                <w:color w:val="000000"/>
                <w:kern w:val="0"/>
                <w:sz w:val="40"/>
                <w:szCs w:val="40"/>
                <w:u w:val="none"/>
                <w:lang w:val="en-US" w:eastAsia="zh-CN" w:bidi="ar"/>
              </w:rPr>
              <w:t>东泉镇集镇保洁及村屯垃圾清运要求明细表</w:t>
            </w:r>
          </w:p>
        </w:tc>
      </w:tr>
      <w:tr w14:paraId="0BCBF2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blHeader/>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4A0CBF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村委（社区）</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B40B92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CA3B6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屯/点/街道</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20A4D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垃圾池</w:t>
            </w:r>
          </w:p>
        </w:tc>
        <w:tc>
          <w:tcPr>
            <w:tcW w:w="936" w:type="dxa"/>
            <w:tcBorders>
              <w:top w:val="single" w:color="000000" w:sz="4" w:space="0"/>
              <w:left w:val="single" w:color="000000" w:sz="4" w:space="0"/>
              <w:bottom w:val="single" w:color="000000" w:sz="4" w:space="0"/>
              <w:right w:val="single" w:color="000000" w:sz="4" w:space="0"/>
            </w:tcBorders>
            <w:noWrap/>
            <w:vAlign w:val="center"/>
          </w:tcPr>
          <w:p w14:paraId="59C603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垃圾箱</w:t>
            </w:r>
          </w:p>
        </w:tc>
        <w:tc>
          <w:tcPr>
            <w:tcW w:w="936" w:type="dxa"/>
            <w:tcBorders>
              <w:top w:val="single" w:color="000000" w:sz="4" w:space="0"/>
              <w:left w:val="single" w:color="000000" w:sz="4" w:space="0"/>
              <w:bottom w:val="single" w:color="000000" w:sz="4" w:space="0"/>
              <w:right w:val="single" w:color="000000" w:sz="4" w:space="0"/>
            </w:tcBorders>
            <w:noWrap/>
            <w:vAlign w:val="center"/>
          </w:tcPr>
          <w:p w14:paraId="507895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塑料桶</w:t>
            </w:r>
          </w:p>
        </w:tc>
        <w:tc>
          <w:tcPr>
            <w:tcW w:w="2136" w:type="dxa"/>
            <w:tcBorders>
              <w:top w:val="single" w:color="000000" w:sz="4" w:space="0"/>
              <w:left w:val="single" w:color="000000" w:sz="4" w:space="0"/>
              <w:bottom w:val="single" w:color="000000" w:sz="4" w:space="0"/>
              <w:right w:val="single" w:color="000000" w:sz="4" w:space="0"/>
            </w:tcBorders>
            <w:noWrap/>
            <w:vAlign w:val="center"/>
          </w:tcPr>
          <w:p w14:paraId="66FACB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保洁及清运要求</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855F7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备注</w:t>
            </w:r>
          </w:p>
        </w:tc>
      </w:tr>
      <w:tr w14:paraId="4AE1AF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656" w:type="dxa"/>
            <w:vMerge w:val="restart"/>
            <w:tcBorders>
              <w:top w:val="single" w:color="000000" w:sz="4" w:space="0"/>
              <w:left w:val="single" w:color="000000" w:sz="4" w:space="0"/>
              <w:right w:val="single" w:color="000000" w:sz="4" w:space="0"/>
            </w:tcBorders>
            <w:shd w:val="clear" w:color="auto" w:fill="auto"/>
            <w:noWrap/>
            <w:vAlign w:val="center"/>
          </w:tcPr>
          <w:p w14:paraId="7969C7F9">
            <w:pPr>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olor w:val="000000"/>
                <w:sz w:val="24"/>
                <w:szCs w:val="24"/>
              </w:rPr>
              <w:t>东泉社区</w:t>
            </w:r>
          </w:p>
          <w:p w14:paraId="787690CE">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13B2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E594B">
            <w:pPr>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olor w:val="000000"/>
                <w:sz w:val="24"/>
                <w:szCs w:val="24"/>
              </w:rPr>
              <w:t>螺田路口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5BCBB">
            <w:pPr>
              <w:jc w:val="center"/>
              <w:rPr>
                <w:rFonts w:hint="eastAsia" w:ascii="宋体" w:hAnsi="宋体" w:eastAsia="宋体" w:cs="宋体"/>
                <w:color w:val="000000"/>
                <w:kern w:val="0"/>
                <w:sz w:val="24"/>
                <w:szCs w:val="24"/>
                <w:lang w:val="en-US" w:eastAsia="zh-CN" w:bidi="ar-SA"/>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AB90B">
            <w:pPr>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olor w:val="000000"/>
                <w:sz w:val="24"/>
                <w:szCs w:val="24"/>
              </w:rPr>
              <w:t>1</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B9FCA">
            <w:pPr>
              <w:jc w:val="center"/>
              <w:rPr>
                <w:rFonts w:hint="eastAsia" w:ascii="宋体" w:hAnsi="宋体" w:eastAsia="宋体" w:cs="宋体"/>
                <w:color w:val="000000"/>
                <w:kern w:val="0"/>
                <w:sz w:val="24"/>
                <w:szCs w:val="24"/>
                <w:lang w:val="en-US" w:eastAsia="zh-CN" w:bidi="ar-SA"/>
              </w:rPr>
            </w:pPr>
          </w:p>
        </w:tc>
        <w:tc>
          <w:tcPr>
            <w:tcW w:w="2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749B5">
            <w:pPr>
              <w:jc w:val="center"/>
              <w:textAlignment w:val="center"/>
              <w:rPr>
                <w:rFonts w:hint="default" w:ascii="宋体" w:hAnsi="宋体" w:eastAsia="宋体" w:cs="宋体"/>
                <w:color w:val="000000"/>
                <w:kern w:val="0"/>
                <w:sz w:val="24"/>
                <w:szCs w:val="24"/>
                <w:lang w:val="en-US" w:eastAsia="zh-CN" w:bidi="ar-SA"/>
              </w:rPr>
            </w:pPr>
            <w:r>
              <w:rPr>
                <w:rFonts w:hint="eastAsia" w:ascii="宋体" w:hAnsi="宋体" w:eastAsia="宋体"/>
                <w:color w:val="000000"/>
                <w:sz w:val="24"/>
                <w:szCs w:val="24"/>
              </w:rPr>
              <w:t>每天1次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21503">
            <w:pPr>
              <w:jc w:val="center"/>
              <w:rPr>
                <w:rFonts w:hint="eastAsia" w:ascii="宋体" w:hAnsi="宋体" w:eastAsia="宋体" w:cs="宋体"/>
                <w:color w:val="000000"/>
                <w:kern w:val="0"/>
                <w:sz w:val="24"/>
                <w:szCs w:val="24"/>
                <w:lang w:val="en-US" w:eastAsia="zh-CN" w:bidi="ar-SA"/>
              </w:rPr>
            </w:pPr>
          </w:p>
        </w:tc>
      </w:tr>
      <w:tr w14:paraId="2C95F1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656" w:type="dxa"/>
            <w:vMerge w:val="continue"/>
            <w:tcBorders>
              <w:left w:val="single" w:color="000000" w:sz="4" w:space="0"/>
              <w:right w:val="single" w:color="000000" w:sz="4" w:space="0"/>
            </w:tcBorders>
            <w:noWrap/>
            <w:vAlign w:val="center"/>
          </w:tcPr>
          <w:p w14:paraId="4CBBFAE7">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6D71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E4353">
            <w:pPr>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olor w:val="000000"/>
                <w:sz w:val="24"/>
                <w:szCs w:val="24"/>
              </w:rPr>
              <w:t>西安路口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7B7CE">
            <w:pPr>
              <w:jc w:val="center"/>
              <w:rPr>
                <w:rFonts w:hint="eastAsia" w:ascii="宋体" w:hAnsi="宋体" w:eastAsia="宋体" w:cs="宋体"/>
                <w:color w:val="000000"/>
                <w:kern w:val="2"/>
                <w:sz w:val="24"/>
                <w:szCs w:val="24"/>
                <w:lang w:val="en-US" w:eastAsia="zh-CN" w:bidi="ar-SA"/>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AFE52">
            <w:pPr>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olor w:val="000000"/>
                <w:sz w:val="24"/>
                <w:szCs w:val="24"/>
              </w:rPr>
              <w:t>1</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75A64">
            <w:pPr>
              <w:jc w:val="center"/>
              <w:rPr>
                <w:rFonts w:hint="eastAsia" w:ascii="宋体" w:hAnsi="宋体" w:eastAsia="宋体" w:cs="宋体"/>
                <w:color w:val="000000"/>
                <w:kern w:val="2"/>
                <w:sz w:val="24"/>
                <w:szCs w:val="24"/>
                <w:lang w:val="en-US" w:eastAsia="zh-CN" w:bidi="ar-SA"/>
              </w:rPr>
            </w:pPr>
          </w:p>
        </w:tc>
        <w:tc>
          <w:tcPr>
            <w:tcW w:w="2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58120">
            <w:pPr>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olor w:val="000000"/>
                <w:sz w:val="24"/>
                <w:szCs w:val="24"/>
              </w:rPr>
              <w:t>每天1次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6DB6D">
            <w:pPr>
              <w:jc w:val="center"/>
              <w:rPr>
                <w:rFonts w:hint="eastAsia" w:ascii="宋体" w:hAnsi="宋体" w:eastAsia="宋体" w:cs="宋体"/>
                <w:color w:val="000000"/>
                <w:kern w:val="0"/>
                <w:sz w:val="24"/>
                <w:szCs w:val="24"/>
                <w:lang w:val="en-US" w:eastAsia="zh-CN" w:bidi="ar-SA"/>
              </w:rPr>
            </w:pPr>
          </w:p>
        </w:tc>
      </w:tr>
      <w:tr w14:paraId="444175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656" w:type="dxa"/>
            <w:vMerge w:val="continue"/>
            <w:tcBorders>
              <w:left w:val="single" w:color="000000" w:sz="4" w:space="0"/>
              <w:right w:val="single" w:color="000000" w:sz="4" w:space="0"/>
            </w:tcBorders>
            <w:noWrap/>
            <w:vAlign w:val="center"/>
          </w:tcPr>
          <w:p w14:paraId="1B18D5B7">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700C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BB41D">
            <w:pPr>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olor w:val="000000"/>
                <w:sz w:val="24"/>
                <w:szCs w:val="24"/>
              </w:rPr>
              <w:t>粮所前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05539">
            <w:pPr>
              <w:jc w:val="center"/>
              <w:rPr>
                <w:rFonts w:hint="eastAsia" w:ascii="宋体" w:hAnsi="宋体" w:eastAsia="宋体" w:cs="宋体"/>
                <w:color w:val="000000"/>
                <w:kern w:val="2"/>
                <w:sz w:val="24"/>
                <w:szCs w:val="24"/>
                <w:lang w:val="en-US" w:eastAsia="zh-CN" w:bidi="ar-SA"/>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62A92">
            <w:pPr>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olor w:val="000000"/>
                <w:sz w:val="24"/>
                <w:szCs w:val="24"/>
              </w:rPr>
              <w:t>1</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03827">
            <w:pPr>
              <w:jc w:val="center"/>
              <w:rPr>
                <w:rFonts w:hint="eastAsia" w:ascii="宋体" w:hAnsi="宋体" w:eastAsia="宋体" w:cs="宋体"/>
                <w:color w:val="000000"/>
                <w:kern w:val="2"/>
                <w:sz w:val="24"/>
                <w:szCs w:val="24"/>
                <w:lang w:val="en-US" w:eastAsia="zh-CN" w:bidi="ar-SA"/>
              </w:rPr>
            </w:pPr>
          </w:p>
        </w:tc>
        <w:tc>
          <w:tcPr>
            <w:tcW w:w="2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41FB0">
            <w:pPr>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olor w:val="000000"/>
                <w:sz w:val="24"/>
                <w:szCs w:val="24"/>
              </w:rPr>
              <w:t>每天1次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513D1">
            <w:pPr>
              <w:jc w:val="center"/>
              <w:rPr>
                <w:rFonts w:hint="eastAsia" w:ascii="宋体" w:hAnsi="宋体" w:eastAsia="宋体" w:cs="宋体"/>
                <w:color w:val="000000"/>
                <w:kern w:val="0"/>
                <w:sz w:val="24"/>
                <w:szCs w:val="24"/>
                <w:lang w:val="en-US" w:eastAsia="zh-CN" w:bidi="ar-SA"/>
              </w:rPr>
            </w:pPr>
          </w:p>
        </w:tc>
      </w:tr>
      <w:tr w14:paraId="6701A9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656" w:type="dxa"/>
            <w:vMerge w:val="continue"/>
            <w:tcBorders>
              <w:left w:val="single" w:color="000000" w:sz="4" w:space="0"/>
              <w:right w:val="single" w:color="000000" w:sz="4" w:space="0"/>
            </w:tcBorders>
            <w:noWrap/>
            <w:vAlign w:val="center"/>
          </w:tcPr>
          <w:p w14:paraId="553CB76D">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DD8A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B2765">
            <w:pPr>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olor w:val="000000"/>
                <w:sz w:val="24"/>
                <w:szCs w:val="24"/>
              </w:rPr>
              <w:t>粮所背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E5D92">
            <w:pPr>
              <w:jc w:val="center"/>
              <w:rPr>
                <w:rFonts w:hint="eastAsia" w:ascii="宋体" w:hAnsi="宋体" w:eastAsia="宋体" w:cs="宋体"/>
                <w:color w:val="000000"/>
                <w:kern w:val="2"/>
                <w:sz w:val="24"/>
                <w:szCs w:val="24"/>
                <w:lang w:val="en-US" w:eastAsia="zh-CN" w:bidi="ar-SA"/>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E6A34">
            <w:pPr>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olor w:val="000000"/>
                <w:sz w:val="24"/>
                <w:szCs w:val="24"/>
              </w:rPr>
              <w:t>1</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BB50E">
            <w:pPr>
              <w:jc w:val="center"/>
              <w:rPr>
                <w:rFonts w:hint="eastAsia" w:ascii="宋体" w:hAnsi="宋体" w:eastAsia="宋体" w:cs="宋体"/>
                <w:color w:val="000000"/>
                <w:kern w:val="2"/>
                <w:sz w:val="24"/>
                <w:szCs w:val="24"/>
                <w:lang w:val="en-US" w:eastAsia="zh-CN" w:bidi="ar-SA"/>
              </w:rPr>
            </w:pPr>
          </w:p>
        </w:tc>
        <w:tc>
          <w:tcPr>
            <w:tcW w:w="2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A6A16">
            <w:pPr>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olor w:val="000000"/>
                <w:sz w:val="24"/>
                <w:szCs w:val="24"/>
              </w:rPr>
              <w:t>每天1次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00845">
            <w:pPr>
              <w:jc w:val="center"/>
              <w:rPr>
                <w:rFonts w:hint="eastAsia" w:ascii="宋体" w:hAnsi="宋体" w:eastAsia="宋体" w:cs="宋体"/>
                <w:color w:val="000000"/>
                <w:kern w:val="0"/>
                <w:sz w:val="24"/>
                <w:szCs w:val="24"/>
                <w:lang w:val="en-US" w:eastAsia="zh-CN" w:bidi="ar-SA"/>
              </w:rPr>
            </w:pPr>
          </w:p>
        </w:tc>
      </w:tr>
      <w:tr w14:paraId="10AA3F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656" w:type="dxa"/>
            <w:vMerge w:val="continue"/>
            <w:tcBorders>
              <w:left w:val="single" w:color="000000" w:sz="4" w:space="0"/>
              <w:right w:val="single" w:color="000000" w:sz="4" w:space="0"/>
            </w:tcBorders>
            <w:noWrap/>
            <w:vAlign w:val="center"/>
          </w:tcPr>
          <w:p w14:paraId="5FD7CF6E">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36C0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1ABDA">
            <w:pPr>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olor w:val="000000"/>
                <w:sz w:val="24"/>
                <w:szCs w:val="24"/>
              </w:rPr>
              <w:t>政府门口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D3493">
            <w:pPr>
              <w:jc w:val="center"/>
              <w:rPr>
                <w:rFonts w:hint="eastAsia" w:ascii="宋体" w:hAnsi="宋体" w:eastAsia="宋体" w:cs="宋体"/>
                <w:color w:val="000000"/>
                <w:kern w:val="2"/>
                <w:sz w:val="24"/>
                <w:szCs w:val="24"/>
                <w:lang w:val="en-US" w:eastAsia="zh-CN" w:bidi="ar-SA"/>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59F58">
            <w:pPr>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olor w:val="000000"/>
                <w:sz w:val="24"/>
                <w:szCs w:val="24"/>
              </w:rPr>
              <w:t>1</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037C2">
            <w:pPr>
              <w:jc w:val="center"/>
              <w:rPr>
                <w:rFonts w:hint="eastAsia" w:ascii="宋体" w:hAnsi="宋体" w:eastAsia="宋体" w:cs="宋体"/>
                <w:color w:val="000000"/>
                <w:kern w:val="2"/>
                <w:sz w:val="24"/>
                <w:szCs w:val="24"/>
                <w:lang w:val="en-US" w:eastAsia="zh-CN" w:bidi="ar-SA"/>
              </w:rPr>
            </w:pPr>
          </w:p>
        </w:tc>
        <w:tc>
          <w:tcPr>
            <w:tcW w:w="2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96D81">
            <w:pPr>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olor w:val="000000"/>
                <w:sz w:val="24"/>
                <w:szCs w:val="24"/>
              </w:rPr>
              <w:t>每天1次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E16FF">
            <w:pPr>
              <w:jc w:val="center"/>
              <w:rPr>
                <w:rFonts w:hint="eastAsia" w:ascii="宋体" w:hAnsi="宋体" w:eastAsia="宋体" w:cs="宋体"/>
                <w:color w:val="000000"/>
                <w:kern w:val="0"/>
                <w:sz w:val="24"/>
                <w:szCs w:val="24"/>
                <w:lang w:val="en-US" w:eastAsia="zh-CN" w:bidi="ar-SA"/>
              </w:rPr>
            </w:pPr>
          </w:p>
        </w:tc>
      </w:tr>
      <w:tr w14:paraId="567CE5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656" w:type="dxa"/>
            <w:vMerge w:val="continue"/>
            <w:tcBorders>
              <w:left w:val="single" w:color="000000" w:sz="4" w:space="0"/>
              <w:right w:val="single" w:color="000000" w:sz="4" w:space="0"/>
            </w:tcBorders>
            <w:noWrap/>
            <w:vAlign w:val="center"/>
          </w:tcPr>
          <w:p w14:paraId="05BB0E8E">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D14B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3E2DA">
            <w:pPr>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olor w:val="000000"/>
                <w:sz w:val="24"/>
                <w:szCs w:val="24"/>
              </w:rPr>
              <w:t>卫生院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B62BE">
            <w:pPr>
              <w:jc w:val="center"/>
              <w:rPr>
                <w:rFonts w:hint="eastAsia" w:ascii="宋体" w:hAnsi="宋体" w:eastAsia="宋体" w:cs="宋体"/>
                <w:color w:val="000000"/>
                <w:kern w:val="2"/>
                <w:sz w:val="24"/>
                <w:szCs w:val="24"/>
                <w:lang w:val="en-US" w:eastAsia="zh-CN" w:bidi="ar-SA"/>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631B2">
            <w:pPr>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olor w:val="000000"/>
                <w:sz w:val="24"/>
                <w:szCs w:val="24"/>
              </w:rPr>
              <w:t>1</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47202">
            <w:pPr>
              <w:jc w:val="center"/>
              <w:rPr>
                <w:rFonts w:hint="eastAsia" w:ascii="宋体" w:hAnsi="宋体" w:eastAsia="宋体" w:cs="宋体"/>
                <w:color w:val="000000"/>
                <w:kern w:val="2"/>
                <w:sz w:val="24"/>
                <w:szCs w:val="24"/>
                <w:lang w:val="en-US" w:eastAsia="zh-CN" w:bidi="ar-SA"/>
              </w:rPr>
            </w:pPr>
          </w:p>
        </w:tc>
        <w:tc>
          <w:tcPr>
            <w:tcW w:w="2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86F3E">
            <w:pPr>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olor w:val="000000"/>
                <w:sz w:val="24"/>
                <w:szCs w:val="24"/>
              </w:rPr>
              <w:t>每天1次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E9FD8">
            <w:pPr>
              <w:jc w:val="center"/>
              <w:rPr>
                <w:rFonts w:hint="eastAsia" w:ascii="宋体" w:hAnsi="宋体" w:eastAsia="宋体" w:cs="宋体"/>
                <w:color w:val="000000"/>
                <w:kern w:val="0"/>
                <w:sz w:val="24"/>
                <w:szCs w:val="24"/>
                <w:lang w:val="en-US" w:eastAsia="zh-CN" w:bidi="ar-SA"/>
              </w:rPr>
            </w:pPr>
          </w:p>
        </w:tc>
      </w:tr>
      <w:tr w14:paraId="38C624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656" w:type="dxa"/>
            <w:vMerge w:val="continue"/>
            <w:tcBorders>
              <w:left w:val="single" w:color="000000" w:sz="4" w:space="0"/>
              <w:right w:val="single" w:color="000000" w:sz="4" w:space="0"/>
            </w:tcBorders>
            <w:noWrap/>
            <w:vAlign w:val="center"/>
          </w:tcPr>
          <w:p w14:paraId="5361AEC9">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CC01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80B8F">
            <w:pPr>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olor w:val="000000"/>
                <w:sz w:val="24"/>
                <w:szCs w:val="24"/>
              </w:rPr>
              <w:t>榕树脚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06A07">
            <w:pPr>
              <w:jc w:val="center"/>
              <w:rPr>
                <w:rFonts w:hint="eastAsia" w:ascii="宋体" w:hAnsi="宋体" w:eastAsia="宋体" w:cs="宋体"/>
                <w:color w:val="000000"/>
                <w:kern w:val="2"/>
                <w:sz w:val="24"/>
                <w:szCs w:val="24"/>
                <w:lang w:val="en-US" w:eastAsia="zh-CN" w:bidi="ar-SA"/>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00767">
            <w:pPr>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olor w:val="000000"/>
                <w:sz w:val="24"/>
                <w:szCs w:val="24"/>
              </w:rPr>
              <w:t>1</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EB372">
            <w:pPr>
              <w:jc w:val="center"/>
              <w:rPr>
                <w:rFonts w:hint="eastAsia" w:ascii="宋体" w:hAnsi="宋体" w:eastAsia="宋体" w:cs="宋体"/>
                <w:color w:val="000000"/>
                <w:kern w:val="2"/>
                <w:sz w:val="24"/>
                <w:szCs w:val="24"/>
                <w:lang w:val="en-US" w:eastAsia="zh-CN" w:bidi="ar-SA"/>
              </w:rPr>
            </w:pPr>
          </w:p>
        </w:tc>
        <w:tc>
          <w:tcPr>
            <w:tcW w:w="2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AA296">
            <w:pPr>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olor w:val="000000"/>
                <w:sz w:val="24"/>
                <w:szCs w:val="24"/>
              </w:rPr>
              <w:t>每天1次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B00ED">
            <w:pPr>
              <w:jc w:val="center"/>
              <w:rPr>
                <w:rFonts w:hint="eastAsia" w:ascii="宋体" w:hAnsi="宋体" w:eastAsia="宋体" w:cs="宋体"/>
                <w:color w:val="000000"/>
                <w:kern w:val="0"/>
                <w:sz w:val="24"/>
                <w:szCs w:val="24"/>
                <w:lang w:val="en-US" w:eastAsia="zh-CN" w:bidi="ar-SA"/>
              </w:rPr>
            </w:pPr>
          </w:p>
        </w:tc>
      </w:tr>
      <w:tr w14:paraId="3D6A28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656" w:type="dxa"/>
            <w:vMerge w:val="continue"/>
            <w:tcBorders>
              <w:left w:val="single" w:color="000000" w:sz="4" w:space="0"/>
              <w:right w:val="single" w:color="000000" w:sz="4" w:space="0"/>
            </w:tcBorders>
            <w:noWrap/>
            <w:vAlign w:val="center"/>
          </w:tcPr>
          <w:p w14:paraId="7698B6C7">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0B06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86D9A">
            <w:pPr>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olor w:val="000000"/>
                <w:sz w:val="24"/>
                <w:szCs w:val="24"/>
              </w:rPr>
              <w:t>派出所门口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C01F8">
            <w:pPr>
              <w:jc w:val="center"/>
              <w:rPr>
                <w:rFonts w:hint="eastAsia" w:ascii="宋体" w:hAnsi="宋体" w:eastAsia="宋体" w:cs="宋体"/>
                <w:color w:val="000000"/>
                <w:kern w:val="2"/>
                <w:sz w:val="24"/>
                <w:szCs w:val="24"/>
                <w:lang w:val="en-US" w:eastAsia="zh-CN" w:bidi="ar-SA"/>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EA80C">
            <w:pPr>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olor w:val="000000"/>
                <w:sz w:val="24"/>
                <w:szCs w:val="24"/>
              </w:rPr>
              <w:t>1</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808BF">
            <w:pPr>
              <w:jc w:val="center"/>
              <w:rPr>
                <w:rFonts w:hint="eastAsia" w:ascii="宋体" w:hAnsi="宋体" w:eastAsia="宋体" w:cs="宋体"/>
                <w:color w:val="000000"/>
                <w:kern w:val="2"/>
                <w:sz w:val="24"/>
                <w:szCs w:val="24"/>
                <w:lang w:val="en-US" w:eastAsia="zh-CN" w:bidi="ar-SA"/>
              </w:rPr>
            </w:pPr>
          </w:p>
        </w:tc>
        <w:tc>
          <w:tcPr>
            <w:tcW w:w="2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99618">
            <w:pPr>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olor w:val="000000"/>
                <w:sz w:val="24"/>
                <w:szCs w:val="24"/>
              </w:rPr>
              <w:t>每天1次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9360E">
            <w:pPr>
              <w:jc w:val="center"/>
              <w:rPr>
                <w:rFonts w:hint="eastAsia" w:ascii="宋体" w:hAnsi="宋体" w:eastAsia="宋体" w:cs="宋体"/>
                <w:color w:val="000000"/>
                <w:kern w:val="0"/>
                <w:sz w:val="24"/>
                <w:szCs w:val="24"/>
                <w:lang w:val="en-US" w:eastAsia="zh-CN" w:bidi="ar-SA"/>
              </w:rPr>
            </w:pPr>
          </w:p>
        </w:tc>
      </w:tr>
      <w:tr w14:paraId="5847CF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656" w:type="dxa"/>
            <w:vMerge w:val="continue"/>
            <w:tcBorders>
              <w:left w:val="single" w:color="000000" w:sz="4" w:space="0"/>
              <w:bottom w:val="single" w:color="000000" w:sz="4" w:space="0"/>
              <w:right w:val="single" w:color="000000" w:sz="4" w:space="0"/>
            </w:tcBorders>
            <w:noWrap/>
            <w:vAlign w:val="center"/>
          </w:tcPr>
          <w:p w14:paraId="72735642">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B562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6E019">
            <w:pPr>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olor w:val="000000"/>
                <w:sz w:val="24"/>
                <w:szCs w:val="24"/>
              </w:rPr>
              <w:t>政府职工宿舍前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AF8EC">
            <w:pPr>
              <w:jc w:val="center"/>
              <w:rPr>
                <w:rFonts w:hint="eastAsia" w:ascii="宋体" w:hAnsi="宋体" w:eastAsia="宋体" w:cs="宋体"/>
                <w:color w:val="000000"/>
                <w:kern w:val="0"/>
                <w:sz w:val="24"/>
                <w:szCs w:val="24"/>
                <w:lang w:val="en-US" w:eastAsia="zh-CN" w:bidi="ar-SA"/>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88A2C">
            <w:pPr>
              <w:jc w:val="center"/>
              <w:textAlignment w:val="center"/>
              <w:rPr>
                <w:rFonts w:hint="eastAsia" w:ascii="宋体" w:hAnsi="宋体" w:eastAsia="宋体" w:cs="宋体"/>
                <w:color w:val="000000"/>
                <w:kern w:val="0"/>
                <w:sz w:val="24"/>
                <w:szCs w:val="24"/>
                <w:lang w:val="en-US" w:eastAsia="zh-CN" w:bidi="ar-SA"/>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71BE1">
            <w:pPr>
              <w:jc w:val="center"/>
              <w:rPr>
                <w:rFonts w:hint="eastAsia" w:ascii="宋体" w:hAnsi="宋体" w:eastAsia="宋体" w:cs="宋体"/>
                <w:color w:val="000000"/>
                <w:kern w:val="0"/>
                <w:sz w:val="24"/>
                <w:szCs w:val="24"/>
                <w:lang w:val="en-US" w:eastAsia="zh-CN" w:bidi="ar-SA"/>
              </w:rPr>
            </w:pPr>
            <w:r>
              <w:rPr>
                <w:rFonts w:hint="eastAsia" w:ascii="宋体" w:hAnsi="宋体" w:eastAsia="宋体"/>
                <w:color w:val="000000"/>
                <w:sz w:val="24"/>
                <w:szCs w:val="24"/>
              </w:rPr>
              <w:t>2</w:t>
            </w:r>
          </w:p>
        </w:tc>
        <w:tc>
          <w:tcPr>
            <w:tcW w:w="2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E203A">
            <w:pPr>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olor w:val="000000"/>
                <w:sz w:val="24"/>
                <w:szCs w:val="24"/>
              </w:rPr>
              <w:t>最多间隔2天1次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0E081">
            <w:pPr>
              <w:jc w:val="center"/>
              <w:rPr>
                <w:rFonts w:hint="eastAsia" w:ascii="宋体" w:hAnsi="宋体" w:eastAsia="宋体" w:cs="宋体"/>
                <w:color w:val="000000"/>
                <w:kern w:val="0"/>
                <w:sz w:val="24"/>
                <w:szCs w:val="24"/>
                <w:lang w:val="en-US" w:eastAsia="zh-CN" w:bidi="ar-SA"/>
              </w:rPr>
            </w:pPr>
          </w:p>
        </w:tc>
      </w:tr>
      <w:tr w14:paraId="0CF18C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656" w:type="dxa"/>
            <w:vMerge w:val="restart"/>
            <w:tcBorders>
              <w:top w:val="single" w:color="000000" w:sz="4" w:space="0"/>
              <w:left w:val="single" w:color="000000" w:sz="4" w:space="0"/>
              <w:right w:val="single" w:color="000000" w:sz="4" w:space="0"/>
            </w:tcBorders>
            <w:shd w:val="clear" w:color="auto" w:fill="auto"/>
            <w:noWrap/>
            <w:vAlign w:val="center"/>
          </w:tcPr>
          <w:p w14:paraId="57B0822A">
            <w:pPr>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olor w:val="000000"/>
                <w:sz w:val="24"/>
                <w:szCs w:val="24"/>
              </w:rPr>
              <w:t>对河村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80C3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1CF07">
            <w:pPr>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olor w:val="000000"/>
                <w:sz w:val="24"/>
                <w:szCs w:val="24"/>
              </w:rPr>
              <w:t>对河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03FB4">
            <w:pPr>
              <w:jc w:val="center"/>
              <w:rPr>
                <w:rFonts w:hint="eastAsia" w:ascii="宋体" w:hAnsi="宋体" w:eastAsia="宋体" w:cs="宋体"/>
                <w:color w:val="000000"/>
                <w:kern w:val="0"/>
                <w:sz w:val="24"/>
                <w:szCs w:val="24"/>
                <w:lang w:val="en-US" w:eastAsia="zh-CN" w:bidi="ar-SA"/>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B0192">
            <w:pPr>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olor w:val="000000"/>
                <w:sz w:val="24"/>
                <w:szCs w:val="24"/>
              </w:rPr>
              <w:t>1</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99370">
            <w:pPr>
              <w:jc w:val="center"/>
              <w:rPr>
                <w:rFonts w:hint="eastAsia" w:ascii="宋体" w:hAnsi="宋体" w:eastAsia="宋体" w:cs="宋体"/>
                <w:color w:val="000000"/>
                <w:kern w:val="0"/>
                <w:sz w:val="24"/>
                <w:szCs w:val="24"/>
                <w:lang w:val="en-US" w:eastAsia="zh-CN" w:bidi="ar-SA"/>
              </w:rPr>
            </w:pPr>
          </w:p>
        </w:tc>
        <w:tc>
          <w:tcPr>
            <w:tcW w:w="2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EDBCF">
            <w:pPr>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olor w:val="000000"/>
                <w:sz w:val="24"/>
                <w:szCs w:val="24"/>
              </w:rPr>
              <w:t>最多间隔2天1次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F8DEE">
            <w:pPr>
              <w:jc w:val="center"/>
              <w:rPr>
                <w:rFonts w:hint="eastAsia" w:ascii="宋体" w:hAnsi="宋体" w:eastAsia="宋体" w:cs="宋体"/>
                <w:color w:val="000000"/>
                <w:kern w:val="0"/>
                <w:sz w:val="24"/>
                <w:szCs w:val="24"/>
                <w:lang w:val="en-US" w:eastAsia="zh-CN" w:bidi="ar-SA"/>
              </w:rPr>
            </w:pPr>
          </w:p>
        </w:tc>
      </w:tr>
      <w:tr w14:paraId="025F9B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656" w:type="dxa"/>
            <w:vMerge w:val="continue"/>
            <w:tcBorders>
              <w:left w:val="single" w:color="000000" w:sz="4" w:space="0"/>
              <w:right w:val="single" w:color="000000" w:sz="4" w:space="0"/>
            </w:tcBorders>
            <w:noWrap/>
            <w:vAlign w:val="center"/>
          </w:tcPr>
          <w:p w14:paraId="3FE546FC">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111E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1FB38">
            <w:pPr>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olor w:val="000000"/>
                <w:sz w:val="24"/>
                <w:szCs w:val="24"/>
              </w:rPr>
              <w:t>滩头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858C1">
            <w:pPr>
              <w:jc w:val="center"/>
              <w:rPr>
                <w:rFonts w:hint="eastAsia" w:ascii="宋体" w:hAnsi="宋体" w:eastAsia="宋体" w:cs="宋体"/>
                <w:color w:val="000000"/>
                <w:kern w:val="0"/>
                <w:sz w:val="24"/>
                <w:szCs w:val="24"/>
                <w:lang w:val="en-US" w:eastAsia="zh-CN" w:bidi="ar-SA"/>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CEA99">
            <w:pPr>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olor w:val="000000"/>
                <w:sz w:val="24"/>
                <w:szCs w:val="24"/>
              </w:rPr>
              <w:t>1</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EF1EB">
            <w:pPr>
              <w:jc w:val="center"/>
              <w:rPr>
                <w:rFonts w:hint="eastAsia" w:ascii="宋体" w:hAnsi="宋体" w:eastAsia="宋体" w:cs="宋体"/>
                <w:color w:val="000000"/>
                <w:kern w:val="0"/>
                <w:sz w:val="24"/>
                <w:szCs w:val="24"/>
                <w:lang w:val="en-US" w:eastAsia="zh-CN" w:bidi="ar-SA"/>
              </w:rPr>
            </w:pPr>
          </w:p>
        </w:tc>
        <w:tc>
          <w:tcPr>
            <w:tcW w:w="2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B757F">
            <w:pPr>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olor w:val="000000"/>
                <w:sz w:val="24"/>
                <w:szCs w:val="24"/>
              </w:rPr>
              <w:t>最多间隔2天1次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289DD">
            <w:pPr>
              <w:jc w:val="center"/>
              <w:rPr>
                <w:rFonts w:hint="eastAsia" w:ascii="宋体" w:hAnsi="宋体" w:eastAsia="宋体" w:cs="宋体"/>
                <w:color w:val="000000"/>
                <w:kern w:val="0"/>
                <w:sz w:val="24"/>
                <w:szCs w:val="24"/>
                <w:lang w:val="en-US" w:eastAsia="zh-CN" w:bidi="ar-SA"/>
              </w:rPr>
            </w:pPr>
          </w:p>
        </w:tc>
      </w:tr>
      <w:tr w14:paraId="4E9B2E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656" w:type="dxa"/>
            <w:vMerge w:val="continue"/>
            <w:tcBorders>
              <w:left w:val="single" w:color="000000" w:sz="4" w:space="0"/>
              <w:right w:val="single" w:color="000000" w:sz="4" w:space="0"/>
            </w:tcBorders>
            <w:noWrap/>
            <w:vAlign w:val="center"/>
          </w:tcPr>
          <w:p w14:paraId="44C2FF89">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C1CA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4646B">
            <w:pPr>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olor w:val="000000"/>
                <w:sz w:val="24"/>
                <w:szCs w:val="24"/>
              </w:rPr>
              <w:t>大坟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6FEA6">
            <w:pPr>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olor w:val="000000"/>
                <w:sz w:val="24"/>
                <w:szCs w:val="24"/>
              </w:rPr>
              <w:t>1</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39F0A">
            <w:pPr>
              <w:jc w:val="center"/>
              <w:rPr>
                <w:rFonts w:hint="eastAsia" w:ascii="宋体" w:hAnsi="宋体" w:eastAsia="宋体" w:cs="宋体"/>
                <w:color w:val="000000"/>
                <w:kern w:val="0"/>
                <w:sz w:val="24"/>
                <w:szCs w:val="24"/>
                <w:lang w:val="en-US" w:eastAsia="zh-CN" w:bidi="ar-SA"/>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9AC24">
            <w:pPr>
              <w:jc w:val="center"/>
              <w:rPr>
                <w:rFonts w:hint="eastAsia" w:ascii="宋体" w:hAnsi="宋体" w:eastAsia="宋体" w:cs="宋体"/>
                <w:color w:val="000000"/>
                <w:kern w:val="0"/>
                <w:sz w:val="24"/>
                <w:szCs w:val="24"/>
                <w:lang w:val="en-US" w:eastAsia="zh-CN" w:bidi="ar-SA"/>
              </w:rPr>
            </w:pPr>
          </w:p>
        </w:tc>
        <w:tc>
          <w:tcPr>
            <w:tcW w:w="2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8E855">
            <w:pPr>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olor w:val="000000"/>
                <w:sz w:val="24"/>
                <w:szCs w:val="24"/>
              </w:rPr>
              <w:t>最多间隔2天1次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9854B">
            <w:pPr>
              <w:jc w:val="center"/>
              <w:rPr>
                <w:rFonts w:hint="eastAsia" w:ascii="宋体" w:hAnsi="宋体" w:eastAsia="宋体" w:cs="宋体"/>
                <w:color w:val="000000"/>
                <w:kern w:val="0"/>
                <w:sz w:val="24"/>
                <w:szCs w:val="24"/>
                <w:lang w:val="en-US" w:eastAsia="zh-CN" w:bidi="ar-SA"/>
              </w:rPr>
            </w:pPr>
          </w:p>
        </w:tc>
      </w:tr>
      <w:tr w14:paraId="2A47E0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656" w:type="dxa"/>
            <w:vMerge w:val="continue"/>
            <w:tcBorders>
              <w:left w:val="single" w:color="000000" w:sz="4" w:space="0"/>
              <w:right w:val="single" w:color="000000" w:sz="4" w:space="0"/>
            </w:tcBorders>
            <w:noWrap/>
            <w:vAlign w:val="center"/>
          </w:tcPr>
          <w:p w14:paraId="24239F83">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C9F1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2A278">
            <w:pPr>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olor w:val="000000"/>
                <w:sz w:val="24"/>
                <w:szCs w:val="24"/>
              </w:rPr>
              <w:t>马岭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51C96">
            <w:pPr>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olor w:val="000000"/>
                <w:sz w:val="24"/>
                <w:szCs w:val="24"/>
              </w:rPr>
              <w:t>1</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B4C64">
            <w:pPr>
              <w:jc w:val="center"/>
              <w:rPr>
                <w:rFonts w:hint="eastAsia" w:ascii="宋体" w:hAnsi="宋体" w:eastAsia="宋体" w:cs="宋体"/>
                <w:color w:val="000000"/>
                <w:kern w:val="0"/>
                <w:sz w:val="24"/>
                <w:szCs w:val="24"/>
                <w:lang w:val="en-US" w:eastAsia="zh-CN" w:bidi="ar-SA"/>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EA8BB">
            <w:pPr>
              <w:jc w:val="center"/>
              <w:rPr>
                <w:rFonts w:hint="eastAsia" w:ascii="宋体" w:hAnsi="宋体" w:eastAsia="宋体" w:cs="宋体"/>
                <w:color w:val="000000"/>
                <w:kern w:val="0"/>
                <w:sz w:val="24"/>
                <w:szCs w:val="24"/>
                <w:lang w:val="en-US" w:eastAsia="zh-CN" w:bidi="ar-SA"/>
              </w:rPr>
            </w:pPr>
          </w:p>
        </w:tc>
        <w:tc>
          <w:tcPr>
            <w:tcW w:w="2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EE252">
            <w:pPr>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olor w:val="000000"/>
                <w:sz w:val="24"/>
                <w:szCs w:val="24"/>
              </w:rPr>
              <w:t>最多间隔2天1次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2C8E3">
            <w:pPr>
              <w:jc w:val="center"/>
              <w:rPr>
                <w:rFonts w:hint="eastAsia" w:ascii="宋体" w:hAnsi="宋体" w:eastAsia="宋体" w:cs="宋体"/>
                <w:color w:val="000000"/>
                <w:kern w:val="0"/>
                <w:sz w:val="24"/>
                <w:szCs w:val="24"/>
                <w:lang w:val="en-US" w:eastAsia="zh-CN" w:bidi="ar-SA"/>
              </w:rPr>
            </w:pPr>
          </w:p>
        </w:tc>
      </w:tr>
      <w:tr w14:paraId="3B2D9C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656" w:type="dxa"/>
            <w:vMerge w:val="continue"/>
            <w:tcBorders>
              <w:left w:val="single" w:color="000000" w:sz="4" w:space="0"/>
              <w:right w:val="single" w:color="000000" w:sz="4" w:space="0"/>
            </w:tcBorders>
            <w:noWrap/>
            <w:vAlign w:val="center"/>
          </w:tcPr>
          <w:p w14:paraId="00B7A535">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4AC0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9D996">
            <w:pPr>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olor w:val="000000"/>
                <w:sz w:val="24"/>
                <w:szCs w:val="24"/>
              </w:rPr>
              <w:t>余家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C2399">
            <w:pPr>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olor w:val="000000"/>
                <w:sz w:val="24"/>
                <w:szCs w:val="24"/>
              </w:rPr>
              <w:t>1</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FA194">
            <w:pPr>
              <w:jc w:val="center"/>
              <w:rPr>
                <w:rFonts w:hint="eastAsia" w:ascii="宋体" w:hAnsi="宋体" w:eastAsia="宋体" w:cs="宋体"/>
                <w:color w:val="000000"/>
                <w:kern w:val="0"/>
                <w:sz w:val="24"/>
                <w:szCs w:val="24"/>
                <w:lang w:val="en-US" w:eastAsia="zh-CN" w:bidi="ar-SA"/>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6FA66">
            <w:pPr>
              <w:jc w:val="center"/>
              <w:rPr>
                <w:rFonts w:hint="eastAsia" w:ascii="宋体" w:hAnsi="宋体" w:eastAsia="宋体" w:cs="宋体"/>
                <w:color w:val="000000"/>
                <w:kern w:val="0"/>
                <w:sz w:val="24"/>
                <w:szCs w:val="24"/>
                <w:lang w:val="en-US" w:eastAsia="zh-CN" w:bidi="ar-SA"/>
              </w:rPr>
            </w:pPr>
          </w:p>
        </w:tc>
        <w:tc>
          <w:tcPr>
            <w:tcW w:w="2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2EEEA">
            <w:pPr>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olor w:val="000000"/>
                <w:sz w:val="24"/>
                <w:szCs w:val="24"/>
              </w:rPr>
              <w:t>最多间隔2天1次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61D1A">
            <w:pPr>
              <w:jc w:val="center"/>
              <w:rPr>
                <w:rFonts w:hint="eastAsia" w:ascii="宋体" w:hAnsi="宋体" w:eastAsia="宋体" w:cs="宋体"/>
                <w:color w:val="000000"/>
                <w:kern w:val="0"/>
                <w:sz w:val="24"/>
                <w:szCs w:val="24"/>
                <w:lang w:val="en-US" w:eastAsia="zh-CN" w:bidi="ar-SA"/>
              </w:rPr>
            </w:pPr>
          </w:p>
        </w:tc>
      </w:tr>
      <w:tr w14:paraId="083104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656" w:type="dxa"/>
            <w:vMerge w:val="continue"/>
            <w:tcBorders>
              <w:left w:val="single" w:color="000000" w:sz="4" w:space="0"/>
              <w:bottom w:val="single" w:color="auto" w:sz="4" w:space="0"/>
              <w:right w:val="single" w:color="000000" w:sz="4" w:space="0"/>
            </w:tcBorders>
            <w:noWrap/>
            <w:vAlign w:val="center"/>
          </w:tcPr>
          <w:p w14:paraId="7A6CD22C">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B519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2C40E">
            <w:pPr>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olor w:val="000000"/>
                <w:sz w:val="24"/>
                <w:szCs w:val="24"/>
              </w:rPr>
              <w:t>旗岭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7564B">
            <w:pPr>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olor w:val="000000"/>
                <w:sz w:val="24"/>
                <w:szCs w:val="24"/>
              </w:rPr>
              <w:t>1</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8D9BD">
            <w:pPr>
              <w:jc w:val="center"/>
              <w:rPr>
                <w:rFonts w:hint="eastAsia" w:ascii="宋体" w:hAnsi="宋体" w:eastAsia="宋体" w:cs="宋体"/>
                <w:color w:val="000000"/>
                <w:kern w:val="0"/>
                <w:sz w:val="24"/>
                <w:szCs w:val="24"/>
                <w:lang w:val="en-US" w:eastAsia="zh-CN" w:bidi="ar-SA"/>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26E5C">
            <w:pPr>
              <w:jc w:val="center"/>
              <w:rPr>
                <w:rFonts w:hint="eastAsia" w:ascii="宋体" w:hAnsi="宋体" w:eastAsia="宋体" w:cs="宋体"/>
                <w:color w:val="000000"/>
                <w:kern w:val="0"/>
                <w:sz w:val="24"/>
                <w:szCs w:val="24"/>
                <w:lang w:val="en-US" w:eastAsia="zh-CN" w:bidi="ar-SA"/>
              </w:rPr>
            </w:pPr>
          </w:p>
        </w:tc>
        <w:tc>
          <w:tcPr>
            <w:tcW w:w="2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FEF18">
            <w:pPr>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olor w:val="000000"/>
                <w:sz w:val="24"/>
                <w:szCs w:val="24"/>
              </w:rPr>
              <w:t>最多间隔2天1次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D7A71">
            <w:pPr>
              <w:jc w:val="center"/>
              <w:rPr>
                <w:rFonts w:hint="eastAsia" w:ascii="宋体" w:hAnsi="宋体" w:eastAsia="宋体" w:cs="宋体"/>
                <w:color w:val="000000"/>
                <w:kern w:val="0"/>
                <w:sz w:val="24"/>
                <w:szCs w:val="24"/>
                <w:lang w:val="en-US" w:eastAsia="zh-CN" w:bidi="ar-SA"/>
              </w:rPr>
            </w:pPr>
          </w:p>
        </w:tc>
      </w:tr>
      <w:tr w14:paraId="76DC21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65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080666E0">
            <w:pPr>
              <w:jc w:val="center"/>
              <w:textAlignment w:val="center"/>
              <w:rPr>
                <w:rFonts w:hint="eastAsia" w:ascii="宋体" w:hAnsi="宋体" w:eastAsia="宋体"/>
                <w:color w:val="000000"/>
                <w:sz w:val="24"/>
                <w:szCs w:val="24"/>
                <w:lang w:val="en-US" w:eastAsia="zh-CN"/>
              </w:rPr>
            </w:pPr>
          </w:p>
          <w:p w14:paraId="4CE8ACBF">
            <w:pPr>
              <w:jc w:val="center"/>
              <w:textAlignment w:val="center"/>
              <w:rPr>
                <w:rFonts w:hint="eastAsia" w:ascii="宋体" w:hAnsi="宋体" w:eastAsia="宋体"/>
                <w:color w:val="000000"/>
                <w:sz w:val="24"/>
                <w:szCs w:val="24"/>
                <w:lang w:val="en-US" w:eastAsia="zh-CN"/>
              </w:rPr>
            </w:pPr>
          </w:p>
          <w:p w14:paraId="1DA74480">
            <w:pPr>
              <w:jc w:val="center"/>
              <w:textAlignment w:val="center"/>
              <w:rPr>
                <w:rFonts w:hint="eastAsia" w:ascii="宋体" w:hAnsi="宋体" w:eastAsia="宋体"/>
                <w:color w:val="000000"/>
                <w:sz w:val="24"/>
                <w:szCs w:val="24"/>
                <w:lang w:val="en-US" w:eastAsia="zh-CN"/>
              </w:rPr>
            </w:pPr>
          </w:p>
          <w:p w14:paraId="0F5D424F">
            <w:pPr>
              <w:jc w:val="center"/>
              <w:textAlignment w:val="center"/>
              <w:rPr>
                <w:rFonts w:hint="eastAsia" w:ascii="宋体" w:hAnsi="宋体" w:eastAsia="宋体"/>
                <w:color w:val="000000"/>
                <w:sz w:val="24"/>
                <w:szCs w:val="24"/>
                <w:lang w:val="en-US" w:eastAsia="zh-CN"/>
              </w:rPr>
            </w:pPr>
          </w:p>
          <w:p w14:paraId="13214E16">
            <w:pPr>
              <w:jc w:val="center"/>
              <w:textAlignment w:val="center"/>
              <w:rPr>
                <w:rFonts w:hint="eastAsia" w:ascii="宋体" w:hAnsi="宋体" w:eastAsia="宋体"/>
                <w:color w:val="000000"/>
                <w:sz w:val="24"/>
                <w:szCs w:val="24"/>
                <w:lang w:val="en-US" w:eastAsia="zh-CN"/>
              </w:rPr>
            </w:pPr>
            <w:r>
              <w:rPr>
                <w:rFonts w:hint="eastAsia" w:ascii="宋体" w:hAnsi="宋体" w:eastAsia="宋体"/>
                <w:color w:val="000000"/>
                <w:sz w:val="24"/>
                <w:szCs w:val="24"/>
                <w:lang w:val="en-US" w:eastAsia="zh-CN"/>
              </w:rPr>
              <w:t>尖石村</w:t>
            </w:r>
          </w:p>
          <w:p w14:paraId="06C90000">
            <w:pPr>
              <w:jc w:val="center"/>
              <w:rPr>
                <w:rFonts w:hint="eastAsia" w:ascii="宋体" w:hAnsi="宋体" w:eastAsia="宋体" w:cs="宋体"/>
                <w:i w:val="0"/>
                <w:iCs w:val="0"/>
                <w:color w:val="000000"/>
                <w:sz w:val="24"/>
                <w:szCs w:val="24"/>
                <w:u w:val="none"/>
                <w:lang w:val="en-US" w:eastAsia="zh-CN"/>
              </w:rPr>
            </w:pPr>
          </w:p>
          <w:p w14:paraId="61CA56CC">
            <w:pPr>
              <w:jc w:val="center"/>
              <w:rPr>
                <w:rFonts w:hint="eastAsia" w:ascii="宋体" w:hAnsi="宋体" w:eastAsia="宋体" w:cs="宋体"/>
                <w:i w:val="0"/>
                <w:iCs w:val="0"/>
                <w:color w:val="000000"/>
                <w:sz w:val="24"/>
                <w:szCs w:val="24"/>
                <w:u w:val="none"/>
                <w:lang w:val="en-US" w:eastAsia="zh-CN"/>
              </w:rPr>
            </w:pPr>
          </w:p>
          <w:p w14:paraId="5CC27B2C">
            <w:pPr>
              <w:jc w:val="center"/>
              <w:rPr>
                <w:rFonts w:hint="eastAsia" w:ascii="宋体" w:hAnsi="宋体" w:eastAsia="宋体" w:cs="宋体"/>
                <w:i w:val="0"/>
                <w:iCs w:val="0"/>
                <w:color w:val="000000"/>
                <w:sz w:val="24"/>
                <w:szCs w:val="24"/>
                <w:u w:val="none"/>
                <w:lang w:val="en-US" w:eastAsia="zh-CN"/>
              </w:rPr>
            </w:pPr>
          </w:p>
          <w:p w14:paraId="78F3379F">
            <w:pPr>
              <w:jc w:val="center"/>
              <w:rPr>
                <w:rFonts w:hint="eastAsia" w:ascii="宋体" w:hAnsi="宋体" w:eastAsia="宋体" w:cs="宋体"/>
                <w:i w:val="0"/>
                <w:iCs w:val="0"/>
                <w:color w:val="000000"/>
                <w:sz w:val="24"/>
                <w:szCs w:val="24"/>
                <w:u w:val="none"/>
                <w:lang w:val="en-US" w:eastAsia="zh-CN"/>
              </w:rPr>
            </w:pPr>
          </w:p>
          <w:p w14:paraId="6DA2D9DF">
            <w:pPr>
              <w:jc w:val="both"/>
              <w:rPr>
                <w:rFonts w:hint="eastAsia" w:ascii="宋体" w:hAnsi="宋体" w:eastAsia="宋体" w:cs="宋体"/>
                <w:i w:val="0"/>
                <w:iCs w:val="0"/>
                <w:color w:val="000000"/>
                <w:sz w:val="24"/>
                <w:szCs w:val="24"/>
                <w:u w:val="none"/>
                <w:lang w:val="en-US" w:eastAsia="zh-CN"/>
              </w:rPr>
            </w:pPr>
          </w:p>
          <w:p w14:paraId="683AEB10">
            <w:pPr>
              <w:ind w:firstLine="240" w:firstLineChars="100"/>
              <w:jc w:val="both"/>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尖石村</w:t>
            </w:r>
          </w:p>
        </w:tc>
        <w:tc>
          <w:tcPr>
            <w:tcW w:w="0" w:type="auto"/>
            <w:tcBorders>
              <w:top w:val="single" w:color="000000" w:sz="4" w:space="0"/>
              <w:left w:val="single" w:color="auto" w:sz="4" w:space="0"/>
              <w:bottom w:val="single" w:color="000000" w:sz="4" w:space="0"/>
              <w:right w:val="single" w:color="000000" w:sz="4" w:space="0"/>
            </w:tcBorders>
            <w:shd w:val="clear" w:color="auto" w:fill="auto"/>
            <w:noWrap/>
            <w:vAlign w:val="center"/>
          </w:tcPr>
          <w:p w14:paraId="4C0F0B8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B2E6E">
            <w:pPr>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olor w:val="000000"/>
                <w:sz w:val="24"/>
                <w:szCs w:val="24"/>
              </w:rPr>
              <w:t>张公桥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EFA4D">
            <w:pPr>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olor w:val="000000"/>
                <w:sz w:val="24"/>
                <w:szCs w:val="24"/>
              </w:rPr>
              <w:t>1</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D1A6B">
            <w:pPr>
              <w:jc w:val="center"/>
              <w:rPr>
                <w:rFonts w:hint="eastAsia" w:ascii="宋体" w:hAnsi="宋体" w:eastAsia="宋体" w:cs="宋体"/>
                <w:color w:val="000000"/>
                <w:kern w:val="0"/>
                <w:sz w:val="24"/>
                <w:szCs w:val="24"/>
                <w:lang w:val="en-US" w:eastAsia="zh-CN" w:bidi="ar-SA"/>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70DDB">
            <w:pPr>
              <w:jc w:val="center"/>
              <w:rPr>
                <w:rFonts w:hint="eastAsia" w:ascii="宋体" w:hAnsi="宋体" w:eastAsia="宋体" w:cs="宋体"/>
                <w:color w:val="000000"/>
                <w:kern w:val="0"/>
                <w:sz w:val="24"/>
                <w:szCs w:val="24"/>
                <w:lang w:val="en-US" w:eastAsia="zh-CN" w:bidi="ar-SA"/>
              </w:rPr>
            </w:pPr>
          </w:p>
        </w:tc>
        <w:tc>
          <w:tcPr>
            <w:tcW w:w="2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9D4C5">
            <w:pPr>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olor w:val="000000"/>
                <w:sz w:val="24"/>
                <w:szCs w:val="24"/>
              </w:rPr>
              <w:t>最多间隔2天1次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E06B4">
            <w:pPr>
              <w:jc w:val="center"/>
              <w:rPr>
                <w:rFonts w:hint="eastAsia" w:ascii="宋体" w:hAnsi="宋体" w:eastAsia="宋体" w:cs="宋体"/>
                <w:color w:val="000000"/>
                <w:kern w:val="0"/>
                <w:sz w:val="24"/>
                <w:szCs w:val="24"/>
                <w:lang w:val="en-US" w:eastAsia="zh-CN" w:bidi="ar-SA"/>
              </w:rPr>
            </w:pPr>
          </w:p>
        </w:tc>
      </w:tr>
      <w:tr w14:paraId="215466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656" w:type="dxa"/>
            <w:vMerge w:val="continue"/>
            <w:tcBorders>
              <w:top w:val="single" w:color="auto" w:sz="4" w:space="0"/>
              <w:left w:val="single" w:color="auto" w:sz="4" w:space="0"/>
              <w:bottom w:val="single" w:color="auto" w:sz="4" w:space="0"/>
              <w:right w:val="single" w:color="auto" w:sz="4" w:space="0"/>
            </w:tcBorders>
            <w:noWrap/>
            <w:vAlign w:val="center"/>
          </w:tcPr>
          <w:p w14:paraId="620F4484">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auto" w:sz="4" w:space="0"/>
              <w:bottom w:val="single" w:color="000000" w:sz="4" w:space="0"/>
              <w:right w:val="single" w:color="000000" w:sz="4" w:space="0"/>
            </w:tcBorders>
            <w:shd w:val="clear" w:color="auto" w:fill="auto"/>
            <w:noWrap/>
            <w:vAlign w:val="center"/>
          </w:tcPr>
          <w:p w14:paraId="11CFD6C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0BFC7">
            <w:pPr>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olor w:val="000000"/>
                <w:sz w:val="24"/>
                <w:szCs w:val="24"/>
              </w:rPr>
              <w:t>坝洲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DB764">
            <w:pPr>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olor w:val="000000"/>
                <w:sz w:val="24"/>
                <w:szCs w:val="24"/>
              </w:rPr>
              <w:t>2</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7445B">
            <w:pPr>
              <w:jc w:val="center"/>
              <w:rPr>
                <w:rFonts w:hint="eastAsia" w:ascii="宋体" w:hAnsi="宋体" w:eastAsia="宋体" w:cs="宋体"/>
                <w:color w:val="000000"/>
                <w:kern w:val="0"/>
                <w:sz w:val="24"/>
                <w:szCs w:val="24"/>
                <w:lang w:val="en-US" w:eastAsia="zh-CN" w:bidi="ar-SA"/>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584FA">
            <w:pPr>
              <w:jc w:val="center"/>
              <w:rPr>
                <w:rFonts w:hint="eastAsia" w:ascii="宋体" w:hAnsi="宋体" w:eastAsia="宋体" w:cs="宋体"/>
                <w:color w:val="000000"/>
                <w:kern w:val="0"/>
                <w:sz w:val="24"/>
                <w:szCs w:val="24"/>
                <w:lang w:val="en-US" w:eastAsia="zh-CN" w:bidi="ar-SA"/>
              </w:rPr>
            </w:pPr>
          </w:p>
        </w:tc>
        <w:tc>
          <w:tcPr>
            <w:tcW w:w="2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AF393">
            <w:pPr>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olor w:val="000000"/>
                <w:sz w:val="24"/>
                <w:szCs w:val="24"/>
              </w:rPr>
              <w:t>最多间隔2天1次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03A1F">
            <w:pPr>
              <w:jc w:val="center"/>
              <w:rPr>
                <w:rFonts w:hint="eastAsia" w:ascii="宋体" w:hAnsi="宋体" w:eastAsia="宋体" w:cs="宋体"/>
                <w:color w:val="000000"/>
                <w:kern w:val="0"/>
                <w:sz w:val="24"/>
                <w:szCs w:val="24"/>
                <w:lang w:val="en-US" w:eastAsia="zh-CN" w:bidi="ar-SA"/>
              </w:rPr>
            </w:pPr>
          </w:p>
        </w:tc>
      </w:tr>
      <w:tr w14:paraId="3FAC4F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656" w:type="dxa"/>
            <w:vMerge w:val="continue"/>
            <w:tcBorders>
              <w:top w:val="single" w:color="auto" w:sz="4" w:space="0"/>
              <w:left w:val="single" w:color="auto" w:sz="4" w:space="0"/>
              <w:bottom w:val="single" w:color="auto" w:sz="4" w:space="0"/>
              <w:right w:val="single" w:color="auto" w:sz="4" w:space="0"/>
            </w:tcBorders>
            <w:noWrap/>
            <w:vAlign w:val="center"/>
          </w:tcPr>
          <w:p w14:paraId="60133145">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auto" w:sz="4" w:space="0"/>
              <w:bottom w:val="single" w:color="000000" w:sz="4" w:space="0"/>
              <w:right w:val="single" w:color="000000" w:sz="4" w:space="0"/>
            </w:tcBorders>
            <w:shd w:val="clear" w:color="auto" w:fill="auto"/>
            <w:noWrap/>
            <w:vAlign w:val="center"/>
          </w:tcPr>
          <w:p w14:paraId="0CD900B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3C192">
            <w:pPr>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olor w:val="000000"/>
                <w:sz w:val="24"/>
                <w:szCs w:val="24"/>
              </w:rPr>
              <w:t>王村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DA16A">
            <w:pPr>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olor w:val="000000"/>
                <w:sz w:val="24"/>
                <w:szCs w:val="24"/>
              </w:rPr>
              <w:t>1</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44E47">
            <w:pPr>
              <w:jc w:val="center"/>
              <w:rPr>
                <w:rFonts w:hint="eastAsia" w:ascii="宋体" w:hAnsi="宋体" w:eastAsia="宋体" w:cs="宋体"/>
                <w:color w:val="000000"/>
                <w:kern w:val="0"/>
                <w:sz w:val="24"/>
                <w:szCs w:val="24"/>
                <w:lang w:val="en-US" w:eastAsia="zh-CN" w:bidi="ar-SA"/>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EE5A5">
            <w:pPr>
              <w:jc w:val="center"/>
              <w:rPr>
                <w:rFonts w:hint="eastAsia" w:ascii="宋体" w:hAnsi="宋体" w:eastAsia="宋体" w:cs="宋体"/>
                <w:color w:val="000000"/>
                <w:kern w:val="0"/>
                <w:sz w:val="24"/>
                <w:szCs w:val="24"/>
                <w:lang w:val="en-US" w:eastAsia="zh-CN" w:bidi="ar-SA"/>
              </w:rPr>
            </w:pPr>
          </w:p>
        </w:tc>
        <w:tc>
          <w:tcPr>
            <w:tcW w:w="2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3CC4E">
            <w:pPr>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olor w:val="000000"/>
                <w:sz w:val="24"/>
                <w:szCs w:val="24"/>
              </w:rPr>
              <w:t>最多间隔2天1次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C49B4">
            <w:pPr>
              <w:jc w:val="center"/>
              <w:rPr>
                <w:rFonts w:hint="eastAsia" w:ascii="宋体" w:hAnsi="宋体" w:eastAsia="宋体" w:cs="宋体"/>
                <w:color w:val="000000"/>
                <w:kern w:val="0"/>
                <w:sz w:val="24"/>
                <w:szCs w:val="24"/>
                <w:lang w:val="en-US" w:eastAsia="zh-CN" w:bidi="ar-SA"/>
              </w:rPr>
            </w:pPr>
          </w:p>
        </w:tc>
      </w:tr>
      <w:tr w14:paraId="184700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656" w:type="dxa"/>
            <w:vMerge w:val="continue"/>
            <w:tcBorders>
              <w:top w:val="single" w:color="auto" w:sz="4" w:space="0"/>
              <w:left w:val="single" w:color="auto" w:sz="4" w:space="0"/>
              <w:bottom w:val="single" w:color="auto" w:sz="4" w:space="0"/>
              <w:right w:val="single" w:color="auto" w:sz="4" w:space="0"/>
            </w:tcBorders>
            <w:noWrap/>
            <w:vAlign w:val="center"/>
          </w:tcPr>
          <w:p w14:paraId="1BEB3C36">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auto" w:sz="4" w:space="0"/>
              <w:bottom w:val="single" w:color="000000" w:sz="4" w:space="0"/>
              <w:right w:val="single" w:color="000000" w:sz="4" w:space="0"/>
            </w:tcBorders>
            <w:shd w:val="clear" w:color="auto" w:fill="auto"/>
            <w:noWrap/>
            <w:vAlign w:val="center"/>
          </w:tcPr>
          <w:p w14:paraId="032D37A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810FF">
            <w:pPr>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olor w:val="000000"/>
                <w:sz w:val="24"/>
                <w:szCs w:val="24"/>
              </w:rPr>
              <w:t>三耙桥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B7D0A">
            <w:pPr>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olor w:val="000000"/>
                <w:sz w:val="24"/>
                <w:szCs w:val="24"/>
              </w:rPr>
              <w:t>1</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F7D93">
            <w:pPr>
              <w:jc w:val="center"/>
              <w:rPr>
                <w:rFonts w:hint="eastAsia" w:ascii="宋体" w:hAnsi="宋体" w:eastAsia="宋体" w:cs="宋体"/>
                <w:color w:val="000000"/>
                <w:kern w:val="0"/>
                <w:sz w:val="24"/>
                <w:szCs w:val="24"/>
                <w:lang w:val="en-US" w:eastAsia="zh-CN" w:bidi="ar-SA"/>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552BE">
            <w:pPr>
              <w:jc w:val="center"/>
              <w:rPr>
                <w:rFonts w:hint="eastAsia" w:ascii="宋体" w:hAnsi="宋体" w:eastAsia="宋体" w:cs="宋体"/>
                <w:color w:val="000000"/>
                <w:kern w:val="0"/>
                <w:sz w:val="24"/>
                <w:szCs w:val="24"/>
                <w:lang w:val="en-US" w:eastAsia="zh-CN" w:bidi="ar-SA"/>
              </w:rPr>
            </w:pPr>
          </w:p>
        </w:tc>
        <w:tc>
          <w:tcPr>
            <w:tcW w:w="2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E2964">
            <w:pPr>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olor w:val="000000"/>
                <w:sz w:val="24"/>
                <w:szCs w:val="24"/>
              </w:rPr>
              <w:t>最多间隔2天1次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1CD31">
            <w:pPr>
              <w:jc w:val="center"/>
              <w:rPr>
                <w:rFonts w:hint="eastAsia" w:ascii="宋体" w:hAnsi="宋体" w:eastAsia="宋体" w:cs="宋体"/>
                <w:color w:val="000000"/>
                <w:kern w:val="0"/>
                <w:sz w:val="24"/>
                <w:szCs w:val="24"/>
                <w:lang w:val="en-US" w:eastAsia="zh-CN" w:bidi="ar-SA"/>
              </w:rPr>
            </w:pPr>
          </w:p>
        </w:tc>
      </w:tr>
      <w:tr w14:paraId="4AC6E7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656" w:type="dxa"/>
            <w:vMerge w:val="continue"/>
            <w:tcBorders>
              <w:top w:val="single" w:color="auto" w:sz="4" w:space="0"/>
              <w:left w:val="single" w:color="auto" w:sz="4" w:space="0"/>
              <w:bottom w:val="single" w:color="auto" w:sz="4" w:space="0"/>
              <w:right w:val="single" w:color="auto" w:sz="4" w:space="0"/>
            </w:tcBorders>
            <w:noWrap/>
            <w:vAlign w:val="center"/>
          </w:tcPr>
          <w:p w14:paraId="080B79E6">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auto" w:sz="4" w:space="0"/>
              <w:bottom w:val="single" w:color="000000" w:sz="4" w:space="0"/>
              <w:right w:val="single" w:color="000000" w:sz="4" w:space="0"/>
            </w:tcBorders>
            <w:shd w:val="clear" w:color="auto" w:fill="auto"/>
            <w:noWrap/>
            <w:vAlign w:val="center"/>
          </w:tcPr>
          <w:p w14:paraId="0C0CC0F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A0289">
            <w:pPr>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olor w:val="000000"/>
                <w:sz w:val="24"/>
                <w:szCs w:val="24"/>
              </w:rPr>
              <w:t>下岩口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769FD">
            <w:pPr>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olor w:val="000000"/>
                <w:sz w:val="24"/>
                <w:szCs w:val="24"/>
              </w:rPr>
              <w:t>1</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203B5">
            <w:pPr>
              <w:jc w:val="center"/>
              <w:rPr>
                <w:rFonts w:hint="eastAsia" w:ascii="宋体" w:hAnsi="宋体" w:eastAsia="宋体" w:cs="宋体"/>
                <w:color w:val="000000"/>
                <w:kern w:val="0"/>
                <w:sz w:val="24"/>
                <w:szCs w:val="24"/>
                <w:lang w:val="en-US" w:eastAsia="zh-CN" w:bidi="ar-SA"/>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7E35B">
            <w:pPr>
              <w:jc w:val="center"/>
              <w:rPr>
                <w:rFonts w:hint="eastAsia" w:ascii="宋体" w:hAnsi="宋体" w:eastAsia="宋体" w:cs="宋体"/>
                <w:color w:val="000000"/>
                <w:kern w:val="0"/>
                <w:sz w:val="24"/>
                <w:szCs w:val="24"/>
                <w:lang w:val="en-US" w:eastAsia="zh-CN" w:bidi="ar-SA"/>
              </w:rPr>
            </w:pPr>
          </w:p>
        </w:tc>
        <w:tc>
          <w:tcPr>
            <w:tcW w:w="2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F322E">
            <w:pPr>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olor w:val="000000"/>
                <w:sz w:val="24"/>
                <w:szCs w:val="24"/>
              </w:rPr>
              <w:t>最多间隔2天1次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5B741">
            <w:pPr>
              <w:jc w:val="center"/>
              <w:rPr>
                <w:rFonts w:hint="eastAsia" w:ascii="宋体" w:hAnsi="宋体" w:eastAsia="宋体" w:cs="宋体"/>
                <w:color w:val="000000"/>
                <w:kern w:val="0"/>
                <w:sz w:val="24"/>
                <w:szCs w:val="24"/>
                <w:lang w:val="en-US" w:eastAsia="zh-CN" w:bidi="ar-SA"/>
              </w:rPr>
            </w:pPr>
          </w:p>
        </w:tc>
      </w:tr>
      <w:tr w14:paraId="0A3FF8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656" w:type="dxa"/>
            <w:vMerge w:val="continue"/>
            <w:tcBorders>
              <w:top w:val="single" w:color="auto" w:sz="4" w:space="0"/>
              <w:left w:val="single" w:color="auto" w:sz="4" w:space="0"/>
              <w:bottom w:val="single" w:color="auto" w:sz="4" w:space="0"/>
              <w:right w:val="single" w:color="auto" w:sz="4" w:space="0"/>
            </w:tcBorders>
            <w:noWrap/>
            <w:vAlign w:val="center"/>
          </w:tcPr>
          <w:p w14:paraId="724366BE">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auto" w:sz="4" w:space="0"/>
              <w:bottom w:val="single" w:color="000000" w:sz="4" w:space="0"/>
              <w:right w:val="single" w:color="000000" w:sz="4" w:space="0"/>
            </w:tcBorders>
            <w:shd w:val="clear" w:color="auto" w:fill="auto"/>
            <w:noWrap/>
            <w:vAlign w:val="center"/>
          </w:tcPr>
          <w:p w14:paraId="03B2E2F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7EDE3">
            <w:pPr>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olor w:val="000000"/>
                <w:sz w:val="24"/>
                <w:szCs w:val="24"/>
              </w:rPr>
              <w:t>上岩口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249E7">
            <w:pPr>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olor w:val="000000"/>
                <w:sz w:val="24"/>
                <w:szCs w:val="24"/>
              </w:rPr>
              <w:t>1</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10D9C">
            <w:pPr>
              <w:jc w:val="center"/>
              <w:rPr>
                <w:rFonts w:hint="eastAsia" w:ascii="宋体" w:hAnsi="宋体" w:eastAsia="宋体" w:cs="宋体"/>
                <w:color w:val="000000"/>
                <w:kern w:val="0"/>
                <w:sz w:val="24"/>
                <w:szCs w:val="24"/>
                <w:lang w:val="en-US" w:eastAsia="zh-CN" w:bidi="ar-SA"/>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0CE02">
            <w:pPr>
              <w:jc w:val="center"/>
              <w:rPr>
                <w:rFonts w:hint="eastAsia" w:ascii="宋体" w:hAnsi="宋体" w:eastAsia="宋体" w:cs="宋体"/>
                <w:color w:val="000000"/>
                <w:kern w:val="0"/>
                <w:sz w:val="24"/>
                <w:szCs w:val="24"/>
                <w:lang w:val="en-US" w:eastAsia="zh-CN" w:bidi="ar-SA"/>
              </w:rPr>
            </w:pPr>
          </w:p>
        </w:tc>
        <w:tc>
          <w:tcPr>
            <w:tcW w:w="2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2F5CE">
            <w:pPr>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olor w:val="000000"/>
                <w:sz w:val="24"/>
                <w:szCs w:val="24"/>
              </w:rPr>
              <w:t>最多间隔2天1次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A9CD6">
            <w:pPr>
              <w:jc w:val="center"/>
              <w:rPr>
                <w:rFonts w:hint="eastAsia" w:ascii="宋体" w:hAnsi="宋体" w:eastAsia="宋体" w:cs="宋体"/>
                <w:color w:val="000000"/>
                <w:kern w:val="0"/>
                <w:sz w:val="24"/>
                <w:szCs w:val="24"/>
                <w:lang w:val="en-US" w:eastAsia="zh-CN" w:bidi="ar-SA"/>
              </w:rPr>
            </w:pPr>
          </w:p>
        </w:tc>
      </w:tr>
      <w:tr w14:paraId="42DF77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656" w:type="dxa"/>
            <w:vMerge w:val="continue"/>
            <w:tcBorders>
              <w:top w:val="single" w:color="auto" w:sz="4" w:space="0"/>
              <w:left w:val="single" w:color="auto" w:sz="4" w:space="0"/>
              <w:bottom w:val="single" w:color="auto" w:sz="4" w:space="0"/>
              <w:right w:val="single" w:color="auto" w:sz="4" w:space="0"/>
            </w:tcBorders>
            <w:noWrap/>
            <w:vAlign w:val="center"/>
          </w:tcPr>
          <w:p w14:paraId="58E7B8A6">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auto" w:sz="4" w:space="0"/>
              <w:bottom w:val="single" w:color="000000" w:sz="4" w:space="0"/>
              <w:right w:val="single" w:color="000000" w:sz="4" w:space="0"/>
            </w:tcBorders>
            <w:shd w:val="clear" w:color="auto" w:fill="auto"/>
            <w:noWrap/>
            <w:vAlign w:val="center"/>
          </w:tcPr>
          <w:p w14:paraId="3809602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00232">
            <w:pPr>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olor w:val="000000"/>
                <w:sz w:val="24"/>
                <w:szCs w:val="24"/>
              </w:rPr>
              <w:t>社耳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78874">
            <w:pPr>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olor w:val="000000"/>
                <w:sz w:val="24"/>
                <w:szCs w:val="24"/>
              </w:rPr>
              <w:t>1</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CD462">
            <w:pPr>
              <w:jc w:val="center"/>
              <w:rPr>
                <w:rFonts w:hint="eastAsia" w:ascii="宋体" w:hAnsi="宋体" w:eastAsia="宋体" w:cs="宋体"/>
                <w:color w:val="000000"/>
                <w:kern w:val="0"/>
                <w:sz w:val="24"/>
                <w:szCs w:val="24"/>
                <w:lang w:val="en-US" w:eastAsia="zh-CN" w:bidi="ar-SA"/>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63DFC">
            <w:pPr>
              <w:jc w:val="center"/>
              <w:rPr>
                <w:rFonts w:hint="eastAsia" w:ascii="宋体" w:hAnsi="宋体" w:eastAsia="宋体" w:cs="宋体"/>
                <w:color w:val="000000"/>
                <w:kern w:val="0"/>
                <w:sz w:val="24"/>
                <w:szCs w:val="24"/>
                <w:lang w:val="en-US" w:eastAsia="zh-CN" w:bidi="ar-SA"/>
              </w:rPr>
            </w:pPr>
          </w:p>
        </w:tc>
        <w:tc>
          <w:tcPr>
            <w:tcW w:w="2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AAC94">
            <w:pPr>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olor w:val="000000"/>
                <w:sz w:val="24"/>
                <w:szCs w:val="24"/>
              </w:rPr>
              <w:t>最多间隔2天1次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68CAC">
            <w:pPr>
              <w:jc w:val="center"/>
              <w:rPr>
                <w:rFonts w:hint="eastAsia" w:ascii="宋体" w:hAnsi="宋体" w:eastAsia="宋体" w:cs="宋体"/>
                <w:color w:val="000000"/>
                <w:kern w:val="0"/>
                <w:sz w:val="24"/>
                <w:szCs w:val="24"/>
                <w:lang w:val="en-US" w:eastAsia="zh-CN" w:bidi="ar-SA"/>
              </w:rPr>
            </w:pPr>
          </w:p>
        </w:tc>
      </w:tr>
      <w:tr w14:paraId="59DC08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656" w:type="dxa"/>
            <w:vMerge w:val="continue"/>
            <w:tcBorders>
              <w:top w:val="single" w:color="auto" w:sz="4" w:space="0"/>
              <w:left w:val="single" w:color="auto" w:sz="4" w:space="0"/>
              <w:bottom w:val="single" w:color="auto" w:sz="4" w:space="0"/>
              <w:right w:val="single" w:color="auto" w:sz="4" w:space="0"/>
            </w:tcBorders>
            <w:noWrap/>
            <w:vAlign w:val="center"/>
          </w:tcPr>
          <w:p w14:paraId="3BC70E0F">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auto" w:sz="4" w:space="0"/>
              <w:bottom w:val="single" w:color="000000" w:sz="4" w:space="0"/>
              <w:right w:val="single" w:color="000000" w:sz="4" w:space="0"/>
            </w:tcBorders>
            <w:shd w:val="clear" w:color="auto" w:fill="auto"/>
            <w:noWrap/>
            <w:vAlign w:val="center"/>
          </w:tcPr>
          <w:p w14:paraId="653F7CA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4A53A">
            <w:pPr>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olor w:val="000000"/>
                <w:sz w:val="24"/>
                <w:szCs w:val="24"/>
              </w:rPr>
              <w:t>岭背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D4A09">
            <w:pPr>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olor w:val="000000"/>
                <w:sz w:val="24"/>
                <w:szCs w:val="24"/>
              </w:rPr>
              <w:t>2</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6BBD2">
            <w:pPr>
              <w:jc w:val="center"/>
              <w:rPr>
                <w:rFonts w:hint="eastAsia" w:ascii="宋体" w:hAnsi="宋体" w:eastAsia="宋体" w:cs="宋体"/>
                <w:color w:val="000000"/>
                <w:kern w:val="0"/>
                <w:sz w:val="24"/>
                <w:szCs w:val="24"/>
                <w:lang w:val="en-US" w:eastAsia="zh-CN" w:bidi="ar-SA"/>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81329">
            <w:pPr>
              <w:jc w:val="center"/>
              <w:rPr>
                <w:rFonts w:hint="eastAsia" w:ascii="宋体" w:hAnsi="宋体" w:eastAsia="宋体" w:cs="宋体"/>
                <w:color w:val="000000"/>
                <w:kern w:val="0"/>
                <w:sz w:val="24"/>
                <w:szCs w:val="24"/>
                <w:lang w:val="en-US" w:eastAsia="zh-CN" w:bidi="ar-SA"/>
              </w:rPr>
            </w:pPr>
          </w:p>
        </w:tc>
        <w:tc>
          <w:tcPr>
            <w:tcW w:w="2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0B06C">
            <w:pPr>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olor w:val="000000"/>
                <w:sz w:val="24"/>
                <w:szCs w:val="24"/>
              </w:rPr>
              <w:t>最多间隔2天1次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021CB">
            <w:pPr>
              <w:jc w:val="center"/>
              <w:rPr>
                <w:rFonts w:hint="eastAsia" w:ascii="宋体" w:hAnsi="宋体" w:eastAsia="宋体" w:cs="宋体"/>
                <w:color w:val="000000"/>
                <w:kern w:val="0"/>
                <w:sz w:val="24"/>
                <w:szCs w:val="24"/>
                <w:lang w:val="en-US" w:eastAsia="zh-CN" w:bidi="ar-SA"/>
              </w:rPr>
            </w:pPr>
          </w:p>
        </w:tc>
      </w:tr>
      <w:tr w14:paraId="71DDDA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656" w:type="dxa"/>
            <w:vMerge w:val="continue"/>
            <w:tcBorders>
              <w:top w:val="single" w:color="auto" w:sz="4" w:space="0"/>
              <w:left w:val="single" w:color="auto" w:sz="4" w:space="0"/>
              <w:bottom w:val="single" w:color="auto" w:sz="4" w:space="0"/>
              <w:right w:val="single" w:color="auto" w:sz="4" w:space="0"/>
            </w:tcBorders>
            <w:noWrap/>
            <w:vAlign w:val="center"/>
          </w:tcPr>
          <w:p w14:paraId="0CBBFF68">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auto" w:sz="4" w:space="0"/>
              <w:bottom w:val="single" w:color="000000" w:sz="4" w:space="0"/>
              <w:right w:val="single" w:color="000000" w:sz="4" w:space="0"/>
            </w:tcBorders>
            <w:shd w:val="clear" w:color="auto" w:fill="auto"/>
            <w:noWrap/>
            <w:vAlign w:val="center"/>
          </w:tcPr>
          <w:p w14:paraId="18C3B97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49DE8">
            <w:pPr>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olor w:val="000000"/>
                <w:sz w:val="24"/>
                <w:szCs w:val="24"/>
              </w:rPr>
              <w:t>上尖石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685EE">
            <w:pPr>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olor w:val="000000"/>
                <w:sz w:val="24"/>
                <w:szCs w:val="24"/>
              </w:rPr>
              <w:t>1</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9544B">
            <w:pPr>
              <w:jc w:val="center"/>
              <w:rPr>
                <w:rFonts w:hint="eastAsia" w:ascii="宋体" w:hAnsi="宋体" w:eastAsia="宋体" w:cs="宋体"/>
                <w:color w:val="000000"/>
                <w:kern w:val="0"/>
                <w:sz w:val="24"/>
                <w:szCs w:val="24"/>
                <w:lang w:val="en-US" w:eastAsia="zh-CN" w:bidi="ar-SA"/>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67275">
            <w:pPr>
              <w:jc w:val="center"/>
              <w:rPr>
                <w:rFonts w:hint="eastAsia" w:ascii="宋体" w:hAnsi="宋体" w:eastAsia="宋体" w:cs="宋体"/>
                <w:color w:val="000000"/>
                <w:kern w:val="0"/>
                <w:sz w:val="24"/>
                <w:szCs w:val="24"/>
                <w:lang w:val="en-US" w:eastAsia="zh-CN" w:bidi="ar-SA"/>
              </w:rPr>
            </w:pPr>
          </w:p>
        </w:tc>
        <w:tc>
          <w:tcPr>
            <w:tcW w:w="2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8EA10">
            <w:pPr>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olor w:val="000000"/>
                <w:sz w:val="24"/>
                <w:szCs w:val="24"/>
              </w:rPr>
              <w:t>最多间隔2天1次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C9556">
            <w:pPr>
              <w:jc w:val="center"/>
              <w:rPr>
                <w:rFonts w:hint="eastAsia" w:ascii="宋体" w:hAnsi="宋体" w:eastAsia="宋体" w:cs="宋体"/>
                <w:color w:val="000000"/>
                <w:kern w:val="0"/>
                <w:sz w:val="24"/>
                <w:szCs w:val="24"/>
                <w:lang w:val="en-US" w:eastAsia="zh-CN" w:bidi="ar-SA"/>
              </w:rPr>
            </w:pPr>
          </w:p>
        </w:tc>
      </w:tr>
      <w:tr w14:paraId="573AE0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656" w:type="dxa"/>
            <w:vMerge w:val="continue"/>
            <w:tcBorders>
              <w:top w:val="single" w:color="auto" w:sz="4" w:space="0"/>
              <w:left w:val="single" w:color="auto" w:sz="4" w:space="0"/>
              <w:bottom w:val="single" w:color="auto" w:sz="4" w:space="0"/>
              <w:right w:val="single" w:color="auto" w:sz="4" w:space="0"/>
            </w:tcBorders>
            <w:noWrap/>
            <w:vAlign w:val="center"/>
          </w:tcPr>
          <w:p w14:paraId="14A42831">
            <w:pPr>
              <w:jc w:val="center"/>
              <w:rPr>
                <w:rFonts w:hint="default" w:ascii="宋体" w:hAnsi="宋体" w:eastAsia="宋体" w:cs="宋体"/>
                <w:i w:val="0"/>
                <w:iCs w:val="0"/>
                <w:color w:val="000000"/>
                <w:sz w:val="24"/>
                <w:szCs w:val="24"/>
                <w:u w:val="none"/>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F880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9F092">
            <w:pPr>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olor w:val="000000"/>
                <w:sz w:val="24"/>
                <w:szCs w:val="24"/>
              </w:rPr>
              <w:t>下尖石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48F14">
            <w:pPr>
              <w:jc w:val="center"/>
              <w:rPr>
                <w:rFonts w:hint="eastAsia" w:ascii="宋体" w:hAnsi="宋体" w:eastAsia="宋体" w:cs="宋体"/>
                <w:color w:val="000000"/>
                <w:kern w:val="0"/>
                <w:sz w:val="24"/>
                <w:szCs w:val="24"/>
                <w:lang w:val="en-US" w:eastAsia="zh-CN" w:bidi="ar-SA"/>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25869">
            <w:pPr>
              <w:jc w:val="center"/>
              <w:rPr>
                <w:rFonts w:hint="eastAsia" w:ascii="宋体" w:hAnsi="宋体" w:eastAsia="宋体" w:cs="宋体"/>
                <w:color w:val="000000"/>
                <w:kern w:val="0"/>
                <w:sz w:val="24"/>
                <w:szCs w:val="24"/>
                <w:lang w:val="en-US" w:eastAsia="zh-CN" w:bidi="ar-SA"/>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EFCC2">
            <w:pPr>
              <w:jc w:val="center"/>
              <w:rPr>
                <w:rFonts w:hint="eastAsia" w:ascii="宋体" w:hAnsi="宋体" w:eastAsia="宋体" w:cs="宋体"/>
                <w:color w:val="000000"/>
                <w:kern w:val="0"/>
                <w:sz w:val="24"/>
                <w:szCs w:val="24"/>
                <w:lang w:val="en-US" w:eastAsia="zh-CN" w:bidi="ar-SA"/>
              </w:rPr>
            </w:pPr>
          </w:p>
        </w:tc>
        <w:tc>
          <w:tcPr>
            <w:tcW w:w="2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1EAF0">
            <w:pPr>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olor w:val="000000"/>
                <w:sz w:val="24"/>
                <w:szCs w:val="24"/>
              </w:rPr>
              <w:t>最多间隔2天1次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A396F">
            <w:pPr>
              <w:jc w:val="center"/>
              <w:rPr>
                <w:rFonts w:hint="eastAsia" w:ascii="宋体" w:hAnsi="宋体" w:eastAsia="宋体" w:cs="宋体"/>
                <w:color w:val="000000"/>
                <w:kern w:val="0"/>
                <w:sz w:val="24"/>
                <w:szCs w:val="24"/>
                <w:lang w:val="en-US" w:eastAsia="zh-CN" w:bidi="ar-SA"/>
              </w:rPr>
            </w:pPr>
          </w:p>
        </w:tc>
      </w:tr>
      <w:tr w14:paraId="73F595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656" w:type="dxa"/>
            <w:vMerge w:val="continue"/>
            <w:tcBorders>
              <w:top w:val="single" w:color="auto" w:sz="4" w:space="0"/>
              <w:left w:val="single" w:color="auto" w:sz="4" w:space="0"/>
              <w:bottom w:val="single" w:color="auto" w:sz="4" w:space="0"/>
              <w:right w:val="single" w:color="auto" w:sz="4" w:space="0"/>
            </w:tcBorders>
            <w:noWrap/>
            <w:vAlign w:val="center"/>
          </w:tcPr>
          <w:p w14:paraId="0AA029B9">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568D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7A060">
            <w:pPr>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olor w:val="000000"/>
                <w:sz w:val="24"/>
                <w:szCs w:val="24"/>
              </w:rPr>
              <w:t>下良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400B9">
            <w:pPr>
              <w:jc w:val="center"/>
              <w:rPr>
                <w:rFonts w:hint="eastAsia" w:ascii="宋体" w:hAnsi="宋体" w:eastAsia="宋体" w:cs="宋体"/>
                <w:color w:val="000000"/>
                <w:kern w:val="0"/>
                <w:sz w:val="24"/>
                <w:szCs w:val="24"/>
                <w:lang w:val="en-US" w:eastAsia="zh-CN" w:bidi="ar-SA"/>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0173A">
            <w:pPr>
              <w:jc w:val="center"/>
              <w:rPr>
                <w:rFonts w:hint="eastAsia" w:ascii="宋体" w:hAnsi="宋体" w:eastAsia="宋体" w:cs="宋体"/>
                <w:color w:val="000000"/>
                <w:kern w:val="0"/>
                <w:sz w:val="24"/>
                <w:szCs w:val="24"/>
                <w:lang w:val="en-US" w:eastAsia="zh-CN" w:bidi="ar-SA"/>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EFA65">
            <w:pPr>
              <w:jc w:val="center"/>
              <w:rPr>
                <w:rFonts w:hint="eastAsia" w:ascii="宋体" w:hAnsi="宋体" w:eastAsia="宋体" w:cs="宋体"/>
                <w:color w:val="000000"/>
                <w:kern w:val="0"/>
                <w:sz w:val="24"/>
                <w:szCs w:val="24"/>
                <w:lang w:val="en-US" w:eastAsia="zh-CN" w:bidi="ar-SA"/>
              </w:rPr>
            </w:pPr>
          </w:p>
        </w:tc>
        <w:tc>
          <w:tcPr>
            <w:tcW w:w="2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781CC">
            <w:pPr>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olor w:val="000000"/>
                <w:sz w:val="24"/>
                <w:szCs w:val="24"/>
              </w:rPr>
              <w:t>最多间隔2天1次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F2293">
            <w:pPr>
              <w:jc w:val="center"/>
              <w:rPr>
                <w:rFonts w:hint="eastAsia" w:ascii="宋体" w:hAnsi="宋体" w:eastAsia="宋体" w:cs="宋体"/>
                <w:color w:val="000000"/>
                <w:kern w:val="0"/>
                <w:sz w:val="24"/>
                <w:szCs w:val="24"/>
                <w:lang w:val="en-US" w:eastAsia="zh-CN" w:bidi="ar-SA"/>
              </w:rPr>
            </w:pPr>
          </w:p>
        </w:tc>
      </w:tr>
      <w:tr w14:paraId="50EFA7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656" w:type="dxa"/>
            <w:vMerge w:val="continue"/>
            <w:tcBorders>
              <w:top w:val="single" w:color="auto" w:sz="4" w:space="0"/>
              <w:left w:val="single" w:color="auto" w:sz="4" w:space="0"/>
              <w:bottom w:val="single" w:color="auto" w:sz="4" w:space="0"/>
              <w:right w:val="single" w:color="auto" w:sz="4" w:space="0"/>
            </w:tcBorders>
            <w:noWrap/>
            <w:vAlign w:val="center"/>
          </w:tcPr>
          <w:p w14:paraId="0643C948">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C05A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ECA69">
            <w:pPr>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olor w:val="000000"/>
                <w:sz w:val="24"/>
                <w:szCs w:val="24"/>
              </w:rPr>
              <w:t>田垌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24462">
            <w:pPr>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olor w:val="000000"/>
                <w:sz w:val="24"/>
                <w:szCs w:val="24"/>
              </w:rPr>
              <w:t>1</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25B09">
            <w:pPr>
              <w:jc w:val="center"/>
              <w:rPr>
                <w:rFonts w:hint="eastAsia" w:ascii="宋体" w:hAnsi="宋体" w:eastAsia="宋体" w:cs="宋体"/>
                <w:color w:val="000000"/>
                <w:kern w:val="0"/>
                <w:sz w:val="24"/>
                <w:szCs w:val="24"/>
                <w:lang w:val="en-US" w:eastAsia="zh-CN" w:bidi="ar-SA"/>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547B8">
            <w:pPr>
              <w:jc w:val="center"/>
              <w:rPr>
                <w:rFonts w:hint="eastAsia" w:ascii="宋体" w:hAnsi="宋体" w:eastAsia="宋体" w:cs="宋体"/>
                <w:color w:val="000000"/>
                <w:kern w:val="0"/>
                <w:sz w:val="24"/>
                <w:szCs w:val="24"/>
                <w:lang w:val="en-US" w:eastAsia="zh-CN" w:bidi="ar-SA"/>
              </w:rPr>
            </w:pPr>
          </w:p>
        </w:tc>
        <w:tc>
          <w:tcPr>
            <w:tcW w:w="2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B29C4">
            <w:pPr>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olor w:val="000000"/>
                <w:sz w:val="24"/>
                <w:szCs w:val="24"/>
              </w:rPr>
              <w:t>最多间隔2天1次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B794A">
            <w:pPr>
              <w:jc w:val="center"/>
              <w:rPr>
                <w:rFonts w:hint="eastAsia" w:ascii="宋体" w:hAnsi="宋体" w:eastAsia="宋体" w:cs="宋体"/>
                <w:color w:val="000000"/>
                <w:kern w:val="0"/>
                <w:sz w:val="24"/>
                <w:szCs w:val="24"/>
                <w:lang w:val="en-US" w:eastAsia="zh-CN" w:bidi="ar-SA"/>
              </w:rPr>
            </w:pPr>
          </w:p>
        </w:tc>
      </w:tr>
      <w:tr w14:paraId="634CB0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656" w:type="dxa"/>
            <w:vMerge w:val="restart"/>
            <w:tcBorders>
              <w:top w:val="single" w:color="auto" w:sz="4" w:space="0"/>
              <w:left w:val="single" w:color="000000" w:sz="4" w:space="0"/>
              <w:bottom w:val="single" w:color="auto" w:sz="4" w:space="0"/>
              <w:right w:val="single" w:color="000000" w:sz="4" w:space="0"/>
            </w:tcBorders>
            <w:shd w:val="clear" w:color="auto" w:fill="auto"/>
            <w:noWrap/>
            <w:vAlign w:val="center"/>
          </w:tcPr>
          <w:p w14:paraId="60ABFEF9">
            <w:pPr>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olor w:val="000000"/>
                <w:sz w:val="24"/>
                <w:szCs w:val="24"/>
              </w:rPr>
              <w:t>永安村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93AA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BAA57">
            <w:pPr>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olor w:val="000000"/>
                <w:sz w:val="24"/>
                <w:szCs w:val="24"/>
              </w:rPr>
              <w:t>雷塘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CEE4A">
            <w:pPr>
              <w:jc w:val="center"/>
              <w:rPr>
                <w:rFonts w:hint="eastAsia" w:ascii="宋体" w:hAnsi="宋体" w:eastAsia="宋体" w:cs="宋体"/>
                <w:color w:val="000000"/>
                <w:kern w:val="0"/>
                <w:sz w:val="24"/>
                <w:szCs w:val="24"/>
                <w:lang w:val="en-US" w:eastAsia="zh-CN" w:bidi="ar-SA"/>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D1A61">
            <w:pPr>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olor w:val="000000"/>
                <w:sz w:val="24"/>
                <w:szCs w:val="24"/>
              </w:rPr>
              <w:t>1</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4C110">
            <w:pPr>
              <w:jc w:val="center"/>
              <w:rPr>
                <w:rFonts w:hint="eastAsia" w:ascii="宋体" w:hAnsi="宋体" w:eastAsia="宋体" w:cs="宋体"/>
                <w:color w:val="000000"/>
                <w:kern w:val="0"/>
                <w:sz w:val="24"/>
                <w:szCs w:val="24"/>
                <w:lang w:val="en-US" w:eastAsia="zh-CN" w:bidi="ar-SA"/>
              </w:rPr>
            </w:pPr>
          </w:p>
        </w:tc>
        <w:tc>
          <w:tcPr>
            <w:tcW w:w="2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21C21">
            <w:pPr>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olor w:val="000000"/>
                <w:sz w:val="24"/>
                <w:szCs w:val="24"/>
              </w:rPr>
              <w:t>最多间隔2天1次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9D954">
            <w:pPr>
              <w:jc w:val="center"/>
              <w:rPr>
                <w:rFonts w:hint="eastAsia" w:ascii="宋体" w:hAnsi="宋体" w:eastAsia="宋体" w:cs="宋体"/>
                <w:color w:val="000000"/>
                <w:kern w:val="0"/>
                <w:sz w:val="24"/>
                <w:szCs w:val="24"/>
                <w:lang w:val="en-US" w:eastAsia="zh-CN" w:bidi="ar-SA"/>
              </w:rPr>
            </w:pPr>
          </w:p>
        </w:tc>
      </w:tr>
      <w:tr w14:paraId="593706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656" w:type="dxa"/>
            <w:vMerge w:val="continue"/>
            <w:tcBorders>
              <w:top w:val="single" w:color="auto" w:sz="4" w:space="0"/>
              <w:left w:val="single" w:color="000000" w:sz="4" w:space="0"/>
              <w:bottom w:val="single" w:color="auto" w:sz="4" w:space="0"/>
              <w:right w:val="single" w:color="000000" w:sz="4" w:space="0"/>
            </w:tcBorders>
            <w:noWrap/>
            <w:vAlign w:val="center"/>
          </w:tcPr>
          <w:p w14:paraId="3FFEB1EF">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854D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E57CF">
            <w:pPr>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olor w:val="000000"/>
                <w:sz w:val="24"/>
                <w:szCs w:val="24"/>
              </w:rPr>
              <w:t>大院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10C70">
            <w:pPr>
              <w:jc w:val="center"/>
              <w:rPr>
                <w:rFonts w:hint="eastAsia" w:ascii="宋体" w:hAnsi="宋体" w:eastAsia="宋体" w:cs="宋体"/>
                <w:color w:val="000000"/>
                <w:kern w:val="0"/>
                <w:sz w:val="24"/>
                <w:szCs w:val="24"/>
                <w:lang w:val="en-US" w:eastAsia="zh-CN" w:bidi="ar-SA"/>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52E92">
            <w:pPr>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olor w:val="000000"/>
                <w:sz w:val="24"/>
                <w:szCs w:val="24"/>
              </w:rPr>
              <w:t>1</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F8713">
            <w:pPr>
              <w:jc w:val="center"/>
              <w:rPr>
                <w:rFonts w:hint="eastAsia" w:ascii="宋体" w:hAnsi="宋体" w:eastAsia="宋体" w:cs="宋体"/>
                <w:color w:val="000000"/>
                <w:kern w:val="0"/>
                <w:sz w:val="24"/>
                <w:szCs w:val="24"/>
                <w:lang w:val="en-US" w:eastAsia="zh-CN" w:bidi="ar-SA"/>
              </w:rPr>
            </w:pPr>
          </w:p>
        </w:tc>
        <w:tc>
          <w:tcPr>
            <w:tcW w:w="2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26DD2">
            <w:pPr>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olor w:val="000000"/>
                <w:sz w:val="24"/>
                <w:szCs w:val="24"/>
              </w:rPr>
              <w:t>最多间隔2天1次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07FCF">
            <w:pPr>
              <w:jc w:val="center"/>
              <w:rPr>
                <w:rFonts w:hint="eastAsia" w:ascii="宋体" w:hAnsi="宋体" w:eastAsia="宋体" w:cs="宋体"/>
                <w:color w:val="000000"/>
                <w:kern w:val="0"/>
                <w:sz w:val="24"/>
                <w:szCs w:val="24"/>
                <w:lang w:val="en-US" w:eastAsia="zh-CN" w:bidi="ar-SA"/>
              </w:rPr>
            </w:pPr>
          </w:p>
        </w:tc>
      </w:tr>
      <w:tr w14:paraId="5C33A9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656" w:type="dxa"/>
            <w:vMerge w:val="continue"/>
            <w:tcBorders>
              <w:top w:val="single" w:color="auto" w:sz="4" w:space="0"/>
              <w:left w:val="single" w:color="000000" w:sz="4" w:space="0"/>
              <w:bottom w:val="single" w:color="auto" w:sz="4" w:space="0"/>
              <w:right w:val="single" w:color="000000" w:sz="4" w:space="0"/>
            </w:tcBorders>
            <w:noWrap/>
            <w:vAlign w:val="center"/>
          </w:tcPr>
          <w:p w14:paraId="16D6C05E">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6194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10444">
            <w:pPr>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olor w:val="000000"/>
                <w:sz w:val="24"/>
                <w:szCs w:val="24"/>
              </w:rPr>
              <w:t>冯家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69FC9">
            <w:pPr>
              <w:jc w:val="center"/>
              <w:rPr>
                <w:rFonts w:hint="eastAsia" w:ascii="宋体" w:hAnsi="宋体" w:eastAsia="宋体" w:cs="宋体"/>
                <w:color w:val="000000"/>
                <w:kern w:val="0"/>
                <w:sz w:val="24"/>
                <w:szCs w:val="24"/>
                <w:lang w:val="en-US" w:eastAsia="zh-CN" w:bidi="ar-SA"/>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BAD32">
            <w:pPr>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olor w:val="000000"/>
                <w:sz w:val="24"/>
                <w:szCs w:val="24"/>
              </w:rPr>
              <w:t>1</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EB4D6">
            <w:pPr>
              <w:jc w:val="center"/>
              <w:rPr>
                <w:rFonts w:hint="eastAsia" w:ascii="宋体" w:hAnsi="宋体" w:eastAsia="宋体" w:cs="宋体"/>
                <w:color w:val="000000"/>
                <w:kern w:val="0"/>
                <w:sz w:val="24"/>
                <w:szCs w:val="24"/>
                <w:lang w:val="en-US" w:eastAsia="zh-CN" w:bidi="ar-SA"/>
              </w:rPr>
            </w:pPr>
          </w:p>
        </w:tc>
        <w:tc>
          <w:tcPr>
            <w:tcW w:w="2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BAB20">
            <w:pPr>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olor w:val="000000"/>
                <w:sz w:val="24"/>
                <w:szCs w:val="24"/>
              </w:rPr>
              <w:t>最多间隔2天1次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07E97">
            <w:pPr>
              <w:jc w:val="center"/>
              <w:rPr>
                <w:rFonts w:hint="eastAsia" w:ascii="宋体" w:hAnsi="宋体" w:eastAsia="宋体" w:cs="宋体"/>
                <w:color w:val="000000"/>
                <w:kern w:val="0"/>
                <w:sz w:val="24"/>
                <w:szCs w:val="24"/>
                <w:lang w:val="en-US" w:eastAsia="zh-CN" w:bidi="ar-SA"/>
              </w:rPr>
            </w:pPr>
          </w:p>
        </w:tc>
      </w:tr>
      <w:tr w14:paraId="0DE042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656" w:type="dxa"/>
            <w:vMerge w:val="continue"/>
            <w:tcBorders>
              <w:top w:val="single" w:color="auto" w:sz="4" w:space="0"/>
              <w:left w:val="single" w:color="000000" w:sz="4" w:space="0"/>
              <w:bottom w:val="single" w:color="auto" w:sz="4" w:space="0"/>
              <w:right w:val="single" w:color="000000" w:sz="4" w:space="0"/>
            </w:tcBorders>
            <w:noWrap/>
            <w:vAlign w:val="center"/>
          </w:tcPr>
          <w:p w14:paraId="3484F3D1">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1ED1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9038D">
            <w:pPr>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olor w:val="000000"/>
                <w:sz w:val="24"/>
                <w:szCs w:val="24"/>
              </w:rPr>
              <w:t>韩家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010F1">
            <w:pPr>
              <w:jc w:val="center"/>
              <w:rPr>
                <w:rFonts w:hint="eastAsia" w:ascii="宋体" w:hAnsi="宋体" w:eastAsia="宋体" w:cs="宋体"/>
                <w:color w:val="000000"/>
                <w:kern w:val="0"/>
                <w:sz w:val="24"/>
                <w:szCs w:val="24"/>
                <w:lang w:val="en-US" w:eastAsia="zh-CN" w:bidi="ar-SA"/>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D7FBC">
            <w:pPr>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olor w:val="000000"/>
                <w:sz w:val="24"/>
                <w:szCs w:val="24"/>
              </w:rPr>
              <w:t>2</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83F8D">
            <w:pPr>
              <w:jc w:val="center"/>
              <w:rPr>
                <w:rFonts w:hint="eastAsia" w:ascii="宋体" w:hAnsi="宋体" w:eastAsia="宋体" w:cs="宋体"/>
                <w:color w:val="000000"/>
                <w:kern w:val="0"/>
                <w:sz w:val="24"/>
                <w:szCs w:val="24"/>
                <w:lang w:val="en-US" w:eastAsia="zh-CN" w:bidi="ar-SA"/>
              </w:rPr>
            </w:pPr>
          </w:p>
        </w:tc>
        <w:tc>
          <w:tcPr>
            <w:tcW w:w="2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79367">
            <w:pPr>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olor w:val="000000"/>
                <w:sz w:val="24"/>
                <w:szCs w:val="24"/>
              </w:rPr>
              <w:t>最多间隔2天1次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7E21B">
            <w:pPr>
              <w:jc w:val="center"/>
              <w:rPr>
                <w:rFonts w:hint="eastAsia" w:ascii="宋体" w:hAnsi="宋体" w:eastAsia="宋体" w:cs="宋体"/>
                <w:color w:val="000000"/>
                <w:kern w:val="0"/>
                <w:sz w:val="24"/>
                <w:szCs w:val="24"/>
                <w:lang w:val="en-US" w:eastAsia="zh-CN" w:bidi="ar-SA"/>
              </w:rPr>
            </w:pPr>
          </w:p>
        </w:tc>
      </w:tr>
      <w:tr w14:paraId="4C4CC3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656" w:type="dxa"/>
            <w:vMerge w:val="continue"/>
            <w:tcBorders>
              <w:top w:val="single" w:color="auto" w:sz="4" w:space="0"/>
              <w:left w:val="single" w:color="000000" w:sz="4" w:space="0"/>
              <w:bottom w:val="single" w:color="auto" w:sz="4" w:space="0"/>
              <w:right w:val="single" w:color="000000" w:sz="4" w:space="0"/>
            </w:tcBorders>
            <w:noWrap/>
            <w:vAlign w:val="center"/>
          </w:tcPr>
          <w:p w14:paraId="70B6F08D">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364F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8713C">
            <w:pPr>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olor w:val="000000"/>
                <w:sz w:val="24"/>
                <w:szCs w:val="24"/>
              </w:rPr>
              <w:t>窑坪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6E21C">
            <w:pPr>
              <w:jc w:val="center"/>
              <w:rPr>
                <w:rFonts w:hint="eastAsia" w:ascii="宋体" w:hAnsi="宋体" w:eastAsia="宋体" w:cs="宋体"/>
                <w:color w:val="000000"/>
                <w:kern w:val="0"/>
                <w:sz w:val="24"/>
                <w:szCs w:val="24"/>
                <w:lang w:val="en-US" w:eastAsia="zh-CN" w:bidi="ar-SA"/>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2BBF8">
            <w:pPr>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olor w:val="000000"/>
                <w:sz w:val="24"/>
                <w:szCs w:val="24"/>
              </w:rPr>
              <w:t>1</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85E98">
            <w:pPr>
              <w:jc w:val="center"/>
              <w:rPr>
                <w:rFonts w:hint="eastAsia" w:ascii="宋体" w:hAnsi="宋体" w:eastAsia="宋体" w:cs="宋体"/>
                <w:color w:val="000000"/>
                <w:kern w:val="0"/>
                <w:sz w:val="24"/>
                <w:szCs w:val="24"/>
                <w:lang w:val="en-US" w:eastAsia="zh-CN" w:bidi="ar-SA"/>
              </w:rPr>
            </w:pPr>
          </w:p>
        </w:tc>
        <w:tc>
          <w:tcPr>
            <w:tcW w:w="2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F4AF6">
            <w:pPr>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olor w:val="000000"/>
                <w:sz w:val="24"/>
                <w:szCs w:val="24"/>
              </w:rPr>
              <w:t>最多间隔2天1次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6DB56">
            <w:pPr>
              <w:jc w:val="center"/>
              <w:rPr>
                <w:rFonts w:hint="eastAsia" w:ascii="宋体" w:hAnsi="宋体" w:eastAsia="宋体" w:cs="宋体"/>
                <w:color w:val="000000"/>
                <w:kern w:val="0"/>
                <w:sz w:val="24"/>
                <w:szCs w:val="24"/>
                <w:lang w:val="en-US" w:eastAsia="zh-CN" w:bidi="ar-SA"/>
              </w:rPr>
            </w:pPr>
          </w:p>
        </w:tc>
      </w:tr>
      <w:tr w14:paraId="4B2778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656" w:type="dxa"/>
            <w:vMerge w:val="restart"/>
            <w:tcBorders>
              <w:top w:val="single" w:color="auto" w:sz="4" w:space="0"/>
              <w:left w:val="single" w:color="000000" w:sz="4" w:space="0"/>
              <w:bottom w:val="single" w:color="auto" w:sz="4" w:space="0"/>
              <w:right w:val="single" w:color="000000" w:sz="4" w:space="0"/>
            </w:tcBorders>
            <w:shd w:val="clear" w:color="auto" w:fill="auto"/>
            <w:noWrap/>
            <w:vAlign w:val="center"/>
          </w:tcPr>
          <w:p w14:paraId="1D6F77BF">
            <w:pPr>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olor w:val="000000"/>
                <w:sz w:val="24"/>
                <w:szCs w:val="24"/>
              </w:rPr>
              <w:t>雷塘村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9848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B78C8">
            <w:pPr>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olor w:val="000000"/>
                <w:sz w:val="24"/>
                <w:szCs w:val="24"/>
              </w:rPr>
              <w:t>北岸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7F304">
            <w:pPr>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olor w:val="000000"/>
                <w:sz w:val="24"/>
                <w:szCs w:val="24"/>
              </w:rPr>
              <w:t>1</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59644">
            <w:pPr>
              <w:jc w:val="center"/>
              <w:rPr>
                <w:rFonts w:hint="eastAsia" w:ascii="宋体" w:hAnsi="宋体" w:eastAsia="宋体" w:cs="宋体"/>
                <w:color w:val="000000"/>
                <w:kern w:val="0"/>
                <w:sz w:val="24"/>
                <w:szCs w:val="24"/>
                <w:lang w:val="en-US" w:eastAsia="zh-CN" w:bidi="ar-SA"/>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10DAC">
            <w:pPr>
              <w:jc w:val="center"/>
              <w:rPr>
                <w:rFonts w:hint="eastAsia" w:ascii="宋体" w:hAnsi="宋体" w:eastAsia="宋体" w:cs="宋体"/>
                <w:color w:val="000000"/>
                <w:kern w:val="0"/>
                <w:sz w:val="24"/>
                <w:szCs w:val="24"/>
                <w:lang w:val="en-US" w:eastAsia="zh-CN" w:bidi="ar-SA"/>
              </w:rPr>
            </w:pPr>
          </w:p>
        </w:tc>
        <w:tc>
          <w:tcPr>
            <w:tcW w:w="2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E301A">
            <w:pPr>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olor w:val="000000"/>
                <w:sz w:val="24"/>
                <w:szCs w:val="24"/>
              </w:rPr>
              <w:t>最多间隔2天1次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4E8BD">
            <w:pPr>
              <w:jc w:val="center"/>
              <w:rPr>
                <w:rFonts w:hint="eastAsia" w:ascii="宋体" w:hAnsi="宋体" w:eastAsia="宋体" w:cs="宋体"/>
                <w:color w:val="000000"/>
                <w:kern w:val="0"/>
                <w:sz w:val="24"/>
                <w:szCs w:val="24"/>
                <w:lang w:val="en-US" w:eastAsia="zh-CN" w:bidi="ar-SA"/>
              </w:rPr>
            </w:pPr>
          </w:p>
        </w:tc>
      </w:tr>
      <w:tr w14:paraId="07ED6F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656" w:type="dxa"/>
            <w:vMerge w:val="continue"/>
            <w:tcBorders>
              <w:top w:val="single" w:color="auto" w:sz="4" w:space="0"/>
              <w:left w:val="single" w:color="000000" w:sz="4" w:space="0"/>
              <w:bottom w:val="single" w:color="auto" w:sz="4" w:space="0"/>
              <w:right w:val="single" w:color="000000" w:sz="4" w:space="0"/>
            </w:tcBorders>
            <w:noWrap/>
            <w:vAlign w:val="center"/>
          </w:tcPr>
          <w:p w14:paraId="04C89A9A">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98E0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CA76E">
            <w:pPr>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olor w:val="000000"/>
                <w:sz w:val="24"/>
                <w:szCs w:val="24"/>
              </w:rPr>
              <w:t>村委</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E1D7C">
            <w:pPr>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olor w:val="000000"/>
                <w:sz w:val="24"/>
                <w:szCs w:val="24"/>
              </w:rPr>
              <w:t>1</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679C2">
            <w:pPr>
              <w:jc w:val="center"/>
              <w:rPr>
                <w:rFonts w:hint="eastAsia" w:ascii="宋体" w:hAnsi="宋体" w:eastAsia="宋体" w:cs="宋体"/>
                <w:color w:val="000000"/>
                <w:kern w:val="0"/>
                <w:sz w:val="24"/>
                <w:szCs w:val="24"/>
                <w:lang w:val="en-US" w:eastAsia="zh-CN" w:bidi="ar-SA"/>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3B087">
            <w:pPr>
              <w:jc w:val="center"/>
              <w:rPr>
                <w:rFonts w:hint="eastAsia" w:ascii="宋体" w:hAnsi="宋体" w:eastAsia="宋体" w:cs="宋体"/>
                <w:color w:val="000000"/>
                <w:kern w:val="0"/>
                <w:sz w:val="24"/>
                <w:szCs w:val="24"/>
                <w:lang w:val="en-US" w:eastAsia="zh-CN" w:bidi="ar-SA"/>
              </w:rPr>
            </w:pPr>
          </w:p>
        </w:tc>
        <w:tc>
          <w:tcPr>
            <w:tcW w:w="2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F7A78">
            <w:pPr>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olor w:val="000000"/>
                <w:sz w:val="24"/>
                <w:szCs w:val="24"/>
              </w:rPr>
              <w:t>最多间隔2天1次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F2E51">
            <w:pPr>
              <w:jc w:val="center"/>
              <w:rPr>
                <w:rFonts w:hint="eastAsia" w:ascii="宋体" w:hAnsi="宋体" w:eastAsia="宋体" w:cs="宋体"/>
                <w:color w:val="000000"/>
                <w:kern w:val="0"/>
                <w:sz w:val="24"/>
                <w:szCs w:val="24"/>
                <w:lang w:val="en-US" w:eastAsia="zh-CN" w:bidi="ar-SA"/>
              </w:rPr>
            </w:pPr>
          </w:p>
        </w:tc>
      </w:tr>
      <w:tr w14:paraId="272B7C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656" w:type="dxa"/>
            <w:vMerge w:val="continue"/>
            <w:tcBorders>
              <w:top w:val="single" w:color="auto" w:sz="4" w:space="0"/>
              <w:left w:val="single" w:color="000000" w:sz="4" w:space="0"/>
              <w:bottom w:val="single" w:color="auto" w:sz="4" w:space="0"/>
              <w:right w:val="single" w:color="000000" w:sz="4" w:space="0"/>
            </w:tcBorders>
            <w:noWrap/>
            <w:vAlign w:val="center"/>
          </w:tcPr>
          <w:p w14:paraId="116811D5">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B2B0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41550">
            <w:pPr>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olor w:val="000000"/>
                <w:sz w:val="24"/>
                <w:szCs w:val="24"/>
              </w:rPr>
              <w:t>大华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77DD2">
            <w:pPr>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olor w:val="000000"/>
                <w:sz w:val="24"/>
                <w:szCs w:val="24"/>
              </w:rPr>
              <w:t>1</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F9F22">
            <w:pPr>
              <w:jc w:val="center"/>
              <w:rPr>
                <w:rFonts w:hint="eastAsia" w:ascii="宋体" w:hAnsi="宋体" w:eastAsia="宋体" w:cs="宋体"/>
                <w:color w:val="000000"/>
                <w:kern w:val="0"/>
                <w:sz w:val="24"/>
                <w:szCs w:val="24"/>
                <w:lang w:val="en-US" w:eastAsia="zh-CN" w:bidi="ar-SA"/>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DBFA3">
            <w:pPr>
              <w:jc w:val="center"/>
              <w:rPr>
                <w:rFonts w:hint="eastAsia" w:ascii="宋体" w:hAnsi="宋体" w:eastAsia="宋体" w:cs="宋体"/>
                <w:color w:val="000000"/>
                <w:kern w:val="0"/>
                <w:sz w:val="24"/>
                <w:szCs w:val="24"/>
                <w:lang w:val="en-US" w:eastAsia="zh-CN" w:bidi="ar-SA"/>
              </w:rPr>
            </w:pPr>
          </w:p>
        </w:tc>
        <w:tc>
          <w:tcPr>
            <w:tcW w:w="2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87448">
            <w:pPr>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olor w:val="000000"/>
                <w:sz w:val="24"/>
                <w:szCs w:val="24"/>
              </w:rPr>
              <w:t>最多间隔2天1次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A87C6">
            <w:pPr>
              <w:jc w:val="center"/>
              <w:rPr>
                <w:rFonts w:hint="eastAsia" w:ascii="宋体" w:hAnsi="宋体" w:eastAsia="宋体" w:cs="宋体"/>
                <w:color w:val="000000"/>
                <w:kern w:val="0"/>
                <w:sz w:val="24"/>
                <w:szCs w:val="24"/>
                <w:lang w:val="en-US" w:eastAsia="zh-CN" w:bidi="ar-SA"/>
              </w:rPr>
            </w:pPr>
          </w:p>
        </w:tc>
      </w:tr>
      <w:tr w14:paraId="45BFF3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656" w:type="dxa"/>
            <w:vMerge w:val="continue"/>
            <w:tcBorders>
              <w:top w:val="single" w:color="auto" w:sz="4" w:space="0"/>
              <w:left w:val="single" w:color="000000" w:sz="4" w:space="0"/>
              <w:bottom w:val="single" w:color="auto" w:sz="4" w:space="0"/>
              <w:right w:val="single" w:color="000000" w:sz="4" w:space="0"/>
            </w:tcBorders>
            <w:noWrap/>
            <w:vAlign w:val="center"/>
          </w:tcPr>
          <w:p w14:paraId="1EFE21B0">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4900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79959">
            <w:pPr>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olor w:val="000000"/>
                <w:sz w:val="24"/>
                <w:szCs w:val="24"/>
              </w:rPr>
              <w:t>樟地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2762B">
            <w:pPr>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olor w:val="000000"/>
                <w:sz w:val="24"/>
                <w:szCs w:val="24"/>
              </w:rPr>
              <w:t>2</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773D0">
            <w:pPr>
              <w:jc w:val="center"/>
              <w:rPr>
                <w:rFonts w:hint="eastAsia" w:ascii="宋体" w:hAnsi="宋体" w:eastAsia="宋体" w:cs="宋体"/>
                <w:color w:val="000000"/>
                <w:kern w:val="0"/>
                <w:sz w:val="24"/>
                <w:szCs w:val="24"/>
                <w:lang w:val="en-US" w:eastAsia="zh-CN" w:bidi="ar-SA"/>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E4EB2">
            <w:pPr>
              <w:jc w:val="center"/>
              <w:rPr>
                <w:rFonts w:hint="eastAsia" w:ascii="宋体" w:hAnsi="宋体" w:eastAsia="宋体" w:cs="宋体"/>
                <w:color w:val="000000"/>
                <w:kern w:val="0"/>
                <w:sz w:val="24"/>
                <w:szCs w:val="24"/>
                <w:lang w:val="en-US" w:eastAsia="zh-CN" w:bidi="ar-SA"/>
              </w:rPr>
            </w:pPr>
          </w:p>
        </w:tc>
        <w:tc>
          <w:tcPr>
            <w:tcW w:w="2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FC039">
            <w:pPr>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olor w:val="000000"/>
                <w:sz w:val="24"/>
                <w:szCs w:val="24"/>
              </w:rPr>
              <w:t>最多间隔2天1次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FDC36">
            <w:pPr>
              <w:jc w:val="center"/>
              <w:rPr>
                <w:rFonts w:hint="eastAsia" w:ascii="宋体" w:hAnsi="宋体" w:eastAsia="宋体" w:cs="宋体"/>
                <w:color w:val="000000"/>
                <w:kern w:val="0"/>
                <w:sz w:val="24"/>
                <w:szCs w:val="24"/>
                <w:lang w:val="en-US" w:eastAsia="zh-CN" w:bidi="ar-SA"/>
              </w:rPr>
            </w:pPr>
          </w:p>
        </w:tc>
      </w:tr>
      <w:tr w14:paraId="69BBF6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656" w:type="dxa"/>
            <w:vMerge w:val="continue"/>
            <w:tcBorders>
              <w:top w:val="single" w:color="auto" w:sz="4" w:space="0"/>
              <w:left w:val="single" w:color="000000" w:sz="4" w:space="0"/>
              <w:bottom w:val="single" w:color="auto" w:sz="4" w:space="0"/>
              <w:right w:val="single" w:color="000000" w:sz="4" w:space="0"/>
            </w:tcBorders>
            <w:noWrap/>
            <w:vAlign w:val="center"/>
          </w:tcPr>
          <w:p w14:paraId="3595E36D">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8698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53915">
            <w:pPr>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olor w:val="000000"/>
                <w:sz w:val="24"/>
                <w:szCs w:val="24"/>
              </w:rPr>
              <w:t>樟木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20E51">
            <w:pPr>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olor w:val="000000"/>
                <w:sz w:val="24"/>
                <w:szCs w:val="24"/>
              </w:rPr>
              <w:t>1</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5F4AE">
            <w:pPr>
              <w:jc w:val="center"/>
              <w:rPr>
                <w:rFonts w:hint="eastAsia" w:ascii="宋体" w:hAnsi="宋体" w:eastAsia="宋体" w:cs="宋体"/>
                <w:color w:val="000000"/>
                <w:kern w:val="0"/>
                <w:sz w:val="24"/>
                <w:szCs w:val="24"/>
                <w:lang w:val="en-US" w:eastAsia="zh-CN" w:bidi="ar-SA"/>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6B346">
            <w:pPr>
              <w:jc w:val="center"/>
              <w:rPr>
                <w:rFonts w:hint="eastAsia" w:ascii="宋体" w:hAnsi="宋体" w:eastAsia="宋体" w:cs="宋体"/>
                <w:color w:val="000000"/>
                <w:kern w:val="0"/>
                <w:sz w:val="24"/>
                <w:szCs w:val="24"/>
                <w:lang w:val="en-US" w:eastAsia="zh-CN" w:bidi="ar-SA"/>
              </w:rPr>
            </w:pPr>
          </w:p>
        </w:tc>
        <w:tc>
          <w:tcPr>
            <w:tcW w:w="2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BEAB9">
            <w:pPr>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olor w:val="000000"/>
                <w:sz w:val="24"/>
                <w:szCs w:val="24"/>
              </w:rPr>
              <w:t>最多间隔2天1次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034CC">
            <w:pPr>
              <w:jc w:val="center"/>
              <w:rPr>
                <w:rFonts w:hint="eastAsia" w:ascii="宋体" w:hAnsi="宋体" w:eastAsia="宋体" w:cs="宋体"/>
                <w:color w:val="000000"/>
                <w:kern w:val="0"/>
                <w:sz w:val="24"/>
                <w:szCs w:val="24"/>
                <w:lang w:val="en-US" w:eastAsia="zh-CN" w:bidi="ar-SA"/>
              </w:rPr>
            </w:pPr>
          </w:p>
        </w:tc>
      </w:tr>
      <w:tr w14:paraId="25D553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656" w:type="dxa"/>
            <w:vMerge w:val="continue"/>
            <w:tcBorders>
              <w:top w:val="single" w:color="auto" w:sz="4" w:space="0"/>
              <w:left w:val="single" w:color="000000" w:sz="4" w:space="0"/>
              <w:bottom w:val="single" w:color="auto" w:sz="4" w:space="0"/>
              <w:right w:val="single" w:color="000000" w:sz="4" w:space="0"/>
            </w:tcBorders>
            <w:noWrap/>
            <w:vAlign w:val="center"/>
          </w:tcPr>
          <w:p w14:paraId="269F0340">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D9FB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11E02">
            <w:pPr>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olor w:val="000000"/>
                <w:sz w:val="24"/>
                <w:szCs w:val="24"/>
              </w:rPr>
              <w:t>高家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C9C7C">
            <w:pPr>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olor w:val="000000"/>
                <w:sz w:val="24"/>
                <w:szCs w:val="24"/>
              </w:rPr>
              <w:t>1</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94403">
            <w:pPr>
              <w:jc w:val="center"/>
              <w:rPr>
                <w:rFonts w:hint="eastAsia" w:ascii="宋体" w:hAnsi="宋体" w:eastAsia="宋体" w:cs="宋体"/>
                <w:color w:val="000000"/>
                <w:kern w:val="0"/>
                <w:sz w:val="24"/>
                <w:szCs w:val="24"/>
                <w:lang w:val="en-US" w:eastAsia="zh-CN" w:bidi="ar-SA"/>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EE196">
            <w:pPr>
              <w:jc w:val="center"/>
              <w:rPr>
                <w:rFonts w:hint="eastAsia" w:ascii="宋体" w:hAnsi="宋体" w:eastAsia="宋体" w:cs="宋体"/>
                <w:color w:val="000000"/>
                <w:kern w:val="0"/>
                <w:sz w:val="24"/>
                <w:szCs w:val="24"/>
                <w:lang w:val="en-US" w:eastAsia="zh-CN" w:bidi="ar-SA"/>
              </w:rPr>
            </w:pPr>
          </w:p>
        </w:tc>
        <w:tc>
          <w:tcPr>
            <w:tcW w:w="2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8CA6E">
            <w:pPr>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olor w:val="000000"/>
                <w:sz w:val="24"/>
                <w:szCs w:val="24"/>
              </w:rPr>
              <w:t>最多间隔2天1次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E93A0">
            <w:pPr>
              <w:jc w:val="center"/>
              <w:rPr>
                <w:rFonts w:hint="eastAsia" w:ascii="宋体" w:hAnsi="宋体" w:eastAsia="宋体" w:cs="宋体"/>
                <w:color w:val="000000"/>
                <w:kern w:val="0"/>
                <w:sz w:val="24"/>
                <w:szCs w:val="24"/>
                <w:lang w:val="en-US" w:eastAsia="zh-CN" w:bidi="ar-SA"/>
              </w:rPr>
            </w:pPr>
          </w:p>
        </w:tc>
      </w:tr>
      <w:tr w14:paraId="04C71B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656" w:type="dxa"/>
            <w:vMerge w:val="continue"/>
            <w:tcBorders>
              <w:top w:val="single" w:color="auto" w:sz="4" w:space="0"/>
              <w:left w:val="single" w:color="000000" w:sz="4" w:space="0"/>
              <w:bottom w:val="single" w:color="auto" w:sz="4" w:space="0"/>
              <w:right w:val="single" w:color="000000" w:sz="4" w:space="0"/>
            </w:tcBorders>
            <w:noWrap/>
            <w:vAlign w:val="center"/>
          </w:tcPr>
          <w:p w14:paraId="0E23A8F6">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A398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DC945">
            <w:pPr>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olor w:val="000000"/>
                <w:sz w:val="24"/>
                <w:szCs w:val="24"/>
              </w:rPr>
              <w:t>邱家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DDBF3">
            <w:pPr>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olor w:val="000000"/>
                <w:sz w:val="24"/>
                <w:szCs w:val="24"/>
              </w:rPr>
              <w:t>1</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361FC">
            <w:pPr>
              <w:jc w:val="center"/>
              <w:rPr>
                <w:rFonts w:hint="eastAsia" w:ascii="宋体" w:hAnsi="宋体" w:eastAsia="宋体" w:cs="宋体"/>
                <w:color w:val="000000"/>
                <w:kern w:val="0"/>
                <w:sz w:val="24"/>
                <w:szCs w:val="24"/>
                <w:lang w:val="en-US" w:eastAsia="zh-CN" w:bidi="ar-SA"/>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E7A5D">
            <w:pPr>
              <w:jc w:val="center"/>
              <w:rPr>
                <w:rFonts w:hint="eastAsia" w:ascii="宋体" w:hAnsi="宋体" w:eastAsia="宋体" w:cs="宋体"/>
                <w:color w:val="000000"/>
                <w:kern w:val="0"/>
                <w:sz w:val="24"/>
                <w:szCs w:val="24"/>
                <w:lang w:val="en-US" w:eastAsia="zh-CN" w:bidi="ar-SA"/>
              </w:rPr>
            </w:pPr>
          </w:p>
        </w:tc>
        <w:tc>
          <w:tcPr>
            <w:tcW w:w="2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72B62">
            <w:pPr>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olor w:val="000000"/>
                <w:sz w:val="24"/>
                <w:szCs w:val="24"/>
              </w:rPr>
              <w:t>最多间隔2天1次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59446">
            <w:pPr>
              <w:jc w:val="center"/>
              <w:rPr>
                <w:rFonts w:hint="eastAsia" w:ascii="宋体" w:hAnsi="宋体" w:eastAsia="宋体" w:cs="宋体"/>
                <w:color w:val="000000"/>
                <w:kern w:val="0"/>
                <w:sz w:val="24"/>
                <w:szCs w:val="24"/>
                <w:lang w:val="en-US" w:eastAsia="zh-CN" w:bidi="ar-SA"/>
              </w:rPr>
            </w:pPr>
          </w:p>
        </w:tc>
      </w:tr>
      <w:tr w14:paraId="578A5B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656" w:type="dxa"/>
            <w:vMerge w:val="continue"/>
            <w:tcBorders>
              <w:top w:val="single" w:color="auto" w:sz="4" w:space="0"/>
              <w:left w:val="single" w:color="000000" w:sz="4" w:space="0"/>
              <w:bottom w:val="single" w:color="auto" w:sz="4" w:space="0"/>
              <w:right w:val="single" w:color="000000" w:sz="4" w:space="0"/>
            </w:tcBorders>
            <w:noWrap/>
            <w:vAlign w:val="center"/>
          </w:tcPr>
          <w:p w14:paraId="21DE2B2D">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CDDF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C8AA2">
            <w:pPr>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olor w:val="000000"/>
                <w:sz w:val="24"/>
                <w:szCs w:val="24"/>
              </w:rPr>
              <w:t>上雷塘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A97FC">
            <w:pPr>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olor w:val="000000"/>
                <w:sz w:val="24"/>
                <w:szCs w:val="24"/>
              </w:rPr>
              <w:t>1</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B27FC">
            <w:pPr>
              <w:jc w:val="center"/>
              <w:rPr>
                <w:rFonts w:hint="eastAsia" w:ascii="宋体" w:hAnsi="宋体" w:eastAsia="宋体" w:cs="宋体"/>
                <w:color w:val="000000"/>
                <w:kern w:val="0"/>
                <w:sz w:val="24"/>
                <w:szCs w:val="24"/>
                <w:lang w:val="en-US" w:eastAsia="zh-CN" w:bidi="ar-SA"/>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B6B24">
            <w:pPr>
              <w:jc w:val="center"/>
              <w:rPr>
                <w:rFonts w:hint="eastAsia" w:ascii="宋体" w:hAnsi="宋体" w:eastAsia="宋体" w:cs="宋体"/>
                <w:color w:val="000000"/>
                <w:kern w:val="0"/>
                <w:sz w:val="24"/>
                <w:szCs w:val="24"/>
                <w:lang w:val="en-US" w:eastAsia="zh-CN" w:bidi="ar-SA"/>
              </w:rPr>
            </w:pPr>
          </w:p>
        </w:tc>
        <w:tc>
          <w:tcPr>
            <w:tcW w:w="2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A00B7">
            <w:pPr>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olor w:val="000000"/>
                <w:sz w:val="24"/>
                <w:szCs w:val="24"/>
              </w:rPr>
              <w:t>最多间隔2天1次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8A2D8">
            <w:pPr>
              <w:jc w:val="center"/>
              <w:rPr>
                <w:rFonts w:hint="eastAsia" w:ascii="宋体" w:hAnsi="宋体" w:eastAsia="宋体" w:cs="宋体"/>
                <w:color w:val="000000"/>
                <w:kern w:val="0"/>
                <w:sz w:val="24"/>
                <w:szCs w:val="24"/>
                <w:lang w:val="en-US" w:eastAsia="zh-CN" w:bidi="ar-SA"/>
              </w:rPr>
            </w:pPr>
          </w:p>
        </w:tc>
      </w:tr>
      <w:tr w14:paraId="4EB9EB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65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1681C2C7">
            <w:pPr>
              <w:jc w:val="center"/>
              <w:textAlignment w:val="center"/>
              <w:rPr>
                <w:rFonts w:hint="eastAsia" w:ascii="宋体" w:hAnsi="宋体" w:eastAsia="宋体"/>
                <w:color w:val="000000"/>
                <w:sz w:val="24"/>
                <w:szCs w:val="24"/>
                <w:lang w:val="en-US" w:eastAsia="zh-CN"/>
              </w:rPr>
            </w:pPr>
          </w:p>
          <w:p w14:paraId="263015B7">
            <w:pPr>
              <w:jc w:val="center"/>
              <w:textAlignment w:val="center"/>
              <w:rPr>
                <w:rFonts w:hint="eastAsia" w:ascii="宋体" w:hAnsi="宋体" w:eastAsia="宋体"/>
                <w:color w:val="000000"/>
                <w:sz w:val="24"/>
                <w:szCs w:val="24"/>
                <w:lang w:val="en-US" w:eastAsia="zh-CN"/>
              </w:rPr>
            </w:pPr>
          </w:p>
          <w:p w14:paraId="00C3D988">
            <w:pPr>
              <w:jc w:val="center"/>
              <w:textAlignment w:val="center"/>
              <w:rPr>
                <w:rFonts w:hint="eastAsia" w:ascii="宋体" w:hAnsi="宋体" w:eastAsia="宋体"/>
                <w:color w:val="000000"/>
                <w:sz w:val="24"/>
                <w:szCs w:val="24"/>
                <w:lang w:val="en-US" w:eastAsia="zh-CN"/>
              </w:rPr>
            </w:pPr>
          </w:p>
          <w:p w14:paraId="778CF7D1">
            <w:pPr>
              <w:jc w:val="center"/>
              <w:textAlignment w:val="center"/>
              <w:rPr>
                <w:rFonts w:hint="eastAsia" w:ascii="宋体" w:hAnsi="宋体" w:eastAsia="宋体"/>
                <w:color w:val="000000"/>
                <w:sz w:val="24"/>
                <w:szCs w:val="24"/>
                <w:lang w:val="en-US" w:eastAsia="zh-CN"/>
              </w:rPr>
            </w:pPr>
            <w:r>
              <w:rPr>
                <w:rFonts w:hint="eastAsia" w:ascii="宋体" w:hAnsi="宋体" w:eastAsia="宋体"/>
                <w:color w:val="000000"/>
                <w:sz w:val="24"/>
                <w:szCs w:val="24"/>
                <w:lang w:val="en-US" w:eastAsia="zh-CN"/>
              </w:rPr>
              <w:t>西安村</w:t>
            </w:r>
          </w:p>
          <w:p w14:paraId="50DC54FD">
            <w:pPr>
              <w:jc w:val="center"/>
              <w:rPr>
                <w:rFonts w:hint="eastAsia" w:ascii="宋体" w:hAnsi="宋体" w:eastAsia="宋体" w:cs="宋体"/>
                <w:i w:val="0"/>
                <w:iCs w:val="0"/>
                <w:color w:val="000000"/>
                <w:sz w:val="24"/>
                <w:szCs w:val="24"/>
                <w:u w:val="none"/>
                <w:lang w:val="en-US" w:eastAsia="zh-CN"/>
              </w:rPr>
            </w:pPr>
          </w:p>
          <w:p w14:paraId="634BB1B5">
            <w:pPr>
              <w:jc w:val="center"/>
              <w:rPr>
                <w:rFonts w:hint="eastAsia" w:ascii="宋体" w:hAnsi="宋体" w:eastAsia="宋体" w:cs="宋体"/>
                <w:i w:val="0"/>
                <w:iCs w:val="0"/>
                <w:color w:val="000000"/>
                <w:sz w:val="24"/>
                <w:szCs w:val="24"/>
                <w:u w:val="none"/>
                <w:lang w:val="en-US" w:eastAsia="zh-CN"/>
              </w:rPr>
            </w:pPr>
          </w:p>
          <w:p w14:paraId="1E7CCA3B">
            <w:pPr>
              <w:jc w:val="center"/>
              <w:rPr>
                <w:rFonts w:hint="eastAsia" w:ascii="宋体" w:hAnsi="宋体" w:eastAsia="宋体" w:cs="宋体"/>
                <w:i w:val="0"/>
                <w:iCs w:val="0"/>
                <w:color w:val="000000"/>
                <w:sz w:val="24"/>
                <w:szCs w:val="24"/>
                <w:u w:val="none"/>
                <w:lang w:val="en-US" w:eastAsia="zh-CN"/>
              </w:rPr>
            </w:pPr>
          </w:p>
          <w:p w14:paraId="20AFE645">
            <w:pPr>
              <w:jc w:val="center"/>
              <w:rPr>
                <w:rFonts w:hint="eastAsia" w:ascii="宋体" w:hAnsi="宋体" w:eastAsia="宋体" w:cs="宋体"/>
                <w:i w:val="0"/>
                <w:iCs w:val="0"/>
                <w:color w:val="000000"/>
                <w:sz w:val="24"/>
                <w:szCs w:val="24"/>
                <w:u w:val="none"/>
                <w:lang w:val="en-US" w:eastAsia="zh-CN"/>
              </w:rPr>
            </w:pPr>
          </w:p>
          <w:p w14:paraId="4498FFC1">
            <w:pPr>
              <w:ind w:firstLine="240" w:firstLineChars="100"/>
              <w:jc w:val="both"/>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西安村</w:t>
            </w:r>
          </w:p>
        </w:tc>
        <w:tc>
          <w:tcPr>
            <w:tcW w:w="0" w:type="auto"/>
            <w:tcBorders>
              <w:top w:val="single" w:color="000000" w:sz="4" w:space="0"/>
              <w:left w:val="single" w:color="auto" w:sz="4" w:space="0"/>
              <w:bottom w:val="single" w:color="000000" w:sz="4" w:space="0"/>
              <w:right w:val="single" w:color="000000" w:sz="4" w:space="0"/>
            </w:tcBorders>
            <w:shd w:val="clear" w:color="auto" w:fill="auto"/>
            <w:noWrap/>
            <w:vAlign w:val="center"/>
          </w:tcPr>
          <w:p w14:paraId="017B4EB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E047F">
            <w:pPr>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olor w:val="000000"/>
                <w:sz w:val="24"/>
                <w:szCs w:val="24"/>
              </w:rPr>
              <w:t>西岸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A11BF">
            <w:pPr>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olor w:val="000000"/>
                <w:sz w:val="24"/>
                <w:szCs w:val="24"/>
              </w:rPr>
              <w:t>1</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AF1C1">
            <w:pPr>
              <w:jc w:val="center"/>
              <w:rPr>
                <w:rFonts w:hint="eastAsia" w:ascii="宋体" w:hAnsi="宋体" w:eastAsia="宋体" w:cs="宋体"/>
                <w:color w:val="000000"/>
                <w:kern w:val="0"/>
                <w:sz w:val="24"/>
                <w:szCs w:val="24"/>
                <w:lang w:val="en-US" w:eastAsia="zh-CN" w:bidi="ar-SA"/>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2A66B">
            <w:pPr>
              <w:jc w:val="center"/>
              <w:rPr>
                <w:rFonts w:hint="eastAsia" w:ascii="宋体" w:hAnsi="宋体" w:eastAsia="宋体" w:cs="宋体"/>
                <w:color w:val="000000"/>
                <w:kern w:val="0"/>
                <w:sz w:val="24"/>
                <w:szCs w:val="24"/>
                <w:lang w:val="en-US" w:eastAsia="zh-CN" w:bidi="ar-SA"/>
              </w:rPr>
            </w:pPr>
          </w:p>
        </w:tc>
        <w:tc>
          <w:tcPr>
            <w:tcW w:w="2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1F44F">
            <w:pPr>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olor w:val="000000"/>
                <w:sz w:val="24"/>
                <w:szCs w:val="24"/>
              </w:rPr>
              <w:t>最多间隔2天1次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23468">
            <w:pPr>
              <w:jc w:val="center"/>
              <w:rPr>
                <w:rFonts w:hint="eastAsia" w:ascii="宋体" w:hAnsi="宋体" w:eastAsia="宋体" w:cs="宋体"/>
                <w:color w:val="000000"/>
                <w:kern w:val="0"/>
                <w:sz w:val="24"/>
                <w:szCs w:val="24"/>
                <w:lang w:val="en-US" w:eastAsia="zh-CN" w:bidi="ar-SA"/>
              </w:rPr>
            </w:pPr>
          </w:p>
        </w:tc>
      </w:tr>
      <w:tr w14:paraId="495B4A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656" w:type="dxa"/>
            <w:vMerge w:val="continue"/>
            <w:tcBorders>
              <w:top w:val="single" w:color="auto" w:sz="4" w:space="0"/>
              <w:left w:val="single" w:color="auto" w:sz="4" w:space="0"/>
              <w:bottom w:val="single" w:color="auto" w:sz="4" w:space="0"/>
              <w:right w:val="single" w:color="auto" w:sz="4" w:space="0"/>
            </w:tcBorders>
            <w:noWrap/>
            <w:vAlign w:val="center"/>
          </w:tcPr>
          <w:p w14:paraId="3BAE8BF5">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auto" w:sz="4" w:space="0"/>
              <w:bottom w:val="single" w:color="000000" w:sz="4" w:space="0"/>
              <w:right w:val="single" w:color="000000" w:sz="4" w:space="0"/>
            </w:tcBorders>
            <w:shd w:val="clear" w:color="auto" w:fill="auto"/>
            <w:noWrap/>
            <w:vAlign w:val="center"/>
          </w:tcPr>
          <w:p w14:paraId="14A6069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E6E2F">
            <w:pPr>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olor w:val="000000"/>
                <w:sz w:val="24"/>
                <w:szCs w:val="24"/>
              </w:rPr>
              <w:t>石垌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E8DF6">
            <w:pPr>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olor w:val="000000"/>
                <w:sz w:val="24"/>
                <w:szCs w:val="24"/>
              </w:rPr>
              <w:t>1</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5D884">
            <w:pPr>
              <w:jc w:val="center"/>
              <w:rPr>
                <w:rFonts w:hint="eastAsia" w:ascii="宋体" w:hAnsi="宋体" w:eastAsia="宋体" w:cs="宋体"/>
                <w:color w:val="000000"/>
                <w:kern w:val="0"/>
                <w:sz w:val="24"/>
                <w:szCs w:val="24"/>
                <w:lang w:val="en-US" w:eastAsia="zh-CN" w:bidi="ar-SA"/>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6154A">
            <w:pPr>
              <w:jc w:val="center"/>
              <w:rPr>
                <w:rFonts w:hint="eastAsia" w:ascii="宋体" w:hAnsi="宋体" w:eastAsia="宋体" w:cs="宋体"/>
                <w:color w:val="000000"/>
                <w:kern w:val="0"/>
                <w:sz w:val="24"/>
                <w:szCs w:val="24"/>
                <w:lang w:val="en-US" w:eastAsia="zh-CN" w:bidi="ar-SA"/>
              </w:rPr>
            </w:pPr>
          </w:p>
        </w:tc>
        <w:tc>
          <w:tcPr>
            <w:tcW w:w="2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2D63A">
            <w:pPr>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olor w:val="000000"/>
                <w:sz w:val="24"/>
                <w:szCs w:val="24"/>
              </w:rPr>
              <w:t>最多间隔2天1次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B4003">
            <w:pPr>
              <w:jc w:val="center"/>
              <w:rPr>
                <w:rFonts w:hint="eastAsia" w:ascii="宋体" w:hAnsi="宋体" w:eastAsia="宋体" w:cs="宋体"/>
                <w:color w:val="000000"/>
                <w:kern w:val="0"/>
                <w:sz w:val="24"/>
                <w:szCs w:val="24"/>
                <w:lang w:val="en-US" w:eastAsia="zh-CN" w:bidi="ar-SA"/>
              </w:rPr>
            </w:pPr>
          </w:p>
        </w:tc>
      </w:tr>
      <w:tr w14:paraId="1405FD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656" w:type="dxa"/>
            <w:vMerge w:val="continue"/>
            <w:tcBorders>
              <w:top w:val="single" w:color="auto" w:sz="4" w:space="0"/>
              <w:left w:val="single" w:color="auto" w:sz="4" w:space="0"/>
              <w:bottom w:val="single" w:color="auto" w:sz="4" w:space="0"/>
              <w:right w:val="single" w:color="auto" w:sz="4" w:space="0"/>
            </w:tcBorders>
            <w:noWrap/>
            <w:vAlign w:val="center"/>
          </w:tcPr>
          <w:p w14:paraId="2EB15326">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auto" w:sz="4" w:space="0"/>
              <w:bottom w:val="single" w:color="000000" w:sz="4" w:space="0"/>
              <w:right w:val="single" w:color="000000" w:sz="4" w:space="0"/>
            </w:tcBorders>
            <w:shd w:val="clear" w:color="auto" w:fill="auto"/>
            <w:noWrap/>
            <w:vAlign w:val="center"/>
          </w:tcPr>
          <w:p w14:paraId="3EF50E3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A2309">
            <w:pPr>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olor w:val="000000"/>
                <w:sz w:val="24"/>
                <w:szCs w:val="24"/>
              </w:rPr>
              <w:t>集下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E845C">
            <w:pPr>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olor w:val="000000"/>
                <w:sz w:val="24"/>
                <w:szCs w:val="24"/>
              </w:rPr>
              <w:t>3</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FB962">
            <w:pPr>
              <w:jc w:val="center"/>
              <w:rPr>
                <w:rFonts w:hint="eastAsia" w:ascii="宋体" w:hAnsi="宋体" w:eastAsia="宋体" w:cs="宋体"/>
                <w:color w:val="000000"/>
                <w:kern w:val="0"/>
                <w:sz w:val="24"/>
                <w:szCs w:val="24"/>
                <w:lang w:val="en-US" w:eastAsia="zh-CN" w:bidi="ar-SA"/>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98064">
            <w:pPr>
              <w:jc w:val="center"/>
              <w:rPr>
                <w:rFonts w:hint="eastAsia" w:ascii="宋体" w:hAnsi="宋体" w:eastAsia="宋体" w:cs="宋体"/>
                <w:color w:val="000000"/>
                <w:kern w:val="0"/>
                <w:sz w:val="24"/>
                <w:szCs w:val="24"/>
                <w:lang w:val="en-US" w:eastAsia="zh-CN" w:bidi="ar-SA"/>
              </w:rPr>
            </w:pPr>
          </w:p>
        </w:tc>
        <w:tc>
          <w:tcPr>
            <w:tcW w:w="2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D5E0E">
            <w:pPr>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olor w:val="000000"/>
                <w:sz w:val="24"/>
                <w:szCs w:val="24"/>
              </w:rPr>
              <w:t>最多间隔2天1次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ECD5D">
            <w:pPr>
              <w:jc w:val="center"/>
              <w:rPr>
                <w:rFonts w:hint="eastAsia" w:ascii="宋体" w:hAnsi="宋体" w:eastAsia="宋体" w:cs="宋体"/>
                <w:color w:val="000000"/>
                <w:kern w:val="0"/>
                <w:sz w:val="24"/>
                <w:szCs w:val="24"/>
                <w:lang w:val="en-US" w:eastAsia="zh-CN" w:bidi="ar-SA"/>
              </w:rPr>
            </w:pPr>
          </w:p>
        </w:tc>
      </w:tr>
      <w:tr w14:paraId="3F249B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656" w:type="dxa"/>
            <w:vMerge w:val="continue"/>
            <w:tcBorders>
              <w:top w:val="single" w:color="auto" w:sz="4" w:space="0"/>
              <w:left w:val="single" w:color="auto" w:sz="4" w:space="0"/>
              <w:bottom w:val="single" w:color="auto" w:sz="4" w:space="0"/>
              <w:right w:val="single" w:color="auto" w:sz="4" w:space="0"/>
            </w:tcBorders>
            <w:noWrap/>
            <w:vAlign w:val="center"/>
          </w:tcPr>
          <w:p w14:paraId="2157AD0D">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auto" w:sz="4" w:space="0"/>
              <w:bottom w:val="single" w:color="000000" w:sz="4" w:space="0"/>
              <w:right w:val="single" w:color="000000" w:sz="4" w:space="0"/>
            </w:tcBorders>
            <w:shd w:val="clear" w:color="auto" w:fill="auto"/>
            <w:noWrap/>
            <w:vAlign w:val="center"/>
          </w:tcPr>
          <w:p w14:paraId="464ED10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7EC87">
            <w:pPr>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olor w:val="000000"/>
                <w:sz w:val="24"/>
                <w:szCs w:val="24"/>
              </w:rPr>
              <w:t>龙集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8DA7A">
            <w:pPr>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olor w:val="000000"/>
                <w:sz w:val="24"/>
                <w:szCs w:val="24"/>
              </w:rPr>
              <w:t>2</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60834">
            <w:pPr>
              <w:jc w:val="center"/>
              <w:rPr>
                <w:rFonts w:hint="eastAsia" w:ascii="宋体" w:hAnsi="宋体" w:eastAsia="宋体" w:cs="宋体"/>
                <w:color w:val="000000"/>
                <w:kern w:val="0"/>
                <w:sz w:val="24"/>
                <w:szCs w:val="24"/>
                <w:lang w:val="en-US" w:eastAsia="zh-CN" w:bidi="ar-SA"/>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A7CFE">
            <w:pPr>
              <w:jc w:val="center"/>
              <w:rPr>
                <w:rFonts w:hint="eastAsia" w:ascii="宋体" w:hAnsi="宋体" w:eastAsia="宋体" w:cs="宋体"/>
                <w:color w:val="000000"/>
                <w:kern w:val="0"/>
                <w:sz w:val="24"/>
                <w:szCs w:val="24"/>
                <w:lang w:val="en-US" w:eastAsia="zh-CN" w:bidi="ar-SA"/>
              </w:rPr>
            </w:pPr>
          </w:p>
        </w:tc>
        <w:tc>
          <w:tcPr>
            <w:tcW w:w="2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D85DB">
            <w:pPr>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olor w:val="000000"/>
                <w:sz w:val="24"/>
                <w:szCs w:val="24"/>
              </w:rPr>
              <w:t>最多间隔2天1次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E390E">
            <w:pPr>
              <w:jc w:val="center"/>
              <w:rPr>
                <w:rFonts w:hint="eastAsia" w:ascii="宋体" w:hAnsi="宋体" w:eastAsia="宋体" w:cs="宋体"/>
                <w:color w:val="000000"/>
                <w:kern w:val="0"/>
                <w:sz w:val="24"/>
                <w:szCs w:val="24"/>
                <w:lang w:val="en-US" w:eastAsia="zh-CN" w:bidi="ar-SA"/>
              </w:rPr>
            </w:pPr>
          </w:p>
        </w:tc>
      </w:tr>
      <w:tr w14:paraId="05BC0A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656" w:type="dxa"/>
            <w:vMerge w:val="continue"/>
            <w:tcBorders>
              <w:top w:val="single" w:color="auto" w:sz="4" w:space="0"/>
              <w:left w:val="single" w:color="auto" w:sz="4" w:space="0"/>
              <w:bottom w:val="single" w:color="auto" w:sz="4" w:space="0"/>
              <w:right w:val="single" w:color="auto" w:sz="4" w:space="0"/>
            </w:tcBorders>
            <w:noWrap/>
            <w:vAlign w:val="center"/>
          </w:tcPr>
          <w:p w14:paraId="675F4A67">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auto" w:sz="4" w:space="0"/>
              <w:bottom w:val="single" w:color="000000" w:sz="4" w:space="0"/>
              <w:right w:val="single" w:color="000000" w:sz="4" w:space="0"/>
            </w:tcBorders>
            <w:shd w:val="clear" w:color="auto" w:fill="auto"/>
            <w:noWrap/>
            <w:vAlign w:val="center"/>
          </w:tcPr>
          <w:p w14:paraId="6CB73D9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9706E">
            <w:pPr>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olor w:val="000000"/>
                <w:sz w:val="24"/>
                <w:szCs w:val="24"/>
              </w:rPr>
              <w:t>合口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E93D0">
            <w:pPr>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olor w:val="000000"/>
                <w:sz w:val="24"/>
                <w:szCs w:val="24"/>
              </w:rPr>
              <w:t>3</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A1B37">
            <w:pPr>
              <w:jc w:val="center"/>
              <w:rPr>
                <w:rFonts w:hint="eastAsia" w:ascii="宋体" w:hAnsi="宋体" w:eastAsia="宋体" w:cs="宋体"/>
                <w:color w:val="000000"/>
                <w:kern w:val="0"/>
                <w:sz w:val="24"/>
                <w:szCs w:val="24"/>
                <w:lang w:val="en-US" w:eastAsia="zh-CN" w:bidi="ar-SA"/>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2782C">
            <w:pPr>
              <w:jc w:val="center"/>
              <w:rPr>
                <w:rFonts w:hint="eastAsia" w:ascii="宋体" w:hAnsi="宋体" w:eastAsia="宋体" w:cs="宋体"/>
                <w:color w:val="000000"/>
                <w:kern w:val="0"/>
                <w:sz w:val="24"/>
                <w:szCs w:val="24"/>
                <w:lang w:val="en-US" w:eastAsia="zh-CN" w:bidi="ar-SA"/>
              </w:rPr>
            </w:pPr>
          </w:p>
        </w:tc>
        <w:tc>
          <w:tcPr>
            <w:tcW w:w="2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129D9">
            <w:pPr>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olor w:val="000000"/>
                <w:sz w:val="24"/>
                <w:szCs w:val="24"/>
              </w:rPr>
              <w:t>最多间隔2天1次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3668E">
            <w:pPr>
              <w:jc w:val="center"/>
              <w:rPr>
                <w:rFonts w:hint="eastAsia" w:ascii="宋体" w:hAnsi="宋体" w:eastAsia="宋体" w:cs="宋体"/>
                <w:color w:val="000000"/>
                <w:kern w:val="0"/>
                <w:sz w:val="24"/>
                <w:szCs w:val="24"/>
                <w:lang w:val="en-US" w:eastAsia="zh-CN" w:bidi="ar-SA"/>
              </w:rPr>
            </w:pPr>
          </w:p>
        </w:tc>
      </w:tr>
      <w:tr w14:paraId="6DF5D5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656" w:type="dxa"/>
            <w:vMerge w:val="continue"/>
            <w:tcBorders>
              <w:top w:val="single" w:color="auto" w:sz="4" w:space="0"/>
              <w:left w:val="single" w:color="auto" w:sz="4" w:space="0"/>
              <w:bottom w:val="single" w:color="auto" w:sz="4" w:space="0"/>
              <w:right w:val="single" w:color="auto" w:sz="4" w:space="0"/>
            </w:tcBorders>
            <w:noWrap/>
            <w:vAlign w:val="center"/>
          </w:tcPr>
          <w:p w14:paraId="59CEA455">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auto" w:sz="4" w:space="0"/>
              <w:bottom w:val="single" w:color="000000" w:sz="4" w:space="0"/>
              <w:right w:val="single" w:color="000000" w:sz="4" w:space="0"/>
            </w:tcBorders>
            <w:shd w:val="clear" w:color="auto" w:fill="auto"/>
            <w:noWrap/>
            <w:vAlign w:val="center"/>
          </w:tcPr>
          <w:p w14:paraId="4BB557A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25CBF">
            <w:pPr>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olor w:val="000000"/>
                <w:sz w:val="24"/>
                <w:szCs w:val="24"/>
              </w:rPr>
              <w:t>网村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D6E61">
            <w:pPr>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olor w:val="000000"/>
                <w:sz w:val="24"/>
                <w:szCs w:val="24"/>
              </w:rPr>
              <w:t>1</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DAE22">
            <w:pPr>
              <w:jc w:val="center"/>
              <w:rPr>
                <w:rFonts w:hint="eastAsia" w:ascii="宋体" w:hAnsi="宋体" w:eastAsia="宋体" w:cs="宋体"/>
                <w:color w:val="000000"/>
                <w:kern w:val="0"/>
                <w:sz w:val="24"/>
                <w:szCs w:val="24"/>
                <w:lang w:val="en-US" w:eastAsia="zh-CN" w:bidi="ar-SA"/>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F44BB">
            <w:pPr>
              <w:jc w:val="center"/>
              <w:rPr>
                <w:rFonts w:hint="eastAsia" w:ascii="宋体" w:hAnsi="宋体" w:eastAsia="宋体" w:cs="宋体"/>
                <w:color w:val="000000"/>
                <w:kern w:val="0"/>
                <w:sz w:val="24"/>
                <w:szCs w:val="24"/>
                <w:lang w:val="en-US" w:eastAsia="zh-CN" w:bidi="ar-SA"/>
              </w:rPr>
            </w:pPr>
          </w:p>
        </w:tc>
        <w:tc>
          <w:tcPr>
            <w:tcW w:w="2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266E8">
            <w:pPr>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olor w:val="000000"/>
                <w:sz w:val="24"/>
                <w:szCs w:val="24"/>
              </w:rPr>
              <w:t>最多间隔2天1次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1A362">
            <w:pPr>
              <w:jc w:val="center"/>
              <w:rPr>
                <w:rFonts w:hint="eastAsia" w:ascii="宋体" w:hAnsi="宋体" w:eastAsia="宋体" w:cs="宋体"/>
                <w:color w:val="000000"/>
                <w:kern w:val="0"/>
                <w:sz w:val="24"/>
                <w:szCs w:val="24"/>
                <w:lang w:val="en-US" w:eastAsia="zh-CN" w:bidi="ar-SA"/>
              </w:rPr>
            </w:pPr>
          </w:p>
        </w:tc>
      </w:tr>
      <w:tr w14:paraId="47F184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656" w:type="dxa"/>
            <w:vMerge w:val="continue"/>
            <w:tcBorders>
              <w:top w:val="single" w:color="auto" w:sz="4" w:space="0"/>
              <w:left w:val="single" w:color="auto" w:sz="4" w:space="0"/>
              <w:bottom w:val="single" w:color="auto" w:sz="4" w:space="0"/>
              <w:right w:val="single" w:color="auto" w:sz="4" w:space="0"/>
            </w:tcBorders>
            <w:noWrap/>
            <w:vAlign w:val="center"/>
          </w:tcPr>
          <w:p w14:paraId="08A3014C">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auto" w:sz="4" w:space="0"/>
              <w:bottom w:val="single" w:color="000000" w:sz="4" w:space="0"/>
              <w:right w:val="single" w:color="000000" w:sz="4" w:space="0"/>
            </w:tcBorders>
            <w:shd w:val="clear" w:color="auto" w:fill="auto"/>
            <w:noWrap/>
            <w:vAlign w:val="center"/>
          </w:tcPr>
          <w:p w14:paraId="2A6F3E4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5FF72">
            <w:pPr>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olor w:val="000000"/>
                <w:sz w:val="24"/>
                <w:szCs w:val="24"/>
              </w:rPr>
              <w:t>钟家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5B9EF">
            <w:pPr>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olor w:val="000000"/>
                <w:sz w:val="24"/>
                <w:szCs w:val="24"/>
              </w:rPr>
              <w:t>1</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860DC">
            <w:pPr>
              <w:jc w:val="center"/>
              <w:rPr>
                <w:rFonts w:hint="eastAsia" w:ascii="宋体" w:hAnsi="宋体" w:eastAsia="宋体" w:cs="宋体"/>
                <w:color w:val="000000"/>
                <w:kern w:val="0"/>
                <w:sz w:val="24"/>
                <w:szCs w:val="24"/>
                <w:lang w:val="en-US" w:eastAsia="zh-CN" w:bidi="ar-SA"/>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ABA66">
            <w:pPr>
              <w:jc w:val="center"/>
              <w:rPr>
                <w:rFonts w:hint="eastAsia" w:ascii="宋体" w:hAnsi="宋体" w:eastAsia="宋体" w:cs="宋体"/>
                <w:color w:val="000000"/>
                <w:kern w:val="0"/>
                <w:sz w:val="24"/>
                <w:szCs w:val="24"/>
                <w:lang w:val="en-US" w:eastAsia="zh-CN" w:bidi="ar-SA"/>
              </w:rPr>
            </w:pPr>
          </w:p>
        </w:tc>
        <w:tc>
          <w:tcPr>
            <w:tcW w:w="2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9F292">
            <w:pPr>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olor w:val="000000"/>
                <w:sz w:val="24"/>
                <w:szCs w:val="24"/>
              </w:rPr>
              <w:t>最多间隔2天1次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D99AC">
            <w:pPr>
              <w:jc w:val="center"/>
              <w:rPr>
                <w:rFonts w:hint="eastAsia" w:ascii="宋体" w:hAnsi="宋体" w:eastAsia="宋体" w:cs="宋体"/>
                <w:color w:val="000000"/>
                <w:kern w:val="0"/>
                <w:sz w:val="24"/>
                <w:szCs w:val="24"/>
                <w:lang w:val="en-US" w:eastAsia="zh-CN" w:bidi="ar-SA"/>
              </w:rPr>
            </w:pPr>
          </w:p>
        </w:tc>
      </w:tr>
      <w:tr w14:paraId="3C2BA2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656" w:type="dxa"/>
            <w:vMerge w:val="continue"/>
            <w:tcBorders>
              <w:top w:val="single" w:color="auto" w:sz="4" w:space="0"/>
              <w:left w:val="single" w:color="auto" w:sz="4" w:space="0"/>
              <w:bottom w:val="single" w:color="auto" w:sz="4" w:space="0"/>
              <w:right w:val="single" w:color="auto" w:sz="4" w:space="0"/>
            </w:tcBorders>
            <w:noWrap/>
            <w:vAlign w:val="center"/>
          </w:tcPr>
          <w:p w14:paraId="4E6FB5E8">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auto" w:sz="4" w:space="0"/>
              <w:bottom w:val="single" w:color="000000" w:sz="4" w:space="0"/>
              <w:right w:val="single" w:color="000000" w:sz="4" w:space="0"/>
            </w:tcBorders>
            <w:shd w:val="clear" w:color="auto" w:fill="auto"/>
            <w:noWrap/>
            <w:vAlign w:val="center"/>
          </w:tcPr>
          <w:p w14:paraId="5B711CA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C5F72">
            <w:pPr>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olor w:val="000000"/>
                <w:sz w:val="24"/>
                <w:szCs w:val="24"/>
              </w:rPr>
              <w:t>黄村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071C9">
            <w:pPr>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olor w:val="000000"/>
                <w:sz w:val="24"/>
                <w:szCs w:val="24"/>
              </w:rPr>
              <w:t>1</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EEAF9">
            <w:pPr>
              <w:jc w:val="center"/>
              <w:rPr>
                <w:rFonts w:hint="eastAsia" w:ascii="宋体" w:hAnsi="宋体" w:eastAsia="宋体" w:cs="宋体"/>
                <w:color w:val="000000"/>
                <w:kern w:val="0"/>
                <w:sz w:val="24"/>
                <w:szCs w:val="24"/>
                <w:lang w:val="en-US" w:eastAsia="zh-CN" w:bidi="ar-SA"/>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09814">
            <w:pPr>
              <w:jc w:val="center"/>
              <w:rPr>
                <w:rFonts w:hint="eastAsia" w:ascii="宋体" w:hAnsi="宋体" w:eastAsia="宋体" w:cs="宋体"/>
                <w:color w:val="000000"/>
                <w:kern w:val="0"/>
                <w:sz w:val="24"/>
                <w:szCs w:val="24"/>
                <w:lang w:val="en-US" w:eastAsia="zh-CN" w:bidi="ar-SA"/>
              </w:rPr>
            </w:pPr>
          </w:p>
        </w:tc>
        <w:tc>
          <w:tcPr>
            <w:tcW w:w="2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A8B36">
            <w:pPr>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olor w:val="000000"/>
                <w:sz w:val="24"/>
                <w:szCs w:val="24"/>
              </w:rPr>
              <w:t>最多间隔2天1次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0D634">
            <w:pPr>
              <w:jc w:val="center"/>
              <w:rPr>
                <w:rFonts w:hint="eastAsia" w:ascii="宋体" w:hAnsi="宋体" w:eastAsia="宋体" w:cs="宋体"/>
                <w:color w:val="000000"/>
                <w:kern w:val="0"/>
                <w:sz w:val="24"/>
                <w:szCs w:val="24"/>
                <w:lang w:val="en-US" w:eastAsia="zh-CN" w:bidi="ar-SA"/>
              </w:rPr>
            </w:pPr>
          </w:p>
        </w:tc>
      </w:tr>
      <w:tr w14:paraId="01717C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656" w:type="dxa"/>
            <w:vMerge w:val="continue"/>
            <w:tcBorders>
              <w:top w:val="single" w:color="auto" w:sz="4" w:space="0"/>
              <w:left w:val="single" w:color="auto" w:sz="4" w:space="0"/>
              <w:bottom w:val="single" w:color="auto" w:sz="4" w:space="0"/>
              <w:right w:val="single" w:color="auto" w:sz="4" w:space="0"/>
            </w:tcBorders>
            <w:noWrap/>
            <w:vAlign w:val="center"/>
          </w:tcPr>
          <w:p w14:paraId="102D68E6">
            <w:pPr>
              <w:jc w:val="center"/>
              <w:rPr>
                <w:rFonts w:hint="eastAsia" w:ascii="宋体" w:hAnsi="宋体" w:eastAsia="宋体" w:cs="宋体"/>
                <w:i w:val="0"/>
                <w:iCs w:val="0"/>
                <w:color w:val="000000"/>
                <w:sz w:val="24"/>
                <w:szCs w:val="24"/>
                <w:u w:val="none"/>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5787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0D168">
            <w:pPr>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olor w:val="000000"/>
                <w:sz w:val="24"/>
                <w:szCs w:val="24"/>
              </w:rPr>
              <w:t>小黄家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27041">
            <w:pPr>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olor w:val="000000"/>
                <w:sz w:val="24"/>
                <w:szCs w:val="24"/>
              </w:rPr>
              <w:t>1</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25755">
            <w:pPr>
              <w:jc w:val="center"/>
              <w:rPr>
                <w:rFonts w:hint="eastAsia" w:ascii="宋体" w:hAnsi="宋体" w:eastAsia="宋体" w:cs="宋体"/>
                <w:color w:val="000000"/>
                <w:kern w:val="0"/>
                <w:sz w:val="24"/>
                <w:szCs w:val="24"/>
                <w:lang w:val="en-US" w:eastAsia="zh-CN" w:bidi="ar-SA"/>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88146">
            <w:pPr>
              <w:jc w:val="center"/>
              <w:rPr>
                <w:rFonts w:hint="eastAsia" w:ascii="宋体" w:hAnsi="宋体" w:eastAsia="宋体" w:cs="宋体"/>
                <w:color w:val="000000"/>
                <w:kern w:val="0"/>
                <w:sz w:val="24"/>
                <w:szCs w:val="24"/>
                <w:lang w:val="en-US" w:eastAsia="zh-CN" w:bidi="ar-SA"/>
              </w:rPr>
            </w:pPr>
          </w:p>
        </w:tc>
        <w:tc>
          <w:tcPr>
            <w:tcW w:w="2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33298">
            <w:pPr>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olor w:val="000000"/>
                <w:sz w:val="24"/>
                <w:szCs w:val="24"/>
              </w:rPr>
              <w:t>最多间隔2天1次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A7109">
            <w:pPr>
              <w:jc w:val="center"/>
              <w:rPr>
                <w:rFonts w:hint="eastAsia" w:ascii="宋体" w:hAnsi="宋体" w:eastAsia="宋体" w:cs="宋体"/>
                <w:color w:val="000000"/>
                <w:kern w:val="0"/>
                <w:sz w:val="24"/>
                <w:szCs w:val="24"/>
                <w:lang w:val="en-US" w:eastAsia="zh-CN" w:bidi="ar-SA"/>
              </w:rPr>
            </w:pPr>
          </w:p>
        </w:tc>
      </w:tr>
      <w:tr w14:paraId="22DB2D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656" w:type="dxa"/>
            <w:vMerge w:val="continue"/>
            <w:tcBorders>
              <w:top w:val="single" w:color="auto" w:sz="4" w:space="0"/>
              <w:left w:val="single" w:color="auto" w:sz="4" w:space="0"/>
              <w:bottom w:val="single" w:color="auto" w:sz="4" w:space="0"/>
              <w:right w:val="single" w:color="auto" w:sz="4" w:space="0"/>
            </w:tcBorders>
            <w:noWrap/>
            <w:vAlign w:val="center"/>
          </w:tcPr>
          <w:p w14:paraId="2844C95D">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5E83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02B4A">
            <w:pPr>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olor w:val="000000"/>
                <w:sz w:val="24"/>
                <w:szCs w:val="24"/>
              </w:rPr>
              <w:t>李家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8C84E">
            <w:pPr>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olor w:val="000000"/>
                <w:sz w:val="24"/>
                <w:szCs w:val="24"/>
              </w:rPr>
              <w:t>1</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418D1">
            <w:pPr>
              <w:jc w:val="center"/>
              <w:rPr>
                <w:rFonts w:hint="eastAsia" w:ascii="宋体" w:hAnsi="宋体" w:eastAsia="宋体" w:cs="宋体"/>
                <w:color w:val="000000"/>
                <w:kern w:val="0"/>
                <w:sz w:val="24"/>
                <w:szCs w:val="24"/>
                <w:lang w:val="en-US" w:eastAsia="zh-CN" w:bidi="ar-SA"/>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3C454">
            <w:pPr>
              <w:jc w:val="center"/>
              <w:rPr>
                <w:rFonts w:hint="eastAsia" w:ascii="宋体" w:hAnsi="宋体" w:eastAsia="宋体" w:cs="宋体"/>
                <w:color w:val="000000"/>
                <w:kern w:val="0"/>
                <w:sz w:val="24"/>
                <w:szCs w:val="24"/>
                <w:lang w:val="en-US" w:eastAsia="zh-CN" w:bidi="ar-SA"/>
              </w:rPr>
            </w:pPr>
          </w:p>
        </w:tc>
        <w:tc>
          <w:tcPr>
            <w:tcW w:w="2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7C218">
            <w:pPr>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olor w:val="000000"/>
                <w:sz w:val="24"/>
                <w:szCs w:val="24"/>
              </w:rPr>
              <w:t>最多间隔2天1次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F0441">
            <w:pPr>
              <w:jc w:val="center"/>
              <w:rPr>
                <w:rFonts w:hint="eastAsia" w:ascii="宋体" w:hAnsi="宋体" w:eastAsia="宋体" w:cs="宋体"/>
                <w:color w:val="000000"/>
                <w:kern w:val="0"/>
                <w:sz w:val="24"/>
                <w:szCs w:val="24"/>
                <w:lang w:val="en-US" w:eastAsia="zh-CN" w:bidi="ar-SA"/>
              </w:rPr>
            </w:pPr>
          </w:p>
        </w:tc>
      </w:tr>
      <w:tr w14:paraId="030DA4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0" w:type="auto"/>
            <w:tcBorders>
              <w:top w:val="single" w:color="auto" w:sz="4" w:space="0"/>
              <w:left w:val="single" w:color="000000" w:sz="4" w:space="0"/>
              <w:bottom w:val="single" w:color="000000" w:sz="4" w:space="0"/>
              <w:right w:val="single" w:color="000000" w:sz="4" w:space="0"/>
            </w:tcBorders>
            <w:shd w:val="clear" w:color="auto" w:fill="auto"/>
            <w:noWrap/>
            <w:vAlign w:val="center"/>
          </w:tcPr>
          <w:p w14:paraId="1B8DD0AA">
            <w:pPr>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olor w:val="000000"/>
                <w:sz w:val="24"/>
                <w:szCs w:val="24"/>
              </w:rPr>
              <w:t>西安社区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0174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A27E4">
            <w:pPr>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olor w:val="000000"/>
                <w:sz w:val="24"/>
                <w:szCs w:val="24"/>
              </w:rPr>
              <w:t>铁道口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CF110">
            <w:pPr>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olor w:val="000000"/>
                <w:sz w:val="24"/>
                <w:szCs w:val="24"/>
              </w:rPr>
              <w:t>1</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A87CB">
            <w:pPr>
              <w:jc w:val="center"/>
              <w:rPr>
                <w:rFonts w:hint="eastAsia" w:ascii="宋体" w:hAnsi="宋体" w:eastAsia="宋体" w:cs="宋体"/>
                <w:color w:val="000000"/>
                <w:kern w:val="0"/>
                <w:sz w:val="24"/>
                <w:szCs w:val="24"/>
                <w:lang w:val="en-US" w:eastAsia="zh-CN" w:bidi="ar-SA"/>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E4B50">
            <w:pPr>
              <w:jc w:val="center"/>
              <w:rPr>
                <w:rFonts w:hint="eastAsia" w:ascii="宋体" w:hAnsi="宋体" w:eastAsia="宋体" w:cs="宋体"/>
                <w:color w:val="000000"/>
                <w:kern w:val="0"/>
                <w:sz w:val="24"/>
                <w:szCs w:val="24"/>
                <w:lang w:val="en-US" w:eastAsia="zh-CN" w:bidi="ar-SA"/>
              </w:rPr>
            </w:pPr>
          </w:p>
        </w:tc>
        <w:tc>
          <w:tcPr>
            <w:tcW w:w="2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32ABA">
            <w:pPr>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olor w:val="000000"/>
                <w:sz w:val="24"/>
                <w:szCs w:val="24"/>
              </w:rPr>
              <w:t>最多间隔2天1次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41C73">
            <w:pPr>
              <w:jc w:val="center"/>
              <w:rPr>
                <w:rFonts w:hint="eastAsia" w:ascii="宋体" w:hAnsi="宋体" w:eastAsia="宋体" w:cs="宋体"/>
                <w:color w:val="000000"/>
                <w:kern w:val="0"/>
                <w:sz w:val="24"/>
                <w:szCs w:val="24"/>
                <w:lang w:val="en-US" w:eastAsia="zh-CN" w:bidi="ar-SA"/>
              </w:rPr>
            </w:pPr>
          </w:p>
        </w:tc>
      </w:tr>
      <w:tr w14:paraId="33248F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656" w:type="dxa"/>
            <w:vMerge w:val="restart"/>
            <w:tcBorders>
              <w:top w:val="single" w:color="000000" w:sz="4" w:space="0"/>
              <w:left w:val="single" w:color="000000" w:sz="4" w:space="0"/>
              <w:right w:val="single" w:color="000000" w:sz="4" w:space="0"/>
            </w:tcBorders>
            <w:shd w:val="clear" w:color="auto" w:fill="auto"/>
            <w:noWrap/>
            <w:vAlign w:val="center"/>
          </w:tcPr>
          <w:p w14:paraId="19BE401D">
            <w:pPr>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olor w:val="000000"/>
                <w:sz w:val="24"/>
                <w:szCs w:val="24"/>
              </w:rPr>
              <w:t>中段村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0BF4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8FDC4">
            <w:pPr>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olor w:val="000000"/>
                <w:sz w:val="24"/>
                <w:szCs w:val="24"/>
              </w:rPr>
              <w:t>中段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594B2">
            <w:pPr>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olor w:val="000000"/>
                <w:sz w:val="24"/>
                <w:szCs w:val="24"/>
              </w:rPr>
              <w:t>1</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D1576">
            <w:pPr>
              <w:jc w:val="center"/>
              <w:rPr>
                <w:rFonts w:hint="eastAsia" w:ascii="宋体" w:hAnsi="宋体" w:eastAsia="宋体" w:cs="宋体"/>
                <w:color w:val="000000"/>
                <w:kern w:val="0"/>
                <w:sz w:val="24"/>
                <w:szCs w:val="24"/>
                <w:lang w:val="en-US" w:eastAsia="zh-CN" w:bidi="ar-SA"/>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9C64F">
            <w:pPr>
              <w:jc w:val="center"/>
              <w:rPr>
                <w:rFonts w:hint="eastAsia" w:ascii="宋体" w:hAnsi="宋体" w:eastAsia="宋体" w:cs="宋体"/>
                <w:color w:val="000000"/>
                <w:kern w:val="0"/>
                <w:sz w:val="24"/>
                <w:szCs w:val="24"/>
                <w:lang w:val="en-US" w:eastAsia="zh-CN" w:bidi="ar-SA"/>
              </w:rPr>
            </w:pPr>
          </w:p>
        </w:tc>
        <w:tc>
          <w:tcPr>
            <w:tcW w:w="2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94E73">
            <w:pPr>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olor w:val="000000"/>
                <w:sz w:val="24"/>
                <w:szCs w:val="24"/>
              </w:rPr>
              <w:t>最多间隔2天1次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4E39B">
            <w:pPr>
              <w:jc w:val="center"/>
              <w:rPr>
                <w:rFonts w:hint="eastAsia" w:ascii="宋体" w:hAnsi="宋体" w:eastAsia="宋体" w:cs="宋体"/>
                <w:color w:val="000000"/>
                <w:kern w:val="0"/>
                <w:sz w:val="24"/>
                <w:szCs w:val="24"/>
                <w:lang w:val="en-US" w:eastAsia="zh-CN" w:bidi="ar-SA"/>
              </w:rPr>
            </w:pPr>
          </w:p>
        </w:tc>
      </w:tr>
      <w:tr w14:paraId="3A3A10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656" w:type="dxa"/>
            <w:vMerge w:val="continue"/>
            <w:tcBorders>
              <w:left w:val="single" w:color="000000" w:sz="4" w:space="0"/>
              <w:right w:val="single" w:color="000000" w:sz="4" w:space="0"/>
            </w:tcBorders>
            <w:noWrap/>
            <w:vAlign w:val="center"/>
          </w:tcPr>
          <w:p w14:paraId="2FDEE358">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01D2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DA5C2">
            <w:pPr>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olor w:val="000000"/>
                <w:sz w:val="24"/>
                <w:szCs w:val="24"/>
              </w:rPr>
              <w:t>潘家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DF8EA">
            <w:pPr>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olor w:val="000000"/>
                <w:sz w:val="24"/>
                <w:szCs w:val="24"/>
              </w:rPr>
              <w:t>1</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92C23">
            <w:pPr>
              <w:jc w:val="center"/>
              <w:rPr>
                <w:rFonts w:hint="eastAsia" w:ascii="宋体" w:hAnsi="宋体" w:eastAsia="宋体" w:cs="宋体"/>
                <w:color w:val="000000"/>
                <w:kern w:val="0"/>
                <w:sz w:val="24"/>
                <w:szCs w:val="24"/>
                <w:lang w:val="en-US" w:eastAsia="zh-CN" w:bidi="ar-SA"/>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DA61B">
            <w:pPr>
              <w:jc w:val="center"/>
              <w:rPr>
                <w:rFonts w:hint="eastAsia" w:ascii="宋体" w:hAnsi="宋体" w:eastAsia="宋体" w:cs="宋体"/>
                <w:color w:val="000000"/>
                <w:kern w:val="0"/>
                <w:sz w:val="24"/>
                <w:szCs w:val="24"/>
                <w:lang w:val="en-US" w:eastAsia="zh-CN" w:bidi="ar-SA"/>
              </w:rPr>
            </w:pPr>
          </w:p>
        </w:tc>
        <w:tc>
          <w:tcPr>
            <w:tcW w:w="2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1D648">
            <w:pPr>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olor w:val="000000"/>
                <w:sz w:val="24"/>
                <w:szCs w:val="24"/>
              </w:rPr>
              <w:t>最多间隔2天1次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4A6CF">
            <w:pPr>
              <w:jc w:val="center"/>
              <w:rPr>
                <w:rFonts w:hint="eastAsia" w:ascii="宋体" w:hAnsi="宋体" w:eastAsia="宋体" w:cs="宋体"/>
                <w:color w:val="000000"/>
                <w:kern w:val="0"/>
                <w:sz w:val="24"/>
                <w:szCs w:val="24"/>
                <w:lang w:val="en-US" w:eastAsia="zh-CN" w:bidi="ar-SA"/>
              </w:rPr>
            </w:pPr>
          </w:p>
        </w:tc>
      </w:tr>
      <w:tr w14:paraId="7E3A85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656" w:type="dxa"/>
            <w:vMerge w:val="continue"/>
            <w:tcBorders>
              <w:left w:val="single" w:color="000000" w:sz="4" w:space="0"/>
              <w:bottom w:val="single" w:color="000000" w:sz="4" w:space="0"/>
              <w:right w:val="single" w:color="000000" w:sz="4" w:space="0"/>
            </w:tcBorders>
            <w:noWrap/>
            <w:vAlign w:val="center"/>
          </w:tcPr>
          <w:p w14:paraId="353050ED">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0CA8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29A98">
            <w:pPr>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olor w:val="000000"/>
                <w:sz w:val="24"/>
                <w:szCs w:val="24"/>
              </w:rPr>
              <w:t>小业候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ADE03">
            <w:pPr>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olor w:val="000000"/>
                <w:sz w:val="24"/>
                <w:szCs w:val="24"/>
              </w:rPr>
              <w:t>1</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0D8F7">
            <w:pPr>
              <w:jc w:val="center"/>
              <w:rPr>
                <w:rFonts w:hint="eastAsia" w:ascii="宋体" w:hAnsi="宋体" w:eastAsia="宋体" w:cs="宋体"/>
                <w:color w:val="000000"/>
                <w:kern w:val="0"/>
                <w:sz w:val="24"/>
                <w:szCs w:val="24"/>
                <w:lang w:val="en-US" w:eastAsia="zh-CN" w:bidi="ar-SA"/>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09ECE">
            <w:pPr>
              <w:jc w:val="center"/>
              <w:rPr>
                <w:rFonts w:hint="eastAsia" w:ascii="宋体" w:hAnsi="宋体" w:eastAsia="宋体" w:cs="宋体"/>
                <w:color w:val="000000"/>
                <w:kern w:val="0"/>
                <w:sz w:val="24"/>
                <w:szCs w:val="24"/>
                <w:lang w:val="en-US" w:eastAsia="zh-CN" w:bidi="ar-SA"/>
              </w:rPr>
            </w:pPr>
          </w:p>
        </w:tc>
        <w:tc>
          <w:tcPr>
            <w:tcW w:w="2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5AC3E">
            <w:pPr>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olor w:val="000000"/>
                <w:sz w:val="24"/>
                <w:szCs w:val="24"/>
              </w:rPr>
              <w:t>最多间隔2天1次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24368">
            <w:pPr>
              <w:jc w:val="center"/>
              <w:rPr>
                <w:rFonts w:hint="eastAsia" w:ascii="宋体" w:hAnsi="宋体" w:eastAsia="宋体" w:cs="宋体"/>
                <w:color w:val="000000"/>
                <w:kern w:val="0"/>
                <w:sz w:val="24"/>
                <w:szCs w:val="24"/>
                <w:lang w:val="en-US" w:eastAsia="zh-CN" w:bidi="ar-SA"/>
              </w:rPr>
            </w:pPr>
          </w:p>
        </w:tc>
      </w:tr>
      <w:tr w14:paraId="26D3B1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656" w:type="dxa"/>
            <w:vMerge w:val="restart"/>
            <w:tcBorders>
              <w:top w:val="single" w:color="000000" w:sz="4" w:space="0"/>
              <w:left w:val="single" w:color="000000" w:sz="4" w:space="0"/>
              <w:right w:val="single" w:color="000000" w:sz="4" w:space="0"/>
            </w:tcBorders>
            <w:shd w:val="clear" w:color="auto" w:fill="auto"/>
            <w:noWrap/>
            <w:vAlign w:val="center"/>
          </w:tcPr>
          <w:p w14:paraId="42DDF46C">
            <w:pPr>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olor w:val="000000"/>
                <w:sz w:val="24"/>
                <w:szCs w:val="24"/>
              </w:rPr>
              <w:t>走马村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D67F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83C01">
            <w:pPr>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olor w:val="000000"/>
                <w:sz w:val="24"/>
                <w:szCs w:val="24"/>
              </w:rPr>
              <w:t>上走马</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DA7E0">
            <w:pPr>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olor w:val="000000"/>
                <w:sz w:val="24"/>
                <w:szCs w:val="24"/>
              </w:rPr>
              <w:t>1</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0A11E">
            <w:pPr>
              <w:jc w:val="center"/>
              <w:rPr>
                <w:rFonts w:hint="eastAsia" w:ascii="宋体" w:hAnsi="宋体" w:eastAsia="宋体" w:cs="宋体"/>
                <w:color w:val="000000"/>
                <w:kern w:val="0"/>
                <w:sz w:val="24"/>
                <w:szCs w:val="24"/>
                <w:lang w:val="en-US" w:eastAsia="zh-CN" w:bidi="ar-SA"/>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9A6F3">
            <w:pPr>
              <w:jc w:val="center"/>
              <w:rPr>
                <w:rFonts w:hint="eastAsia" w:ascii="宋体" w:hAnsi="宋体" w:eastAsia="宋体" w:cs="宋体"/>
                <w:color w:val="000000"/>
                <w:kern w:val="0"/>
                <w:sz w:val="24"/>
                <w:szCs w:val="24"/>
                <w:lang w:val="en-US" w:eastAsia="zh-CN" w:bidi="ar-SA"/>
              </w:rPr>
            </w:pPr>
          </w:p>
        </w:tc>
        <w:tc>
          <w:tcPr>
            <w:tcW w:w="2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CFDAF">
            <w:pPr>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olor w:val="000000"/>
                <w:sz w:val="24"/>
                <w:szCs w:val="24"/>
              </w:rPr>
              <w:t>最多间隔2天1次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15323">
            <w:pPr>
              <w:jc w:val="center"/>
              <w:rPr>
                <w:rFonts w:hint="eastAsia" w:ascii="宋体" w:hAnsi="宋体" w:eastAsia="宋体" w:cs="宋体"/>
                <w:color w:val="000000"/>
                <w:kern w:val="0"/>
                <w:sz w:val="24"/>
                <w:szCs w:val="24"/>
                <w:lang w:val="en-US" w:eastAsia="zh-CN" w:bidi="ar-SA"/>
              </w:rPr>
            </w:pPr>
          </w:p>
        </w:tc>
      </w:tr>
      <w:tr w14:paraId="59EE0D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656" w:type="dxa"/>
            <w:vMerge w:val="continue"/>
            <w:tcBorders>
              <w:left w:val="single" w:color="000000" w:sz="4" w:space="0"/>
              <w:right w:val="single" w:color="000000" w:sz="4" w:space="0"/>
            </w:tcBorders>
            <w:noWrap/>
            <w:vAlign w:val="center"/>
          </w:tcPr>
          <w:p w14:paraId="5B21DF8F">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AEF3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EDD0F">
            <w:pPr>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olor w:val="000000"/>
                <w:sz w:val="24"/>
                <w:szCs w:val="24"/>
              </w:rPr>
              <w:t>中走马</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616B9">
            <w:pPr>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olor w:val="000000"/>
                <w:sz w:val="24"/>
                <w:szCs w:val="24"/>
              </w:rPr>
              <w:t>1</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F5760">
            <w:pPr>
              <w:jc w:val="center"/>
              <w:rPr>
                <w:rFonts w:hint="eastAsia" w:ascii="宋体" w:hAnsi="宋体" w:eastAsia="宋体" w:cs="宋体"/>
                <w:color w:val="000000"/>
                <w:kern w:val="0"/>
                <w:sz w:val="24"/>
                <w:szCs w:val="24"/>
                <w:lang w:val="en-US" w:eastAsia="zh-CN" w:bidi="ar-SA"/>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369C5">
            <w:pPr>
              <w:jc w:val="center"/>
              <w:rPr>
                <w:rFonts w:hint="eastAsia" w:ascii="宋体" w:hAnsi="宋体" w:eastAsia="宋体" w:cs="宋体"/>
                <w:color w:val="000000"/>
                <w:kern w:val="0"/>
                <w:sz w:val="24"/>
                <w:szCs w:val="24"/>
                <w:lang w:val="en-US" w:eastAsia="zh-CN" w:bidi="ar-SA"/>
              </w:rPr>
            </w:pPr>
          </w:p>
        </w:tc>
        <w:tc>
          <w:tcPr>
            <w:tcW w:w="2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ED236">
            <w:pPr>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olor w:val="000000"/>
                <w:sz w:val="24"/>
                <w:szCs w:val="24"/>
              </w:rPr>
              <w:t>最多间隔2天1次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C3D9B">
            <w:pPr>
              <w:jc w:val="center"/>
              <w:rPr>
                <w:rFonts w:hint="eastAsia" w:ascii="宋体" w:hAnsi="宋体" w:eastAsia="宋体" w:cs="宋体"/>
                <w:color w:val="000000"/>
                <w:kern w:val="0"/>
                <w:sz w:val="24"/>
                <w:szCs w:val="24"/>
                <w:lang w:val="en-US" w:eastAsia="zh-CN" w:bidi="ar-SA"/>
              </w:rPr>
            </w:pPr>
          </w:p>
        </w:tc>
      </w:tr>
      <w:tr w14:paraId="0FE6F5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656" w:type="dxa"/>
            <w:vMerge w:val="continue"/>
            <w:tcBorders>
              <w:left w:val="single" w:color="000000" w:sz="4" w:space="0"/>
              <w:right w:val="single" w:color="000000" w:sz="4" w:space="0"/>
            </w:tcBorders>
            <w:noWrap/>
            <w:vAlign w:val="center"/>
          </w:tcPr>
          <w:p w14:paraId="00036969">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4414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370FA">
            <w:pPr>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olor w:val="000000"/>
                <w:sz w:val="24"/>
                <w:szCs w:val="24"/>
              </w:rPr>
              <w:t>下走马</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E797A">
            <w:pPr>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olor w:val="000000"/>
                <w:sz w:val="24"/>
                <w:szCs w:val="24"/>
              </w:rPr>
              <w:t>1</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934E2">
            <w:pPr>
              <w:jc w:val="center"/>
              <w:rPr>
                <w:rFonts w:hint="eastAsia" w:ascii="宋体" w:hAnsi="宋体" w:eastAsia="宋体" w:cs="宋体"/>
                <w:color w:val="000000"/>
                <w:kern w:val="0"/>
                <w:sz w:val="24"/>
                <w:szCs w:val="24"/>
                <w:lang w:val="en-US" w:eastAsia="zh-CN" w:bidi="ar-SA"/>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0708B">
            <w:pPr>
              <w:jc w:val="center"/>
              <w:rPr>
                <w:rFonts w:hint="eastAsia" w:ascii="宋体" w:hAnsi="宋体" w:eastAsia="宋体" w:cs="宋体"/>
                <w:color w:val="000000"/>
                <w:kern w:val="0"/>
                <w:sz w:val="24"/>
                <w:szCs w:val="24"/>
                <w:lang w:val="en-US" w:eastAsia="zh-CN" w:bidi="ar-SA"/>
              </w:rPr>
            </w:pPr>
          </w:p>
        </w:tc>
        <w:tc>
          <w:tcPr>
            <w:tcW w:w="2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E084B">
            <w:pPr>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olor w:val="000000"/>
                <w:sz w:val="24"/>
                <w:szCs w:val="24"/>
              </w:rPr>
              <w:t>最多间隔2天1次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E4FA2">
            <w:pPr>
              <w:jc w:val="center"/>
              <w:rPr>
                <w:rFonts w:hint="eastAsia" w:ascii="宋体" w:hAnsi="宋体" w:eastAsia="宋体" w:cs="宋体"/>
                <w:color w:val="000000"/>
                <w:kern w:val="0"/>
                <w:sz w:val="24"/>
                <w:szCs w:val="24"/>
                <w:lang w:val="en-US" w:eastAsia="zh-CN" w:bidi="ar-SA"/>
              </w:rPr>
            </w:pPr>
          </w:p>
        </w:tc>
      </w:tr>
      <w:tr w14:paraId="0D5079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656" w:type="dxa"/>
            <w:vMerge w:val="continue"/>
            <w:tcBorders>
              <w:left w:val="single" w:color="000000" w:sz="4" w:space="0"/>
              <w:right w:val="single" w:color="000000" w:sz="4" w:space="0"/>
            </w:tcBorders>
            <w:noWrap/>
            <w:vAlign w:val="center"/>
          </w:tcPr>
          <w:p w14:paraId="5664F7E1">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5F1D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B095F">
            <w:pPr>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olor w:val="000000"/>
                <w:sz w:val="24"/>
                <w:szCs w:val="24"/>
              </w:rPr>
              <w:t>浑水河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11C18">
            <w:pPr>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olor w:val="000000"/>
                <w:sz w:val="24"/>
                <w:szCs w:val="24"/>
              </w:rPr>
              <w:t>1</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1BBD0">
            <w:pPr>
              <w:jc w:val="center"/>
              <w:rPr>
                <w:rFonts w:hint="eastAsia" w:ascii="宋体" w:hAnsi="宋体" w:eastAsia="宋体" w:cs="宋体"/>
                <w:color w:val="000000"/>
                <w:kern w:val="0"/>
                <w:sz w:val="24"/>
                <w:szCs w:val="24"/>
                <w:lang w:val="en-US" w:eastAsia="zh-CN" w:bidi="ar-SA"/>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D103B">
            <w:pPr>
              <w:jc w:val="center"/>
              <w:rPr>
                <w:rFonts w:hint="eastAsia" w:ascii="宋体" w:hAnsi="宋体" w:eastAsia="宋体" w:cs="宋体"/>
                <w:color w:val="000000"/>
                <w:kern w:val="0"/>
                <w:sz w:val="24"/>
                <w:szCs w:val="24"/>
                <w:lang w:val="en-US" w:eastAsia="zh-CN" w:bidi="ar-SA"/>
              </w:rPr>
            </w:pPr>
          </w:p>
        </w:tc>
        <w:tc>
          <w:tcPr>
            <w:tcW w:w="2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4B9DB">
            <w:pPr>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olor w:val="000000"/>
                <w:sz w:val="24"/>
                <w:szCs w:val="24"/>
              </w:rPr>
              <w:t>最多间隔2天1次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53AC8">
            <w:pPr>
              <w:jc w:val="center"/>
              <w:rPr>
                <w:rFonts w:hint="eastAsia" w:ascii="宋体" w:hAnsi="宋体" w:eastAsia="宋体" w:cs="宋体"/>
                <w:color w:val="000000"/>
                <w:kern w:val="0"/>
                <w:sz w:val="24"/>
                <w:szCs w:val="24"/>
                <w:lang w:val="en-US" w:eastAsia="zh-CN" w:bidi="ar-SA"/>
              </w:rPr>
            </w:pPr>
          </w:p>
        </w:tc>
      </w:tr>
      <w:tr w14:paraId="443A0A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656" w:type="dxa"/>
            <w:vMerge w:val="continue"/>
            <w:tcBorders>
              <w:left w:val="single" w:color="000000" w:sz="4" w:space="0"/>
              <w:right w:val="single" w:color="000000" w:sz="4" w:space="0"/>
            </w:tcBorders>
            <w:noWrap/>
            <w:vAlign w:val="center"/>
          </w:tcPr>
          <w:p w14:paraId="78672B58">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B7A5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1F87B">
            <w:pPr>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olor w:val="000000"/>
                <w:sz w:val="24"/>
                <w:szCs w:val="24"/>
              </w:rPr>
              <w:t>木吕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9F182">
            <w:pPr>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olor w:val="000000"/>
                <w:sz w:val="24"/>
                <w:szCs w:val="24"/>
              </w:rPr>
              <w:t>1</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D2447">
            <w:pPr>
              <w:jc w:val="center"/>
              <w:rPr>
                <w:rFonts w:hint="eastAsia" w:ascii="宋体" w:hAnsi="宋体" w:eastAsia="宋体" w:cs="宋体"/>
                <w:color w:val="000000"/>
                <w:kern w:val="0"/>
                <w:sz w:val="24"/>
                <w:szCs w:val="24"/>
                <w:lang w:val="en-US" w:eastAsia="zh-CN" w:bidi="ar-SA"/>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B8F66">
            <w:pPr>
              <w:jc w:val="center"/>
              <w:rPr>
                <w:rFonts w:hint="eastAsia" w:ascii="宋体" w:hAnsi="宋体" w:eastAsia="宋体" w:cs="宋体"/>
                <w:color w:val="000000"/>
                <w:kern w:val="0"/>
                <w:sz w:val="24"/>
                <w:szCs w:val="24"/>
                <w:lang w:val="en-US" w:eastAsia="zh-CN" w:bidi="ar-SA"/>
              </w:rPr>
            </w:pPr>
          </w:p>
        </w:tc>
        <w:tc>
          <w:tcPr>
            <w:tcW w:w="2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590AA">
            <w:pPr>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olor w:val="000000"/>
                <w:sz w:val="24"/>
                <w:szCs w:val="24"/>
              </w:rPr>
              <w:t>最多间隔2天1次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7B0A7">
            <w:pPr>
              <w:jc w:val="center"/>
              <w:rPr>
                <w:rFonts w:hint="eastAsia" w:ascii="宋体" w:hAnsi="宋体" w:eastAsia="宋体" w:cs="宋体"/>
                <w:color w:val="000000"/>
                <w:kern w:val="0"/>
                <w:sz w:val="24"/>
                <w:szCs w:val="24"/>
                <w:lang w:val="en-US" w:eastAsia="zh-CN" w:bidi="ar-SA"/>
              </w:rPr>
            </w:pPr>
          </w:p>
        </w:tc>
      </w:tr>
      <w:tr w14:paraId="2E3D24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656" w:type="dxa"/>
            <w:vMerge w:val="continue"/>
            <w:tcBorders>
              <w:left w:val="single" w:color="000000" w:sz="4" w:space="0"/>
              <w:right w:val="single" w:color="000000" w:sz="4" w:space="0"/>
            </w:tcBorders>
            <w:noWrap/>
            <w:vAlign w:val="center"/>
          </w:tcPr>
          <w:p w14:paraId="64F739B0">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D268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C1C53">
            <w:pPr>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olor w:val="000000"/>
                <w:sz w:val="24"/>
                <w:szCs w:val="24"/>
              </w:rPr>
              <w:t>二四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35CBA">
            <w:pPr>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olor w:val="000000"/>
                <w:sz w:val="24"/>
                <w:szCs w:val="24"/>
              </w:rPr>
              <w:t>1</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EDB85">
            <w:pPr>
              <w:jc w:val="center"/>
              <w:rPr>
                <w:rFonts w:hint="eastAsia" w:ascii="宋体" w:hAnsi="宋体" w:eastAsia="宋体" w:cs="宋体"/>
                <w:color w:val="000000"/>
                <w:kern w:val="0"/>
                <w:sz w:val="24"/>
                <w:szCs w:val="24"/>
                <w:lang w:val="en-US" w:eastAsia="zh-CN" w:bidi="ar-SA"/>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D64DE">
            <w:pPr>
              <w:jc w:val="center"/>
              <w:rPr>
                <w:rFonts w:hint="eastAsia" w:ascii="宋体" w:hAnsi="宋体" w:eastAsia="宋体" w:cs="宋体"/>
                <w:color w:val="000000"/>
                <w:kern w:val="0"/>
                <w:sz w:val="24"/>
                <w:szCs w:val="24"/>
                <w:lang w:val="en-US" w:eastAsia="zh-CN" w:bidi="ar-SA"/>
              </w:rPr>
            </w:pPr>
          </w:p>
        </w:tc>
        <w:tc>
          <w:tcPr>
            <w:tcW w:w="2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77DC3">
            <w:pPr>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olor w:val="000000"/>
                <w:sz w:val="24"/>
                <w:szCs w:val="24"/>
              </w:rPr>
              <w:t>最多间隔2天1次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B88F8">
            <w:pPr>
              <w:jc w:val="center"/>
              <w:rPr>
                <w:rFonts w:hint="eastAsia" w:ascii="宋体" w:hAnsi="宋体" w:eastAsia="宋体" w:cs="宋体"/>
                <w:color w:val="000000"/>
                <w:kern w:val="0"/>
                <w:sz w:val="24"/>
                <w:szCs w:val="24"/>
                <w:lang w:val="en-US" w:eastAsia="zh-CN" w:bidi="ar-SA"/>
              </w:rPr>
            </w:pPr>
          </w:p>
        </w:tc>
      </w:tr>
      <w:tr w14:paraId="34DEF0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656" w:type="dxa"/>
            <w:vMerge w:val="continue"/>
            <w:tcBorders>
              <w:left w:val="single" w:color="000000" w:sz="4" w:space="0"/>
              <w:right w:val="single" w:color="000000" w:sz="4" w:space="0"/>
            </w:tcBorders>
            <w:noWrap/>
            <w:vAlign w:val="center"/>
          </w:tcPr>
          <w:p w14:paraId="1CC59915">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4075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198E5">
            <w:pPr>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olor w:val="000000"/>
                <w:sz w:val="24"/>
                <w:szCs w:val="24"/>
              </w:rPr>
              <w:t>四朝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79873">
            <w:pPr>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olor w:val="000000"/>
                <w:sz w:val="24"/>
                <w:szCs w:val="24"/>
              </w:rPr>
              <w:t>1</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A70E4">
            <w:pPr>
              <w:jc w:val="center"/>
              <w:rPr>
                <w:rFonts w:hint="eastAsia" w:ascii="宋体" w:hAnsi="宋体" w:eastAsia="宋体" w:cs="宋体"/>
                <w:color w:val="000000"/>
                <w:kern w:val="0"/>
                <w:sz w:val="24"/>
                <w:szCs w:val="24"/>
                <w:lang w:val="en-US" w:eastAsia="zh-CN" w:bidi="ar-SA"/>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4D193">
            <w:pPr>
              <w:jc w:val="center"/>
              <w:rPr>
                <w:rFonts w:hint="eastAsia" w:ascii="宋体" w:hAnsi="宋体" w:eastAsia="宋体" w:cs="宋体"/>
                <w:color w:val="000000"/>
                <w:kern w:val="0"/>
                <w:sz w:val="24"/>
                <w:szCs w:val="24"/>
                <w:lang w:val="en-US" w:eastAsia="zh-CN" w:bidi="ar-SA"/>
              </w:rPr>
            </w:pPr>
          </w:p>
        </w:tc>
        <w:tc>
          <w:tcPr>
            <w:tcW w:w="2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5C8BB">
            <w:pPr>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olor w:val="000000"/>
                <w:sz w:val="24"/>
                <w:szCs w:val="24"/>
              </w:rPr>
              <w:t>最多间隔2天1次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75741">
            <w:pPr>
              <w:jc w:val="center"/>
              <w:rPr>
                <w:rFonts w:hint="eastAsia" w:ascii="宋体" w:hAnsi="宋体" w:eastAsia="宋体" w:cs="宋体"/>
                <w:color w:val="000000"/>
                <w:kern w:val="0"/>
                <w:sz w:val="24"/>
                <w:szCs w:val="24"/>
                <w:lang w:val="en-US" w:eastAsia="zh-CN" w:bidi="ar-SA"/>
              </w:rPr>
            </w:pPr>
          </w:p>
        </w:tc>
      </w:tr>
      <w:tr w14:paraId="20371A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656" w:type="dxa"/>
            <w:vMerge w:val="continue"/>
            <w:tcBorders>
              <w:left w:val="single" w:color="000000" w:sz="4" w:space="0"/>
              <w:bottom w:val="single" w:color="000000" w:sz="4" w:space="0"/>
              <w:right w:val="single" w:color="000000" w:sz="4" w:space="0"/>
            </w:tcBorders>
            <w:noWrap/>
            <w:vAlign w:val="center"/>
          </w:tcPr>
          <w:p w14:paraId="30241A64">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B9F1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F8242">
            <w:pPr>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olor w:val="000000"/>
                <w:sz w:val="24"/>
                <w:szCs w:val="24"/>
              </w:rPr>
              <w:t>山垌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A414E">
            <w:pPr>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olor w:val="000000"/>
                <w:sz w:val="24"/>
                <w:szCs w:val="24"/>
              </w:rPr>
              <w:t>4</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6E2C8">
            <w:pPr>
              <w:jc w:val="center"/>
              <w:rPr>
                <w:rFonts w:hint="eastAsia" w:ascii="宋体" w:hAnsi="宋体" w:eastAsia="宋体" w:cs="宋体"/>
                <w:color w:val="000000"/>
                <w:kern w:val="0"/>
                <w:sz w:val="24"/>
                <w:szCs w:val="24"/>
                <w:lang w:val="en-US" w:eastAsia="zh-CN" w:bidi="ar-SA"/>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87721">
            <w:pPr>
              <w:jc w:val="center"/>
              <w:rPr>
                <w:rFonts w:hint="eastAsia" w:ascii="宋体" w:hAnsi="宋体" w:eastAsia="宋体" w:cs="宋体"/>
                <w:color w:val="000000"/>
                <w:kern w:val="0"/>
                <w:sz w:val="24"/>
                <w:szCs w:val="24"/>
                <w:lang w:val="en-US" w:eastAsia="zh-CN" w:bidi="ar-SA"/>
              </w:rPr>
            </w:pPr>
          </w:p>
        </w:tc>
        <w:tc>
          <w:tcPr>
            <w:tcW w:w="2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77F97">
            <w:pPr>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olor w:val="000000"/>
                <w:sz w:val="24"/>
                <w:szCs w:val="24"/>
              </w:rPr>
              <w:t>最多间隔2天1次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D0222">
            <w:pPr>
              <w:jc w:val="center"/>
              <w:rPr>
                <w:rFonts w:hint="eastAsia" w:ascii="宋体" w:hAnsi="宋体" w:eastAsia="宋体" w:cs="宋体"/>
                <w:color w:val="000000"/>
                <w:kern w:val="0"/>
                <w:sz w:val="24"/>
                <w:szCs w:val="24"/>
                <w:lang w:val="en-US" w:eastAsia="zh-CN" w:bidi="ar-SA"/>
              </w:rPr>
            </w:pPr>
          </w:p>
        </w:tc>
      </w:tr>
      <w:tr w14:paraId="19EE7B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14:paraId="67C2AE86">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莫道村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CA68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63</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EBE9F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新村</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7AD96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36" w:type="dxa"/>
            <w:tcBorders>
              <w:top w:val="single" w:color="000000" w:sz="4" w:space="0"/>
              <w:left w:val="single" w:color="000000" w:sz="4" w:space="0"/>
              <w:bottom w:val="single" w:color="000000" w:sz="4" w:space="0"/>
              <w:right w:val="single" w:color="000000" w:sz="4" w:space="0"/>
            </w:tcBorders>
            <w:noWrap/>
            <w:vAlign w:val="center"/>
          </w:tcPr>
          <w:p w14:paraId="0BFA47BF">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noWrap/>
            <w:vAlign w:val="center"/>
          </w:tcPr>
          <w:p w14:paraId="638D7278">
            <w:pPr>
              <w:jc w:val="center"/>
              <w:rPr>
                <w:rFonts w:hint="eastAsia" w:ascii="宋体" w:hAnsi="宋体" w:eastAsia="宋体" w:cs="宋体"/>
                <w:i w:val="0"/>
                <w:iCs w:val="0"/>
                <w:color w:val="000000"/>
                <w:sz w:val="24"/>
                <w:szCs w:val="24"/>
                <w:u w:val="none"/>
              </w:rPr>
            </w:pPr>
          </w:p>
        </w:tc>
        <w:tc>
          <w:tcPr>
            <w:tcW w:w="2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B7F0C">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最多间隔3天1次</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AA2CA94">
            <w:pPr>
              <w:jc w:val="center"/>
              <w:rPr>
                <w:rFonts w:hint="eastAsia" w:ascii="宋体" w:hAnsi="宋体" w:eastAsia="宋体" w:cs="宋体"/>
                <w:i w:val="0"/>
                <w:iCs w:val="0"/>
                <w:color w:val="000000"/>
                <w:sz w:val="24"/>
                <w:szCs w:val="24"/>
                <w:u w:val="none"/>
              </w:rPr>
            </w:pPr>
          </w:p>
        </w:tc>
      </w:tr>
      <w:tr w14:paraId="26F495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134EFC30">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9232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64</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BD9B7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莫道</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1D24F5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36" w:type="dxa"/>
            <w:tcBorders>
              <w:top w:val="single" w:color="000000" w:sz="4" w:space="0"/>
              <w:left w:val="single" w:color="000000" w:sz="4" w:space="0"/>
              <w:bottom w:val="single" w:color="000000" w:sz="4" w:space="0"/>
              <w:right w:val="single" w:color="000000" w:sz="4" w:space="0"/>
            </w:tcBorders>
            <w:noWrap/>
            <w:vAlign w:val="center"/>
          </w:tcPr>
          <w:p w14:paraId="7808A744">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noWrap/>
            <w:vAlign w:val="center"/>
          </w:tcPr>
          <w:p w14:paraId="497BB986">
            <w:pPr>
              <w:jc w:val="center"/>
              <w:rPr>
                <w:rFonts w:hint="eastAsia" w:ascii="宋体" w:hAnsi="宋体" w:eastAsia="宋体" w:cs="宋体"/>
                <w:i w:val="0"/>
                <w:iCs w:val="0"/>
                <w:color w:val="000000"/>
                <w:sz w:val="24"/>
                <w:szCs w:val="24"/>
                <w:u w:val="none"/>
              </w:rPr>
            </w:pPr>
          </w:p>
        </w:tc>
        <w:tc>
          <w:tcPr>
            <w:tcW w:w="2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96C47">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最多间隔3天1次</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71E74A4">
            <w:pPr>
              <w:jc w:val="center"/>
              <w:rPr>
                <w:rFonts w:hint="eastAsia" w:ascii="宋体" w:hAnsi="宋体" w:eastAsia="宋体" w:cs="宋体"/>
                <w:i w:val="0"/>
                <w:iCs w:val="0"/>
                <w:color w:val="000000"/>
                <w:sz w:val="24"/>
                <w:szCs w:val="24"/>
                <w:u w:val="none"/>
              </w:rPr>
            </w:pPr>
          </w:p>
        </w:tc>
      </w:tr>
      <w:tr w14:paraId="055C17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05272FC8">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CAC6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65</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0EA84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乾卜</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6E42E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36" w:type="dxa"/>
            <w:tcBorders>
              <w:top w:val="single" w:color="000000" w:sz="4" w:space="0"/>
              <w:left w:val="single" w:color="000000" w:sz="4" w:space="0"/>
              <w:bottom w:val="single" w:color="000000" w:sz="4" w:space="0"/>
              <w:right w:val="single" w:color="000000" w:sz="4" w:space="0"/>
            </w:tcBorders>
            <w:noWrap/>
            <w:vAlign w:val="center"/>
          </w:tcPr>
          <w:p w14:paraId="020EE08E">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noWrap/>
            <w:vAlign w:val="center"/>
          </w:tcPr>
          <w:p w14:paraId="5719B2E1">
            <w:pPr>
              <w:jc w:val="center"/>
              <w:rPr>
                <w:rFonts w:hint="eastAsia" w:ascii="宋体" w:hAnsi="宋体" w:eastAsia="宋体" w:cs="宋体"/>
                <w:i w:val="0"/>
                <w:iCs w:val="0"/>
                <w:color w:val="000000"/>
                <w:sz w:val="24"/>
                <w:szCs w:val="24"/>
                <w:u w:val="none"/>
              </w:rPr>
            </w:pPr>
          </w:p>
        </w:tc>
        <w:tc>
          <w:tcPr>
            <w:tcW w:w="2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D9D29">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最多间隔3天1次</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F8808BE">
            <w:pPr>
              <w:jc w:val="center"/>
              <w:rPr>
                <w:rFonts w:hint="eastAsia" w:ascii="宋体" w:hAnsi="宋体" w:eastAsia="宋体" w:cs="宋体"/>
                <w:i w:val="0"/>
                <w:iCs w:val="0"/>
                <w:color w:val="000000"/>
                <w:sz w:val="24"/>
                <w:szCs w:val="24"/>
                <w:u w:val="none"/>
              </w:rPr>
            </w:pPr>
          </w:p>
        </w:tc>
      </w:tr>
      <w:tr w14:paraId="28D9B1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0A80BBB6">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005B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66</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63E213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莫止</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81F17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36" w:type="dxa"/>
            <w:tcBorders>
              <w:top w:val="single" w:color="000000" w:sz="4" w:space="0"/>
              <w:left w:val="single" w:color="000000" w:sz="4" w:space="0"/>
              <w:bottom w:val="single" w:color="000000" w:sz="4" w:space="0"/>
              <w:right w:val="single" w:color="000000" w:sz="4" w:space="0"/>
            </w:tcBorders>
            <w:noWrap/>
            <w:vAlign w:val="center"/>
          </w:tcPr>
          <w:p w14:paraId="67A0EEA3">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noWrap/>
            <w:vAlign w:val="center"/>
          </w:tcPr>
          <w:p w14:paraId="255B25F5">
            <w:pPr>
              <w:jc w:val="center"/>
              <w:rPr>
                <w:rFonts w:hint="eastAsia" w:ascii="宋体" w:hAnsi="宋体" w:eastAsia="宋体" w:cs="宋体"/>
                <w:i w:val="0"/>
                <w:iCs w:val="0"/>
                <w:color w:val="000000"/>
                <w:sz w:val="24"/>
                <w:szCs w:val="24"/>
                <w:u w:val="none"/>
              </w:rPr>
            </w:pPr>
          </w:p>
        </w:tc>
        <w:tc>
          <w:tcPr>
            <w:tcW w:w="2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D3EC9">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最多间隔3天1次</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58FDFE8">
            <w:pPr>
              <w:jc w:val="center"/>
              <w:rPr>
                <w:rFonts w:hint="eastAsia" w:ascii="宋体" w:hAnsi="宋体" w:eastAsia="宋体" w:cs="宋体"/>
                <w:i w:val="0"/>
                <w:iCs w:val="0"/>
                <w:color w:val="000000"/>
                <w:sz w:val="24"/>
                <w:szCs w:val="24"/>
                <w:u w:val="none"/>
              </w:rPr>
            </w:pPr>
          </w:p>
        </w:tc>
      </w:tr>
      <w:tr w14:paraId="117A17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14:paraId="6485EDF5">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新龙村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1840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67</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5514A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新村</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FBC37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36" w:type="dxa"/>
            <w:tcBorders>
              <w:top w:val="single" w:color="000000" w:sz="4" w:space="0"/>
              <w:left w:val="single" w:color="000000" w:sz="4" w:space="0"/>
              <w:bottom w:val="single" w:color="000000" w:sz="4" w:space="0"/>
              <w:right w:val="single" w:color="000000" w:sz="4" w:space="0"/>
            </w:tcBorders>
            <w:noWrap/>
            <w:vAlign w:val="center"/>
          </w:tcPr>
          <w:p w14:paraId="1C44F973">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noWrap/>
            <w:vAlign w:val="center"/>
          </w:tcPr>
          <w:p w14:paraId="11D29EFC">
            <w:pPr>
              <w:jc w:val="center"/>
              <w:rPr>
                <w:rFonts w:hint="eastAsia" w:ascii="宋体" w:hAnsi="宋体" w:eastAsia="宋体" w:cs="宋体"/>
                <w:i w:val="0"/>
                <w:iCs w:val="0"/>
                <w:color w:val="000000"/>
                <w:sz w:val="24"/>
                <w:szCs w:val="24"/>
                <w:u w:val="none"/>
              </w:rPr>
            </w:pPr>
          </w:p>
        </w:tc>
        <w:tc>
          <w:tcPr>
            <w:tcW w:w="2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D0975">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最多间隔3天1次</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649AFD8">
            <w:pPr>
              <w:jc w:val="center"/>
              <w:rPr>
                <w:rFonts w:hint="eastAsia" w:ascii="宋体" w:hAnsi="宋体" w:eastAsia="宋体" w:cs="宋体"/>
                <w:i w:val="0"/>
                <w:iCs w:val="0"/>
                <w:color w:val="000000"/>
                <w:sz w:val="24"/>
                <w:szCs w:val="24"/>
                <w:u w:val="none"/>
              </w:rPr>
            </w:pPr>
          </w:p>
        </w:tc>
      </w:tr>
      <w:tr w14:paraId="69C7F8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0BD5999A">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E080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68</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D78F3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上架</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90E43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36" w:type="dxa"/>
            <w:tcBorders>
              <w:top w:val="single" w:color="000000" w:sz="4" w:space="0"/>
              <w:left w:val="single" w:color="000000" w:sz="4" w:space="0"/>
              <w:bottom w:val="single" w:color="000000" w:sz="4" w:space="0"/>
              <w:right w:val="single" w:color="000000" w:sz="4" w:space="0"/>
            </w:tcBorders>
            <w:noWrap/>
            <w:vAlign w:val="center"/>
          </w:tcPr>
          <w:p w14:paraId="718A162F">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noWrap/>
            <w:vAlign w:val="center"/>
          </w:tcPr>
          <w:p w14:paraId="106AC163">
            <w:pPr>
              <w:jc w:val="center"/>
              <w:rPr>
                <w:rFonts w:hint="eastAsia" w:ascii="宋体" w:hAnsi="宋体" w:eastAsia="宋体" w:cs="宋体"/>
                <w:i w:val="0"/>
                <w:iCs w:val="0"/>
                <w:color w:val="000000"/>
                <w:sz w:val="24"/>
                <w:szCs w:val="24"/>
                <w:u w:val="none"/>
              </w:rPr>
            </w:pPr>
          </w:p>
        </w:tc>
        <w:tc>
          <w:tcPr>
            <w:tcW w:w="2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B6F97">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最多间隔3天1次</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B7A94F7">
            <w:pPr>
              <w:jc w:val="center"/>
              <w:rPr>
                <w:rFonts w:hint="eastAsia" w:ascii="宋体" w:hAnsi="宋体" w:eastAsia="宋体" w:cs="宋体"/>
                <w:i w:val="0"/>
                <w:iCs w:val="0"/>
                <w:color w:val="000000"/>
                <w:sz w:val="24"/>
                <w:szCs w:val="24"/>
                <w:u w:val="none"/>
              </w:rPr>
            </w:pPr>
          </w:p>
        </w:tc>
      </w:tr>
      <w:tr w14:paraId="2431BE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54A6BF0F">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BE5A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69</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F3750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大里</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B4005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36" w:type="dxa"/>
            <w:tcBorders>
              <w:top w:val="single" w:color="000000" w:sz="4" w:space="0"/>
              <w:left w:val="single" w:color="000000" w:sz="4" w:space="0"/>
              <w:bottom w:val="single" w:color="000000" w:sz="4" w:space="0"/>
              <w:right w:val="single" w:color="000000" w:sz="4" w:space="0"/>
            </w:tcBorders>
            <w:noWrap/>
            <w:vAlign w:val="center"/>
          </w:tcPr>
          <w:p w14:paraId="7832CE9F">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noWrap/>
            <w:vAlign w:val="center"/>
          </w:tcPr>
          <w:p w14:paraId="65326553">
            <w:pPr>
              <w:jc w:val="center"/>
              <w:rPr>
                <w:rFonts w:hint="eastAsia" w:ascii="宋体" w:hAnsi="宋体" w:eastAsia="宋体" w:cs="宋体"/>
                <w:i w:val="0"/>
                <w:iCs w:val="0"/>
                <w:color w:val="000000"/>
                <w:sz w:val="24"/>
                <w:szCs w:val="24"/>
                <w:u w:val="none"/>
              </w:rPr>
            </w:pPr>
          </w:p>
        </w:tc>
        <w:tc>
          <w:tcPr>
            <w:tcW w:w="2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355C1">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最多间隔3天1次</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8F8A808">
            <w:pPr>
              <w:jc w:val="center"/>
              <w:rPr>
                <w:rFonts w:hint="eastAsia" w:ascii="宋体" w:hAnsi="宋体" w:eastAsia="宋体" w:cs="宋体"/>
                <w:i w:val="0"/>
                <w:iCs w:val="0"/>
                <w:color w:val="000000"/>
                <w:sz w:val="24"/>
                <w:szCs w:val="24"/>
                <w:u w:val="none"/>
              </w:rPr>
            </w:pPr>
          </w:p>
        </w:tc>
      </w:tr>
      <w:tr w14:paraId="742163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1CD7B0FE">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B303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70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2D30C8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上龙</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4DF1F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936" w:type="dxa"/>
            <w:tcBorders>
              <w:top w:val="single" w:color="000000" w:sz="4" w:space="0"/>
              <w:left w:val="single" w:color="000000" w:sz="4" w:space="0"/>
              <w:bottom w:val="single" w:color="000000" w:sz="4" w:space="0"/>
              <w:right w:val="single" w:color="000000" w:sz="4" w:space="0"/>
            </w:tcBorders>
            <w:noWrap/>
            <w:vAlign w:val="center"/>
          </w:tcPr>
          <w:p w14:paraId="5ED38597">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noWrap/>
            <w:vAlign w:val="center"/>
          </w:tcPr>
          <w:p w14:paraId="00C69BEE">
            <w:pPr>
              <w:jc w:val="center"/>
              <w:rPr>
                <w:rFonts w:hint="eastAsia" w:ascii="宋体" w:hAnsi="宋体" w:eastAsia="宋体" w:cs="宋体"/>
                <w:i w:val="0"/>
                <w:iCs w:val="0"/>
                <w:color w:val="000000"/>
                <w:sz w:val="24"/>
                <w:szCs w:val="24"/>
                <w:u w:val="none"/>
              </w:rPr>
            </w:pPr>
          </w:p>
        </w:tc>
        <w:tc>
          <w:tcPr>
            <w:tcW w:w="2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BD677">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最多间隔3天1次</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BE755E2">
            <w:pPr>
              <w:jc w:val="center"/>
              <w:rPr>
                <w:rFonts w:hint="eastAsia" w:ascii="宋体" w:hAnsi="宋体" w:eastAsia="宋体" w:cs="宋体"/>
                <w:i w:val="0"/>
                <w:iCs w:val="0"/>
                <w:color w:val="000000"/>
                <w:sz w:val="24"/>
                <w:szCs w:val="24"/>
                <w:u w:val="none"/>
              </w:rPr>
            </w:pPr>
          </w:p>
        </w:tc>
      </w:tr>
      <w:tr w14:paraId="5A3B30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64983476">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6D88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71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55AAD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中龙</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6FD22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36" w:type="dxa"/>
            <w:tcBorders>
              <w:top w:val="single" w:color="000000" w:sz="4" w:space="0"/>
              <w:left w:val="single" w:color="000000" w:sz="4" w:space="0"/>
              <w:bottom w:val="single" w:color="000000" w:sz="4" w:space="0"/>
              <w:right w:val="single" w:color="000000" w:sz="4" w:space="0"/>
            </w:tcBorders>
            <w:noWrap/>
            <w:vAlign w:val="center"/>
          </w:tcPr>
          <w:p w14:paraId="2E78D7A5">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noWrap/>
            <w:vAlign w:val="center"/>
          </w:tcPr>
          <w:p w14:paraId="6B3F7822">
            <w:pPr>
              <w:jc w:val="center"/>
              <w:rPr>
                <w:rFonts w:hint="eastAsia" w:ascii="宋体" w:hAnsi="宋体" w:eastAsia="宋体" w:cs="宋体"/>
                <w:i w:val="0"/>
                <w:iCs w:val="0"/>
                <w:color w:val="000000"/>
                <w:sz w:val="24"/>
                <w:szCs w:val="24"/>
                <w:u w:val="none"/>
              </w:rPr>
            </w:pPr>
          </w:p>
        </w:tc>
        <w:tc>
          <w:tcPr>
            <w:tcW w:w="2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9727F">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最多间隔3天1次</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37FA851">
            <w:pPr>
              <w:jc w:val="center"/>
              <w:rPr>
                <w:rFonts w:hint="eastAsia" w:ascii="宋体" w:hAnsi="宋体" w:eastAsia="宋体" w:cs="宋体"/>
                <w:i w:val="0"/>
                <w:iCs w:val="0"/>
                <w:color w:val="000000"/>
                <w:sz w:val="24"/>
                <w:szCs w:val="24"/>
                <w:u w:val="none"/>
              </w:rPr>
            </w:pPr>
          </w:p>
        </w:tc>
      </w:tr>
      <w:tr w14:paraId="2FD979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14:paraId="15A99A4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p w14:paraId="7E5BAB0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p w14:paraId="466A231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p w14:paraId="5C796DD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p w14:paraId="1267797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p w14:paraId="4632FF3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p w14:paraId="0A88522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高田村</w:t>
            </w:r>
          </w:p>
          <w:p w14:paraId="05565B5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p w14:paraId="11761E7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p w14:paraId="6F5B602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p w14:paraId="07038F5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p w14:paraId="43CB29A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p w14:paraId="6DE603CD">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02A3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72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3EFF6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拉塞</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CEB6B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36" w:type="dxa"/>
            <w:tcBorders>
              <w:top w:val="single" w:color="000000" w:sz="4" w:space="0"/>
              <w:left w:val="single" w:color="000000" w:sz="4" w:space="0"/>
              <w:bottom w:val="single" w:color="000000" w:sz="4" w:space="0"/>
              <w:right w:val="single" w:color="000000" w:sz="4" w:space="0"/>
            </w:tcBorders>
            <w:noWrap/>
            <w:vAlign w:val="center"/>
          </w:tcPr>
          <w:p w14:paraId="34BE1D9D">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noWrap/>
            <w:vAlign w:val="center"/>
          </w:tcPr>
          <w:p w14:paraId="71A67023">
            <w:pPr>
              <w:jc w:val="center"/>
              <w:rPr>
                <w:rFonts w:hint="eastAsia" w:ascii="宋体" w:hAnsi="宋体" w:eastAsia="宋体" w:cs="宋体"/>
                <w:i w:val="0"/>
                <w:iCs w:val="0"/>
                <w:color w:val="000000"/>
                <w:sz w:val="24"/>
                <w:szCs w:val="24"/>
                <w:u w:val="none"/>
              </w:rPr>
            </w:pPr>
          </w:p>
        </w:tc>
        <w:tc>
          <w:tcPr>
            <w:tcW w:w="2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B7DD1">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最多间隔3天1次</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32F4D27">
            <w:pPr>
              <w:jc w:val="center"/>
              <w:rPr>
                <w:rFonts w:hint="eastAsia" w:ascii="宋体" w:hAnsi="宋体" w:eastAsia="宋体" w:cs="宋体"/>
                <w:i w:val="0"/>
                <w:iCs w:val="0"/>
                <w:color w:val="000000"/>
                <w:sz w:val="24"/>
                <w:szCs w:val="24"/>
                <w:u w:val="none"/>
              </w:rPr>
            </w:pPr>
          </w:p>
        </w:tc>
      </w:tr>
      <w:tr w14:paraId="003148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08C8C9C7">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183C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73</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DC4C1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水丈</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7B3FF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36" w:type="dxa"/>
            <w:tcBorders>
              <w:top w:val="single" w:color="000000" w:sz="4" w:space="0"/>
              <w:left w:val="single" w:color="000000" w:sz="4" w:space="0"/>
              <w:bottom w:val="single" w:color="000000" w:sz="4" w:space="0"/>
              <w:right w:val="single" w:color="000000" w:sz="4" w:space="0"/>
            </w:tcBorders>
            <w:noWrap/>
            <w:vAlign w:val="center"/>
          </w:tcPr>
          <w:p w14:paraId="093BFE6A">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noWrap/>
            <w:vAlign w:val="center"/>
          </w:tcPr>
          <w:p w14:paraId="3C8F2F89">
            <w:pPr>
              <w:jc w:val="center"/>
              <w:rPr>
                <w:rFonts w:hint="eastAsia" w:ascii="宋体" w:hAnsi="宋体" w:eastAsia="宋体" w:cs="宋体"/>
                <w:i w:val="0"/>
                <w:iCs w:val="0"/>
                <w:color w:val="000000"/>
                <w:sz w:val="24"/>
                <w:szCs w:val="24"/>
                <w:u w:val="none"/>
              </w:rPr>
            </w:pPr>
          </w:p>
        </w:tc>
        <w:tc>
          <w:tcPr>
            <w:tcW w:w="2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96C27">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最多间隔3天1次</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B031B53">
            <w:pPr>
              <w:jc w:val="center"/>
              <w:rPr>
                <w:rFonts w:hint="eastAsia" w:ascii="宋体" w:hAnsi="宋体" w:eastAsia="宋体" w:cs="宋体"/>
                <w:i w:val="0"/>
                <w:iCs w:val="0"/>
                <w:color w:val="000000"/>
                <w:sz w:val="24"/>
                <w:szCs w:val="24"/>
                <w:u w:val="none"/>
              </w:rPr>
            </w:pPr>
          </w:p>
        </w:tc>
      </w:tr>
      <w:tr w14:paraId="62AF47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762313C9">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9A94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74</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9FB93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大染</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A6942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36" w:type="dxa"/>
            <w:tcBorders>
              <w:top w:val="single" w:color="000000" w:sz="4" w:space="0"/>
              <w:left w:val="single" w:color="000000" w:sz="4" w:space="0"/>
              <w:bottom w:val="single" w:color="000000" w:sz="4" w:space="0"/>
              <w:right w:val="single" w:color="000000" w:sz="4" w:space="0"/>
            </w:tcBorders>
            <w:noWrap/>
            <w:vAlign w:val="center"/>
          </w:tcPr>
          <w:p w14:paraId="61137711">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noWrap/>
            <w:vAlign w:val="center"/>
          </w:tcPr>
          <w:p w14:paraId="23B10AD2">
            <w:pPr>
              <w:jc w:val="center"/>
              <w:rPr>
                <w:rFonts w:hint="eastAsia" w:ascii="宋体" w:hAnsi="宋体" w:eastAsia="宋体" w:cs="宋体"/>
                <w:i w:val="0"/>
                <w:iCs w:val="0"/>
                <w:color w:val="000000"/>
                <w:sz w:val="24"/>
                <w:szCs w:val="24"/>
                <w:u w:val="none"/>
              </w:rPr>
            </w:pPr>
          </w:p>
        </w:tc>
        <w:tc>
          <w:tcPr>
            <w:tcW w:w="2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4367E">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最多间隔3天1次</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F22A05C">
            <w:pPr>
              <w:jc w:val="center"/>
              <w:rPr>
                <w:rFonts w:hint="eastAsia" w:ascii="宋体" w:hAnsi="宋体" w:eastAsia="宋体" w:cs="宋体"/>
                <w:i w:val="0"/>
                <w:iCs w:val="0"/>
                <w:color w:val="000000"/>
                <w:sz w:val="24"/>
                <w:szCs w:val="24"/>
                <w:u w:val="none"/>
              </w:rPr>
            </w:pPr>
          </w:p>
        </w:tc>
      </w:tr>
      <w:tr w14:paraId="1CF8EE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303C9CE6">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1159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75</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1AB29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高田</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4B380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36" w:type="dxa"/>
            <w:tcBorders>
              <w:top w:val="single" w:color="000000" w:sz="4" w:space="0"/>
              <w:left w:val="single" w:color="000000" w:sz="4" w:space="0"/>
              <w:bottom w:val="single" w:color="000000" w:sz="4" w:space="0"/>
              <w:right w:val="single" w:color="000000" w:sz="4" w:space="0"/>
            </w:tcBorders>
            <w:noWrap/>
            <w:vAlign w:val="center"/>
          </w:tcPr>
          <w:p w14:paraId="33947288">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noWrap/>
            <w:vAlign w:val="center"/>
          </w:tcPr>
          <w:p w14:paraId="4A1762C3">
            <w:pPr>
              <w:jc w:val="center"/>
              <w:rPr>
                <w:rFonts w:hint="eastAsia" w:ascii="宋体" w:hAnsi="宋体" w:eastAsia="宋体" w:cs="宋体"/>
                <w:i w:val="0"/>
                <w:iCs w:val="0"/>
                <w:color w:val="000000"/>
                <w:sz w:val="24"/>
                <w:szCs w:val="24"/>
                <w:u w:val="none"/>
              </w:rPr>
            </w:pPr>
          </w:p>
        </w:tc>
        <w:tc>
          <w:tcPr>
            <w:tcW w:w="2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ECD3E">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最多间隔3天1次</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660B3B6">
            <w:pPr>
              <w:jc w:val="center"/>
              <w:rPr>
                <w:rFonts w:hint="eastAsia" w:ascii="宋体" w:hAnsi="宋体" w:eastAsia="宋体" w:cs="宋体"/>
                <w:i w:val="0"/>
                <w:iCs w:val="0"/>
                <w:color w:val="000000"/>
                <w:sz w:val="24"/>
                <w:szCs w:val="24"/>
                <w:u w:val="none"/>
              </w:rPr>
            </w:pPr>
          </w:p>
        </w:tc>
      </w:tr>
      <w:tr w14:paraId="4D2C20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00A22C52">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CB0E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76</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A9A2B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福耳</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4AA77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36" w:type="dxa"/>
            <w:tcBorders>
              <w:top w:val="single" w:color="000000" w:sz="4" w:space="0"/>
              <w:left w:val="single" w:color="000000" w:sz="4" w:space="0"/>
              <w:bottom w:val="single" w:color="000000" w:sz="4" w:space="0"/>
              <w:right w:val="single" w:color="000000" w:sz="4" w:space="0"/>
            </w:tcBorders>
            <w:noWrap/>
            <w:vAlign w:val="center"/>
          </w:tcPr>
          <w:p w14:paraId="464A7FA4">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noWrap/>
            <w:vAlign w:val="center"/>
          </w:tcPr>
          <w:p w14:paraId="75CFD508">
            <w:pPr>
              <w:jc w:val="center"/>
              <w:rPr>
                <w:rFonts w:hint="eastAsia" w:ascii="宋体" w:hAnsi="宋体" w:eastAsia="宋体" w:cs="宋体"/>
                <w:i w:val="0"/>
                <w:iCs w:val="0"/>
                <w:color w:val="000000"/>
                <w:sz w:val="24"/>
                <w:szCs w:val="24"/>
                <w:u w:val="none"/>
              </w:rPr>
            </w:pPr>
          </w:p>
        </w:tc>
        <w:tc>
          <w:tcPr>
            <w:tcW w:w="2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5B1BA">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最多间隔3天1次</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E530CE5">
            <w:pPr>
              <w:jc w:val="center"/>
              <w:rPr>
                <w:rFonts w:hint="eastAsia" w:ascii="宋体" w:hAnsi="宋体" w:eastAsia="宋体" w:cs="宋体"/>
                <w:i w:val="0"/>
                <w:iCs w:val="0"/>
                <w:color w:val="000000"/>
                <w:sz w:val="24"/>
                <w:szCs w:val="24"/>
                <w:u w:val="none"/>
              </w:rPr>
            </w:pPr>
          </w:p>
        </w:tc>
      </w:tr>
      <w:tr w14:paraId="371B50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0B911A24">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967C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77</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5EA80C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张村</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ADE12C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36" w:type="dxa"/>
            <w:tcBorders>
              <w:top w:val="single" w:color="000000" w:sz="4" w:space="0"/>
              <w:left w:val="single" w:color="000000" w:sz="4" w:space="0"/>
              <w:bottom w:val="single" w:color="000000" w:sz="4" w:space="0"/>
              <w:right w:val="single" w:color="000000" w:sz="4" w:space="0"/>
            </w:tcBorders>
            <w:noWrap/>
            <w:vAlign w:val="center"/>
          </w:tcPr>
          <w:p w14:paraId="116FBE02">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noWrap/>
            <w:vAlign w:val="center"/>
          </w:tcPr>
          <w:p w14:paraId="28EE844B">
            <w:pPr>
              <w:jc w:val="center"/>
              <w:rPr>
                <w:rFonts w:hint="eastAsia" w:ascii="宋体" w:hAnsi="宋体" w:eastAsia="宋体" w:cs="宋体"/>
                <w:i w:val="0"/>
                <w:iCs w:val="0"/>
                <w:color w:val="000000"/>
                <w:sz w:val="24"/>
                <w:szCs w:val="24"/>
                <w:u w:val="none"/>
              </w:rPr>
            </w:pPr>
          </w:p>
        </w:tc>
        <w:tc>
          <w:tcPr>
            <w:tcW w:w="2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8F00F">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最多间隔3天1次</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DA2F92D">
            <w:pPr>
              <w:jc w:val="center"/>
              <w:rPr>
                <w:rFonts w:hint="eastAsia" w:ascii="宋体" w:hAnsi="宋体" w:eastAsia="宋体" w:cs="宋体"/>
                <w:i w:val="0"/>
                <w:iCs w:val="0"/>
                <w:color w:val="000000"/>
                <w:sz w:val="24"/>
                <w:szCs w:val="24"/>
                <w:u w:val="none"/>
              </w:rPr>
            </w:pPr>
          </w:p>
        </w:tc>
      </w:tr>
      <w:tr w14:paraId="165C61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156F8B24">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5222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78</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11D41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龚家</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2D746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36" w:type="dxa"/>
            <w:tcBorders>
              <w:top w:val="single" w:color="000000" w:sz="4" w:space="0"/>
              <w:left w:val="single" w:color="000000" w:sz="4" w:space="0"/>
              <w:bottom w:val="single" w:color="000000" w:sz="4" w:space="0"/>
              <w:right w:val="single" w:color="000000" w:sz="4" w:space="0"/>
            </w:tcBorders>
            <w:noWrap/>
            <w:vAlign w:val="center"/>
          </w:tcPr>
          <w:p w14:paraId="67372212">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noWrap/>
            <w:vAlign w:val="center"/>
          </w:tcPr>
          <w:p w14:paraId="17A78C9B">
            <w:pPr>
              <w:jc w:val="center"/>
              <w:rPr>
                <w:rFonts w:hint="eastAsia" w:ascii="宋体" w:hAnsi="宋体" w:eastAsia="宋体" w:cs="宋体"/>
                <w:i w:val="0"/>
                <w:iCs w:val="0"/>
                <w:color w:val="000000"/>
                <w:sz w:val="24"/>
                <w:szCs w:val="24"/>
                <w:u w:val="none"/>
              </w:rPr>
            </w:pPr>
          </w:p>
        </w:tc>
        <w:tc>
          <w:tcPr>
            <w:tcW w:w="2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9A355">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最多间隔3天1次</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C3F0899">
            <w:pPr>
              <w:jc w:val="center"/>
              <w:rPr>
                <w:rFonts w:hint="eastAsia" w:ascii="宋体" w:hAnsi="宋体" w:eastAsia="宋体" w:cs="宋体"/>
                <w:i w:val="0"/>
                <w:iCs w:val="0"/>
                <w:color w:val="000000"/>
                <w:sz w:val="24"/>
                <w:szCs w:val="24"/>
                <w:u w:val="none"/>
              </w:rPr>
            </w:pPr>
          </w:p>
        </w:tc>
      </w:tr>
      <w:tr w14:paraId="4553AE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0FB0816F">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B735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79</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50D8F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六仁</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CE730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36" w:type="dxa"/>
            <w:tcBorders>
              <w:top w:val="single" w:color="000000" w:sz="4" w:space="0"/>
              <w:left w:val="single" w:color="000000" w:sz="4" w:space="0"/>
              <w:bottom w:val="single" w:color="000000" w:sz="4" w:space="0"/>
              <w:right w:val="single" w:color="000000" w:sz="4" w:space="0"/>
            </w:tcBorders>
            <w:noWrap/>
            <w:vAlign w:val="center"/>
          </w:tcPr>
          <w:p w14:paraId="7A681CFF">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noWrap/>
            <w:vAlign w:val="center"/>
          </w:tcPr>
          <w:p w14:paraId="59434A66">
            <w:pPr>
              <w:jc w:val="center"/>
              <w:rPr>
                <w:rFonts w:hint="eastAsia" w:ascii="宋体" w:hAnsi="宋体" w:eastAsia="宋体" w:cs="宋体"/>
                <w:i w:val="0"/>
                <w:iCs w:val="0"/>
                <w:color w:val="000000"/>
                <w:sz w:val="24"/>
                <w:szCs w:val="24"/>
                <w:u w:val="none"/>
              </w:rPr>
            </w:pPr>
          </w:p>
        </w:tc>
        <w:tc>
          <w:tcPr>
            <w:tcW w:w="2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6964E">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最多间隔3天1次</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9CED94D">
            <w:pPr>
              <w:jc w:val="center"/>
              <w:rPr>
                <w:rFonts w:hint="eastAsia" w:ascii="宋体" w:hAnsi="宋体" w:eastAsia="宋体" w:cs="宋体"/>
                <w:i w:val="0"/>
                <w:iCs w:val="0"/>
                <w:color w:val="000000"/>
                <w:sz w:val="24"/>
                <w:szCs w:val="24"/>
                <w:u w:val="none"/>
              </w:rPr>
            </w:pPr>
          </w:p>
        </w:tc>
      </w:tr>
      <w:tr w14:paraId="34A500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67F0A9F7">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6401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80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CC1A1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山脚</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5164D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36" w:type="dxa"/>
            <w:tcBorders>
              <w:top w:val="single" w:color="000000" w:sz="4" w:space="0"/>
              <w:left w:val="single" w:color="000000" w:sz="4" w:space="0"/>
              <w:bottom w:val="single" w:color="000000" w:sz="4" w:space="0"/>
              <w:right w:val="single" w:color="000000" w:sz="4" w:space="0"/>
            </w:tcBorders>
            <w:noWrap/>
            <w:vAlign w:val="center"/>
          </w:tcPr>
          <w:p w14:paraId="5FD0CB7D">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noWrap/>
            <w:vAlign w:val="center"/>
          </w:tcPr>
          <w:p w14:paraId="528D93E6">
            <w:pPr>
              <w:jc w:val="center"/>
              <w:rPr>
                <w:rFonts w:hint="eastAsia" w:ascii="宋体" w:hAnsi="宋体" w:eastAsia="宋体" w:cs="宋体"/>
                <w:i w:val="0"/>
                <w:iCs w:val="0"/>
                <w:color w:val="000000"/>
                <w:sz w:val="24"/>
                <w:szCs w:val="24"/>
                <w:u w:val="none"/>
              </w:rPr>
            </w:pPr>
          </w:p>
        </w:tc>
        <w:tc>
          <w:tcPr>
            <w:tcW w:w="2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4B6DA">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最多间隔5天1次</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E6D4C8C">
            <w:pPr>
              <w:jc w:val="center"/>
              <w:rPr>
                <w:rFonts w:hint="eastAsia" w:ascii="宋体" w:hAnsi="宋体" w:eastAsia="宋体" w:cs="宋体"/>
                <w:i w:val="0"/>
                <w:iCs w:val="0"/>
                <w:color w:val="000000"/>
                <w:sz w:val="24"/>
                <w:szCs w:val="24"/>
                <w:u w:val="none"/>
              </w:rPr>
            </w:pPr>
          </w:p>
        </w:tc>
      </w:tr>
      <w:tr w14:paraId="470A58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7C321E2F">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5490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81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1B31A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古六</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94CF5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36" w:type="dxa"/>
            <w:tcBorders>
              <w:top w:val="single" w:color="000000" w:sz="4" w:space="0"/>
              <w:left w:val="single" w:color="000000" w:sz="4" w:space="0"/>
              <w:bottom w:val="single" w:color="000000" w:sz="4" w:space="0"/>
              <w:right w:val="single" w:color="000000" w:sz="4" w:space="0"/>
            </w:tcBorders>
            <w:noWrap/>
            <w:vAlign w:val="center"/>
          </w:tcPr>
          <w:p w14:paraId="3BFFF2E2">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noWrap/>
            <w:vAlign w:val="center"/>
          </w:tcPr>
          <w:p w14:paraId="151D624A">
            <w:pPr>
              <w:jc w:val="center"/>
              <w:rPr>
                <w:rFonts w:hint="eastAsia" w:ascii="宋体" w:hAnsi="宋体" w:eastAsia="宋体" w:cs="宋体"/>
                <w:i w:val="0"/>
                <w:iCs w:val="0"/>
                <w:color w:val="000000"/>
                <w:sz w:val="24"/>
                <w:szCs w:val="24"/>
                <w:u w:val="none"/>
              </w:rPr>
            </w:pPr>
          </w:p>
        </w:tc>
        <w:tc>
          <w:tcPr>
            <w:tcW w:w="2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E6F3D">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最多间隔3天1次</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A2563D7">
            <w:pPr>
              <w:jc w:val="center"/>
              <w:rPr>
                <w:rFonts w:hint="eastAsia" w:ascii="宋体" w:hAnsi="宋体" w:eastAsia="宋体" w:cs="宋体"/>
                <w:i w:val="0"/>
                <w:iCs w:val="0"/>
                <w:color w:val="000000"/>
                <w:sz w:val="24"/>
                <w:szCs w:val="24"/>
                <w:u w:val="none"/>
              </w:rPr>
            </w:pPr>
          </w:p>
        </w:tc>
      </w:tr>
      <w:tr w14:paraId="249107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1349E7EE">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D9AB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82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1D8959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曾家</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25029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36" w:type="dxa"/>
            <w:tcBorders>
              <w:top w:val="single" w:color="000000" w:sz="4" w:space="0"/>
              <w:left w:val="single" w:color="000000" w:sz="4" w:space="0"/>
              <w:bottom w:val="single" w:color="000000" w:sz="4" w:space="0"/>
              <w:right w:val="single" w:color="000000" w:sz="4" w:space="0"/>
            </w:tcBorders>
            <w:noWrap/>
            <w:vAlign w:val="center"/>
          </w:tcPr>
          <w:p w14:paraId="3BFCE9F1">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noWrap/>
            <w:vAlign w:val="center"/>
          </w:tcPr>
          <w:p w14:paraId="5CA41D2D">
            <w:pPr>
              <w:jc w:val="center"/>
              <w:rPr>
                <w:rFonts w:hint="eastAsia" w:ascii="宋体" w:hAnsi="宋体" w:eastAsia="宋体" w:cs="宋体"/>
                <w:i w:val="0"/>
                <w:iCs w:val="0"/>
                <w:color w:val="000000"/>
                <w:sz w:val="24"/>
                <w:szCs w:val="24"/>
                <w:u w:val="none"/>
              </w:rPr>
            </w:pPr>
          </w:p>
        </w:tc>
        <w:tc>
          <w:tcPr>
            <w:tcW w:w="2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70F72">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最多间隔3天1次</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3F64892">
            <w:pPr>
              <w:jc w:val="center"/>
              <w:rPr>
                <w:rFonts w:hint="eastAsia" w:ascii="宋体" w:hAnsi="宋体" w:eastAsia="宋体" w:cs="宋体"/>
                <w:i w:val="0"/>
                <w:iCs w:val="0"/>
                <w:color w:val="000000"/>
                <w:sz w:val="24"/>
                <w:szCs w:val="24"/>
                <w:u w:val="none"/>
              </w:rPr>
            </w:pPr>
          </w:p>
        </w:tc>
      </w:tr>
      <w:tr w14:paraId="48F2B6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34A73F8B">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E3D2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83</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EFF36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田厂</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DD632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36" w:type="dxa"/>
            <w:tcBorders>
              <w:top w:val="single" w:color="000000" w:sz="4" w:space="0"/>
              <w:left w:val="single" w:color="000000" w:sz="4" w:space="0"/>
              <w:bottom w:val="single" w:color="000000" w:sz="4" w:space="0"/>
              <w:right w:val="single" w:color="000000" w:sz="4" w:space="0"/>
            </w:tcBorders>
            <w:noWrap/>
            <w:vAlign w:val="center"/>
          </w:tcPr>
          <w:p w14:paraId="77A66FED">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noWrap/>
            <w:vAlign w:val="center"/>
          </w:tcPr>
          <w:p w14:paraId="6A0F86C0">
            <w:pPr>
              <w:jc w:val="center"/>
              <w:rPr>
                <w:rFonts w:hint="eastAsia" w:ascii="宋体" w:hAnsi="宋体" w:eastAsia="宋体" w:cs="宋体"/>
                <w:i w:val="0"/>
                <w:iCs w:val="0"/>
                <w:color w:val="000000"/>
                <w:sz w:val="24"/>
                <w:szCs w:val="24"/>
                <w:u w:val="none"/>
              </w:rPr>
            </w:pPr>
          </w:p>
        </w:tc>
        <w:tc>
          <w:tcPr>
            <w:tcW w:w="2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5AE04">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最多间隔3天1次</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0EE4CDA">
            <w:pPr>
              <w:jc w:val="center"/>
              <w:rPr>
                <w:rFonts w:hint="eastAsia" w:ascii="宋体" w:hAnsi="宋体" w:eastAsia="宋体" w:cs="宋体"/>
                <w:i w:val="0"/>
                <w:iCs w:val="0"/>
                <w:color w:val="000000"/>
                <w:sz w:val="24"/>
                <w:szCs w:val="24"/>
                <w:u w:val="none"/>
              </w:rPr>
            </w:pPr>
          </w:p>
        </w:tc>
      </w:tr>
      <w:tr w14:paraId="12C5D2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5AD88901">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3227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84</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3F22A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竹山</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594A3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36" w:type="dxa"/>
            <w:tcBorders>
              <w:top w:val="single" w:color="000000" w:sz="4" w:space="0"/>
              <w:left w:val="single" w:color="000000" w:sz="4" w:space="0"/>
              <w:bottom w:val="single" w:color="000000" w:sz="4" w:space="0"/>
              <w:right w:val="single" w:color="000000" w:sz="4" w:space="0"/>
            </w:tcBorders>
            <w:noWrap/>
            <w:vAlign w:val="center"/>
          </w:tcPr>
          <w:p w14:paraId="397056D1">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noWrap/>
            <w:vAlign w:val="center"/>
          </w:tcPr>
          <w:p w14:paraId="726A58DF">
            <w:pPr>
              <w:jc w:val="center"/>
              <w:rPr>
                <w:rFonts w:hint="eastAsia" w:ascii="宋体" w:hAnsi="宋体" w:eastAsia="宋体" w:cs="宋体"/>
                <w:i w:val="0"/>
                <w:iCs w:val="0"/>
                <w:color w:val="000000"/>
                <w:sz w:val="24"/>
                <w:szCs w:val="24"/>
                <w:u w:val="none"/>
              </w:rPr>
            </w:pPr>
          </w:p>
        </w:tc>
        <w:tc>
          <w:tcPr>
            <w:tcW w:w="2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6F260">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最多间隔3天1次</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C7195A6">
            <w:pPr>
              <w:jc w:val="center"/>
              <w:rPr>
                <w:rFonts w:hint="eastAsia" w:ascii="宋体" w:hAnsi="宋体" w:eastAsia="宋体" w:cs="宋体"/>
                <w:i w:val="0"/>
                <w:iCs w:val="0"/>
                <w:color w:val="000000"/>
                <w:sz w:val="24"/>
                <w:szCs w:val="24"/>
                <w:u w:val="none"/>
              </w:rPr>
            </w:pPr>
          </w:p>
        </w:tc>
      </w:tr>
      <w:tr w14:paraId="61AA44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14:paraId="655ED49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大樟村</w:t>
            </w:r>
          </w:p>
          <w:p w14:paraId="13BF63B5">
            <w:pPr>
              <w:keepNext w:val="0"/>
              <w:keepLines w:val="0"/>
              <w:widowControl/>
              <w:suppressLineNumbers w:val="0"/>
              <w:jc w:val="both"/>
              <w:textAlignment w:val="center"/>
              <w:rPr>
                <w:rFonts w:hint="default" w:ascii="宋体" w:hAnsi="宋体" w:eastAsia="宋体" w:cs="宋体"/>
                <w:i w:val="0"/>
                <w:iCs w:val="0"/>
                <w:color w:val="000000"/>
                <w:sz w:val="24"/>
                <w:szCs w:val="24"/>
                <w:u w:val="none"/>
                <w:lang w:val="en-US"/>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80B6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85</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4984F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老温家</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23E7A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36" w:type="dxa"/>
            <w:tcBorders>
              <w:top w:val="single" w:color="000000" w:sz="4" w:space="0"/>
              <w:left w:val="single" w:color="000000" w:sz="4" w:space="0"/>
              <w:bottom w:val="single" w:color="000000" w:sz="4" w:space="0"/>
              <w:right w:val="single" w:color="000000" w:sz="4" w:space="0"/>
            </w:tcBorders>
            <w:noWrap/>
            <w:vAlign w:val="center"/>
          </w:tcPr>
          <w:p w14:paraId="4206664A">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noWrap/>
            <w:vAlign w:val="center"/>
          </w:tcPr>
          <w:p w14:paraId="32CEA6A1">
            <w:pPr>
              <w:jc w:val="center"/>
              <w:rPr>
                <w:rFonts w:hint="eastAsia" w:ascii="宋体" w:hAnsi="宋体" w:eastAsia="宋体" w:cs="宋体"/>
                <w:i w:val="0"/>
                <w:iCs w:val="0"/>
                <w:color w:val="000000"/>
                <w:sz w:val="24"/>
                <w:szCs w:val="24"/>
                <w:u w:val="none"/>
              </w:rPr>
            </w:pPr>
          </w:p>
        </w:tc>
        <w:tc>
          <w:tcPr>
            <w:tcW w:w="2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7CF4D">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最多间隔3天1次</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4CA8BFE">
            <w:pPr>
              <w:jc w:val="center"/>
              <w:rPr>
                <w:rFonts w:hint="eastAsia" w:ascii="宋体" w:hAnsi="宋体" w:eastAsia="宋体" w:cs="宋体"/>
                <w:i w:val="0"/>
                <w:iCs w:val="0"/>
                <w:color w:val="000000"/>
                <w:sz w:val="24"/>
                <w:szCs w:val="24"/>
                <w:u w:val="none"/>
              </w:rPr>
            </w:pPr>
          </w:p>
        </w:tc>
      </w:tr>
      <w:tr w14:paraId="58E9E4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13DF25F8">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F20D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86</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00553D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谢家</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65C1D35">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noWrap/>
            <w:vAlign w:val="center"/>
          </w:tcPr>
          <w:p w14:paraId="350A05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36" w:type="dxa"/>
            <w:tcBorders>
              <w:top w:val="single" w:color="000000" w:sz="4" w:space="0"/>
              <w:left w:val="single" w:color="000000" w:sz="4" w:space="0"/>
              <w:bottom w:val="single" w:color="000000" w:sz="4" w:space="0"/>
              <w:right w:val="single" w:color="000000" w:sz="4" w:space="0"/>
            </w:tcBorders>
            <w:noWrap/>
            <w:vAlign w:val="center"/>
          </w:tcPr>
          <w:p w14:paraId="2E561395">
            <w:pPr>
              <w:jc w:val="center"/>
              <w:rPr>
                <w:rFonts w:hint="eastAsia" w:ascii="宋体" w:hAnsi="宋体" w:eastAsia="宋体" w:cs="宋体"/>
                <w:i w:val="0"/>
                <w:iCs w:val="0"/>
                <w:color w:val="000000"/>
                <w:sz w:val="24"/>
                <w:szCs w:val="24"/>
                <w:u w:val="none"/>
              </w:rPr>
            </w:pPr>
          </w:p>
        </w:tc>
        <w:tc>
          <w:tcPr>
            <w:tcW w:w="2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CB754">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最多间隔3天1次</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5CE3D6B">
            <w:pPr>
              <w:jc w:val="center"/>
              <w:rPr>
                <w:rFonts w:hint="eastAsia" w:ascii="宋体" w:hAnsi="宋体" w:eastAsia="宋体" w:cs="宋体"/>
                <w:i w:val="0"/>
                <w:iCs w:val="0"/>
                <w:color w:val="000000"/>
                <w:sz w:val="24"/>
                <w:szCs w:val="24"/>
                <w:u w:val="none"/>
              </w:rPr>
            </w:pPr>
          </w:p>
        </w:tc>
      </w:tr>
      <w:tr w14:paraId="4ACC34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171FB62D">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19DE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87</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752BF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汤家</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AE9FA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36" w:type="dxa"/>
            <w:tcBorders>
              <w:top w:val="single" w:color="000000" w:sz="4" w:space="0"/>
              <w:left w:val="single" w:color="000000" w:sz="4" w:space="0"/>
              <w:bottom w:val="single" w:color="000000" w:sz="4" w:space="0"/>
              <w:right w:val="single" w:color="000000" w:sz="4" w:space="0"/>
            </w:tcBorders>
            <w:noWrap/>
            <w:vAlign w:val="center"/>
          </w:tcPr>
          <w:p w14:paraId="5B178B5B">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noWrap/>
            <w:vAlign w:val="center"/>
          </w:tcPr>
          <w:p w14:paraId="77D4D909">
            <w:pPr>
              <w:jc w:val="center"/>
              <w:rPr>
                <w:rFonts w:hint="eastAsia" w:ascii="宋体" w:hAnsi="宋体" w:eastAsia="宋体" w:cs="宋体"/>
                <w:i w:val="0"/>
                <w:iCs w:val="0"/>
                <w:color w:val="000000"/>
                <w:sz w:val="24"/>
                <w:szCs w:val="24"/>
                <w:u w:val="none"/>
              </w:rPr>
            </w:pPr>
          </w:p>
        </w:tc>
        <w:tc>
          <w:tcPr>
            <w:tcW w:w="2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9907F">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最多间隔3天1次</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0C16974">
            <w:pPr>
              <w:jc w:val="center"/>
              <w:rPr>
                <w:rFonts w:hint="eastAsia" w:ascii="宋体" w:hAnsi="宋体" w:eastAsia="宋体" w:cs="宋体"/>
                <w:i w:val="0"/>
                <w:iCs w:val="0"/>
                <w:color w:val="000000"/>
                <w:sz w:val="24"/>
                <w:szCs w:val="24"/>
                <w:u w:val="none"/>
              </w:rPr>
            </w:pPr>
          </w:p>
        </w:tc>
      </w:tr>
      <w:tr w14:paraId="7BAC00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35CC575B">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26FE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88</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DDDBF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曾家</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AF6E6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36" w:type="dxa"/>
            <w:tcBorders>
              <w:top w:val="single" w:color="000000" w:sz="4" w:space="0"/>
              <w:left w:val="single" w:color="000000" w:sz="4" w:space="0"/>
              <w:bottom w:val="single" w:color="000000" w:sz="4" w:space="0"/>
              <w:right w:val="single" w:color="000000" w:sz="4" w:space="0"/>
            </w:tcBorders>
            <w:noWrap/>
            <w:vAlign w:val="center"/>
          </w:tcPr>
          <w:p w14:paraId="391A2D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36" w:type="dxa"/>
            <w:tcBorders>
              <w:top w:val="single" w:color="000000" w:sz="4" w:space="0"/>
              <w:left w:val="single" w:color="000000" w:sz="4" w:space="0"/>
              <w:bottom w:val="single" w:color="000000" w:sz="4" w:space="0"/>
              <w:right w:val="single" w:color="000000" w:sz="4" w:space="0"/>
            </w:tcBorders>
            <w:noWrap/>
            <w:vAlign w:val="center"/>
          </w:tcPr>
          <w:p w14:paraId="32B9D408">
            <w:pPr>
              <w:jc w:val="center"/>
              <w:rPr>
                <w:rFonts w:hint="eastAsia" w:ascii="宋体" w:hAnsi="宋体" w:eastAsia="宋体" w:cs="宋体"/>
                <w:i w:val="0"/>
                <w:iCs w:val="0"/>
                <w:color w:val="000000"/>
                <w:sz w:val="24"/>
                <w:szCs w:val="24"/>
                <w:u w:val="none"/>
              </w:rPr>
            </w:pPr>
          </w:p>
        </w:tc>
        <w:tc>
          <w:tcPr>
            <w:tcW w:w="2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AAEBC">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最多间隔3天1次</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0D4D8CD">
            <w:pPr>
              <w:jc w:val="center"/>
              <w:rPr>
                <w:rFonts w:hint="eastAsia" w:ascii="宋体" w:hAnsi="宋体" w:eastAsia="宋体" w:cs="宋体"/>
                <w:i w:val="0"/>
                <w:iCs w:val="0"/>
                <w:color w:val="000000"/>
                <w:sz w:val="24"/>
                <w:szCs w:val="24"/>
                <w:u w:val="none"/>
              </w:rPr>
            </w:pPr>
          </w:p>
        </w:tc>
      </w:tr>
      <w:tr w14:paraId="7DB567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3BAD01C7">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0825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89</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C1D5F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何家</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54A1E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36" w:type="dxa"/>
            <w:tcBorders>
              <w:top w:val="single" w:color="000000" w:sz="4" w:space="0"/>
              <w:left w:val="single" w:color="000000" w:sz="4" w:space="0"/>
              <w:bottom w:val="single" w:color="000000" w:sz="4" w:space="0"/>
              <w:right w:val="single" w:color="000000" w:sz="4" w:space="0"/>
            </w:tcBorders>
            <w:noWrap/>
            <w:vAlign w:val="center"/>
          </w:tcPr>
          <w:p w14:paraId="43BCE3D9">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noWrap/>
            <w:vAlign w:val="center"/>
          </w:tcPr>
          <w:p w14:paraId="49ABCDCD">
            <w:pPr>
              <w:jc w:val="center"/>
              <w:rPr>
                <w:rFonts w:hint="eastAsia" w:ascii="宋体" w:hAnsi="宋体" w:eastAsia="宋体" w:cs="宋体"/>
                <w:i w:val="0"/>
                <w:iCs w:val="0"/>
                <w:color w:val="000000"/>
                <w:sz w:val="24"/>
                <w:szCs w:val="24"/>
                <w:u w:val="none"/>
              </w:rPr>
            </w:pPr>
          </w:p>
        </w:tc>
        <w:tc>
          <w:tcPr>
            <w:tcW w:w="2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0CE80">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最多间隔3天1次</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981204C">
            <w:pPr>
              <w:jc w:val="center"/>
              <w:rPr>
                <w:rFonts w:hint="eastAsia" w:ascii="宋体" w:hAnsi="宋体" w:eastAsia="宋体" w:cs="宋体"/>
                <w:i w:val="0"/>
                <w:iCs w:val="0"/>
                <w:color w:val="000000"/>
                <w:sz w:val="24"/>
                <w:szCs w:val="24"/>
                <w:u w:val="none"/>
              </w:rPr>
            </w:pPr>
          </w:p>
        </w:tc>
      </w:tr>
      <w:tr w14:paraId="14ED83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735B5D2A">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57C7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8E11E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练家</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79D0D1C">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noWrap/>
            <w:vAlign w:val="center"/>
          </w:tcPr>
          <w:p w14:paraId="7663C5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36" w:type="dxa"/>
            <w:tcBorders>
              <w:top w:val="single" w:color="000000" w:sz="4" w:space="0"/>
              <w:left w:val="single" w:color="000000" w:sz="4" w:space="0"/>
              <w:bottom w:val="single" w:color="000000" w:sz="4" w:space="0"/>
              <w:right w:val="single" w:color="000000" w:sz="4" w:space="0"/>
            </w:tcBorders>
            <w:noWrap/>
            <w:vAlign w:val="center"/>
          </w:tcPr>
          <w:p w14:paraId="0FD6CF1E">
            <w:pPr>
              <w:jc w:val="center"/>
              <w:rPr>
                <w:rFonts w:hint="eastAsia" w:ascii="宋体" w:hAnsi="宋体" w:eastAsia="宋体" w:cs="宋体"/>
                <w:i w:val="0"/>
                <w:iCs w:val="0"/>
                <w:color w:val="000000"/>
                <w:sz w:val="24"/>
                <w:szCs w:val="24"/>
                <w:u w:val="none"/>
              </w:rPr>
            </w:pPr>
          </w:p>
        </w:tc>
        <w:tc>
          <w:tcPr>
            <w:tcW w:w="2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3E2C2">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最多间隔3天1次</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BF6DE5A">
            <w:pPr>
              <w:jc w:val="center"/>
              <w:rPr>
                <w:rFonts w:hint="eastAsia" w:ascii="宋体" w:hAnsi="宋体" w:eastAsia="宋体" w:cs="宋体"/>
                <w:i w:val="0"/>
                <w:iCs w:val="0"/>
                <w:color w:val="000000"/>
                <w:sz w:val="24"/>
                <w:szCs w:val="24"/>
                <w:u w:val="none"/>
              </w:rPr>
            </w:pPr>
          </w:p>
        </w:tc>
      </w:tr>
      <w:tr w14:paraId="35A40C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7C92C0B7">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E8CC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91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CED5F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兰屋</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49A05A7">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noWrap/>
            <w:vAlign w:val="center"/>
          </w:tcPr>
          <w:p w14:paraId="1D63E5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36" w:type="dxa"/>
            <w:tcBorders>
              <w:top w:val="single" w:color="000000" w:sz="4" w:space="0"/>
              <w:left w:val="single" w:color="000000" w:sz="4" w:space="0"/>
              <w:bottom w:val="single" w:color="000000" w:sz="4" w:space="0"/>
              <w:right w:val="single" w:color="000000" w:sz="4" w:space="0"/>
            </w:tcBorders>
            <w:noWrap/>
            <w:vAlign w:val="center"/>
          </w:tcPr>
          <w:p w14:paraId="4064B95C">
            <w:pPr>
              <w:jc w:val="center"/>
              <w:rPr>
                <w:rFonts w:hint="eastAsia" w:ascii="宋体" w:hAnsi="宋体" w:eastAsia="宋体" w:cs="宋体"/>
                <w:i w:val="0"/>
                <w:iCs w:val="0"/>
                <w:color w:val="000000"/>
                <w:sz w:val="24"/>
                <w:szCs w:val="24"/>
                <w:u w:val="none"/>
              </w:rPr>
            </w:pPr>
          </w:p>
        </w:tc>
        <w:tc>
          <w:tcPr>
            <w:tcW w:w="2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75CF3">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最多间隔3天1次</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DF7089A">
            <w:pPr>
              <w:jc w:val="center"/>
              <w:rPr>
                <w:rFonts w:hint="eastAsia" w:ascii="宋体" w:hAnsi="宋体" w:eastAsia="宋体" w:cs="宋体"/>
                <w:i w:val="0"/>
                <w:iCs w:val="0"/>
                <w:color w:val="000000"/>
                <w:sz w:val="24"/>
                <w:szCs w:val="24"/>
                <w:u w:val="none"/>
              </w:rPr>
            </w:pPr>
          </w:p>
        </w:tc>
      </w:tr>
      <w:tr w14:paraId="23CBF5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1114FB25">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99B7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92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421BE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小兰家</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CF44AA6">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noWrap/>
            <w:vAlign w:val="center"/>
          </w:tcPr>
          <w:p w14:paraId="21C3CAD8">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noWrap/>
            <w:vAlign w:val="center"/>
          </w:tcPr>
          <w:p w14:paraId="2581D592">
            <w:pPr>
              <w:jc w:val="center"/>
              <w:rPr>
                <w:rFonts w:hint="eastAsia" w:ascii="宋体" w:hAnsi="宋体" w:eastAsia="宋体" w:cs="宋体"/>
                <w:i w:val="0"/>
                <w:iCs w:val="0"/>
                <w:color w:val="000000"/>
                <w:sz w:val="24"/>
                <w:szCs w:val="24"/>
                <w:u w:val="none"/>
              </w:rPr>
            </w:pPr>
          </w:p>
        </w:tc>
        <w:tc>
          <w:tcPr>
            <w:tcW w:w="2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A5FDB">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最多间隔3天1次</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F065AF0">
            <w:pPr>
              <w:jc w:val="center"/>
              <w:rPr>
                <w:rFonts w:hint="eastAsia" w:ascii="宋体" w:hAnsi="宋体" w:eastAsia="宋体" w:cs="宋体"/>
                <w:i w:val="0"/>
                <w:iCs w:val="0"/>
                <w:color w:val="000000"/>
                <w:sz w:val="24"/>
                <w:szCs w:val="24"/>
                <w:u w:val="none"/>
              </w:rPr>
            </w:pPr>
          </w:p>
        </w:tc>
      </w:tr>
      <w:tr w14:paraId="7881FA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4A7A84BF">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F8EF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93</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29E6D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刘屋</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0556F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36" w:type="dxa"/>
            <w:tcBorders>
              <w:top w:val="single" w:color="000000" w:sz="4" w:space="0"/>
              <w:left w:val="single" w:color="000000" w:sz="4" w:space="0"/>
              <w:bottom w:val="single" w:color="000000" w:sz="4" w:space="0"/>
              <w:right w:val="single" w:color="000000" w:sz="4" w:space="0"/>
            </w:tcBorders>
            <w:noWrap/>
            <w:vAlign w:val="center"/>
          </w:tcPr>
          <w:p w14:paraId="311596EF">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noWrap/>
            <w:vAlign w:val="center"/>
          </w:tcPr>
          <w:p w14:paraId="320EA0E0">
            <w:pPr>
              <w:jc w:val="center"/>
              <w:rPr>
                <w:rFonts w:hint="eastAsia" w:ascii="宋体" w:hAnsi="宋体" w:eastAsia="宋体" w:cs="宋体"/>
                <w:i w:val="0"/>
                <w:iCs w:val="0"/>
                <w:color w:val="000000"/>
                <w:sz w:val="24"/>
                <w:szCs w:val="24"/>
                <w:u w:val="none"/>
              </w:rPr>
            </w:pPr>
          </w:p>
        </w:tc>
        <w:tc>
          <w:tcPr>
            <w:tcW w:w="2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270FE">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最多间隔3天1次</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A1EE41A">
            <w:pPr>
              <w:jc w:val="center"/>
              <w:rPr>
                <w:rFonts w:hint="eastAsia" w:ascii="宋体" w:hAnsi="宋体" w:eastAsia="宋体" w:cs="宋体"/>
                <w:i w:val="0"/>
                <w:iCs w:val="0"/>
                <w:color w:val="000000"/>
                <w:sz w:val="24"/>
                <w:szCs w:val="24"/>
                <w:u w:val="none"/>
              </w:rPr>
            </w:pPr>
          </w:p>
        </w:tc>
      </w:tr>
      <w:tr w14:paraId="62250C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0" w:type="auto"/>
            <w:vMerge w:val="continue"/>
            <w:tcBorders>
              <w:top w:val="single" w:color="000000" w:sz="4" w:space="0"/>
              <w:left w:val="single" w:color="000000" w:sz="4" w:space="0"/>
              <w:bottom w:val="single" w:color="auto" w:sz="4" w:space="0"/>
              <w:right w:val="single" w:color="000000" w:sz="4" w:space="0"/>
            </w:tcBorders>
            <w:noWrap/>
            <w:vAlign w:val="center"/>
          </w:tcPr>
          <w:p w14:paraId="48E34F88">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8B4E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94</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9EF77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佛子</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339652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36" w:type="dxa"/>
            <w:tcBorders>
              <w:top w:val="single" w:color="000000" w:sz="4" w:space="0"/>
              <w:left w:val="single" w:color="000000" w:sz="4" w:space="0"/>
              <w:bottom w:val="single" w:color="000000" w:sz="4" w:space="0"/>
              <w:right w:val="single" w:color="000000" w:sz="4" w:space="0"/>
            </w:tcBorders>
            <w:noWrap/>
            <w:vAlign w:val="center"/>
          </w:tcPr>
          <w:p w14:paraId="1320F1B0">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noWrap/>
            <w:vAlign w:val="center"/>
          </w:tcPr>
          <w:p w14:paraId="6D1C9602">
            <w:pPr>
              <w:jc w:val="center"/>
              <w:rPr>
                <w:rFonts w:hint="eastAsia" w:ascii="宋体" w:hAnsi="宋体" w:eastAsia="宋体" w:cs="宋体"/>
                <w:i w:val="0"/>
                <w:iCs w:val="0"/>
                <w:color w:val="000000"/>
                <w:sz w:val="24"/>
                <w:szCs w:val="24"/>
                <w:u w:val="none"/>
              </w:rPr>
            </w:pPr>
          </w:p>
        </w:tc>
        <w:tc>
          <w:tcPr>
            <w:tcW w:w="2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D6E6B">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最多间隔3天1次</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0450388">
            <w:pPr>
              <w:jc w:val="center"/>
              <w:rPr>
                <w:rFonts w:hint="eastAsia" w:ascii="宋体" w:hAnsi="宋体" w:eastAsia="宋体" w:cs="宋体"/>
                <w:i w:val="0"/>
                <w:iCs w:val="0"/>
                <w:color w:val="000000"/>
                <w:sz w:val="24"/>
                <w:szCs w:val="24"/>
                <w:u w:val="none"/>
              </w:rPr>
            </w:pPr>
          </w:p>
        </w:tc>
      </w:tr>
      <w:tr w14:paraId="1DC62B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56" w:type="dxa"/>
            <w:vMerge w:val="restart"/>
            <w:tcBorders>
              <w:top w:val="single" w:color="auto" w:sz="4" w:space="0"/>
              <w:left w:val="single" w:color="auto" w:sz="4" w:space="0"/>
              <w:right w:val="single" w:color="auto" w:sz="4" w:space="0"/>
            </w:tcBorders>
            <w:noWrap/>
            <w:vAlign w:val="center"/>
          </w:tcPr>
          <w:p w14:paraId="3684591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碑塘村</w:t>
            </w:r>
          </w:p>
          <w:p w14:paraId="3A545CF5">
            <w:pPr>
              <w:jc w:val="center"/>
              <w:rPr>
                <w:rFonts w:hint="eastAsia" w:ascii="宋体" w:hAnsi="宋体" w:eastAsia="宋体" w:cs="宋体"/>
                <w:i w:val="0"/>
                <w:iCs w:val="0"/>
                <w:color w:val="000000"/>
                <w:sz w:val="24"/>
                <w:szCs w:val="24"/>
                <w:u w:val="none"/>
                <w:lang w:val="en-US" w:eastAsia="zh-CN"/>
              </w:rPr>
            </w:pPr>
          </w:p>
          <w:p w14:paraId="26BA9446">
            <w:pPr>
              <w:jc w:val="center"/>
              <w:rPr>
                <w:rFonts w:hint="eastAsia" w:ascii="宋体" w:hAnsi="宋体" w:eastAsia="宋体" w:cs="宋体"/>
                <w:i w:val="0"/>
                <w:iCs w:val="0"/>
                <w:color w:val="000000"/>
                <w:sz w:val="24"/>
                <w:szCs w:val="24"/>
                <w:u w:val="none"/>
                <w:lang w:val="en-US" w:eastAsia="zh-CN"/>
              </w:rPr>
            </w:pPr>
          </w:p>
          <w:p w14:paraId="7AC788B7">
            <w:pPr>
              <w:jc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碑塘村</w:t>
            </w:r>
          </w:p>
        </w:tc>
        <w:tc>
          <w:tcPr>
            <w:tcW w:w="0" w:type="auto"/>
            <w:tcBorders>
              <w:top w:val="single" w:color="000000" w:sz="4" w:space="0"/>
              <w:left w:val="single" w:color="auto" w:sz="4" w:space="0"/>
              <w:bottom w:val="single" w:color="000000" w:sz="4" w:space="0"/>
              <w:right w:val="single" w:color="000000" w:sz="4" w:space="0"/>
            </w:tcBorders>
            <w:shd w:val="clear" w:color="auto" w:fill="auto"/>
            <w:noWrap/>
            <w:vAlign w:val="center"/>
          </w:tcPr>
          <w:p w14:paraId="53E154F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FA6F1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新安</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2C2674F">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noWrap/>
            <w:vAlign w:val="center"/>
          </w:tcPr>
          <w:p w14:paraId="5E9E14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36" w:type="dxa"/>
            <w:tcBorders>
              <w:top w:val="single" w:color="000000" w:sz="4" w:space="0"/>
              <w:left w:val="single" w:color="000000" w:sz="4" w:space="0"/>
              <w:bottom w:val="single" w:color="000000" w:sz="4" w:space="0"/>
              <w:right w:val="single" w:color="000000" w:sz="4" w:space="0"/>
            </w:tcBorders>
            <w:noWrap/>
            <w:vAlign w:val="center"/>
          </w:tcPr>
          <w:p w14:paraId="1F0F0BE9">
            <w:pPr>
              <w:jc w:val="center"/>
              <w:rPr>
                <w:rFonts w:hint="eastAsia" w:ascii="宋体" w:hAnsi="宋体" w:eastAsia="宋体" w:cs="宋体"/>
                <w:i w:val="0"/>
                <w:iCs w:val="0"/>
                <w:color w:val="000000"/>
                <w:sz w:val="24"/>
                <w:szCs w:val="24"/>
                <w:u w:val="none"/>
              </w:rPr>
            </w:pPr>
          </w:p>
        </w:tc>
        <w:tc>
          <w:tcPr>
            <w:tcW w:w="2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7ED2B">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最多间隔3天1次</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AA6AA32">
            <w:pPr>
              <w:jc w:val="center"/>
              <w:rPr>
                <w:rFonts w:hint="eastAsia" w:ascii="宋体" w:hAnsi="宋体" w:eastAsia="宋体" w:cs="宋体"/>
                <w:i w:val="0"/>
                <w:iCs w:val="0"/>
                <w:color w:val="000000"/>
                <w:sz w:val="24"/>
                <w:szCs w:val="24"/>
                <w:u w:val="none"/>
              </w:rPr>
            </w:pPr>
          </w:p>
        </w:tc>
      </w:tr>
      <w:tr w14:paraId="735FB8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56" w:type="dxa"/>
            <w:vMerge w:val="continue"/>
            <w:tcBorders>
              <w:left w:val="single" w:color="auto" w:sz="4" w:space="0"/>
              <w:right w:val="single" w:color="auto" w:sz="4" w:space="0"/>
            </w:tcBorders>
            <w:noWrap/>
            <w:vAlign w:val="center"/>
          </w:tcPr>
          <w:p w14:paraId="77EA01CB">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auto" w:sz="4" w:space="0"/>
              <w:bottom w:val="single" w:color="000000" w:sz="4" w:space="0"/>
              <w:right w:val="single" w:color="000000" w:sz="4" w:space="0"/>
            </w:tcBorders>
            <w:shd w:val="clear" w:color="auto" w:fill="auto"/>
            <w:noWrap/>
            <w:vAlign w:val="center"/>
          </w:tcPr>
          <w:p w14:paraId="6240824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96</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91C17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谢家</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C7D7196">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noWrap/>
            <w:vAlign w:val="center"/>
          </w:tcPr>
          <w:p w14:paraId="5B73D0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36" w:type="dxa"/>
            <w:tcBorders>
              <w:top w:val="single" w:color="000000" w:sz="4" w:space="0"/>
              <w:left w:val="single" w:color="000000" w:sz="4" w:space="0"/>
              <w:bottom w:val="single" w:color="000000" w:sz="4" w:space="0"/>
              <w:right w:val="single" w:color="000000" w:sz="4" w:space="0"/>
            </w:tcBorders>
            <w:noWrap/>
            <w:vAlign w:val="center"/>
          </w:tcPr>
          <w:p w14:paraId="4A606C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30A27">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最多间隔3天1次</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129C867">
            <w:pPr>
              <w:jc w:val="center"/>
              <w:rPr>
                <w:rFonts w:hint="eastAsia" w:ascii="宋体" w:hAnsi="宋体" w:eastAsia="宋体" w:cs="宋体"/>
                <w:i w:val="0"/>
                <w:iCs w:val="0"/>
                <w:color w:val="000000"/>
                <w:sz w:val="24"/>
                <w:szCs w:val="24"/>
                <w:u w:val="none"/>
              </w:rPr>
            </w:pPr>
          </w:p>
        </w:tc>
      </w:tr>
      <w:tr w14:paraId="412419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56" w:type="dxa"/>
            <w:vMerge w:val="continue"/>
            <w:tcBorders>
              <w:left w:val="single" w:color="auto" w:sz="4" w:space="0"/>
              <w:right w:val="single" w:color="auto" w:sz="4" w:space="0"/>
            </w:tcBorders>
            <w:noWrap/>
            <w:vAlign w:val="center"/>
          </w:tcPr>
          <w:p w14:paraId="62EC0528">
            <w:pPr>
              <w:jc w:val="center"/>
              <w:rPr>
                <w:rFonts w:hint="eastAsia" w:ascii="宋体" w:hAnsi="宋体" w:eastAsia="宋体" w:cs="宋体"/>
                <w:i w:val="0"/>
                <w:iCs w:val="0"/>
                <w:color w:val="000000"/>
                <w:sz w:val="24"/>
                <w:szCs w:val="24"/>
                <w:u w:val="none"/>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CDCC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97</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CF10E8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和村</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190E7D1">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noWrap/>
            <w:vAlign w:val="center"/>
          </w:tcPr>
          <w:p w14:paraId="66A17D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36" w:type="dxa"/>
            <w:tcBorders>
              <w:top w:val="single" w:color="000000" w:sz="4" w:space="0"/>
              <w:left w:val="single" w:color="000000" w:sz="4" w:space="0"/>
              <w:bottom w:val="single" w:color="000000" w:sz="4" w:space="0"/>
              <w:right w:val="single" w:color="000000" w:sz="4" w:space="0"/>
            </w:tcBorders>
            <w:noWrap/>
            <w:vAlign w:val="center"/>
          </w:tcPr>
          <w:p w14:paraId="39B0112E">
            <w:pPr>
              <w:jc w:val="center"/>
              <w:rPr>
                <w:rFonts w:hint="eastAsia" w:ascii="宋体" w:hAnsi="宋体" w:eastAsia="宋体" w:cs="宋体"/>
                <w:i w:val="0"/>
                <w:iCs w:val="0"/>
                <w:color w:val="000000"/>
                <w:sz w:val="24"/>
                <w:szCs w:val="24"/>
                <w:u w:val="none"/>
              </w:rPr>
            </w:pPr>
          </w:p>
        </w:tc>
        <w:tc>
          <w:tcPr>
            <w:tcW w:w="2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75181">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最多间隔3天1次</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1AD63B6">
            <w:pPr>
              <w:jc w:val="center"/>
              <w:rPr>
                <w:rFonts w:hint="eastAsia" w:ascii="宋体" w:hAnsi="宋体" w:eastAsia="宋体" w:cs="宋体"/>
                <w:i w:val="0"/>
                <w:iCs w:val="0"/>
                <w:color w:val="000000"/>
                <w:sz w:val="24"/>
                <w:szCs w:val="24"/>
                <w:u w:val="none"/>
              </w:rPr>
            </w:pPr>
          </w:p>
        </w:tc>
      </w:tr>
      <w:tr w14:paraId="2BCF41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56" w:type="dxa"/>
            <w:vMerge w:val="continue"/>
            <w:tcBorders>
              <w:left w:val="single" w:color="auto" w:sz="4" w:space="0"/>
              <w:right w:val="single" w:color="auto" w:sz="4" w:space="0"/>
            </w:tcBorders>
            <w:noWrap/>
            <w:vAlign w:val="center"/>
          </w:tcPr>
          <w:p w14:paraId="7B298704">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4AC0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98</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BD681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碑塘</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0DEC32E">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noWrap/>
            <w:vAlign w:val="center"/>
          </w:tcPr>
          <w:p w14:paraId="3D9730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36" w:type="dxa"/>
            <w:tcBorders>
              <w:top w:val="single" w:color="000000" w:sz="4" w:space="0"/>
              <w:left w:val="single" w:color="000000" w:sz="4" w:space="0"/>
              <w:bottom w:val="single" w:color="000000" w:sz="4" w:space="0"/>
              <w:right w:val="single" w:color="000000" w:sz="4" w:space="0"/>
            </w:tcBorders>
            <w:noWrap/>
            <w:vAlign w:val="center"/>
          </w:tcPr>
          <w:p w14:paraId="66A30742">
            <w:pPr>
              <w:jc w:val="center"/>
              <w:rPr>
                <w:rFonts w:hint="eastAsia" w:ascii="宋体" w:hAnsi="宋体" w:eastAsia="宋体" w:cs="宋体"/>
                <w:i w:val="0"/>
                <w:iCs w:val="0"/>
                <w:color w:val="000000"/>
                <w:sz w:val="24"/>
                <w:szCs w:val="24"/>
                <w:u w:val="none"/>
              </w:rPr>
            </w:pPr>
          </w:p>
        </w:tc>
        <w:tc>
          <w:tcPr>
            <w:tcW w:w="2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59559">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最多间隔3天1次</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BE64185">
            <w:pPr>
              <w:jc w:val="center"/>
              <w:rPr>
                <w:rFonts w:hint="eastAsia" w:ascii="宋体" w:hAnsi="宋体" w:eastAsia="宋体" w:cs="宋体"/>
                <w:i w:val="0"/>
                <w:iCs w:val="0"/>
                <w:color w:val="000000"/>
                <w:sz w:val="24"/>
                <w:szCs w:val="24"/>
                <w:u w:val="none"/>
              </w:rPr>
            </w:pPr>
          </w:p>
        </w:tc>
      </w:tr>
      <w:tr w14:paraId="31DACD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56" w:type="dxa"/>
            <w:vMerge w:val="continue"/>
            <w:tcBorders>
              <w:left w:val="single" w:color="auto" w:sz="4" w:space="0"/>
              <w:bottom w:val="single" w:color="auto" w:sz="4" w:space="0"/>
              <w:right w:val="single" w:color="auto" w:sz="4" w:space="0"/>
            </w:tcBorders>
            <w:noWrap/>
            <w:vAlign w:val="center"/>
          </w:tcPr>
          <w:p w14:paraId="3C2AF0FC">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A5AA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99</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1E60B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佛子</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B4D64BB">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noWrap/>
            <w:vAlign w:val="center"/>
          </w:tcPr>
          <w:p w14:paraId="479E696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936" w:type="dxa"/>
            <w:tcBorders>
              <w:top w:val="single" w:color="000000" w:sz="4" w:space="0"/>
              <w:left w:val="single" w:color="000000" w:sz="4" w:space="0"/>
              <w:bottom w:val="single" w:color="000000" w:sz="4" w:space="0"/>
              <w:right w:val="single" w:color="000000" w:sz="4" w:space="0"/>
            </w:tcBorders>
            <w:noWrap/>
            <w:vAlign w:val="center"/>
          </w:tcPr>
          <w:p w14:paraId="002807B3">
            <w:pPr>
              <w:jc w:val="center"/>
              <w:rPr>
                <w:rFonts w:hint="eastAsia" w:ascii="宋体" w:hAnsi="宋体" w:eastAsia="宋体" w:cs="宋体"/>
                <w:i w:val="0"/>
                <w:iCs w:val="0"/>
                <w:color w:val="000000"/>
                <w:sz w:val="24"/>
                <w:szCs w:val="24"/>
                <w:u w:val="none"/>
              </w:rPr>
            </w:pPr>
          </w:p>
        </w:tc>
        <w:tc>
          <w:tcPr>
            <w:tcW w:w="2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F4898">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最多间隔3天1次</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002106E">
            <w:pPr>
              <w:jc w:val="center"/>
              <w:rPr>
                <w:rFonts w:hint="eastAsia" w:ascii="宋体" w:hAnsi="宋体" w:eastAsia="宋体" w:cs="宋体"/>
                <w:i w:val="0"/>
                <w:iCs w:val="0"/>
                <w:color w:val="000000"/>
                <w:sz w:val="24"/>
                <w:szCs w:val="24"/>
                <w:u w:val="none"/>
              </w:rPr>
            </w:pPr>
          </w:p>
        </w:tc>
      </w:tr>
      <w:tr w14:paraId="293812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0" w:type="auto"/>
            <w:vMerge w:val="restart"/>
            <w:tcBorders>
              <w:top w:val="single" w:color="auto" w:sz="4" w:space="0"/>
              <w:left w:val="single" w:color="000000" w:sz="4" w:space="0"/>
              <w:bottom w:val="single" w:color="auto" w:sz="4" w:space="0"/>
              <w:right w:val="single" w:color="000000" w:sz="4" w:space="0"/>
            </w:tcBorders>
            <w:noWrap/>
            <w:vAlign w:val="center"/>
          </w:tcPr>
          <w:p w14:paraId="3CB765BE">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前屯村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D936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18D59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前屯</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9EE9FE3">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noWrap/>
            <w:vAlign w:val="center"/>
          </w:tcPr>
          <w:p w14:paraId="505C2E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36" w:type="dxa"/>
            <w:tcBorders>
              <w:top w:val="single" w:color="000000" w:sz="4" w:space="0"/>
              <w:left w:val="single" w:color="000000" w:sz="4" w:space="0"/>
              <w:bottom w:val="single" w:color="000000" w:sz="4" w:space="0"/>
              <w:right w:val="single" w:color="000000" w:sz="4" w:space="0"/>
            </w:tcBorders>
            <w:noWrap/>
            <w:vAlign w:val="center"/>
          </w:tcPr>
          <w:p w14:paraId="661D767F">
            <w:pPr>
              <w:jc w:val="center"/>
              <w:rPr>
                <w:rFonts w:hint="eastAsia" w:ascii="宋体" w:hAnsi="宋体" w:eastAsia="宋体" w:cs="宋体"/>
                <w:i w:val="0"/>
                <w:iCs w:val="0"/>
                <w:color w:val="000000"/>
                <w:sz w:val="24"/>
                <w:szCs w:val="24"/>
                <w:u w:val="none"/>
              </w:rPr>
            </w:pPr>
          </w:p>
        </w:tc>
        <w:tc>
          <w:tcPr>
            <w:tcW w:w="2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0D670">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最多间隔3天1次</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398BC80">
            <w:pPr>
              <w:jc w:val="center"/>
              <w:rPr>
                <w:rFonts w:hint="eastAsia" w:ascii="宋体" w:hAnsi="宋体" w:eastAsia="宋体" w:cs="宋体"/>
                <w:i w:val="0"/>
                <w:iCs w:val="0"/>
                <w:color w:val="000000"/>
                <w:sz w:val="24"/>
                <w:szCs w:val="24"/>
                <w:u w:val="none"/>
              </w:rPr>
            </w:pPr>
          </w:p>
        </w:tc>
      </w:tr>
      <w:tr w14:paraId="253215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0" w:type="auto"/>
            <w:vMerge w:val="continue"/>
            <w:tcBorders>
              <w:top w:val="single" w:color="auto" w:sz="4" w:space="0"/>
              <w:left w:val="single" w:color="000000" w:sz="4" w:space="0"/>
              <w:bottom w:val="single" w:color="auto" w:sz="4" w:space="0"/>
              <w:right w:val="single" w:color="000000" w:sz="4" w:space="0"/>
            </w:tcBorders>
            <w:noWrap/>
            <w:vAlign w:val="center"/>
          </w:tcPr>
          <w:p w14:paraId="76B87221">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527B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101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1A7CE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新村</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CD5090D">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noWrap/>
            <w:vAlign w:val="center"/>
          </w:tcPr>
          <w:p w14:paraId="74BE64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36" w:type="dxa"/>
            <w:tcBorders>
              <w:top w:val="single" w:color="000000" w:sz="4" w:space="0"/>
              <w:left w:val="single" w:color="000000" w:sz="4" w:space="0"/>
              <w:bottom w:val="single" w:color="000000" w:sz="4" w:space="0"/>
              <w:right w:val="single" w:color="000000" w:sz="4" w:space="0"/>
            </w:tcBorders>
            <w:noWrap/>
            <w:vAlign w:val="center"/>
          </w:tcPr>
          <w:p w14:paraId="35FC7238">
            <w:pPr>
              <w:jc w:val="center"/>
              <w:rPr>
                <w:rFonts w:hint="eastAsia" w:ascii="宋体" w:hAnsi="宋体" w:eastAsia="宋体" w:cs="宋体"/>
                <w:i w:val="0"/>
                <w:iCs w:val="0"/>
                <w:color w:val="000000"/>
                <w:sz w:val="24"/>
                <w:szCs w:val="24"/>
                <w:u w:val="none"/>
              </w:rPr>
            </w:pPr>
          </w:p>
        </w:tc>
        <w:tc>
          <w:tcPr>
            <w:tcW w:w="2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DAD6D">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最多间隔3天1次</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6F47751">
            <w:pPr>
              <w:jc w:val="center"/>
              <w:rPr>
                <w:rFonts w:hint="eastAsia" w:ascii="宋体" w:hAnsi="宋体" w:eastAsia="宋体" w:cs="宋体"/>
                <w:i w:val="0"/>
                <w:iCs w:val="0"/>
                <w:color w:val="000000"/>
                <w:sz w:val="24"/>
                <w:szCs w:val="24"/>
                <w:u w:val="none"/>
              </w:rPr>
            </w:pPr>
          </w:p>
        </w:tc>
      </w:tr>
      <w:tr w14:paraId="76354C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0" w:type="auto"/>
            <w:vMerge w:val="continue"/>
            <w:tcBorders>
              <w:top w:val="single" w:color="auto" w:sz="4" w:space="0"/>
              <w:left w:val="single" w:color="000000" w:sz="4" w:space="0"/>
              <w:bottom w:val="single" w:color="auto" w:sz="4" w:space="0"/>
              <w:right w:val="single" w:color="000000" w:sz="4" w:space="0"/>
            </w:tcBorders>
            <w:noWrap/>
            <w:vAlign w:val="center"/>
          </w:tcPr>
          <w:p w14:paraId="6D5D4861">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C30E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102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C9B02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大碑</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8165078">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noWrap/>
            <w:vAlign w:val="center"/>
          </w:tcPr>
          <w:p w14:paraId="5C1EF6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36" w:type="dxa"/>
            <w:tcBorders>
              <w:top w:val="single" w:color="000000" w:sz="4" w:space="0"/>
              <w:left w:val="single" w:color="000000" w:sz="4" w:space="0"/>
              <w:bottom w:val="single" w:color="000000" w:sz="4" w:space="0"/>
              <w:right w:val="single" w:color="000000" w:sz="4" w:space="0"/>
            </w:tcBorders>
            <w:noWrap/>
            <w:vAlign w:val="center"/>
          </w:tcPr>
          <w:p w14:paraId="3EEFDE23">
            <w:pPr>
              <w:jc w:val="center"/>
              <w:rPr>
                <w:rFonts w:hint="eastAsia" w:ascii="宋体" w:hAnsi="宋体" w:eastAsia="宋体" w:cs="宋体"/>
                <w:i w:val="0"/>
                <w:iCs w:val="0"/>
                <w:color w:val="000000"/>
                <w:sz w:val="24"/>
                <w:szCs w:val="24"/>
                <w:u w:val="none"/>
              </w:rPr>
            </w:pPr>
          </w:p>
        </w:tc>
        <w:tc>
          <w:tcPr>
            <w:tcW w:w="2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0ADEE">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最多间隔3天1次</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5AA49E7">
            <w:pPr>
              <w:jc w:val="center"/>
              <w:rPr>
                <w:rFonts w:hint="eastAsia" w:ascii="宋体" w:hAnsi="宋体" w:eastAsia="宋体" w:cs="宋体"/>
                <w:i w:val="0"/>
                <w:iCs w:val="0"/>
                <w:color w:val="000000"/>
                <w:sz w:val="24"/>
                <w:szCs w:val="24"/>
                <w:u w:val="none"/>
              </w:rPr>
            </w:pPr>
          </w:p>
        </w:tc>
      </w:tr>
      <w:tr w14:paraId="16E9CE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0" w:type="auto"/>
            <w:vMerge w:val="continue"/>
            <w:tcBorders>
              <w:top w:val="single" w:color="auto" w:sz="4" w:space="0"/>
              <w:left w:val="single" w:color="000000" w:sz="4" w:space="0"/>
              <w:bottom w:val="single" w:color="auto" w:sz="4" w:space="0"/>
              <w:right w:val="single" w:color="000000" w:sz="4" w:space="0"/>
            </w:tcBorders>
            <w:noWrap/>
            <w:vAlign w:val="center"/>
          </w:tcPr>
          <w:p w14:paraId="01C74E6E">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D477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103</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9F0A8D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新垌</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89BAA0C">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noWrap/>
            <w:vAlign w:val="center"/>
          </w:tcPr>
          <w:p w14:paraId="397B93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36" w:type="dxa"/>
            <w:tcBorders>
              <w:top w:val="single" w:color="000000" w:sz="4" w:space="0"/>
              <w:left w:val="single" w:color="000000" w:sz="4" w:space="0"/>
              <w:bottom w:val="single" w:color="000000" w:sz="4" w:space="0"/>
              <w:right w:val="single" w:color="000000" w:sz="4" w:space="0"/>
            </w:tcBorders>
            <w:noWrap/>
            <w:vAlign w:val="center"/>
          </w:tcPr>
          <w:p w14:paraId="18E48ED6">
            <w:pPr>
              <w:jc w:val="center"/>
              <w:rPr>
                <w:rFonts w:hint="eastAsia" w:ascii="宋体" w:hAnsi="宋体" w:eastAsia="宋体" w:cs="宋体"/>
                <w:i w:val="0"/>
                <w:iCs w:val="0"/>
                <w:color w:val="000000"/>
                <w:sz w:val="24"/>
                <w:szCs w:val="24"/>
                <w:u w:val="none"/>
              </w:rPr>
            </w:pPr>
          </w:p>
        </w:tc>
        <w:tc>
          <w:tcPr>
            <w:tcW w:w="2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BA9FF">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最多间隔3天1次</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59E3E1A">
            <w:pPr>
              <w:jc w:val="center"/>
              <w:rPr>
                <w:rFonts w:hint="eastAsia" w:ascii="宋体" w:hAnsi="宋体" w:eastAsia="宋体" w:cs="宋体"/>
                <w:i w:val="0"/>
                <w:iCs w:val="0"/>
                <w:color w:val="000000"/>
                <w:sz w:val="24"/>
                <w:szCs w:val="24"/>
                <w:u w:val="none"/>
              </w:rPr>
            </w:pPr>
          </w:p>
        </w:tc>
      </w:tr>
      <w:tr w14:paraId="6279A0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0" w:type="auto"/>
            <w:vMerge w:val="restart"/>
            <w:tcBorders>
              <w:top w:val="single" w:color="auto" w:sz="4" w:space="0"/>
              <w:left w:val="single" w:color="000000" w:sz="4" w:space="0"/>
              <w:bottom w:val="single" w:color="auto" w:sz="4" w:space="0"/>
              <w:right w:val="single" w:color="000000" w:sz="4" w:space="0"/>
            </w:tcBorders>
            <w:noWrap/>
            <w:vAlign w:val="center"/>
          </w:tcPr>
          <w:p w14:paraId="0D631ECE">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思江村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F4D8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104</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43BF2A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樟木</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A3BB41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36" w:type="dxa"/>
            <w:tcBorders>
              <w:top w:val="single" w:color="000000" w:sz="4" w:space="0"/>
              <w:left w:val="single" w:color="000000" w:sz="4" w:space="0"/>
              <w:bottom w:val="single" w:color="000000" w:sz="4" w:space="0"/>
              <w:right w:val="single" w:color="000000" w:sz="4" w:space="0"/>
            </w:tcBorders>
            <w:noWrap/>
            <w:vAlign w:val="center"/>
          </w:tcPr>
          <w:p w14:paraId="1706B736">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noWrap/>
            <w:vAlign w:val="center"/>
          </w:tcPr>
          <w:p w14:paraId="76E49CD8">
            <w:pPr>
              <w:jc w:val="center"/>
              <w:rPr>
                <w:rFonts w:hint="eastAsia" w:ascii="宋体" w:hAnsi="宋体" w:eastAsia="宋体" w:cs="宋体"/>
                <w:i w:val="0"/>
                <w:iCs w:val="0"/>
                <w:color w:val="000000"/>
                <w:sz w:val="24"/>
                <w:szCs w:val="24"/>
                <w:u w:val="none"/>
              </w:rPr>
            </w:pPr>
          </w:p>
        </w:tc>
        <w:tc>
          <w:tcPr>
            <w:tcW w:w="2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26543">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最多间隔3天1次</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2269D77">
            <w:pPr>
              <w:jc w:val="center"/>
              <w:rPr>
                <w:rFonts w:hint="eastAsia" w:ascii="宋体" w:hAnsi="宋体" w:eastAsia="宋体" w:cs="宋体"/>
                <w:i w:val="0"/>
                <w:iCs w:val="0"/>
                <w:color w:val="000000"/>
                <w:sz w:val="24"/>
                <w:szCs w:val="24"/>
                <w:u w:val="none"/>
              </w:rPr>
            </w:pPr>
          </w:p>
        </w:tc>
      </w:tr>
      <w:tr w14:paraId="7B5838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0" w:type="auto"/>
            <w:vMerge w:val="continue"/>
            <w:tcBorders>
              <w:top w:val="single" w:color="auto" w:sz="4" w:space="0"/>
              <w:left w:val="single" w:color="000000" w:sz="4" w:space="0"/>
              <w:bottom w:val="single" w:color="auto" w:sz="4" w:space="0"/>
              <w:right w:val="single" w:color="000000" w:sz="4" w:space="0"/>
            </w:tcBorders>
            <w:noWrap/>
            <w:vAlign w:val="center"/>
          </w:tcPr>
          <w:p w14:paraId="44B2E447">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D076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105</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94448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思江</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68654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36" w:type="dxa"/>
            <w:tcBorders>
              <w:top w:val="single" w:color="000000" w:sz="4" w:space="0"/>
              <w:left w:val="single" w:color="000000" w:sz="4" w:space="0"/>
              <w:bottom w:val="single" w:color="000000" w:sz="4" w:space="0"/>
              <w:right w:val="single" w:color="000000" w:sz="4" w:space="0"/>
            </w:tcBorders>
            <w:noWrap/>
            <w:vAlign w:val="center"/>
          </w:tcPr>
          <w:p w14:paraId="057709D5">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noWrap/>
            <w:vAlign w:val="center"/>
          </w:tcPr>
          <w:p w14:paraId="35F74680">
            <w:pPr>
              <w:jc w:val="center"/>
              <w:rPr>
                <w:rFonts w:hint="eastAsia" w:ascii="宋体" w:hAnsi="宋体" w:eastAsia="宋体" w:cs="宋体"/>
                <w:i w:val="0"/>
                <w:iCs w:val="0"/>
                <w:color w:val="000000"/>
                <w:sz w:val="24"/>
                <w:szCs w:val="24"/>
                <w:u w:val="none"/>
              </w:rPr>
            </w:pPr>
          </w:p>
        </w:tc>
        <w:tc>
          <w:tcPr>
            <w:tcW w:w="2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A1AF3">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最多间隔3天1次</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86A3AD3">
            <w:pPr>
              <w:jc w:val="center"/>
              <w:rPr>
                <w:rFonts w:hint="eastAsia" w:ascii="宋体" w:hAnsi="宋体" w:eastAsia="宋体" w:cs="宋体"/>
                <w:i w:val="0"/>
                <w:iCs w:val="0"/>
                <w:color w:val="000000"/>
                <w:sz w:val="24"/>
                <w:szCs w:val="24"/>
                <w:u w:val="none"/>
              </w:rPr>
            </w:pPr>
          </w:p>
        </w:tc>
      </w:tr>
      <w:tr w14:paraId="2CFF35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0" w:type="auto"/>
            <w:vMerge w:val="continue"/>
            <w:tcBorders>
              <w:top w:val="single" w:color="auto" w:sz="4" w:space="0"/>
              <w:left w:val="single" w:color="000000" w:sz="4" w:space="0"/>
              <w:bottom w:val="single" w:color="auto" w:sz="4" w:space="0"/>
              <w:right w:val="single" w:color="000000" w:sz="4" w:space="0"/>
            </w:tcBorders>
            <w:noWrap/>
            <w:vAlign w:val="center"/>
          </w:tcPr>
          <w:p w14:paraId="6EAA19A9">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2F8A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106</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C1503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平公</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29182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36" w:type="dxa"/>
            <w:tcBorders>
              <w:top w:val="single" w:color="000000" w:sz="4" w:space="0"/>
              <w:left w:val="single" w:color="000000" w:sz="4" w:space="0"/>
              <w:bottom w:val="single" w:color="000000" w:sz="4" w:space="0"/>
              <w:right w:val="single" w:color="000000" w:sz="4" w:space="0"/>
            </w:tcBorders>
            <w:noWrap/>
            <w:vAlign w:val="center"/>
          </w:tcPr>
          <w:p w14:paraId="62127D78">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noWrap/>
            <w:vAlign w:val="center"/>
          </w:tcPr>
          <w:p w14:paraId="6BDD3099">
            <w:pPr>
              <w:jc w:val="center"/>
              <w:rPr>
                <w:rFonts w:hint="eastAsia" w:ascii="宋体" w:hAnsi="宋体" w:eastAsia="宋体" w:cs="宋体"/>
                <w:i w:val="0"/>
                <w:iCs w:val="0"/>
                <w:color w:val="000000"/>
                <w:sz w:val="24"/>
                <w:szCs w:val="24"/>
                <w:u w:val="none"/>
              </w:rPr>
            </w:pPr>
          </w:p>
        </w:tc>
        <w:tc>
          <w:tcPr>
            <w:tcW w:w="2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4E5B2">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最多间隔3天1次</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F35BA2A">
            <w:pPr>
              <w:jc w:val="center"/>
              <w:rPr>
                <w:rFonts w:hint="eastAsia" w:ascii="宋体" w:hAnsi="宋体" w:eastAsia="宋体" w:cs="宋体"/>
                <w:i w:val="0"/>
                <w:iCs w:val="0"/>
                <w:color w:val="000000"/>
                <w:sz w:val="24"/>
                <w:szCs w:val="24"/>
                <w:u w:val="none"/>
              </w:rPr>
            </w:pPr>
          </w:p>
        </w:tc>
      </w:tr>
      <w:tr w14:paraId="2EE44B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0" w:type="auto"/>
            <w:vMerge w:val="continue"/>
            <w:tcBorders>
              <w:top w:val="single" w:color="auto" w:sz="4" w:space="0"/>
              <w:left w:val="single" w:color="000000" w:sz="4" w:space="0"/>
              <w:bottom w:val="single" w:color="auto" w:sz="4" w:space="0"/>
              <w:right w:val="single" w:color="000000" w:sz="4" w:space="0"/>
            </w:tcBorders>
            <w:noWrap/>
            <w:vAlign w:val="center"/>
          </w:tcPr>
          <w:p w14:paraId="60846347">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F96B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107</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FDF87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从广</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EB0C8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36" w:type="dxa"/>
            <w:tcBorders>
              <w:top w:val="single" w:color="000000" w:sz="4" w:space="0"/>
              <w:left w:val="single" w:color="000000" w:sz="4" w:space="0"/>
              <w:bottom w:val="single" w:color="000000" w:sz="4" w:space="0"/>
              <w:right w:val="single" w:color="000000" w:sz="4" w:space="0"/>
            </w:tcBorders>
            <w:noWrap/>
            <w:vAlign w:val="center"/>
          </w:tcPr>
          <w:p w14:paraId="651D803F">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noWrap/>
            <w:vAlign w:val="center"/>
          </w:tcPr>
          <w:p w14:paraId="67EA313B">
            <w:pPr>
              <w:jc w:val="center"/>
              <w:rPr>
                <w:rFonts w:hint="eastAsia" w:ascii="宋体" w:hAnsi="宋体" w:eastAsia="宋体" w:cs="宋体"/>
                <w:i w:val="0"/>
                <w:iCs w:val="0"/>
                <w:color w:val="000000"/>
                <w:sz w:val="24"/>
                <w:szCs w:val="24"/>
                <w:u w:val="none"/>
              </w:rPr>
            </w:pPr>
          </w:p>
        </w:tc>
        <w:tc>
          <w:tcPr>
            <w:tcW w:w="2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9BE4A">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最多间隔3天1次</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DFBCA32">
            <w:pPr>
              <w:jc w:val="center"/>
              <w:rPr>
                <w:rFonts w:hint="eastAsia" w:ascii="宋体" w:hAnsi="宋体" w:eastAsia="宋体" w:cs="宋体"/>
                <w:i w:val="0"/>
                <w:iCs w:val="0"/>
                <w:color w:val="000000"/>
                <w:sz w:val="24"/>
                <w:szCs w:val="24"/>
                <w:u w:val="none"/>
              </w:rPr>
            </w:pPr>
          </w:p>
        </w:tc>
      </w:tr>
      <w:tr w14:paraId="5882F2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0" w:type="auto"/>
            <w:vMerge w:val="continue"/>
            <w:tcBorders>
              <w:top w:val="single" w:color="auto" w:sz="4" w:space="0"/>
              <w:left w:val="single" w:color="000000" w:sz="4" w:space="0"/>
              <w:bottom w:val="single" w:color="auto" w:sz="4" w:space="0"/>
              <w:right w:val="single" w:color="000000" w:sz="4" w:space="0"/>
            </w:tcBorders>
            <w:noWrap/>
            <w:vAlign w:val="center"/>
          </w:tcPr>
          <w:p w14:paraId="45E9305E">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1C30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108</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CD316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机柏</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48566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36" w:type="dxa"/>
            <w:tcBorders>
              <w:top w:val="single" w:color="000000" w:sz="4" w:space="0"/>
              <w:left w:val="single" w:color="000000" w:sz="4" w:space="0"/>
              <w:bottom w:val="single" w:color="000000" w:sz="4" w:space="0"/>
              <w:right w:val="single" w:color="000000" w:sz="4" w:space="0"/>
            </w:tcBorders>
            <w:noWrap/>
            <w:vAlign w:val="center"/>
          </w:tcPr>
          <w:p w14:paraId="0EBAFD7C">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noWrap/>
            <w:vAlign w:val="center"/>
          </w:tcPr>
          <w:p w14:paraId="7C44443E">
            <w:pPr>
              <w:jc w:val="center"/>
              <w:rPr>
                <w:rFonts w:hint="eastAsia" w:ascii="宋体" w:hAnsi="宋体" w:eastAsia="宋体" w:cs="宋体"/>
                <w:i w:val="0"/>
                <w:iCs w:val="0"/>
                <w:color w:val="000000"/>
                <w:sz w:val="24"/>
                <w:szCs w:val="24"/>
                <w:u w:val="none"/>
              </w:rPr>
            </w:pPr>
          </w:p>
        </w:tc>
        <w:tc>
          <w:tcPr>
            <w:tcW w:w="2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19DD2">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最多间隔3天1次</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26D0B42">
            <w:pPr>
              <w:jc w:val="center"/>
              <w:rPr>
                <w:rFonts w:hint="eastAsia" w:ascii="宋体" w:hAnsi="宋体" w:eastAsia="宋体" w:cs="宋体"/>
                <w:i w:val="0"/>
                <w:iCs w:val="0"/>
                <w:color w:val="000000"/>
                <w:sz w:val="24"/>
                <w:szCs w:val="24"/>
                <w:u w:val="none"/>
              </w:rPr>
            </w:pPr>
          </w:p>
        </w:tc>
      </w:tr>
      <w:tr w14:paraId="143D11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0" w:type="auto"/>
            <w:vMerge w:val="continue"/>
            <w:tcBorders>
              <w:top w:val="single" w:color="auto" w:sz="4" w:space="0"/>
              <w:left w:val="single" w:color="000000" w:sz="4" w:space="0"/>
              <w:bottom w:val="single" w:color="auto" w:sz="4" w:space="0"/>
              <w:right w:val="single" w:color="000000" w:sz="4" w:space="0"/>
            </w:tcBorders>
            <w:noWrap/>
            <w:vAlign w:val="center"/>
          </w:tcPr>
          <w:p w14:paraId="768306F4">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4AE7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109</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6BF5E1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古龙</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696668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36" w:type="dxa"/>
            <w:tcBorders>
              <w:top w:val="single" w:color="000000" w:sz="4" w:space="0"/>
              <w:left w:val="single" w:color="000000" w:sz="4" w:space="0"/>
              <w:bottom w:val="single" w:color="000000" w:sz="4" w:space="0"/>
              <w:right w:val="single" w:color="000000" w:sz="4" w:space="0"/>
            </w:tcBorders>
            <w:noWrap/>
            <w:vAlign w:val="center"/>
          </w:tcPr>
          <w:p w14:paraId="6C608745">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noWrap/>
            <w:vAlign w:val="center"/>
          </w:tcPr>
          <w:p w14:paraId="1C97ACF2">
            <w:pPr>
              <w:jc w:val="center"/>
              <w:rPr>
                <w:rFonts w:hint="eastAsia" w:ascii="宋体" w:hAnsi="宋体" w:eastAsia="宋体" w:cs="宋体"/>
                <w:i w:val="0"/>
                <w:iCs w:val="0"/>
                <w:color w:val="000000"/>
                <w:sz w:val="24"/>
                <w:szCs w:val="24"/>
                <w:u w:val="none"/>
              </w:rPr>
            </w:pPr>
          </w:p>
        </w:tc>
        <w:tc>
          <w:tcPr>
            <w:tcW w:w="2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770BA">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最多间隔3天1次</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11C6F7A">
            <w:pPr>
              <w:jc w:val="center"/>
              <w:rPr>
                <w:rFonts w:hint="eastAsia" w:ascii="宋体" w:hAnsi="宋体" w:eastAsia="宋体" w:cs="宋体"/>
                <w:i w:val="0"/>
                <w:iCs w:val="0"/>
                <w:color w:val="000000"/>
                <w:sz w:val="24"/>
                <w:szCs w:val="24"/>
                <w:u w:val="none"/>
              </w:rPr>
            </w:pPr>
          </w:p>
        </w:tc>
      </w:tr>
      <w:tr w14:paraId="0572DF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0" w:type="auto"/>
            <w:vMerge w:val="continue"/>
            <w:tcBorders>
              <w:top w:val="single" w:color="auto" w:sz="4" w:space="0"/>
              <w:left w:val="single" w:color="000000" w:sz="4" w:space="0"/>
              <w:bottom w:val="single" w:color="auto" w:sz="4" w:space="0"/>
              <w:right w:val="single" w:color="000000" w:sz="4" w:space="0"/>
            </w:tcBorders>
            <w:noWrap/>
            <w:vAlign w:val="center"/>
          </w:tcPr>
          <w:p w14:paraId="4C254E9A">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FA6D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110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EE054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龙模</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EA1C8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36" w:type="dxa"/>
            <w:tcBorders>
              <w:top w:val="single" w:color="000000" w:sz="4" w:space="0"/>
              <w:left w:val="single" w:color="000000" w:sz="4" w:space="0"/>
              <w:bottom w:val="single" w:color="000000" w:sz="4" w:space="0"/>
              <w:right w:val="single" w:color="000000" w:sz="4" w:space="0"/>
            </w:tcBorders>
            <w:noWrap/>
            <w:vAlign w:val="center"/>
          </w:tcPr>
          <w:p w14:paraId="0A57C216">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noWrap/>
            <w:vAlign w:val="center"/>
          </w:tcPr>
          <w:p w14:paraId="6CFAF3B0">
            <w:pPr>
              <w:jc w:val="center"/>
              <w:rPr>
                <w:rFonts w:hint="eastAsia" w:ascii="宋体" w:hAnsi="宋体" w:eastAsia="宋体" w:cs="宋体"/>
                <w:i w:val="0"/>
                <w:iCs w:val="0"/>
                <w:color w:val="000000"/>
                <w:sz w:val="24"/>
                <w:szCs w:val="24"/>
                <w:u w:val="none"/>
              </w:rPr>
            </w:pPr>
          </w:p>
        </w:tc>
        <w:tc>
          <w:tcPr>
            <w:tcW w:w="2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F6B1D">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最多间隔3天1次</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12B144D">
            <w:pPr>
              <w:jc w:val="center"/>
              <w:rPr>
                <w:rFonts w:hint="eastAsia" w:ascii="宋体" w:hAnsi="宋体" w:eastAsia="宋体" w:cs="宋体"/>
                <w:i w:val="0"/>
                <w:iCs w:val="0"/>
                <w:color w:val="000000"/>
                <w:sz w:val="24"/>
                <w:szCs w:val="24"/>
                <w:u w:val="none"/>
              </w:rPr>
            </w:pPr>
          </w:p>
        </w:tc>
      </w:tr>
      <w:tr w14:paraId="00C9C5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56" w:type="dxa"/>
            <w:vMerge w:val="restart"/>
            <w:tcBorders>
              <w:top w:val="single" w:color="auto" w:sz="4" w:space="0"/>
              <w:left w:val="single" w:color="auto" w:sz="4" w:space="0"/>
              <w:bottom w:val="single" w:color="auto" w:sz="4" w:space="0"/>
              <w:right w:val="single" w:color="auto" w:sz="4" w:space="0"/>
            </w:tcBorders>
            <w:noWrap/>
            <w:vAlign w:val="center"/>
          </w:tcPr>
          <w:p w14:paraId="7B64CC7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p w14:paraId="26BE423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p w14:paraId="12DB061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p w14:paraId="616EC2E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p w14:paraId="6792A0A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p w14:paraId="60261CB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黄塘村</w:t>
            </w:r>
          </w:p>
          <w:p w14:paraId="17F49ABC">
            <w:pPr>
              <w:jc w:val="both"/>
              <w:rPr>
                <w:rFonts w:hint="eastAsia" w:ascii="宋体" w:hAnsi="宋体" w:eastAsia="宋体" w:cs="宋体"/>
                <w:i w:val="0"/>
                <w:iCs w:val="0"/>
                <w:color w:val="000000"/>
                <w:sz w:val="24"/>
                <w:szCs w:val="24"/>
                <w:u w:val="none"/>
                <w:lang w:val="en-US" w:eastAsia="zh-CN"/>
              </w:rPr>
            </w:pPr>
          </w:p>
          <w:p w14:paraId="7A87F662">
            <w:pPr>
              <w:jc w:val="both"/>
              <w:rPr>
                <w:rFonts w:hint="eastAsia" w:ascii="宋体" w:hAnsi="宋体" w:eastAsia="宋体" w:cs="宋体"/>
                <w:i w:val="0"/>
                <w:iCs w:val="0"/>
                <w:color w:val="000000"/>
                <w:sz w:val="24"/>
                <w:szCs w:val="24"/>
                <w:u w:val="none"/>
                <w:lang w:val="en-US" w:eastAsia="zh-CN"/>
              </w:rPr>
            </w:pPr>
          </w:p>
          <w:p w14:paraId="3C40F003">
            <w:pPr>
              <w:jc w:val="both"/>
              <w:rPr>
                <w:rFonts w:hint="eastAsia" w:ascii="宋体" w:hAnsi="宋体" w:eastAsia="宋体" w:cs="宋体"/>
                <w:i w:val="0"/>
                <w:iCs w:val="0"/>
                <w:color w:val="000000"/>
                <w:sz w:val="24"/>
                <w:szCs w:val="24"/>
                <w:u w:val="none"/>
                <w:lang w:val="en-US" w:eastAsia="zh-CN"/>
              </w:rPr>
            </w:pPr>
          </w:p>
          <w:p w14:paraId="5BB97982">
            <w:pPr>
              <w:jc w:val="both"/>
              <w:rPr>
                <w:rFonts w:hint="eastAsia" w:ascii="宋体" w:hAnsi="宋体" w:eastAsia="宋体" w:cs="宋体"/>
                <w:i w:val="0"/>
                <w:iCs w:val="0"/>
                <w:color w:val="000000"/>
                <w:sz w:val="24"/>
                <w:szCs w:val="24"/>
                <w:u w:val="none"/>
                <w:lang w:val="en-US" w:eastAsia="zh-CN"/>
              </w:rPr>
            </w:pPr>
          </w:p>
          <w:p w14:paraId="02BA36E0">
            <w:pPr>
              <w:ind w:firstLine="240" w:firstLineChars="100"/>
              <w:jc w:val="both"/>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黄塘村</w:t>
            </w:r>
          </w:p>
        </w:tc>
        <w:tc>
          <w:tcPr>
            <w:tcW w:w="0" w:type="auto"/>
            <w:tcBorders>
              <w:top w:val="single" w:color="000000" w:sz="4" w:space="0"/>
              <w:left w:val="single" w:color="auto" w:sz="4" w:space="0"/>
              <w:bottom w:val="single" w:color="000000" w:sz="4" w:space="0"/>
              <w:right w:val="single" w:color="000000" w:sz="4" w:space="0"/>
            </w:tcBorders>
            <w:shd w:val="clear" w:color="auto" w:fill="auto"/>
            <w:noWrap/>
            <w:vAlign w:val="center"/>
          </w:tcPr>
          <w:p w14:paraId="343BD56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111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9D7CF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底料</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A50D3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36" w:type="dxa"/>
            <w:tcBorders>
              <w:top w:val="single" w:color="000000" w:sz="4" w:space="0"/>
              <w:left w:val="single" w:color="000000" w:sz="4" w:space="0"/>
              <w:bottom w:val="single" w:color="000000" w:sz="4" w:space="0"/>
              <w:right w:val="single" w:color="000000" w:sz="4" w:space="0"/>
            </w:tcBorders>
            <w:noWrap/>
            <w:vAlign w:val="center"/>
          </w:tcPr>
          <w:p w14:paraId="40CB8808">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noWrap/>
            <w:vAlign w:val="center"/>
          </w:tcPr>
          <w:p w14:paraId="3622CC9F">
            <w:pPr>
              <w:jc w:val="center"/>
              <w:rPr>
                <w:rFonts w:hint="eastAsia" w:ascii="宋体" w:hAnsi="宋体" w:eastAsia="宋体" w:cs="宋体"/>
                <w:i w:val="0"/>
                <w:iCs w:val="0"/>
                <w:color w:val="000000"/>
                <w:sz w:val="24"/>
                <w:szCs w:val="24"/>
                <w:u w:val="none"/>
              </w:rPr>
            </w:pPr>
          </w:p>
        </w:tc>
        <w:tc>
          <w:tcPr>
            <w:tcW w:w="2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0D307">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最多间隔3天1次</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6487660">
            <w:pPr>
              <w:jc w:val="center"/>
              <w:rPr>
                <w:rFonts w:hint="eastAsia" w:ascii="宋体" w:hAnsi="宋体" w:eastAsia="宋体" w:cs="宋体"/>
                <w:i w:val="0"/>
                <w:iCs w:val="0"/>
                <w:color w:val="000000"/>
                <w:sz w:val="24"/>
                <w:szCs w:val="24"/>
                <w:u w:val="none"/>
              </w:rPr>
            </w:pPr>
          </w:p>
        </w:tc>
      </w:tr>
      <w:tr w14:paraId="688293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56" w:type="dxa"/>
            <w:vMerge w:val="continue"/>
            <w:tcBorders>
              <w:top w:val="single" w:color="auto" w:sz="4" w:space="0"/>
              <w:left w:val="single" w:color="auto" w:sz="4" w:space="0"/>
              <w:bottom w:val="single" w:color="auto" w:sz="4" w:space="0"/>
              <w:right w:val="single" w:color="auto" w:sz="4" w:space="0"/>
            </w:tcBorders>
            <w:noWrap/>
            <w:vAlign w:val="center"/>
          </w:tcPr>
          <w:p w14:paraId="0D12794C">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auto" w:sz="4" w:space="0"/>
              <w:bottom w:val="single" w:color="000000" w:sz="4" w:space="0"/>
              <w:right w:val="single" w:color="000000" w:sz="4" w:space="0"/>
            </w:tcBorders>
            <w:shd w:val="clear" w:color="auto" w:fill="auto"/>
            <w:noWrap/>
            <w:vAlign w:val="center"/>
          </w:tcPr>
          <w:p w14:paraId="2ADAEFB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112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5EB70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谷仓</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412BE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36" w:type="dxa"/>
            <w:tcBorders>
              <w:top w:val="single" w:color="000000" w:sz="4" w:space="0"/>
              <w:left w:val="single" w:color="000000" w:sz="4" w:space="0"/>
              <w:bottom w:val="single" w:color="000000" w:sz="4" w:space="0"/>
              <w:right w:val="single" w:color="000000" w:sz="4" w:space="0"/>
            </w:tcBorders>
            <w:noWrap/>
            <w:vAlign w:val="center"/>
          </w:tcPr>
          <w:p w14:paraId="612D1442">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noWrap/>
            <w:vAlign w:val="center"/>
          </w:tcPr>
          <w:p w14:paraId="176517DF">
            <w:pPr>
              <w:jc w:val="center"/>
              <w:rPr>
                <w:rFonts w:hint="eastAsia" w:ascii="宋体" w:hAnsi="宋体" w:eastAsia="宋体" w:cs="宋体"/>
                <w:i w:val="0"/>
                <w:iCs w:val="0"/>
                <w:color w:val="000000"/>
                <w:sz w:val="24"/>
                <w:szCs w:val="24"/>
                <w:u w:val="none"/>
              </w:rPr>
            </w:pPr>
          </w:p>
        </w:tc>
        <w:tc>
          <w:tcPr>
            <w:tcW w:w="2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2A5D5">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最多间隔3天1次</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36C2278">
            <w:pPr>
              <w:jc w:val="center"/>
              <w:rPr>
                <w:rFonts w:hint="eastAsia" w:ascii="宋体" w:hAnsi="宋体" w:eastAsia="宋体" w:cs="宋体"/>
                <w:i w:val="0"/>
                <w:iCs w:val="0"/>
                <w:color w:val="000000"/>
                <w:sz w:val="24"/>
                <w:szCs w:val="24"/>
                <w:u w:val="none"/>
              </w:rPr>
            </w:pPr>
          </w:p>
        </w:tc>
      </w:tr>
      <w:tr w14:paraId="2A5485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56" w:type="dxa"/>
            <w:vMerge w:val="continue"/>
            <w:tcBorders>
              <w:top w:val="single" w:color="auto" w:sz="4" w:space="0"/>
              <w:left w:val="single" w:color="auto" w:sz="4" w:space="0"/>
              <w:bottom w:val="single" w:color="auto" w:sz="4" w:space="0"/>
              <w:right w:val="single" w:color="auto" w:sz="4" w:space="0"/>
            </w:tcBorders>
            <w:noWrap/>
            <w:vAlign w:val="center"/>
          </w:tcPr>
          <w:p w14:paraId="1EC6B55D">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auto" w:sz="4" w:space="0"/>
              <w:bottom w:val="single" w:color="000000" w:sz="4" w:space="0"/>
              <w:right w:val="single" w:color="000000" w:sz="4" w:space="0"/>
            </w:tcBorders>
            <w:shd w:val="clear" w:color="auto" w:fill="auto"/>
            <w:noWrap/>
            <w:vAlign w:val="center"/>
          </w:tcPr>
          <w:p w14:paraId="01BE123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113</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C2D66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上料</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160C8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36" w:type="dxa"/>
            <w:tcBorders>
              <w:top w:val="single" w:color="000000" w:sz="4" w:space="0"/>
              <w:left w:val="single" w:color="000000" w:sz="4" w:space="0"/>
              <w:bottom w:val="single" w:color="000000" w:sz="4" w:space="0"/>
              <w:right w:val="single" w:color="000000" w:sz="4" w:space="0"/>
            </w:tcBorders>
            <w:noWrap/>
            <w:vAlign w:val="center"/>
          </w:tcPr>
          <w:p w14:paraId="0B640E40">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noWrap/>
            <w:vAlign w:val="center"/>
          </w:tcPr>
          <w:p w14:paraId="78F89823">
            <w:pPr>
              <w:jc w:val="center"/>
              <w:rPr>
                <w:rFonts w:hint="eastAsia" w:ascii="宋体" w:hAnsi="宋体" w:eastAsia="宋体" w:cs="宋体"/>
                <w:i w:val="0"/>
                <w:iCs w:val="0"/>
                <w:color w:val="000000"/>
                <w:sz w:val="24"/>
                <w:szCs w:val="24"/>
                <w:u w:val="none"/>
              </w:rPr>
            </w:pPr>
          </w:p>
        </w:tc>
        <w:tc>
          <w:tcPr>
            <w:tcW w:w="2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50B3A">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最多间隔3天1次</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701C02D">
            <w:pPr>
              <w:jc w:val="center"/>
              <w:rPr>
                <w:rFonts w:hint="eastAsia" w:ascii="宋体" w:hAnsi="宋体" w:eastAsia="宋体" w:cs="宋体"/>
                <w:i w:val="0"/>
                <w:iCs w:val="0"/>
                <w:color w:val="000000"/>
                <w:sz w:val="24"/>
                <w:szCs w:val="24"/>
                <w:u w:val="none"/>
              </w:rPr>
            </w:pPr>
          </w:p>
        </w:tc>
      </w:tr>
      <w:tr w14:paraId="110B03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56" w:type="dxa"/>
            <w:vMerge w:val="continue"/>
            <w:tcBorders>
              <w:top w:val="single" w:color="auto" w:sz="4" w:space="0"/>
              <w:left w:val="single" w:color="auto" w:sz="4" w:space="0"/>
              <w:bottom w:val="single" w:color="auto" w:sz="4" w:space="0"/>
              <w:right w:val="single" w:color="auto" w:sz="4" w:space="0"/>
            </w:tcBorders>
            <w:noWrap/>
            <w:vAlign w:val="center"/>
          </w:tcPr>
          <w:p w14:paraId="14B5CC6F">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auto" w:sz="4" w:space="0"/>
              <w:bottom w:val="single" w:color="000000" w:sz="4" w:space="0"/>
              <w:right w:val="single" w:color="000000" w:sz="4" w:space="0"/>
            </w:tcBorders>
            <w:shd w:val="clear" w:color="auto" w:fill="auto"/>
            <w:noWrap/>
            <w:vAlign w:val="center"/>
          </w:tcPr>
          <w:p w14:paraId="5AA75B4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114</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0340C7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茅棚</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9127A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36" w:type="dxa"/>
            <w:tcBorders>
              <w:top w:val="single" w:color="000000" w:sz="4" w:space="0"/>
              <w:left w:val="single" w:color="000000" w:sz="4" w:space="0"/>
              <w:bottom w:val="single" w:color="000000" w:sz="4" w:space="0"/>
              <w:right w:val="single" w:color="000000" w:sz="4" w:space="0"/>
            </w:tcBorders>
            <w:noWrap/>
            <w:vAlign w:val="center"/>
          </w:tcPr>
          <w:p w14:paraId="071427AD">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noWrap/>
            <w:vAlign w:val="center"/>
          </w:tcPr>
          <w:p w14:paraId="7DBFACEF">
            <w:pPr>
              <w:jc w:val="center"/>
              <w:rPr>
                <w:rFonts w:hint="eastAsia" w:ascii="宋体" w:hAnsi="宋体" w:eastAsia="宋体" w:cs="宋体"/>
                <w:i w:val="0"/>
                <w:iCs w:val="0"/>
                <w:color w:val="000000"/>
                <w:sz w:val="24"/>
                <w:szCs w:val="24"/>
                <w:u w:val="none"/>
              </w:rPr>
            </w:pPr>
          </w:p>
        </w:tc>
        <w:tc>
          <w:tcPr>
            <w:tcW w:w="2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37D3E">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最多间隔3天1次</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D73C551">
            <w:pPr>
              <w:jc w:val="center"/>
              <w:rPr>
                <w:rFonts w:hint="eastAsia" w:ascii="宋体" w:hAnsi="宋体" w:eastAsia="宋体" w:cs="宋体"/>
                <w:i w:val="0"/>
                <w:iCs w:val="0"/>
                <w:color w:val="000000"/>
                <w:sz w:val="24"/>
                <w:szCs w:val="24"/>
                <w:u w:val="none"/>
              </w:rPr>
            </w:pPr>
          </w:p>
        </w:tc>
      </w:tr>
      <w:tr w14:paraId="1EE79D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56" w:type="dxa"/>
            <w:vMerge w:val="continue"/>
            <w:tcBorders>
              <w:top w:val="single" w:color="auto" w:sz="4" w:space="0"/>
              <w:left w:val="single" w:color="auto" w:sz="4" w:space="0"/>
              <w:bottom w:val="single" w:color="auto" w:sz="4" w:space="0"/>
              <w:right w:val="single" w:color="auto" w:sz="4" w:space="0"/>
            </w:tcBorders>
            <w:noWrap/>
            <w:vAlign w:val="center"/>
          </w:tcPr>
          <w:p w14:paraId="03191090">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auto" w:sz="4" w:space="0"/>
              <w:bottom w:val="single" w:color="000000" w:sz="4" w:space="0"/>
              <w:right w:val="single" w:color="000000" w:sz="4" w:space="0"/>
            </w:tcBorders>
            <w:shd w:val="clear" w:color="auto" w:fill="auto"/>
            <w:noWrap/>
            <w:vAlign w:val="center"/>
          </w:tcPr>
          <w:p w14:paraId="64448BF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115</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CAD4E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大畲</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2CD3E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36" w:type="dxa"/>
            <w:tcBorders>
              <w:top w:val="single" w:color="000000" w:sz="4" w:space="0"/>
              <w:left w:val="single" w:color="000000" w:sz="4" w:space="0"/>
              <w:bottom w:val="single" w:color="000000" w:sz="4" w:space="0"/>
              <w:right w:val="single" w:color="000000" w:sz="4" w:space="0"/>
            </w:tcBorders>
            <w:noWrap/>
            <w:vAlign w:val="center"/>
          </w:tcPr>
          <w:p w14:paraId="6018112C">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noWrap/>
            <w:vAlign w:val="center"/>
          </w:tcPr>
          <w:p w14:paraId="6AD19B75">
            <w:pPr>
              <w:jc w:val="center"/>
              <w:rPr>
                <w:rFonts w:hint="eastAsia" w:ascii="宋体" w:hAnsi="宋体" w:eastAsia="宋体" w:cs="宋体"/>
                <w:i w:val="0"/>
                <w:iCs w:val="0"/>
                <w:color w:val="000000"/>
                <w:sz w:val="24"/>
                <w:szCs w:val="24"/>
                <w:u w:val="none"/>
              </w:rPr>
            </w:pPr>
          </w:p>
        </w:tc>
        <w:tc>
          <w:tcPr>
            <w:tcW w:w="2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A7384">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最多间隔3天1次</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BC4BC8E">
            <w:pPr>
              <w:jc w:val="center"/>
              <w:rPr>
                <w:rFonts w:hint="eastAsia" w:ascii="宋体" w:hAnsi="宋体" w:eastAsia="宋体" w:cs="宋体"/>
                <w:i w:val="0"/>
                <w:iCs w:val="0"/>
                <w:color w:val="000000"/>
                <w:sz w:val="24"/>
                <w:szCs w:val="24"/>
                <w:u w:val="none"/>
              </w:rPr>
            </w:pPr>
          </w:p>
        </w:tc>
      </w:tr>
      <w:tr w14:paraId="4DA0D4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56" w:type="dxa"/>
            <w:vMerge w:val="continue"/>
            <w:tcBorders>
              <w:top w:val="single" w:color="auto" w:sz="4" w:space="0"/>
              <w:left w:val="single" w:color="auto" w:sz="4" w:space="0"/>
              <w:bottom w:val="single" w:color="auto" w:sz="4" w:space="0"/>
              <w:right w:val="single" w:color="auto" w:sz="4" w:space="0"/>
            </w:tcBorders>
            <w:noWrap/>
            <w:vAlign w:val="center"/>
          </w:tcPr>
          <w:p w14:paraId="27D4C2A8">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auto" w:sz="4" w:space="0"/>
              <w:bottom w:val="single" w:color="000000" w:sz="4" w:space="0"/>
              <w:right w:val="single" w:color="000000" w:sz="4" w:space="0"/>
            </w:tcBorders>
            <w:shd w:val="clear" w:color="auto" w:fill="auto"/>
            <w:noWrap/>
            <w:vAlign w:val="center"/>
          </w:tcPr>
          <w:p w14:paraId="04B5BC7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116</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C6D6C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老村</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ED62B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36" w:type="dxa"/>
            <w:tcBorders>
              <w:top w:val="single" w:color="000000" w:sz="4" w:space="0"/>
              <w:left w:val="single" w:color="000000" w:sz="4" w:space="0"/>
              <w:bottom w:val="single" w:color="000000" w:sz="4" w:space="0"/>
              <w:right w:val="single" w:color="000000" w:sz="4" w:space="0"/>
            </w:tcBorders>
            <w:noWrap/>
            <w:vAlign w:val="center"/>
          </w:tcPr>
          <w:p w14:paraId="11E7FFF8">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noWrap/>
            <w:vAlign w:val="center"/>
          </w:tcPr>
          <w:p w14:paraId="344AD3A5">
            <w:pPr>
              <w:jc w:val="center"/>
              <w:rPr>
                <w:rFonts w:hint="eastAsia" w:ascii="宋体" w:hAnsi="宋体" w:eastAsia="宋体" w:cs="宋体"/>
                <w:i w:val="0"/>
                <w:iCs w:val="0"/>
                <w:color w:val="000000"/>
                <w:sz w:val="24"/>
                <w:szCs w:val="24"/>
                <w:u w:val="none"/>
              </w:rPr>
            </w:pPr>
          </w:p>
        </w:tc>
        <w:tc>
          <w:tcPr>
            <w:tcW w:w="2136" w:type="dxa"/>
            <w:tcBorders>
              <w:top w:val="single" w:color="000000" w:sz="4" w:space="0"/>
              <w:left w:val="single" w:color="000000" w:sz="4" w:space="0"/>
              <w:bottom w:val="single" w:color="000000" w:sz="4" w:space="0"/>
              <w:right w:val="single" w:color="000000" w:sz="4" w:space="0"/>
            </w:tcBorders>
            <w:noWrap/>
            <w:vAlign w:val="center"/>
          </w:tcPr>
          <w:p w14:paraId="6C30EB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最多间隔3天1次</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DF4E7E2">
            <w:pPr>
              <w:jc w:val="center"/>
              <w:rPr>
                <w:rFonts w:hint="eastAsia" w:ascii="宋体" w:hAnsi="宋体" w:eastAsia="宋体" w:cs="宋体"/>
                <w:i w:val="0"/>
                <w:iCs w:val="0"/>
                <w:color w:val="000000"/>
                <w:sz w:val="24"/>
                <w:szCs w:val="24"/>
                <w:u w:val="none"/>
              </w:rPr>
            </w:pPr>
          </w:p>
        </w:tc>
      </w:tr>
      <w:tr w14:paraId="1A862E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56" w:type="dxa"/>
            <w:vMerge w:val="continue"/>
            <w:tcBorders>
              <w:top w:val="single" w:color="auto" w:sz="4" w:space="0"/>
              <w:left w:val="single" w:color="auto" w:sz="4" w:space="0"/>
              <w:bottom w:val="single" w:color="auto" w:sz="4" w:space="0"/>
              <w:right w:val="single" w:color="auto" w:sz="4" w:space="0"/>
            </w:tcBorders>
            <w:noWrap/>
            <w:vAlign w:val="center"/>
          </w:tcPr>
          <w:p w14:paraId="6BA6A002">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auto" w:sz="4" w:space="0"/>
              <w:bottom w:val="single" w:color="000000" w:sz="4" w:space="0"/>
              <w:right w:val="single" w:color="000000" w:sz="4" w:space="0"/>
            </w:tcBorders>
            <w:shd w:val="clear" w:color="auto" w:fill="auto"/>
            <w:noWrap/>
            <w:vAlign w:val="center"/>
          </w:tcPr>
          <w:p w14:paraId="6F3F189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117</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240BC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瓦厂</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F4A7D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36" w:type="dxa"/>
            <w:tcBorders>
              <w:top w:val="single" w:color="000000" w:sz="4" w:space="0"/>
              <w:left w:val="single" w:color="000000" w:sz="4" w:space="0"/>
              <w:bottom w:val="single" w:color="000000" w:sz="4" w:space="0"/>
              <w:right w:val="single" w:color="000000" w:sz="4" w:space="0"/>
            </w:tcBorders>
            <w:noWrap/>
            <w:vAlign w:val="center"/>
          </w:tcPr>
          <w:p w14:paraId="6F90A9EE">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noWrap/>
            <w:vAlign w:val="center"/>
          </w:tcPr>
          <w:p w14:paraId="6CF11AC7">
            <w:pPr>
              <w:jc w:val="center"/>
              <w:rPr>
                <w:rFonts w:hint="eastAsia" w:ascii="宋体" w:hAnsi="宋体" w:eastAsia="宋体" w:cs="宋体"/>
                <w:i w:val="0"/>
                <w:iCs w:val="0"/>
                <w:color w:val="000000"/>
                <w:sz w:val="24"/>
                <w:szCs w:val="24"/>
                <w:u w:val="none"/>
              </w:rPr>
            </w:pPr>
          </w:p>
        </w:tc>
        <w:tc>
          <w:tcPr>
            <w:tcW w:w="2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50FA3">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最多间隔3天1次</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57D561A">
            <w:pPr>
              <w:jc w:val="center"/>
              <w:rPr>
                <w:rFonts w:hint="eastAsia" w:ascii="宋体" w:hAnsi="宋体" w:eastAsia="宋体" w:cs="宋体"/>
                <w:i w:val="0"/>
                <w:iCs w:val="0"/>
                <w:color w:val="000000"/>
                <w:sz w:val="24"/>
                <w:szCs w:val="24"/>
                <w:u w:val="none"/>
              </w:rPr>
            </w:pPr>
          </w:p>
        </w:tc>
      </w:tr>
      <w:tr w14:paraId="11FBCD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56" w:type="dxa"/>
            <w:vMerge w:val="continue"/>
            <w:tcBorders>
              <w:top w:val="single" w:color="auto" w:sz="4" w:space="0"/>
              <w:left w:val="single" w:color="auto" w:sz="4" w:space="0"/>
              <w:bottom w:val="single" w:color="auto" w:sz="4" w:space="0"/>
              <w:right w:val="single" w:color="auto" w:sz="4" w:space="0"/>
            </w:tcBorders>
            <w:noWrap/>
            <w:vAlign w:val="center"/>
          </w:tcPr>
          <w:p w14:paraId="38E09F74">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auto" w:sz="4" w:space="0"/>
              <w:bottom w:val="single" w:color="000000" w:sz="4" w:space="0"/>
              <w:right w:val="single" w:color="000000" w:sz="4" w:space="0"/>
            </w:tcBorders>
            <w:shd w:val="clear" w:color="auto" w:fill="auto"/>
            <w:noWrap/>
            <w:vAlign w:val="center"/>
          </w:tcPr>
          <w:p w14:paraId="043F1A1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118</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7A37F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石甲</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EC884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36" w:type="dxa"/>
            <w:tcBorders>
              <w:top w:val="single" w:color="000000" w:sz="4" w:space="0"/>
              <w:left w:val="single" w:color="000000" w:sz="4" w:space="0"/>
              <w:bottom w:val="single" w:color="000000" w:sz="4" w:space="0"/>
              <w:right w:val="single" w:color="000000" w:sz="4" w:space="0"/>
            </w:tcBorders>
            <w:noWrap/>
            <w:vAlign w:val="center"/>
          </w:tcPr>
          <w:p w14:paraId="52908042">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noWrap/>
            <w:vAlign w:val="center"/>
          </w:tcPr>
          <w:p w14:paraId="73E93FCC">
            <w:pPr>
              <w:jc w:val="center"/>
              <w:rPr>
                <w:rFonts w:hint="eastAsia" w:ascii="宋体" w:hAnsi="宋体" w:eastAsia="宋体" w:cs="宋体"/>
                <w:i w:val="0"/>
                <w:iCs w:val="0"/>
                <w:color w:val="000000"/>
                <w:sz w:val="24"/>
                <w:szCs w:val="24"/>
                <w:u w:val="none"/>
              </w:rPr>
            </w:pPr>
          </w:p>
        </w:tc>
        <w:tc>
          <w:tcPr>
            <w:tcW w:w="2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9B923">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最多间隔3天1次</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F4773F1">
            <w:pPr>
              <w:jc w:val="center"/>
              <w:rPr>
                <w:rFonts w:hint="eastAsia" w:ascii="宋体" w:hAnsi="宋体" w:eastAsia="宋体" w:cs="宋体"/>
                <w:i w:val="0"/>
                <w:iCs w:val="0"/>
                <w:color w:val="000000"/>
                <w:sz w:val="24"/>
                <w:szCs w:val="24"/>
                <w:u w:val="none"/>
              </w:rPr>
            </w:pPr>
          </w:p>
        </w:tc>
      </w:tr>
      <w:tr w14:paraId="09933B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56" w:type="dxa"/>
            <w:vMerge w:val="continue"/>
            <w:tcBorders>
              <w:top w:val="single" w:color="auto" w:sz="4" w:space="0"/>
              <w:left w:val="single" w:color="auto" w:sz="4" w:space="0"/>
              <w:bottom w:val="single" w:color="auto" w:sz="4" w:space="0"/>
              <w:right w:val="single" w:color="auto" w:sz="4" w:space="0"/>
            </w:tcBorders>
            <w:noWrap/>
            <w:vAlign w:val="center"/>
          </w:tcPr>
          <w:p w14:paraId="6A348657">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auto" w:sz="4" w:space="0"/>
              <w:bottom w:val="single" w:color="000000" w:sz="4" w:space="0"/>
              <w:right w:val="single" w:color="000000" w:sz="4" w:space="0"/>
            </w:tcBorders>
            <w:shd w:val="clear" w:color="auto" w:fill="auto"/>
            <w:noWrap/>
            <w:vAlign w:val="center"/>
          </w:tcPr>
          <w:p w14:paraId="7850B5C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119</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9D772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四角</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AB99B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36" w:type="dxa"/>
            <w:tcBorders>
              <w:top w:val="single" w:color="000000" w:sz="4" w:space="0"/>
              <w:left w:val="single" w:color="000000" w:sz="4" w:space="0"/>
              <w:bottom w:val="single" w:color="000000" w:sz="4" w:space="0"/>
              <w:right w:val="single" w:color="000000" w:sz="4" w:space="0"/>
            </w:tcBorders>
            <w:noWrap/>
            <w:vAlign w:val="center"/>
          </w:tcPr>
          <w:p w14:paraId="1B6E606D">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noWrap/>
            <w:vAlign w:val="center"/>
          </w:tcPr>
          <w:p w14:paraId="0B548157">
            <w:pPr>
              <w:jc w:val="center"/>
              <w:rPr>
                <w:rFonts w:hint="eastAsia" w:ascii="宋体" w:hAnsi="宋体" w:eastAsia="宋体" w:cs="宋体"/>
                <w:i w:val="0"/>
                <w:iCs w:val="0"/>
                <w:color w:val="000000"/>
                <w:sz w:val="24"/>
                <w:szCs w:val="24"/>
                <w:u w:val="none"/>
              </w:rPr>
            </w:pPr>
          </w:p>
        </w:tc>
        <w:tc>
          <w:tcPr>
            <w:tcW w:w="2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718DE">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最多间隔3天1次</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5ADA3DC">
            <w:pPr>
              <w:jc w:val="center"/>
              <w:rPr>
                <w:rFonts w:hint="eastAsia" w:ascii="宋体" w:hAnsi="宋体" w:eastAsia="宋体" w:cs="宋体"/>
                <w:i w:val="0"/>
                <w:iCs w:val="0"/>
                <w:color w:val="000000"/>
                <w:sz w:val="24"/>
                <w:szCs w:val="24"/>
                <w:u w:val="none"/>
              </w:rPr>
            </w:pPr>
          </w:p>
        </w:tc>
      </w:tr>
      <w:tr w14:paraId="2E9669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56" w:type="dxa"/>
            <w:vMerge w:val="continue"/>
            <w:tcBorders>
              <w:top w:val="single" w:color="auto" w:sz="4" w:space="0"/>
              <w:left w:val="single" w:color="auto" w:sz="4" w:space="0"/>
              <w:bottom w:val="single" w:color="auto" w:sz="4" w:space="0"/>
              <w:right w:val="single" w:color="auto" w:sz="4" w:space="0"/>
            </w:tcBorders>
            <w:noWrap/>
            <w:vAlign w:val="center"/>
          </w:tcPr>
          <w:p w14:paraId="0081FE05">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auto" w:sz="4" w:space="0"/>
              <w:bottom w:val="single" w:color="000000" w:sz="4" w:space="0"/>
              <w:right w:val="single" w:color="000000" w:sz="4" w:space="0"/>
            </w:tcBorders>
            <w:shd w:val="clear" w:color="auto" w:fill="auto"/>
            <w:noWrap/>
            <w:vAlign w:val="center"/>
          </w:tcPr>
          <w:p w14:paraId="4E85D56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120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584AF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大山</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B1A9B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36" w:type="dxa"/>
            <w:tcBorders>
              <w:top w:val="single" w:color="000000" w:sz="4" w:space="0"/>
              <w:left w:val="single" w:color="000000" w:sz="4" w:space="0"/>
              <w:bottom w:val="single" w:color="000000" w:sz="4" w:space="0"/>
              <w:right w:val="single" w:color="000000" w:sz="4" w:space="0"/>
            </w:tcBorders>
            <w:noWrap/>
            <w:vAlign w:val="center"/>
          </w:tcPr>
          <w:p w14:paraId="0E36BBFE">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noWrap/>
            <w:vAlign w:val="center"/>
          </w:tcPr>
          <w:p w14:paraId="2B5A6CC8">
            <w:pPr>
              <w:jc w:val="center"/>
              <w:rPr>
                <w:rFonts w:hint="eastAsia" w:ascii="宋体" w:hAnsi="宋体" w:eastAsia="宋体" w:cs="宋体"/>
                <w:i w:val="0"/>
                <w:iCs w:val="0"/>
                <w:color w:val="000000"/>
                <w:sz w:val="24"/>
                <w:szCs w:val="24"/>
                <w:u w:val="none"/>
              </w:rPr>
            </w:pPr>
          </w:p>
        </w:tc>
        <w:tc>
          <w:tcPr>
            <w:tcW w:w="2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0E951">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最多间隔3天1次</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F1F6A53">
            <w:pPr>
              <w:jc w:val="center"/>
              <w:rPr>
                <w:rFonts w:hint="eastAsia" w:ascii="宋体" w:hAnsi="宋体" w:eastAsia="宋体" w:cs="宋体"/>
                <w:i w:val="0"/>
                <w:iCs w:val="0"/>
                <w:color w:val="000000"/>
                <w:sz w:val="24"/>
                <w:szCs w:val="24"/>
                <w:u w:val="none"/>
              </w:rPr>
            </w:pPr>
          </w:p>
        </w:tc>
      </w:tr>
      <w:tr w14:paraId="715C59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56" w:type="dxa"/>
            <w:vMerge w:val="continue"/>
            <w:tcBorders>
              <w:top w:val="single" w:color="auto" w:sz="4" w:space="0"/>
              <w:left w:val="single" w:color="auto" w:sz="4" w:space="0"/>
              <w:bottom w:val="single" w:color="auto" w:sz="4" w:space="0"/>
              <w:right w:val="single" w:color="auto" w:sz="4" w:space="0"/>
            </w:tcBorders>
            <w:noWrap/>
            <w:vAlign w:val="center"/>
          </w:tcPr>
          <w:p w14:paraId="7D98B980">
            <w:pPr>
              <w:jc w:val="both"/>
              <w:rPr>
                <w:rFonts w:hint="eastAsia" w:ascii="宋体" w:hAnsi="宋体" w:eastAsia="宋体" w:cs="宋体"/>
                <w:i w:val="0"/>
                <w:iCs w:val="0"/>
                <w:color w:val="000000"/>
                <w:sz w:val="24"/>
                <w:szCs w:val="24"/>
                <w:u w:val="none"/>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A06F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121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EA0ED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山厂</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36D22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36" w:type="dxa"/>
            <w:tcBorders>
              <w:top w:val="single" w:color="000000" w:sz="4" w:space="0"/>
              <w:left w:val="single" w:color="000000" w:sz="4" w:space="0"/>
              <w:bottom w:val="single" w:color="000000" w:sz="4" w:space="0"/>
              <w:right w:val="single" w:color="000000" w:sz="4" w:space="0"/>
            </w:tcBorders>
            <w:noWrap/>
            <w:vAlign w:val="center"/>
          </w:tcPr>
          <w:p w14:paraId="1D8F088B">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noWrap/>
            <w:vAlign w:val="center"/>
          </w:tcPr>
          <w:p w14:paraId="33DF9868">
            <w:pPr>
              <w:jc w:val="center"/>
              <w:rPr>
                <w:rFonts w:hint="eastAsia" w:ascii="宋体" w:hAnsi="宋体" w:eastAsia="宋体" w:cs="宋体"/>
                <w:i w:val="0"/>
                <w:iCs w:val="0"/>
                <w:color w:val="000000"/>
                <w:sz w:val="24"/>
                <w:szCs w:val="24"/>
                <w:u w:val="none"/>
              </w:rPr>
            </w:pPr>
          </w:p>
        </w:tc>
        <w:tc>
          <w:tcPr>
            <w:tcW w:w="2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17492">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最多间隔3天1次</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1F8D097">
            <w:pPr>
              <w:jc w:val="center"/>
              <w:rPr>
                <w:rFonts w:hint="eastAsia" w:ascii="宋体" w:hAnsi="宋体" w:eastAsia="宋体" w:cs="宋体"/>
                <w:i w:val="0"/>
                <w:iCs w:val="0"/>
                <w:color w:val="000000"/>
                <w:sz w:val="24"/>
                <w:szCs w:val="24"/>
                <w:u w:val="none"/>
              </w:rPr>
            </w:pPr>
          </w:p>
        </w:tc>
      </w:tr>
      <w:tr w14:paraId="58FF15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0" w:type="auto"/>
            <w:vMerge w:val="restart"/>
            <w:tcBorders>
              <w:top w:val="single" w:color="auto" w:sz="4" w:space="0"/>
              <w:left w:val="single" w:color="000000" w:sz="4" w:space="0"/>
              <w:bottom w:val="single" w:color="auto" w:sz="4" w:space="0"/>
              <w:right w:val="single" w:color="000000" w:sz="4" w:space="0"/>
            </w:tcBorders>
            <w:noWrap/>
            <w:vAlign w:val="center"/>
          </w:tcPr>
          <w:p w14:paraId="6F1D4434">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凉亭村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B547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122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D123D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一村</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12397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36" w:type="dxa"/>
            <w:tcBorders>
              <w:top w:val="single" w:color="000000" w:sz="4" w:space="0"/>
              <w:left w:val="single" w:color="000000" w:sz="4" w:space="0"/>
              <w:bottom w:val="single" w:color="000000" w:sz="4" w:space="0"/>
              <w:right w:val="single" w:color="000000" w:sz="4" w:space="0"/>
            </w:tcBorders>
            <w:noWrap/>
            <w:vAlign w:val="center"/>
          </w:tcPr>
          <w:p w14:paraId="60817676">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noWrap/>
            <w:vAlign w:val="center"/>
          </w:tcPr>
          <w:p w14:paraId="036106AB">
            <w:pPr>
              <w:jc w:val="center"/>
              <w:rPr>
                <w:rFonts w:hint="eastAsia" w:ascii="宋体" w:hAnsi="宋体" w:eastAsia="宋体" w:cs="宋体"/>
                <w:i w:val="0"/>
                <w:iCs w:val="0"/>
                <w:color w:val="000000"/>
                <w:sz w:val="24"/>
                <w:szCs w:val="24"/>
                <w:u w:val="none"/>
              </w:rPr>
            </w:pPr>
          </w:p>
        </w:tc>
        <w:tc>
          <w:tcPr>
            <w:tcW w:w="2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4CE6F">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最多间隔3天1次</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EEC1754">
            <w:pPr>
              <w:jc w:val="center"/>
              <w:rPr>
                <w:rFonts w:hint="eastAsia" w:ascii="宋体" w:hAnsi="宋体" w:eastAsia="宋体" w:cs="宋体"/>
                <w:i w:val="0"/>
                <w:iCs w:val="0"/>
                <w:color w:val="000000"/>
                <w:sz w:val="24"/>
                <w:szCs w:val="24"/>
                <w:u w:val="none"/>
              </w:rPr>
            </w:pPr>
          </w:p>
        </w:tc>
      </w:tr>
      <w:tr w14:paraId="1D3EF3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0" w:type="auto"/>
            <w:vMerge w:val="continue"/>
            <w:tcBorders>
              <w:top w:val="single" w:color="auto" w:sz="4" w:space="0"/>
              <w:left w:val="single" w:color="000000" w:sz="4" w:space="0"/>
              <w:bottom w:val="single" w:color="auto" w:sz="4" w:space="0"/>
              <w:right w:val="single" w:color="000000" w:sz="4" w:space="0"/>
            </w:tcBorders>
            <w:noWrap/>
            <w:vAlign w:val="center"/>
          </w:tcPr>
          <w:p w14:paraId="29A66DDF">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9394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123</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5E500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二村</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C1FEC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936" w:type="dxa"/>
            <w:tcBorders>
              <w:top w:val="single" w:color="000000" w:sz="4" w:space="0"/>
              <w:left w:val="single" w:color="000000" w:sz="4" w:space="0"/>
              <w:bottom w:val="single" w:color="000000" w:sz="4" w:space="0"/>
              <w:right w:val="single" w:color="000000" w:sz="4" w:space="0"/>
            </w:tcBorders>
            <w:noWrap/>
            <w:vAlign w:val="center"/>
          </w:tcPr>
          <w:p w14:paraId="3AAD6689">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noWrap/>
            <w:vAlign w:val="center"/>
          </w:tcPr>
          <w:p w14:paraId="0B8DA9ED">
            <w:pPr>
              <w:jc w:val="center"/>
              <w:rPr>
                <w:rFonts w:hint="eastAsia" w:ascii="宋体" w:hAnsi="宋体" w:eastAsia="宋体" w:cs="宋体"/>
                <w:i w:val="0"/>
                <w:iCs w:val="0"/>
                <w:color w:val="000000"/>
                <w:sz w:val="24"/>
                <w:szCs w:val="24"/>
                <w:u w:val="none"/>
              </w:rPr>
            </w:pPr>
          </w:p>
        </w:tc>
        <w:tc>
          <w:tcPr>
            <w:tcW w:w="2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E3124">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最多间隔3天1次</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CD88ACB">
            <w:pPr>
              <w:jc w:val="center"/>
              <w:rPr>
                <w:rFonts w:hint="eastAsia" w:ascii="宋体" w:hAnsi="宋体" w:eastAsia="宋体" w:cs="宋体"/>
                <w:i w:val="0"/>
                <w:iCs w:val="0"/>
                <w:color w:val="000000"/>
                <w:sz w:val="24"/>
                <w:szCs w:val="24"/>
                <w:u w:val="none"/>
              </w:rPr>
            </w:pPr>
          </w:p>
        </w:tc>
      </w:tr>
      <w:tr w14:paraId="602C3E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0" w:type="auto"/>
            <w:vMerge w:val="continue"/>
            <w:tcBorders>
              <w:top w:val="single" w:color="auto" w:sz="4" w:space="0"/>
              <w:left w:val="single" w:color="000000" w:sz="4" w:space="0"/>
              <w:bottom w:val="single" w:color="auto" w:sz="4" w:space="0"/>
              <w:right w:val="single" w:color="000000" w:sz="4" w:space="0"/>
            </w:tcBorders>
            <w:noWrap/>
            <w:vAlign w:val="center"/>
          </w:tcPr>
          <w:p w14:paraId="317569D4">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4099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124</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F3093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三村</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A60F0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936" w:type="dxa"/>
            <w:tcBorders>
              <w:top w:val="single" w:color="000000" w:sz="4" w:space="0"/>
              <w:left w:val="single" w:color="000000" w:sz="4" w:space="0"/>
              <w:bottom w:val="single" w:color="000000" w:sz="4" w:space="0"/>
              <w:right w:val="single" w:color="000000" w:sz="4" w:space="0"/>
            </w:tcBorders>
            <w:noWrap/>
            <w:vAlign w:val="center"/>
          </w:tcPr>
          <w:p w14:paraId="525A1528">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noWrap/>
            <w:vAlign w:val="center"/>
          </w:tcPr>
          <w:p w14:paraId="47F86D7A">
            <w:pPr>
              <w:jc w:val="center"/>
              <w:rPr>
                <w:rFonts w:hint="eastAsia" w:ascii="宋体" w:hAnsi="宋体" w:eastAsia="宋体" w:cs="宋体"/>
                <w:i w:val="0"/>
                <w:iCs w:val="0"/>
                <w:color w:val="000000"/>
                <w:sz w:val="24"/>
                <w:szCs w:val="24"/>
                <w:u w:val="none"/>
              </w:rPr>
            </w:pPr>
          </w:p>
        </w:tc>
        <w:tc>
          <w:tcPr>
            <w:tcW w:w="2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40CF5">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最多间隔3天1次</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02E1FDE">
            <w:pPr>
              <w:jc w:val="center"/>
              <w:rPr>
                <w:rFonts w:hint="eastAsia" w:ascii="宋体" w:hAnsi="宋体" w:eastAsia="宋体" w:cs="宋体"/>
                <w:i w:val="0"/>
                <w:iCs w:val="0"/>
                <w:color w:val="000000"/>
                <w:sz w:val="24"/>
                <w:szCs w:val="24"/>
                <w:u w:val="none"/>
              </w:rPr>
            </w:pPr>
          </w:p>
        </w:tc>
      </w:tr>
      <w:tr w14:paraId="68D22C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0" w:type="auto"/>
            <w:vMerge w:val="continue"/>
            <w:tcBorders>
              <w:top w:val="single" w:color="auto" w:sz="4" w:space="0"/>
              <w:left w:val="single" w:color="000000" w:sz="4" w:space="0"/>
              <w:bottom w:val="single" w:color="auto" w:sz="4" w:space="0"/>
              <w:right w:val="single" w:color="000000" w:sz="4" w:space="0"/>
            </w:tcBorders>
            <w:noWrap/>
            <w:vAlign w:val="center"/>
          </w:tcPr>
          <w:p w14:paraId="0CEB8544">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3224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125</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A8B40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公园</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0AD58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936" w:type="dxa"/>
            <w:tcBorders>
              <w:top w:val="single" w:color="000000" w:sz="4" w:space="0"/>
              <w:left w:val="single" w:color="000000" w:sz="4" w:space="0"/>
              <w:bottom w:val="single" w:color="000000" w:sz="4" w:space="0"/>
              <w:right w:val="single" w:color="000000" w:sz="4" w:space="0"/>
            </w:tcBorders>
            <w:noWrap/>
            <w:vAlign w:val="center"/>
          </w:tcPr>
          <w:p w14:paraId="7C36728F">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noWrap/>
            <w:vAlign w:val="center"/>
          </w:tcPr>
          <w:p w14:paraId="08BEB3BE">
            <w:pPr>
              <w:jc w:val="center"/>
              <w:rPr>
                <w:rFonts w:hint="eastAsia" w:ascii="宋体" w:hAnsi="宋体" w:eastAsia="宋体" w:cs="宋体"/>
                <w:i w:val="0"/>
                <w:iCs w:val="0"/>
                <w:color w:val="000000"/>
                <w:sz w:val="24"/>
                <w:szCs w:val="24"/>
                <w:u w:val="none"/>
              </w:rPr>
            </w:pPr>
          </w:p>
        </w:tc>
        <w:tc>
          <w:tcPr>
            <w:tcW w:w="2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1116F">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最多间隔3天1次</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13A30F2">
            <w:pPr>
              <w:jc w:val="center"/>
              <w:rPr>
                <w:rFonts w:hint="eastAsia" w:ascii="宋体" w:hAnsi="宋体" w:eastAsia="宋体" w:cs="宋体"/>
                <w:i w:val="0"/>
                <w:iCs w:val="0"/>
                <w:color w:val="000000"/>
                <w:sz w:val="24"/>
                <w:szCs w:val="24"/>
                <w:u w:val="none"/>
              </w:rPr>
            </w:pPr>
          </w:p>
        </w:tc>
      </w:tr>
      <w:tr w14:paraId="2973F7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0" w:type="auto"/>
            <w:vMerge w:val="continue"/>
            <w:tcBorders>
              <w:top w:val="single" w:color="auto" w:sz="4" w:space="0"/>
              <w:left w:val="single" w:color="000000" w:sz="4" w:space="0"/>
              <w:bottom w:val="single" w:color="auto" w:sz="4" w:space="0"/>
              <w:right w:val="single" w:color="000000" w:sz="4" w:space="0"/>
            </w:tcBorders>
            <w:noWrap/>
            <w:vAlign w:val="center"/>
          </w:tcPr>
          <w:p w14:paraId="7F6BFE33">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8E6A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126</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354DF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响水</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CE251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936" w:type="dxa"/>
            <w:tcBorders>
              <w:top w:val="single" w:color="000000" w:sz="4" w:space="0"/>
              <w:left w:val="single" w:color="000000" w:sz="4" w:space="0"/>
              <w:bottom w:val="single" w:color="000000" w:sz="4" w:space="0"/>
              <w:right w:val="single" w:color="000000" w:sz="4" w:space="0"/>
            </w:tcBorders>
            <w:noWrap/>
            <w:vAlign w:val="center"/>
          </w:tcPr>
          <w:p w14:paraId="1F32A246">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noWrap/>
            <w:vAlign w:val="center"/>
          </w:tcPr>
          <w:p w14:paraId="510E6636">
            <w:pPr>
              <w:jc w:val="center"/>
              <w:rPr>
                <w:rFonts w:hint="eastAsia" w:ascii="宋体" w:hAnsi="宋体" w:eastAsia="宋体" w:cs="宋体"/>
                <w:i w:val="0"/>
                <w:iCs w:val="0"/>
                <w:color w:val="000000"/>
                <w:sz w:val="24"/>
                <w:szCs w:val="24"/>
                <w:u w:val="none"/>
              </w:rPr>
            </w:pPr>
          </w:p>
        </w:tc>
        <w:tc>
          <w:tcPr>
            <w:tcW w:w="2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405D7">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最多间隔3天1次</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C831866">
            <w:pPr>
              <w:jc w:val="center"/>
              <w:rPr>
                <w:rFonts w:hint="eastAsia" w:ascii="宋体" w:hAnsi="宋体" w:eastAsia="宋体" w:cs="宋体"/>
                <w:i w:val="0"/>
                <w:iCs w:val="0"/>
                <w:color w:val="000000"/>
                <w:sz w:val="24"/>
                <w:szCs w:val="24"/>
                <w:u w:val="none"/>
              </w:rPr>
            </w:pPr>
          </w:p>
        </w:tc>
      </w:tr>
      <w:tr w14:paraId="01DF89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0" w:type="auto"/>
            <w:vMerge w:val="continue"/>
            <w:tcBorders>
              <w:top w:val="single" w:color="auto" w:sz="4" w:space="0"/>
              <w:left w:val="single" w:color="000000" w:sz="4" w:space="0"/>
              <w:bottom w:val="single" w:color="auto" w:sz="4" w:space="0"/>
              <w:right w:val="single" w:color="000000" w:sz="4" w:space="0"/>
            </w:tcBorders>
            <w:noWrap/>
            <w:vAlign w:val="center"/>
          </w:tcPr>
          <w:p w14:paraId="63FBA199">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ABA3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127</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3282EF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汶龙</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1D834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936" w:type="dxa"/>
            <w:tcBorders>
              <w:top w:val="single" w:color="000000" w:sz="4" w:space="0"/>
              <w:left w:val="single" w:color="000000" w:sz="4" w:space="0"/>
              <w:bottom w:val="single" w:color="000000" w:sz="4" w:space="0"/>
              <w:right w:val="single" w:color="000000" w:sz="4" w:space="0"/>
            </w:tcBorders>
            <w:noWrap/>
            <w:vAlign w:val="center"/>
          </w:tcPr>
          <w:p w14:paraId="5006ED64">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noWrap/>
            <w:vAlign w:val="center"/>
          </w:tcPr>
          <w:p w14:paraId="1A7B47A3">
            <w:pPr>
              <w:jc w:val="center"/>
              <w:rPr>
                <w:rFonts w:hint="eastAsia" w:ascii="宋体" w:hAnsi="宋体" w:eastAsia="宋体" w:cs="宋体"/>
                <w:i w:val="0"/>
                <w:iCs w:val="0"/>
                <w:color w:val="000000"/>
                <w:sz w:val="24"/>
                <w:szCs w:val="24"/>
                <w:u w:val="none"/>
              </w:rPr>
            </w:pPr>
          </w:p>
        </w:tc>
        <w:tc>
          <w:tcPr>
            <w:tcW w:w="2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196E9">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最多间隔3天1次</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4FE1410">
            <w:pPr>
              <w:jc w:val="center"/>
              <w:rPr>
                <w:rFonts w:hint="eastAsia" w:ascii="宋体" w:hAnsi="宋体" w:eastAsia="宋体" w:cs="宋体"/>
                <w:i w:val="0"/>
                <w:iCs w:val="0"/>
                <w:color w:val="000000"/>
                <w:sz w:val="24"/>
                <w:szCs w:val="24"/>
                <w:u w:val="none"/>
              </w:rPr>
            </w:pPr>
          </w:p>
        </w:tc>
      </w:tr>
      <w:tr w14:paraId="1FFF20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0" w:type="auto"/>
            <w:vMerge w:val="continue"/>
            <w:tcBorders>
              <w:top w:val="single" w:color="auto" w:sz="4" w:space="0"/>
              <w:left w:val="single" w:color="000000" w:sz="4" w:space="0"/>
              <w:bottom w:val="single" w:color="auto" w:sz="4" w:space="0"/>
              <w:right w:val="single" w:color="000000" w:sz="4" w:space="0"/>
            </w:tcBorders>
            <w:noWrap/>
            <w:vAlign w:val="center"/>
          </w:tcPr>
          <w:p w14:paraId="7881089F">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D0BA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128</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A009D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牛头</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16E1B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36" w:type="dxa"/>
            <w:tcBorders>
              <w:top w:val="single" w:color="000000" w:sz="4" w:space="0"/>
              <w:left w:val="single" w:color="000000" w:sz="4" w:space="0"/>
              <w:bottom w:val="single" w:color="000000" w:sz="4" w:space="0"/>
              <w:right w:val="single" w:color="000000" w:sz="4" w:space="0"/>
            </w:tcBorders>
            <w:noWrap/>
            <w:vAlign w:val="center"/>
          </w:tcPr>
          <w:p w14:paraId="3E059579">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noWrap/>
            <w:vAlign w:val="center"/>
          </w:tcPr>
          <w:p w14:paraId="6F3B1A61">
            <w:pPr>
              <w:jc w:val="center"/>
              <w:rPr>
                <w:rFonts w:hint="eastAsia" w:ascii="宋体" w:hAnsi="宋体" w:eastAsia="宋体" w:cs="宋体"/>
                <w:i w:val="0"/>
                <w:iCs w:val="0"/>
                <w:color w:val="000000"/>
                <w:sz w:val="24"/>
                <w:szCs w:val="24"/>
                <w:u w:val="none"/>
              </w:rPr>
            </w:pPr>
          </w:p>
        </w:tc>
        <w:tc>
          <w:tcPr>
            <w:tcW w:w="2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477FE">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最多间隔3天1次</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DF0EB66">
            <w:pPr>
              <w:jc w:val="center"/>
              <w:rPr>
                <w:rFonts w:hint="eastAsia" w:ascii="宋体" w:hAnsi="宋体" w:eastAsia="宋体" w:cs="宋体"/>
                <w:i w:val="0"/>
                <w:iCs w:val="0"/>
                <w:color w:val="000000"/>
                <w:sz w:val="24"/>
                <w:szCs w:val="24"/>
                <w:u w:val="none"/>
              </w:rPr>
            </w:pPr>
          </w:p>
        </w:tc>
      </w:tr>
      <w:tr w14:paraId="44A264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0" w:type="auto"/>
            <w:vMerge w:val="continue"/>
            <w:tcBorders>
              <w:top w:val="single" w:color="auto" w:sz="4" w:space="0"/>
              <w:left w:val="single" w:color="000000" w:sz="4" w:space="0"/>
              <w:bottom w:val="single" w:color="auto" w:sz="4" w:space="0"/>
              <w:right w:val="single" w:color="000000" w:sz="4" w:space="0"/>
            </w:tcBorders>
            <w:noWrap/>
            <w:vAlign w:val="center"/>
          </w:tcPr>
          <w:p w14:paraId="369BAAC7">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ACFC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130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3440D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福禄</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B9426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936" w:type="dxa"/>
            <w:tcBorders>
              <w:top w:val="single" w:color="000000" w:sz="4" w:space="0"/>
              <w:left w:val="single" w:color="000000" w:sz="4" w:space="0"/>
              <w:bottom w:val="single" w:color="000000" w:sz="4" w:space="0"/>
              <w:right w:val="single" w:color="000000" w:sz="4" w:space="0"/>
            </w:tcBorders>
            <w:noWrap/>
            <w:vAlign w:val="center"/>
          </w:tcPr>
          <w:p w14:paraId="00F49F01">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noWrap/>
            <w:vAlign w:val="center"/>
          </w:tcPr>
          <w:p w14:paraId="7EC6E515">
            <w:pPr>
              <w:jc w:val="center"/>
              <w:rPr>
                <w:rFonts w:hint="eastAsia" w:ascii="宋体" w:hAnsi="宋体" w:eastAsia="宋体" w:cs="宋体"/>
                <w:i w:val="0"/>
                <w:iCs w:val="0"/>
                <w:color w:val="000000"/>
                <w:sz w:val="24"/>
                <w:szCs w:val="24"/>
                <w:u w:val="none"/>
              </w:rPr>
            </w:pPr>
          </w:p>
        </w:tc>
        <w:tc>
          <w:tcPr>
            <w:tcW w:w="2136" w:type="dxa"/>
            <w:tcBorders>
              <w:top w:val="single" w:color="000000" w:sz="4" w:space="0"/>
              <w:left w:val="single" w:color="000000" w:sz="4" w:space="0"/>
              <w:bottom w:val="single" w:color="000000" w:sz="4" w:space="0"/>
              <w:right w:val="single" w:color="000000" w:sz="4" w:space="0"/>
            </w:tcBorders>
            <w:noWrap/>
            <w:vAlign w:val="center"/>
          </w:tcPr>
          <w:p w14:paraId="4AD0F1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最多间隔3天1次</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3EC4CF6">
            <w:pPr>
              <w:jc w:val="center"/>
              <w:rPr>
                <w:rFonts w:hint="eastAsia" w:ascii="宋体" w:hAnsi="宋体" w:eastAsia="宋体" w:cs="宋体"/>
                <w:i w:val="0"/>
                <w:iCs w:val="0"/>
                <w:color w:val="000000"/>
                <w:sz w:val="24"/>
                <w:szCs w:val="24"/>
                <w:u w:val="none"/>
              </w:rPr>
            </w:pPr>
          </w:p>
        </w:tc>
      </w:tr>
      <w:tr w14:paraId="19F544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56" w:type="dxa"/>
            <w:vMerge w:val="restart"/>
            <w:tcBorders>
              <w:top w:val="single" w:color="auto" w:sz="4" w:space="0"/>
              <w:left w:val="single" w:color="000000" w:sz="4" w:space="0"/>
              <w:bottom w:val="single" w:color="auto" w:sz="4" w:space="0"/>
              <w:right w:val="single" w:color="000000" w:sz="4" w:space="0"/>
            </w:tcBorders>
            <w:shd w:val="clear" w:color="auto" w:fill="auto"/>
            <w:noWrap/>
            <w:vAlign w:val="center"/>
          </w:tcPr>
          <w:p w14:paraId="5D5F66C0">
            <w:pPr>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olor w:val="000000"/>
                <w:sz w:val="24"/>
                <w:szCs w:val="24"/>
              </w:rPr>
              <w:t>螺田村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D915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413F9">
            <w:pPr>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olor w:val="000000"/>
                <w:sz w:val="24"/>
                <w:szCs w:val="24"/>
              </w:rPr>
              <w:t>韩家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096B4">
            <w:pPr>
              <w:jc w:val="center"/>
              <w:rPr>
                <w:rFonts w:hint="eastAsia" w:ascii="宋体" w:hAnsi="宋体" w:eastAsia="宋体" w:cs="宋体"/>
                <w:color w:val="000000"/>
                <w:kern w:val="0"/>
                <w:sz w:val="24"/>
                <w:szCs w:val="24"/>
                <w:lang w:val="en-US" w:eastAsia="zh-CN" w:bidi="ar-SA"/>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36F7B">
            <w:pPr>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olor w:val="000000"/>
                <w:sz w:val="24"/>
                <w:szCs w:val="24"/>
              </w:rPr>
              <w:t>1</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804F8">
            <w:pPr>
              <w:jc w:val="center"/>
              <w:rPr>
                <w:rFonts w:hint="eastAsia" w:ascii="宋体" w:hAnsi="宋体" w:eastAsia="宋体" w:cs="宋体"/>
                <w:color w:val="000000"/>
                <w:kern w:val="0"/>
                <w:sz w:val="24"/>
                <w:szCs w:val="24"/>
                <w:lang w:val="en-US" w:eastAsia="zh-CN" w:bidi="ar-SA"/>
              </w:rPr>
            </w:pPr>
          </w:p>
        </w:tc>
        <w:tc>
          <w:tcPr>
            <w:tcW w:w="2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98E4D">
            <w:pPr>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olor w:val="000000"/>
                <w:sz w:val="24"/>
                <w:szCs w:val="24"/>
              </w:rPr>
              <w:t>最多间隔3天1次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10539">
            <w:pPr>
              <w:jc w:val="center"/>
              <w:rPr>
                <w:rFonts w:hint="eastAsia" w:ascii="宋体" w:hAnsi="宋体" w:eastAsia="宋体" w:cs="宋体"/>
                <w:color w:val="000000"/>
                <w:kern w:val="0"/>
                <w:sz w:val="24"/>
                <w:szCs w:val="24"/>
                <w:lang w:val="en-US" w:eastAsia="zh-CN" w:bidi="ar-SA"/>
              </w:rPr>
            </w:pPr>
          </w:p>
        </w:tc>
      </w:tr>
      <w:tr w14:paraId="64BE72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56" w:type="dxa"/>
            <w:vMerge w:val="continue"/>
            <w:tcBorders>
              <w:top w:val="single" w:color="auto" w:sz="4" w:space="0"/>
              <w:left w:val="single" w:color="000000" w:sz="4" w:space="0"/>
              <w:bottom w:val="single" w:color="auto" w:sz="4" w:space="0"/>
              <w:right w:val="single" w:color="000000" w:sz="4" w:space="0"/>
            </w:tcBorders>
            <w:noWrap/>
            <w:vAlign w:val="center"/>
          </w:tcPr>
          <w:p w14:paraId="712ADEB1">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B753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2516C">
            <w:pPr>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olor w:val="000000"/>
                <w:sz w:val="24"/>
                <w:szCs w:val="24"/>
              </w:rPr>
              <w:t>螺田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64049">
            <w:pPr>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olor w:val="000000"/>
                <w:sz w:val="24"/>
                <w:szCs w:val="24"/>
              </w:rPr>
              <w:t>1</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78D35">
            <w:pPr>
              <w:jc w:val="center"/>
              <w:rPr>
                <w:rFonts w:hint="eastAsia" w:ascii="宋体" w:hAnsi="宋体" w:eastAsia="宋体" w:cs="宋体"/>
                <w:color w:val="000000"/>
                <w:kern w:val="0"/>
                <w:sz w:val="24"/>
                <w:szCs w:val="24"/>
                <w:lang w:val="en-US" w:eastAsia="zh-CN" w:bidi="ar-SA"/>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162BB">
            <w:pPr>
              <w:jc w:val="center"/>
              <w:rPr>
                <w:rFonts w:hint="eastAsia" w:ascii="宋体" w:hAnsi="宋体" w:eastAsia="宋体" w:cs="宋体"/>
                <w:color w:val="000000"/>
                <w:kern w:val="0"/>
                <w:sz w:val="24"/>
                <w:szCs w:val="24"/>
                <w:lang w:val="en-US" w:eastAsia="zh-CN" w:bidi="ar-SA"/>
              </w:rPr>
            </w:pPr>
          </w:p>
        </w:tc>
        <w:tc>
          <w:tcPr>
            <w:tcW w:w="2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5D177">
            <w:pPr>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olor w:val="000000"/>
                <w:sz w:val="24"/>
                <w:szCs w:val="24"/>
              </w:rPr>
              <w:t>最多间隔3天1次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F6A57">
            <w:pPr>
              <w:jc w:val="center"/>
              <w:rPr>
                <w:rFonts w:hint="eastAsia" w:ascii="宋体" w:hAnsi="宋体" w:eastAsia="宋体" w:cs="宋体"/>
                <w:color w:val="000000"/>
                <w:kern w:val="0"/>
                <w:sz w:val="24"/>
                <w:szCs w:val="24"/>
                <w:lang w:val="en-US" w:eastAsia="zh-CN" w:bidi="ar-SA"/>
              </w:rPr>
            </w:pPr>
          </w:p>
        </w:tc>
      </w:tr>
      <w:tr w14:paraId="5B5482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56" w:type="dxa"/>
            <w:vMerge w:val="continue"/>
            <w:tcBorders>
              <w:top w:val="single" w:color="auto" w:sz="4" w:space="0"/>
              <w:left w:val="single" w:color="000000" w:sz="4" w:space="0"/>
              <w:bottom w:val="single" w:color="auto" w:sz="4" w:space="0"/>
              <w:right w:val="single" w:color="000000" w:sz="4" w:space="0"/>
            </w:tcBorders>
            <w:noWrap/>
            <w:vAlign w:val="center"/>
          </w:tcPr>
          <w:p w14:paraId="7C0AE697">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0EB8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D128F">
            <w:pPr>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olor w:val="000000"/>
                <w:sz w:val="24"/>
                <w:szCs w:val="24"/>
              </w:rPr>
              <w:t>盘家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3D5D3">
            <w:pPr>
              <w:jc w:val="center"/>
              <w:rPr>
                <w:rFonts w:hint="eastAsia" w:ascii="宋体" w:hAnsi="宋体" w:eastAsia="宋体" w:cs="宋体"/>
                <w:color w:val="000000"/>
                <w:kern w:val="0"/>
                <w:sz w:val="24"/>
                <w:szCs w:val="24"/>
                <w:lang w:val="en-US" w:eastAsia="zh-CN" w:bidi="ar-SA"/>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6A27E">
            <w:pPr>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olor w:val="000000"/>
                <w:sz w:val="24"/>
                <w:szCs w:val="24"/>
              </w:rPr>
              <w:t>1</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90AD2">
            <w:pPr>
              <w:jc w:val="center"/>
              <w:rPr>
                <w:rFonts w:hint="eastAsia" w:ascii="宋体" w:hAnsi="宋体" w:eastAsia="宋体" w:cs="宋体"/>
                <w:color w:val="000000"/>
                <w:kern w:val="0"/>
                <w:sz w:val="24"/>
                <w:szCs w:val="24"/>
                <w:lang w:val="en-US" w:eastAsia="zh-CN" w:bidi="ar-SA"/>
              </w:rPr>
            </w:pPr>
          </w:p>
        </w:tc>
        <w:tc>
          <w:tcPr>
            <w:tcW w:w="2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FE9C4">
            <w:pPr>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olor w:val="000000"/>
                <w:sz w:val="24"/>
                <w:szCs w:val="24"/>
              </w:rPr>
              <w:t>最多间隔3天1次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692BF">
            <w:pPr>
              <w:jc w:val="center"/>
              <w:rPr>
                <w:rFonts w:hint="eastAsia" w:ascii="宋体" w:hAnsi="宋体" w:eastAsia="宋体" w:cs="宋体"/>
                <w:color w:val="000000"/>
                <w:kern w:val="0"/>
                <w:sz w:val="24"/>
                <w:szCs w:val="24"/>
                <w:lang w:val="en-US" w:eastAsia="zh-CN" w:bidi="ar-SA"/>
              </w:rPr>
            </w:pPr>
          </w:p>
        </w:tc>
      </w:tr>
      <w:tr w14:paraId="03AFA0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56" w:type="dxa"/>
            <w:vMerge w:val="continue"/>
            <w:tcBorders>
              <w:top w:val="single" w:color="auto" w:sz="4" w:space="0"/>
              <w:left w:val="single" w:color="000000" w:sz="4" w:space="0"/>
              <w:bottom w:val="single" w:color="auto" w:sz="4" w:space="0"/>
              <w:right w:val="single" w:color="000000" w:sz="4" w:space="0"/>
            </w:tcBorders>
            <w:noWrap/>
            <w:vAlign w:val="center"/>
          </w:tcPr>
          <w:p w14:paraId="003C6590">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0EA4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7AC0D">
            <w:pPr>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olor w:val="000000"/>
                <w:sz w:val="24"/>
                <w:szCs w:val="24"/>
              </w:rPr>
              <w:t>郑家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BB0C2">
            <w:pPr>
              <w:jc w:val="center"/>
              <w:rPr>
                <w:rFonts w:hint="eastAsia" w:ascii="宋体" w:hAnsi="宋体" w:eastAsia="宋体" w:cs="宋体"/>
                <w:color w:val="000000"/>
                <w:kern w:val="0"/>
                <w:sz w:val="24"/>
                <w:szCs w:val="24"/>
                <w:lang w:val="en-US" w:eastAsia="zh-CN" w:bidi="ar-SA"/>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0C714">
            <w:pPr>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olor w:val="000000"/>
                <w:sz w:val="24"/>
                <w:szCs w:val="24"/>
              </w:rPr>
              <w:t>1</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53FC8">
            <w:pPr>
              <w:jc w:val="center"/>
              <w:rPr>
                <w:rFonts w:hint="eastAsia" w:ascii="宋体" w:hAnsi="宋体" w:eastAsia="宋体" w:cs="宋体"/>
                <w:color w:val="000000"/>
                <w:kern w:val="0"/>
                <w:sz w:val="24"/>
                <w:szCs w:val="24"/>
                <w:lang w:val="en-US" w:eastAsia="zh-CN" w:bidi="ar-SA"/>
              </w:rPr>
            </w:pPr>
          </w:p>
        </w:tc>
        <w:tc>
          <w:tcPr>
            <w:tcW w:w="2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D3AA5">
            <w:pPr>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olor w:val="000000"/>
                <w:sz w:val="24"/>
                <w:szCs w:val="24"/>
              </w:rPr>
              <w:t>最多间隔3天1次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B510F">
            <w:pPr>
              <w:jc w:val="center"/>
              <w:rPr>
                <w:rFonts w:hint="eastAsia" w:ascii="宋体" w:hAnsi="宋体" w:eastAsia="宋体" w:cs="宋体"/>
                <w:color w:val="000000"/>
                <w:kern w:val="0"/>
                <w:sz w:val="24"/>
                <w:szCs w:val="24"/>
                <w:lang w:val="en-US" w:eastAsia="zh-CN" w:bidi="ar-SA"/>
              </w:rPr>
            </w:pPr>
          </w:p>
        </w:tc>
      </w:tr>
      <w:tr w14:paraId="44F157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56" w:type="dxa"/>
            <w:vMerge w:val="continue"/>
            <w:tcBorders>
              <w:top w:val="single" w:color="auto" w:sz="4" w:space="0"/>
              <w:left w:val="single" w:color="000000" w:sz="4" w:space="0"/>
              <w:bottom w:val="single" w:color="auto" w:sz="4" w:space="0"/>
              <w:right w:val="single" w:color="000000" w:sz="4" w:space="0"/>
            </w:tcBorders>
            <w:noWrap/>
            <w:vAlign w:val="center"/>
          </w:tcPr>
          <w:p w14:paraId="12B0A656">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B17D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19257">
            <w:pPr>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olor w:val="000000"/>
                <w:sz w:val="24"/>
                <w:szCs w:val="24"/>
              </w:rPr>
              <w:t>钟家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2A779">
            <w:pPr>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olor w:val="000000"/>
                <w:sz w:val="24"/>
                <w:szCs w:val="24"/>
              </w:rPr>
              <w:t>1</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23D93">
            <w:pPr>
              <w:jc w:val="center"/>
              <w:rPr>
                <w:rFonts w:hint="eastAsia" w:ascii="宋体" w:hAnsi="宋体" w:eastAsia="宋体" w:cs="宋体"/>
                <w:color w:val="000000"/>
                <w:kern w:val="0"/>
                <w:sz w:val="24"/>
                <w:szCs w:val="24"/>
                <w:lang w:val="en-US" w:eastAsia="zh-CN" w:bidi="ar-SA"/>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5F897">
            <w:pPr>
              <w:jc w:val="center"/>
              <w:rPr>
                <w:rFonts w:hint="eastAsia" w:ascii="宋体" w:hAnsi="宋体" w:eastAsia="宋体" w:cs="宋体"/>
                <w:color w:val="000000"/>
                <w:kern w:val="0"/>
                <w:sz w:val="24"/>
                <w:szCs w:val="24"/>
                <w:lang w:val="en-US" w:eastAsia="zh-CN" w:bidi="ar-SA"/>
              </w:rPr>
            </w:pPr>
          </w:p>
        </w:tc>
        <w:tc>
          <w:tcPr>
            <w:tcW w:w="2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7AF84">
            <w:pPr>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olor w:val="000000"/>
                <w:sz w:val="24"/>
                <w:szCs w:val="24"/>
              </w:rPr>
              <w:t>最多间隔3天1次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F7A41">
            <w:pPr>
              <w:jc w:val="center"/>
              <w:rPr>
                <w:rFonts w:hint="eastAsia" w:ascii="宋体" w:hAnsi="宋体" w:eastAsia="宋体" w:cs="宋体"/>
                <w:color w:val="000000"/>
                <w:kern w:val="0"/>
                <w:sz w:val="24"/>
                <w:szCs w:val="24"/>
                <w:lang w:val="en-US" w:eastAsia="zh-CN" w:bidi="ar-SA"/>
              </w:rPr>
            </w:pPr>
          </w:p>
        </w:tc>
      </w:tr>
      <w:tr w14:paraId="46B1E9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56" w:type="dxa"/>
            <w:vMerge w:val="continue"/>
            <w:tcBorders>
              <w:top w:val="single" w:color="auto" w:sz="4" w:space="0"/>
              <w:left w:val="single" w:color="000000" w:sz="4" w:space="0"/>
              <w:bottom w:val="single" w:color="auto" w:sz="4" w:space="0"/>
              <w:right w:val="single" w:color="000000" w:sz="4" w:space="0"/>
            </w:tcBorders>
            <w:noWrap/>
            <w:vAlign w:val="center"/>
          </w:tcPr>
          <w:p w14:paraId="51E04F2A">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85E1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AAC22">
            <w:pPr>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olor w:val="000000"/>
                <w:sz w:val="24"/>
                <w:szCs w:val="24"/>
              </w:rPr>
              <w:t>山脚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F648B">
            <w:pPr>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olor w:val="000000"/>
                <w:sz w:val="24"/>
                <w:szCs w:val="24"/>
              </w:rPr>
              <w:t>1</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6634C">
            <w:pPr>
              <w:jc w:val="center"/>
              <w:rPr>
                <w:rFonts w:hint="eastAsia" w:ascii="宋体" w:hAnsi="宋体" w:eastAsia="宋体" w:cs="宋体"/>
                <w:color w:val="000000"/>
                <w:kern w:val="0"/>
                <w:sz w:val="24"/>
                <w:szCs w:val="24"/>
                <w:lang w:val="en-US" w:eastAsia="zh-CN" w:bidi="ar-SA"/>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56193">
            <w:pPr>
              <w:jc w:val="center"/>
              <w:rPr>
                <w:rFonts w:hint="eastAsia" w:ascii="宋体" w:hAnsi="宋体" w:eastAsia="宋体" w:cs="宋体"/>
                <w:color w:val="000000"/>
                <w:kern w:val="0"/>
                <w:sz w:val="24"/>
                <w:szCs w:val="24"/>
                <w:lang w:val="en-US" w:eastAsia="zh-CN" w:bidi="ar-SA"/>
              </w:rPr>
            </w:pPr>
          </w:p>
        </w:tc>
        <w:tc>
          <w:tcPr>
            <w:tcW w:w="2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7563B">
            <w:pPr>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olor w:val="000000"/>
                <w:sz w:val="24"/>
                <w:szCs w:val="24"/>
              </w:rPr>
              <w:t>最多间隔3天1次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6E4EE">
            <w:pPr>
              <w:jc w:val="center"/>
              <w:rPr>
                <w:rFonts w:hint="eastAsia" w:ascii="宋体" w:hAnsi="宋体" w:eastAsia="宋体" w:cs="宋体"/>
                <w:color w:val="000000"/>
                <w:kern w:val="0"/>
                <w:sz w:val="24"/>
                <w:szCs w:val="24"/>
                <w:lang w:val="en-US" w:eastAsia="zh-CN" w:bidi="ar-SA"/>
              </w:rPr>
            </w:pPr>
          </w:p>
        </w:tc>
      </w:tr>
      <w:tr w14:paraId="6381F8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56" w:type="dxa"/>
            <w:vMerge w:val="continue"/>
            <w:tcBorders>
              <w:top w:val="single" w:color="auto" w:sz="4" w:space="0"/>
              <w:left w:val="single" w:color="000000" w:sz="4" w:space="0"/>
              <w:bottom w:val="single" w:color="auto" w:sz="4" w:space="0"/>
              <w:right w:val="single" w:color="000000" w:sz="4" w:space="0"/>
            </w:tcBorders>
            <w:noWrap/>
            <w:vAlign w:val="center"/>
          </w:tcPr>
          <w:p w14:paraId="0C6A7156">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77C7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1E659">
            <w:pPr>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olor w:val="000000"/>
                <w:sz w:val="24"/>
                <w:szCs w:val="24"/>
              </w:rPr>
              <w:t>岩口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349E1">
            <w:pPr>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olor w:val="000000"/>
                <w:sz w:val="24"/>
                <w:szCs w:val="24"/>
              </w:rPr>
              <w:t>1</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1E82A">
            <w:pPr>
              <w:jc w:val="center"/>
              <w:rPr>
                <w:rFonts w:hint="eastAsia" w:ascii="宋体" w:hAnsi="宋体" w:eastAsia="宋体" w:cs="宋体"/>
                <w:color w:val="000000"/>
                <w:kern w:val="0"/>
                <w:sz w:val="24"/>
                <w:szCs w:val="24"/>
                <w:lang w:val="en-US" w:eastAsia="zh-CN" w:bidi="ar-SA"/>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D06C5">
            <w:pPr>
              <w:jc w:val="center"/>
              <w:rPr>
                <w:rFonts w:hint="eastAsia" w:ascii="宋体" w:hAnsi="宋体" w:eastAsia="宋体" w:cs="宋体"/>
                <w:color w:val="000000"/>
                <w:kern w:val="0"/>
                <w:sz w:val="24"/>
                <w:szCs w:val="24"/>
                <w:lang w:val="en-US" w:eastAsia="zh-CN" w:bidi="ar-SA"/>
              </w:rPr>
            </w:pPr>
          </w:p>
        </w:tc>
        <w:tc>
          <w:tcPr>
            <w:tcW w:w="2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6B48E">
            <w:pPr>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olor w:val="000000"/>
                <w:sz w:val="24"/>
                <w:szCs w:val="24"/>
              </w:rPr>
              <w:t>最多间隔3天1次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83FFF">
            <w:pPr>
              <w:jc w:val="center"/>
              <w:rPr>
                <w:rFonts w:hint="eastAsia" w:ascii="宋体" w:hAnsi="宋体" w:eastAsia="宋体" w:cs="宋体"/>
                <w:color w:val="000000"/>
                <w:kern w:val="0"/>
                <w:sz w:val="24"/>
                <w:szCs w:val="24"/>
                <w:lang w:val="en-US" w:eastAsia="zh-CN" w:bidi="ar-SA"/>
              </w:rPr>
            </w:pPr>
          </w:p>
        </w:tc>
      </w:tr>
      <w:tr w14:paraId="00AE06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56" w:type="dxa"/>
            <w:vMerge w:val="continue"/>
            <w:tcBorders>
              <w:top w:val="single" w:color="auto" w:sz="4" w:space="0"/>
              <w:left w:val="single" w:color="000000" w:sz="4" w:space="0"/>
              <w:bottom w:val="single" w:color="auto" w:sz="4" w:space="0"/>
              <w:right w:val="single" w:color="000000" w:sz="4" w:space="0"/>
            </w:tcBorders>
            <w:noWrap/>
            <w:vAlign w:val="center"/>
          </w:tcPr>
          <w:p w14:paraId="15192B37">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BC30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AF1B9">
            <w:pPr>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olor w:val="000000"/>
                <w:sz w:val="24"/>
                <w:szCs w:val="24"/>
              </w:rPr>
              <w:t>甲伴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8F120">
            <w:pPr>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olor w:val="000000"/>
                <w:sz w:val="24"/>
                <w:szCs w:val="24"/>
              </w:rPr>
              <w:t>1</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986D6">
            <w:pPr>
              <w:jc w:val="center"/>
              <w:rPr>
                <w:rFonts w:hint="eastAsia" w:ascii="宋体" w:hAnsi="宋体" w:eastAsia="宋体" w:cs="宋体"/>
                <w:color w:val="000000"/>
                <w:kern w:val="0"/>
                <w:sz w:val="24"/>
                <w:szCs w:val="24"/>
                <w:lang w:val="en-US" w:eastAsia="zh-CN" w:bidi="ar-SA"/>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79C07">
            <w:pPr>
              <w:jc w:val="center"/>
              <w:rPr>
                <w:rFonts w:hint="eastAsia" w:ascii="宋体" w:hAnsi="宋体" w:eastAsia="宋体" w:cs="宋体"/>
                <w:color w:val="000000"/>
                <w:kern w:val="0"/>
                <w:sz w:val="24"/>
                <w:szCs w:val="24"/>
                <w:lang w:val="en-US" w:eastAsia="zh-CN" w:bidi="ar-SA"/>
              </w:rPr>
            </w:pPr>
          </w:p>
        </w:tc>
        <w:tc>
          <w:tcPr>
            <w:tcW w:w="2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9F5EF">
            <w:pPr>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olor w:val="000000"/>
                <w:sz w:val="24"/>
                <w:szCs w:val="24"/>
              </w:rPr>
              <w:t>最多间隔3天1次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E58EB">
            <w:pPr>
              <w:jc w:val="center"/>
              <w:rPr>
                <w:rFonts w:hint="eastAsia" w:ascii="宋体" w:hAnsi="宋体" w:eastAsia="宋体" w:cs="宋体"/>
                <w:color w:val="000000"/>
                <w:kern w:val="0"/>
                <w:sz w:val="24"/>
                <w:szCs w:val="24"/>
                <w:lang w:val="en-US" w:eastAsia="zh-CN" w:bidi="ar-SA"/>
              </w:rPr>
            </w:pPr>
          </w:p>
        </w:tc>
      </w:tr>
      <w:tr w14:paraId="62C1D4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56" w:type="dxa"/>
            <w:vMerge w:val="restart"/>
            <w:tcBorders>
              <w:top w:val="single" w:color="auto" w:sz="4" w:space="0"/>
              <w:left w:val="single" w:color="000000" w:sz="4" w:space="0"/>
              <w:bottom w:val="single" w:color="auto" w:sz="4" w:space="0"/>
              <w:right w:val="single" w:color="000000" w:sz="4" w:space="0"/>
            </w:tcBorders>
            <w:shd w:val="clear" w:color="auto" w:fill="auto"/>
            <w:noWrap/>
            <w:vAlign w:val="center"/>
          </w:tcPr>
          <w:p w14:paraId="617CFF49">
            <w:pPr>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olor w:val="000000"/>
                <w:sz w:val="24"/>
                <w:szCs w:val="24"/>
              </w:rPr>
              <w:t>洲村村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C79D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3A071">
            <w:pPr>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olor w:val="000000"/>
                <w:sz w:val="24"/>
                <w:szCs w:val="24"/>
              </w:rPr>
              <w:t>上洲村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449A3">
            <w:pPr>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olor w:val="000000"/>
                <w:sz w:val="24"/>
                <w:szCs w:val="24"/>
              </w:rPr>
              <w:t>6</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EB2E3">
            <w:pPr>
              <w:jc w:val="center"/>
              <w:rPr>
                <w:rFonts w:hint="eastAsia" w:ascii="宋体" w:hAnsi="宋体" w:eastAsia="宋体" w:cs="宋体"/>
                <w:color w:val="000000"/>
                <w:kern w:val="0"/>
                <w:sz w:val="24"/>
                <w:szCs w:val="24"/>
                <w:lang w:val="en-US" w:eastAsia="zh-CN" w:bidi="ar-SA"/>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576FA">
            <w:pPr>
              <w:jc w:val="center"/>
              <w:rPr>
                <w:rFonts w:hint="eastAsia" w:ascii="宋体" w:hAnsi="宋体" w:eastAsia="宋体" w:cs="宋体"/>
                <w:color w:val="000000"/>
                <w:kern w:val="0"/>
                <w:sz w:val="24"/>
                <w:szCs w:val="24"/>
                <w:lang w:val="en-US" w:eastAsia="zh-CN" w:bidi="ar-SA"/>
              </w:rPr>
            </w:pPr>
          </w:p>
        </w:tc>
        <w:tc>
          <w:tcPr>
            <w:tcW w:w="2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49D02">
            <w:pPr>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olor w:val="000000"/>
                <w:sz w:val="24"/>
                <w:szCs w:val="24"/>
              </w:rPr>
              <w:t>最多间隔3天1次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41409">
            <w:pPr>
              <w:jc w:val="center"/>
              <w:rPr>
                <w:rFonts w:hint="eastAsia" w:ascii="宋体" w:hAnsi="宋体" w:eastAsia="宋体" w:cs="宋体"/>
                <w:color w:val="000000"/>
                <w:kern w:val="0"/>
                <w:sz w:val="24"/>
                <w:szCs w:val="24"/>
                <w:lang w:val="en-US" w:eastAsia="zh-CN" w:bidi="ar-SA"/>
              </w:rPr>
            </w:pPr>
          </w:p>
        </w:tc>
      </w:tr>
      <w:tr w14:paraId="4D71CB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56" w:type="dxa"/>
            <w:vMerge w:val="continue"/>
            <w:tcBorders>
              <w:top w:val="single" w:color="auto" w:sz="4" w:space="0"/>
              <w:left w:val="single" w:color="000000" w:sz="4" w:space="0"/>
              <w:bottom w:val="single" w:color="auto" w:sz="4" w:space="0"/>
              <w:right w:val="single" w:color="000000" w:sz="4" w:space="0"/>
            </w:tcBorders>
            <w:noWrap/>
            <w:vAlign w:val="center"/>
          </w:tcPr>
          <w:p w14:paraId="46C3A443">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BB08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39F14">
            <w:pPr>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olor w:val="000000"/>
                <w:sz w:val="24"/>
                <w:szCs w:val="24"/>
              </w:rPr>
              <w:t>下洲村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AF589">
            <w:pPr>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olor w:val="000000"/>
                <w:sz w:val="24"/>
                <w:szCs w:val="24"/>
              </w:rPr>
              <w:t>3</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644D5">
            <w:pPr>
              <w:jc w:val="center"/>
              <w:rPr>
                <w:rFonts w:hint="eastAsia" w:ascii="宋体" w:hAnsi="宋体" w:eastAsia="宋体" w:cs="宋体"/>
                <w:color w:val="000000"/>
                <w:kern w:val="0"/>
                <w:sz w:val="24"/>
                <w:szCs w:val="24"/>
                <w:lang w:val="en-US" w:eastAsia="zh-CN" w:bidi="ar-SA"/>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FF498">
            <w:pPr>
              <w:jc w:val="center"/>
              <w:rPr>
                <w:rFonts w:hint="eastAsia" w:ascii="宋体" w:hAnsi="宋体" w:eastAsia="宋体" w:cs="宋体"/>
                <w:color w:val="000000"/>
                <w:kern w:val="0"/>
                <w:sz w:val="24"/>
                <w:szCs w:val="24"/>
                <w:lang w:val="en-US" w:eastAsia="zh-CN" w:bidi="ar-SA"/>
              </w:rPr>
            </w:pPr>
          </w:p>
        </w:tc>
        <w:tc>
          <w:tcPr>
            <w:tcW w:w="2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A94B5">
            <w:pPr>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olor w:val="000000"/>
                <w:sz w:val="24"/>
                <w:szCs w:val="24"/>
              </w:rPr>
              <w:t>最多间隔3天1次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82859">
            <w:pPr>
              <w:jc w:val="center"/>
              <w:rPr>
                <w:rFonts w:hint="eastAsia" w:ascii="宋体" w:hAnsi="宋体" w:eastAsia="宋体" w:cs="宋体"/>
                <w:color w:val="000000"/>
                <w:kern w:val="0"/>
                <w:sz w:val="24"/>
                <w:szCs w:val="24"/>
                <w:lang w:val="en-US" w:eastAsia="zh-CN" w:bidi="ar-SA"/>
              </w:rPr>
            </w:pPr>
          </w:p>
        </w:tc>
      </w:tr>
      <w:tr w14:paraId="209683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56" w:type="dxa"/>
            <w:vMerge w:val="continue"/>
            <w:tcBorders>
              <w:top w:val="single" w:color="auto" w:sz="4" w:space="0"/>
              <w:left w:val="single" w:color="000000" w:sz="4" w:space="0"/>
              <w:bottom w:val="single" w:color="auto" w:sz="4" w:space="0"/>
              <w:right w:val="single" w:color="000000" w:sz="4" w:space="0"/>
            </w:tcBorders>
            <w:noWrap/>
            <w:vAlign w:val="center"/>
          </w:tcPr>
          <w:p w14:paraId="4EBBA0E9">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DFF5D">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2D1C0">
            <w:pPr>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olor w:val="000000"/>
                <w:sz w:val="24"/>
                <w:szCs w:val="24"/>
              </w:rPr>
              <w:t>门堤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B2DE2">
            <w:pPr>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olor w:val="000000"/>
                <w:sz w:val="24"/>
                <w:szCs w:val="24"/>
              </w:rPr>
              <w:t>1</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030FB">
            <w:pPr>
              <w:jc w:val="center"/>
              <w:rPr>
                <w:rFonts w:hint="eastAsia" w:ascii="宋体" w:hAnsi="宋体" w:eastAsia="宋体" w:cs="宋体"/>
                <w:color w:val="000000"/>
                <w:kern w:val="0"/>
                <w:sz w:val="24"/>
                <w:szCs w:val="24"/>
                <w:lang w:val="en-US" w:eastAsia="zh-CN" w:bidi="ar-SA"/>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D04C6">
            <w:pPr>
              <w:jc w:val="center"/>
              <w:rPr>
                <w:rFonts w:hint="eastAsia" w:ascii="宋体" w:hAnsi="宋体" w:eastAsia="宋体" w:cs="宋体"/>
                <w:color w:val="000000"/>
                <w:kern w:val="0"/>
                <w:sz w:val="24"/>
                <w:szCs w:val="24"/>
                <w:lang w:val="en-US" w:eastAsia="zh-CN" w:bidi="ar-SA"/>
              </w:rPr>
            </w:pPr>
          </w:p>
        </w:tc>
        <w:tc>
          <w:tcPr>
            <w:tcW w:w="2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30F76">
            <w:pPr>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olor w:val="000000"/>
                <w:sz w:val="24"/>
                <w:szCs w:val="24"/>
              </w:rPr>
              <w:t>最多间隔3天1次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9EBB6">
            <w:pPr>
              <w:jc w:val="center"/>
              <w:rPr>
                <w:rFonts w:hint="eastAsia" w:ascii="宋体" w:hAnsi="宋体" w:eastAsia="宋体" w:cs="宋体"/>
                <w:color w:val="000000"/>
                <w:kern w:val="0"/>
                <w:sz w:val="24"/>
                <w:szCs w:val="24"/>
                <w:lang w:val="en-US" w:eastAsia="zh-CN" w:bidi="ar-SA"/>
              </w:rPr>
            </w:pPr>
          </w:p>
        </w:tc>
      </w:tr>
      <w:tr w14:paraId="5DE849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56" w:type="dxa"/>
            <w:vMerge w:val="continue"/>
            <w:tcBorders>
              <w:top w:val="single" w:color="auto" w:sz="4" w:space="0"/>
              <w:left w:val="single" w:color="000000" w:sz="4" w:space="0"/>
              <w:bottom w:val="single" w:color="auto" w:sz="4" w:space="0"/>
              <w:right w:val="single" w:color="000000" w:sz="4" w:space="0"/>
            </w:tcBorders>
            <w:noWrap/>
            <w:vAlign w:val="center"/>
          </w:tcPr>
          <w:p w14:paraId="467ECC16">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02646">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8CD88">
            <w:pPr>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olor w:val="000000"/>
                <w:sz w:val="24"/>
                <w:szCs w:val="24"/>
              </w:rPr>
              <w:t>大湖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29351">
            <w:pPr>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olor w:val="000000"/>
                <w:sz w:val="24"/>
                <w:szCs w:val="24"/>
              </w:rPr>
              <w:t>2</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03534">
            <w:pPr>
              <w:jc w:val="center"/>
              <w:rPr>
                <w:rFonts w:hint="eastAsia" w:ascii="宋体" w:hAnsi="宋体" w:eastAsia="宋体" w:cs="宋体"/>
                <w:color w:val="000000"/>
                <w:kern w:val="0"/>
                <w:sz w:val="24"/>
                <w:szCs w:val="24"/>
                <w:lang w:val="en-US" w:eastAsia="zh-CN" w:bidi="ar-SA"/>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46E95">
            <w:pPr>
              <w:jc w:val="center"/>
              <w:rPr>
                <w:rFonts w:hint="eastAsia" w:ascii="宋体" w:hAnsi="宋体" w:eastAsia="宋体" w:cs="宋体"/>
                <w:color w:val="000000"/>
                <w:kern w:val="0"/>
                <w:sz w:val="24"/>
                <w:szCs w:val="24"/>
                <w:lang w:val="en-US" w:eastAsia="zh-CN" w:bidi="ar-SA"/>
              </w:rPr>
            </w:pPr>
          </w:p>
        </w:tc>
        <w:tc>
          <w:tcPr>
            <w:tcW w:w="2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79D22">
            <w:pPr>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olor w:val="000000"/>
                <w:sz w:val="24"/>
                <w:szCs w:val="24"/>
              </w:rPr>
              <w:t>最多间隔3天1次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5B475">
            <w:pPr>
              <w:jc w:val="center"/>
              <w:rPr>
                <w:rFonts w:hint="eastAsia" w:ascii="宋体" w:hAnsi="宋体" w:eastAsia="宋体" w:cs="宋体"/>
                <w:color w:val="000000"/>
                <w:kern w:val="0"/>
                <w:sz w:val="24"/>
                <w:szCs w:val="24"/>
                <w:lang w:val="en-US" w:eastAsia="zh-CN" w:bidi="ar-SA"/>
              </w:rPr>
            </w:pPr>
          </w:p>
        </w:tc>
      </w:tr>
      <w:tr w14:paraId="4921CE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5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17B03DFB">
            <w:pPr>
              <w:jc w:val="center"/>
              <w:textAlignment w:val="center"/>
              <w:rPr>
                <w:rFonts w:hint="eastAsia" w:ascii="宋体" w:hAnsi="宋体" w:eastAsia="宋体"/>
                <w:color w:val="000000"/>
                <w:sz w:val="24"/>
                <w:szCs w:val="24"/>
                <w:lang w:val="en-US" w:eastAsia="zh-CN"/>
              </w:rPr>
            </w:pPr>
          </w:p>
          <w:p w14:paraId="70B6DB0C">
            <w:pPr>
              <w:jc w:val="center"/>
              <w:textAlignment w:val="center"/>
              <w:rPr>
                <w:rFonts w:hint="eastAsia" w:ascii="宋体" w:hAnsi="宋体" w:eastAsia="宋体"/>
                <w:color w:val="000000"/>
                <w:sz w:val="24"/>
                <w:szCs w:val="24"/>
                <w:lang w:val="en-US" w:eastAsia="zh-CN"/>
              </w:rPr>
            </w:pPr>
            <w:r>
              <w:rPr>
                <w:rFonts w:hint="eastAsia" w:ascii="宋体" w:hAnsi="宋体" w:eastAsia="宋体"/>
                <w:color w:val="000000"/>
                <w:sz w:val="24"/>
                <w:szCs w:val="24"/>
                <w:lang w:val="en-US" w:eastAsia="zh-CN"/>
              </w:rPr>
              <w:t>青山村</w:t>
            </w:r>
          </w:p>
          <w:p w14:paraId="1D50FE42">
            <w:pPr>
              <w:jc w:val="center"/>
              <w:textAlignment w:val="center"/>
              <w:rPr>
                <w:rFonts w:hint="eastAsia" w:ascii="宋体" w:hAnsi="宋体" w:eastAsia="宋体"/>
                <w:color w:val="000000"/>
                <w:sz w:val="24"/>
                <w:szCs w:val="24"/>
                <w:lang w:val="en-US" w:eastAsia="zh-CN"/>
              </w:rPr>
            </w:pPr>
          </w:p>
          <w:p w14:paraId="6D141711">
            <w:pPr>
              <w:jc w:val="both"/>
              <w:textAlignment w:val="center"/>
              <w:rPr>
                <w:rFonts w:hint="eastAsia" w:ascii="宋体" w:hAnsi="宋体" w:eastAsia="宋体"/>
                <w:color w:val="000000"/>
                <w:sz w:val="24"/>
                <w:szCs w:val="24"/>
                <w:lang w:val="en-US" w:eastAsia="zh-CN"/>
              </w:rPr>
            </w:pPr>
          </w:p>
          <w:p w14:paraId="07D9E77A">
            <w:pPr>
              <w:ind w:firstLine="240" w:firstLineChars="100"/>
              <w:jc w:val="both"/>
              <w:textAlignment w:val="center"/>
              <w:rPr>
                <w:rFonts w:hint="eastAsia" w:ascii="宋体" w:hAnsi="宋体" w:eastAsia="宋体"/>
                <w:color w:val="000000"/>
                <w:sz w:val="24"/>
                <w:szCs w:val="24"/>
                <w:lang w:val="en-US" w:eastAsia="zh-CN"/>
              </w:rPr>
            </w:pPr>
            <w:r>
              <w:rPr>
                <w:rFonts w:hint="eastAsia" w:ascii="宋体" w:hAnsi="宋体" w:eastAsia="宋体"/>
                <w:color w:val="000000"/>
                <w:sz w:val="24"/>
                <w:szCs w:val="24"/>
                <w:lang w:val="en-US" w:eastAsia="zh-CN"/>
              </w:rPr>
              <w:t>青山村</w:t>
            </w:r>
          </w:p>
          <w:p w14:paraId="5D6D5203">
            <w:pPr>
              <w:jc w:val="center"/>
              <w:rPr>
                <w:rFonts w:hint="eastAsia" w:ascii="宋体" w:hAnsi="宋体" w:eastAsia="宋体" w:cs="宋体"/>
                <w:i w:val="0"/>
                <w:iCs w:val="0"/>
                <w:color w:val="000000"/>
                <w:sz w:val="24"/>
                <w:szCs w:val="24"/>
                <w:u w:val="none"/>
                <w:lang w:val="en-US" w:eastAsia="zh-CN"/>
              </w:rPr>
            </w:pPr>
          </w:p>
        </w:tc>
        <w:tc>
          <w:tcPr>
            <w:tcW w:w="0" w:type="auto"/>
            <w:tcBorders>
              <w:top w:val="single" w:color="000000" w:sz="4" w:space="0"/>
              <w:left w:val="single" w:color="auto" w:sz="4" w:space="0"/>
              <w:bottom w:val="single" w:color="000000" w:sz="4" w:space="0"/>
              <w:right w:val="single" w:color="000000" w:sz="4" w:space="0"/>
            </w:tcBorders>
            <w:shd w:val="clear" w:color="auto" w:fill="auto"/>
            <w:noWrap/>
            <w:vAlign w:val="center"/>
          </w:tcPr>
          <w:p w14:paraId="33D07815">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D2D1B">
            <w:pPr>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olor w:val="000000"/>
                <w:sz w:val="24"/>
                <w:szCs w:val="24"/>
              </w:rPr>
              <w:t>歪厉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80A4A">
            <w:pPr>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olor w:val="000000"/>
                <w:sz w:val="24"/>
                <w:szCs w:val="24"/>
              </w:rPr>
              <w:t>1</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5B42B">
            <w:pPr>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olor w:val="000000"/>
                <w:sz w:val="24"/>
                <w:szCs w:val="24"/>
              </w:rPr>
              <w:t>1</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A5FE4">
            <w:pPr>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olor w:val="000000"/>
                <w:sz w:val="24"/>
                <w:szCs w:val="24"/>
              </w:rPr>
              <w:t>1</w:t>
            </w:r>
          </w:p>
        </w:tc>
        <w:tc>
          <w:tcPr>
            <w:tcW w:w="2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6B80E">
            <w:pPr>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olor w:val="000000"/>
                <w:sz w:val="24"/>
                <w:szCs w:val="24"/>
              </w:rPr>
              <w:t>最多间隔3天1次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4860A">
            <w:pPr>
              <w:jc w:val="center"/>
              <w:rPr>
                <w:rFonts w:hint="eastAsia" w:ascii="宋体" w:hAnsi="宋体" w:eastAsia="宋体" w:cs="宋体"/>
                <w:color w:val="000000"/>
                <w:kern w:val="0"/>
                <w:sz w:val="24"/>
                <w:szCs w:val="24"/>
                <w:lang w:val="en-US" w:eastAsia="zh-CN" w:bidi="ar-SA"/>
              </w:rPr>
            </w:pPr>
          </w:p>
        </w:tc>
      </w:tr>
      <w:tr w14:paraId="62F23F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56" w:type="dxa"/>
            <w:vMerge w:val="continue"/>
            <w:tcBorders>
              <w:top w:val="single" w:color="auto" w:sz="4" w:space="0"/>
              <w:left w:val="single" w:color="auto" w:sz="4" w:space="0"/>
              <w:bottom w:val="single" w:color="auto" w:sz="4" w:space="0"/>
              <w:right w:val="single" w:color="auto" w:sz="4" w:space="0"/>
            </w:tcBorders>
            <w:noWrap/>
            <w:vAlign w:val="center"/>
          </w:tcPr>
          <w:p w14:paraId="211BA76D">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auto" w:sz="4" w:space="0"/>
              <w:bottom w:val="single" w:color="000000" w:sz="4" w:space="0"/>
              <w:right w:val="single" w:color="000000" w:sz="4" w:space="0"/>
            </w:tcBorders>
            <w:shd w:val="clear" w:color="auto" w:fill="auto"/>
            <w:noWrap/>
            <w:vAlign w:val="center"/>
          </w:tcPr>
          <w:p w14:paraId="0D83CF97">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8C423">
            <w:pPr>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olor w:val="000000"/>
                <w:sz w:val="24"/>
                <w:szCs w:val="24"/>
              </w:rPr>
              <w:t>盘龙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0CA04">
            <w:pPr>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olor w:val="000000"/>
                <w:sz w:val="24"/>
                <w:szCs w:val="24"/>
              </w:rPr>
              <w:t>1</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F9C64">
            <w:pPr>
              <w:jc w:val="center"/>
              <w:rPr>
                <w:rFonts w:hint="eastAsia" w:ascii="宋体" w:hAnsi="宋体" w:eastAsia="宋体" w:cs="宋体"/>
                <w:color w:val="000000"/>
                <w:kern w:val="0"/>
                <w:sz w:val="24"/>
                <w:szCs w:val="24"/>
                <w:lang w:val="en-US" w:eastAsia="zh-CN" w:bidi="ar-SA"/>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01E8F">
            <w:pPr>
              <w:jc w:val="center"/>
              <w:rPr>
                <w:rFonts w:hint="eastAsia" w:ascii="宋体" w:hAnsi="宋体" w:eastAsia="宋体" w:cs="宋体"/>
                <w:color w:val="000000"/>
                <w:kern w:val="0"/>
                <w:sz w:val="24"/>
                <w:szCs w:val="24"/>
                <w:lang w:val="en-US" w:eastAsia="zh-CN" w:bidi="ar-SA"/>
              </w:rPr>
            </w:pPr>
          </w:p>
        </w:tc>
        <w:tc>
          <w:tcPr>
            <w:tcW w:w="2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FDF45">
            <w:pPr>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olor w:val="000000"/>
                <w:sz w:val="24"/>
                <w:szCs w:val="24"/>
              </w:rPr>
              <w:t>最多间隔3天1次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8F60E">
            <w:pPr>
              <w:jc w:val="center"/>
              <w:rPr>
                <w:rFonts w:hint="eastAsia" w:ascii="宋体" w:hAnsi="宋体" w:eastAsia="宋体" w:cs="宋体"/>
                <w:color w:val="000000"/>
                <w:kern w:val="0"/>
                <w:sz w:val="24"/>
                <w:szCs w:val="24"/>
                <w:lang w:val="en-US" w:eastAsia="zh-CN" w:bidi="ar-SA"/>
              </w:rPr>
            </w:pPr>
          </w:p>
        </w:tc>
      </w:tr>
      <w:tr w14:paraId="599711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56" w:type="dxa"/>
            <w:vMerge w:val="continue"/>
            <w:tcBorders>
              <w:top w:val="single" w:color="auto" w:sz="4" w:space="0"/>
              <w:left w:val="single" w:color="auto" w:sz="4" w:space="0"/>
              <w:bottom w:val="single" w:color="auto" w:sz="4" w:space="0"/>
              <w:right w:val="single" w:color="auto" w:sz="4" w:space="0"/>
            </w:tcBorders>
            <w:noWrap/>
            <w:vAlign w:val="center"/>
          </w:tcPr>
          <w:p w14:paraId="00374176">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auto" w:sz="4" w:space="0"/>
              <w:bottom w:val="single" w:color="000000" w:sz="4" w:space="0"/>
              <w:right w:val="single" w:color="000000" w:sz="4" w:space="0"/>
            </w:tcBorders>
            <w:shd w:val="clear" w:color="auto" w:fill="auto"/>
            <w:noWrap/>
            <w:vAlign w:val="center"/>
          </w:tcPr>
          <w:p w14:paraId="26D04B23">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F92A7">
            <w:pPr>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olor w:val="000000"/>
                <w:sz w:val="24"/>
                <w:szCs w:val="24"/>
              </w:rPr>
              <w:t>松树头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2647F">
            <w:pPr>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olor w:val="000000"/>
                <w:sz w:val="24"/>
                <w:szCs w:val="24"/>
              </w:rPr>
              <w:t>2</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1C6BB">
            <w:pPr>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olor w:val="000000"/>
                <w:sz w:val="24"/>
                <w:szCs w:val="24"/>
              </w:rPr>
              <w:t>1</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EB025">
            <w:pPr>
              <w:jc w:val="center"/>
              <w:rPr>
                <w:rFonts w:hint="eastAsia" w:ascii="宋体" w:hAnsi="宋体" w:eastAsia="宋体" w:cs="宋体"/>
                <w:color w:val="000000"/>
                <w:kern w:val="0"/>
                <w:sz w:val="24"/>
                <w:szCs w:val="24"/>
                <w:lang w:val="en-US" w:eastAsia="zh-CN" w:bidi="ar-SA"/>
              </w:rPr>
            </w:pPr>
          </w:p>
        </w:tc>
        <w:tc>
          <w:tcPr>
            <w:tcW w:w="2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AC09C">
            <w:pPr>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olor w:val="000000"/>
                <w:sz w:val="24"/>
                <w:szCs w:val="24"/>
              </w:rPr>
              <w:t>最多间隔3天1次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EEBD2">
            <w:pPr>
              <w:jc w:val="center"/>
              <w:rPr>
                <w:rFonts w:hint="eastAsia" w:ascii="宋体" w:hAnsi="宋体" w:eastAsia="宋体" w:cs="宋体"/>
                <w:color w:val="000000"/>
                <w:kern w:val="0"/>
                <w:sz w:val="24"/>
                <w:szCs w:val="24"/>
                <w:lang w:val="en-US" w:eastAsia="zh-CN" w:bidi="ar-SA"/>
              </w:rPr>
            </w:pPr>
          </w:p>
        </w:tc>
      </w:tr>
      <w:tr w14:paraId="1E4F86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56" w:type="dxa"/>
            <w:vMerge w:val="continue"/>
            <w:tcBorders>
              <w:top w:val="single" w:color="auto" w:sz="4" w:space="0"/>
              <w:left w:val="single" w:color="auto" w:sz="4" w:space="0"/>
              <w:bottom w:val="single" w:color="auto" w:sz="4" w:space="0"/>
              <w:right w:val="single" w:color="auto" w:sz="4" w:space="0"/>
            </w:tcBorders>
            <w:noWrap/>
            <w:vAlign w:val="center"/>
          </w:tcPr>
          <w:p w14:paraId="7EDFF619">
            <w:pPr>
              <w:jc w:val="center"/>
              <w:rPr>
                <w:rFonts w:hint="eastAsia" w:ascii="宋体" w:hAnsi="宋体" w:eastAsia="宋体" w:cs="宋体"/>
                <w:i w:val="0"/>
                <w:iCs w:val="0"/>
                <w:color w:val="000000"/>
                <w:sz w:val="24"/>
                <w:szCs w:val="24"/>
                <w:u w:val="none"/>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5EE83">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4031E">
            <w:pPr>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olor w:val="000000"/>
                <w:sz w:val="24"/>
                <w:szCs w:val="24"/>
              </w:rPr>
              <w:t>大垌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F26B7">
            <w:pPr>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olor w:val="000000"/>
                <w:sz w:val="24"/>
                <w:szCs w:val="24"/>
              </w:rPr>
              <w:t>2</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7C586">
            <w:pPr>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olor w:val="000000"/>
                <w:sz w:val="24"/>
                <w:szCs w:val="24"/>
              </w:rPr>
              <w:t>1</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C8D02">
            <w:pPr>
              <w:jc w:val="center"/>
              <w:rPr>
                <w:rFonts w:hint="eastAsia" w:ascii="宋体" w:hAnsi="宋体" w:eastAsia="宋体" w:cs="宋体"/>
                <w:color w:val="000000"/>
                <w:kern w:val="0"/>
                <w:sz w:val="24"/>
                <w:szCs w:val="24"/>
                <w:lang w:val="en-US" w:eastAsia="zh-CN" w:bidi="ar-SA"/>
              </w:rPr>
            </w:pPr>
          </w:p>
        </w:tc>
        <w:tc>
          <w:tcPr>
            <w:tcW w:w="2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3211B">
            <w:pPr>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olor w:val="000000"/>
                <w:sz w:val="24"/>
                <w:szCs w:val="24"/>
              </w:rPr>
              <w:t>最多间隔3天1次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A91F7">
            <w:pPr>
              <w:jc w:val="center"/>
              <w:rPr>
                <w:rFonts w:hint="eastAsia" w:ascii="宋体" w:hAnsi="宋体" w:eastAsia="宋体" w:cs="宋体"/>
                <w:color w:val="000000"/>
                <w:kern w:val="0"/>
                <w:sz w:val="24"/>
                <w:szCs w:val="24"/>
                <w:lang w:val="en-US" w:eastAsia="zh-CN" w:bidi="ar-SA"/>
              </w:rPr>
            </w:pPr>
          </w:p>
        </w:tc>
      </w:tr>
      <w:tr w14:paraId="79C5BA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56" w:type="dxa"/>
            <w:vMerge w:val="continue"/>
            <w:tcBorders>
              <w:top w:val="single" w:color="auto" w:sz="4" w:space="0"/>
              <w:left w:val="single" w:color="auto" w:sz="4" w:space="0"/>
              <w:bottom w:val="single" w:color="auto" w:sz="4" w:space="0"/>
              <w:right w:val="single" w:color="auto" w:sz="4" w:space="0"/>
            </w:tcBorders>
            <w:noWrap/>
            <w:vAlign w:val="center"/>
          </w:tcPr>
          <w:p w14:paraId="1B59D982">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EB1DE">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61990">
            <w:pPr>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olor w:val="000000"/>
                <w:sz w:val="24"/>
                <w:szCs w:val="24"/>
              </w:rPr>
              <w:t>凉水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10A1A">
            <w:pPr>
              <w:jc w:val="center"/>
              <w:rPr>
                <w:rFonts w:hint="eastAsia" w:ascii="宋体" w:hAnsi="宋体" w:eastAsia="宋体" w:cs="宋体"/>
                <w:color w:val="000000"/>
                <w:kern w:val="0"/>
                <w:sz w:val="24"/>
                <w:szCs w:val="24"/>
                <w:lang w:val="en-US" w:eastAsia="zh-CN" w:bidi="ar-SA"/>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CF283">
            <w:pPr>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olor w:val="000000"/>
                <w:sz w:val="24"/>
                <w:szCs w:val="24"/>
              </w:rPr>
              <w:t>2</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7A661">
            <w:pPr>
              <w:jc w:val="center"/>
              <w:rPr>
                <w:rFonts w:hint="eastAsia" w:ascii="宋体" w:hAnsi="宋体" w:eastAsia="宋体" w:cs="宋体"/>
                <w:color w:val="000000"/>
                <w:kern w:val="0"/>
                <w:sz w:val="24"/>
                <w:szCs w:val="24"/>
                <w:lang w:val="en-US" w:eastAsia="zh-CN" w:bidi="ar-SA"/>
              </w:rPr>
            </w:pPr>
          </w:p>
        </w:tc>
        <w:tc>
          <w:tcPr>
            <w:tcW w:w="2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E4E2B">
            <w:pPr>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olor w:val="000000"/>
                <w:sz w:val="24"/>
                <w:szCs w:val="24"/>
              </w:rPr>
              <w:t>最多间隔3天1次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A0A78">
            <w:pPr>
              <w:jc w:val="center"/>
              <w:rPr>
                <w:rFonts w:hint="eastAsia" w:ascii="宋体" w:hAnsi="宋体" w:eastAsia="宋体" w:cs="宋体"/>
                <w:color w:val="000000"/>
                <w:kern w:val="0"/>
                <w:sz w:val="24"/>
                <w:szCs w:val="24"/>
                <w:lang w:val="en-US" w:eastAsia="zh-CN" w:bidi="ar-SA"/>
              </w:rPr>
            </w:pPr>
          </w:p>
        </w:tc>
      </w:tr>
      <w:tr w14:paraId="5EB9F0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56" w:type="dxa"/>
            <w:vMerge w:val="continue"/>
            <w:tcBorders>
              <w:top w:val="single" w:color="auto" w:sz="4" w:space="0"/>
              <w:left w:val="single" w:color="auto" w:sz="4" w:space="0"/>
              <w:bottom w:val="single" w:color="auto" w:sz="4" w:space="0"/>
              <w:right w:val="single" w:color="auto" w:sz="4" w:space="0"/>
            </w:tcBorders>
            <w:noWrap/>
            <w:vAlign w:val="center"/>
          </w:tcPr>
          <w:p w14:paraId="4DCC50F6">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9AED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62AB1">
            <w:pPr>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olor w:val="000000"/>
                <w:sz w:val="24"/>
                <w:szCs w:val="24"/>
              </w:rPr>
              <w:t>青山脚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C54C8">
            <w:pPr>
              <w:jc w:val="center"/>
              <w:rPr>
                <w:rFonts w:hint="eastAsia" w:ascii="宋体" w:hAnsi="宋体" w:eastAsia="宋体" w:cs="宋体"/>
                <w:color w:val="000000"/>
                <w:kern w:val="0"/>
                <w:sz w:val="24"/>
                <w:szCs w:val="24"/>
                <w:lang w:val="en-US" w:eastAsia="zh-CN" w:bidi="ar-SA"/>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BECC6">
            <w:pPr>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olor w:val="000000"/>
                <w:sz w:val="24"/>
                <w:szCs w:val="24"/>
              </w:rPr>
              <w:t>3</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4F514">
            <w:pPr>
              <w:jc w:val="center"/>
              <w:rPr>
                <w:rFonts w:hint="eastAsia" w:ascii="宋体" w:hAnsi="宋体" w:eastAsia="宋体" w:cs="宋体"/>
                <w:color w:val="000000"/>
                <w:kern w:val="0"/>
                <w:sz w:val="24"/>
                <w:szCs w:val="24"/>
                <w:lang w:val="en-US" w:eastAsia="zh-CN" w:bidi="ar-SA"/>
              </w:rPr>
            </w:pPr>
          </w:p>
        </w:tc>
        <w:tc>
          <w:tcPr>
            <w:tcW w:w="2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5F1D0">
            <w:pPr>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olor w:val="000000"/>
                <w:sz w:val="24"/>
                <w:szCs w:val="24"/>
              </w:rPr>
              <w:t>最多间隔3天1次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B7BE5">
            <w:pPr>
              <w:jc w:val="center"/>
              <w:rPr>
                <w:rFonts w:hint="eastAsia" w:ascii="宋体" w:hAnsi="宋体" w:eastAsia="宋体" w:cs="宋体"/>
                <w:color w:val="000000"/>
                <w:kern w:val="0"/>
                <w:sz w:val="24"/>
                <w:szCs w:val="24"/>
                <w:lang w:val="en-US" w:eastAsia="zh-CN" w:bidi="ar-SA"/>
              </w:rPr>
            </w:pPr>
          </w:p>
        </w:tc>
      </w:tr>
      <w:tr w14:paraId="339FFE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jc w:val="center"/>
        </w:trPr>
        <w:tc>
          <w:tcPr>
            <w:tcW w:w="9888" w:type="dxa"/>
            <w:gridSpan w:val="8"/>
            <w:tcBorders>
              <w:top w:val="single" w:color="000000" w:sz="4" w:space="0"/>
              <w:left w:val="single" w:color="000000" w:sz="4" w:space="0"/>
              <w:bottom w:val="single" w:color="000000" w:sz="4" w:space="0"/>
              <w:right w:val="single" w:color="000000" w:sz="4" w:space="0"/>
            </w:tcBorders>
            <w:noWrap w:val="0"/>
            <w:vAlign w:val="center"/>
          </w:tcPr>
          <w:p w14:paraId="4BBE88FE">
            <w:pPr>
              <w:keepNext w:val="0"/>
              <w:keepLines w:val="0"/>
              <w:widowControl/>
              <w:suppressLineNumbers w:val="0"/>
              <w:ind w:left="1200" w:hanging="1200" w:hangingChars="500"/>
              <w:jc w:val="both"/>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其他要求：1.集镇服务区域内的街道每天开展一次保洁工作，集镇歌圩（对河歌圩）场地和公共厕所每周打扫一次。</w:t>
            </w:r>
          </w:p>
          <w:p w14:paraId="57EF8520">
            <w:pPr>
              <w:keepNext w:val="0"/>
              <w:keepLines w:val="0"/>
              <w:widowControl/>
              <w:numPr>
                <w:ilvl w:val="0"/>
                <w:numId w:val="0"/>
              </w:numPr>
              <w:suppressLineNumbers w:val="0"/>
              <w:ind w:leftChars="545"/>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2.节假日等垃圾量增大时，除集镇任需每日保洁和清运，其他服务区域的清运要求可往后推迟，推迟时间不得超过2天，推迟期间镇级督查发现的问题不列入处罚。</w:t>
            </w:r>
          </w:p>
          <w:p w14:paraId="7C3D8C26">
            <w:pPr>
              <w:keepNext w:val="0"/>
              <w:keepLines w:val="0"/>
              <w:widowControl/>
              <w:numPr>
                <w:ilvl w:val="0"/>
                <w:numId w:val="0"/>
              </w:numPr>
              <w:suppressLineNumbers w:val="0"/>
              <w:ind w:leftChars="545"/>
              <w:jc w:val="both"/>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3.如遇自然灾害等客观原因影响交通，无法开展清运工作的，需按甲方的临时处置方案实施。</w:t>
            </w:r>
          </w:p>
        </w:tc>
      </w:tr>
    </w:tbl>
    <w:p w14:paraId="75033CB3">
      <w:pPr>
        <w:bidi w:val="0"/>
        <w:jc w:val="left"/>
        <w:rPr>
          <w:rFonts w:hint="eastAsia"/>
          <w:lang w:val="en-US" w:eastAsia="zh-CN"/>
        </w:rPr>
      </w:pPr>
    </w:p>
    <w:p w14:paraId="7BDF7110">
      <w:pPr>
        <w:spacing w:line="360" w:lineRule="auto"/>
        <w:ind w:firstLine="420" w:firstLineChars="200"/>
        <w:rPr>
          <w:rFonts w:hint="eastAsia" w:ascii="宋体" w:hAnsi="宋体" w:eastAsia="宋体" w:cs="宋体"/>
          <w:color w:val="auto"/>
          <w:sz w:val="21"/>
          <w:szCs w:val="21"/>
          <w:highlight w:val="none"/>
          <w:lang w:val="zh-CN"/>
        </w:rPr>
      </w:pPr>
    </w:p>
    <w:p w14:paraId="092F646F">
      <w:pPr>
        <w:tabs>
          <w:tab w:val="left" w:pos="3261"/>
        </w:tabs>
        <w:spacing w:line="360" w:lineRule="auto"/>
        <w:contextualSpacing/>
        <w:jc w:val="center"/>
        <w:rPr>
          <w:rFonts w:hint="eastAsia" w:ascii="宋体" w:hAnsi="宋体" w:eastAsia="宋体" w:cs="宋体"/>
          <w:b/>
          <w:color w:val="auto"/>
          <w:sz w:val="44"/>
          <w:szCs w:val="44"/>
          <w:highlight w:val="none"/>
        </w:rPr>
      </w:pPr>
    </w:p>
    <w:p w14:paraId="20FE4E68">
      <w:pPr>
        <w:spacing w:line="360" w:lineRule="auto"/>
        <w:jc w:val="center"/>
        <w:rPr>
          <w:rFonts w:hint="eastAsia" w:ascii="宋体" w:hAnsi="宋体" w:eastAsia="宋体" w:cs="宋体"/>
          <w:b/>
          <w:bCs/>
          <w:color w:val="auto"/>
          <w:sz w:val="44"/>
          <w:szCs w:val="44"/>
          <w:highlight w:val="none"/>
        </w:rPr>
        <w:sectPr>
          <w:headerReference r:id="rId9" w:type="default"/>
          <w:footerReference r:id="rId10" w:type="default"/>
          <w:pgSz w:w="11910" w:h="16840"/>
          <w:pgMar w:top="1417" w:right="1417" w:bottom="1417" w:left="1417" w:header="720" w:footer="720" w:gutter="0"/>
          <w:pgNumType w:fmt="decimal"/>
          <w:cols w:space="720" w:num="1"/>
          <w:rtlGutter w:val="0"/>
        </w:sectPr>
      </w:pPr>
    </w:p>
    <w:p w14:paraId="19A21CE7">
      <w:pPr>
        <w:tabs>
          <w:tab w:val="left" w:pos="3261"/>
        </w:tabs>
        <w:spacing w:line="360" w:lineRule="auto"/>
        <w:contextualSpacing/>
        <w:jc w:val="center"/>
        <w:rPr>
          <w:rFonts w:hint="eastAsia" w:ascii="宋体" w:hAnsi="宋体" w:eastAsia="宋体" w:cs="宋体"/>
          <w:b/>
          <w:color w:val="auto"/>
          <w:sz w:val="44"/>
          <w:szCs w:val="44"/>
          <w:highlight w:val="none"/>
        </w:rPr>
      </w:pPr>
    </w:p>
    <w:p w14:paraId="6393767D">
      <w:pPr>
        <w:tabs>
          <w:tab w:val="left" w:pos="3261"/>
        </w:tabs>
        <w:spacing w:line="360" w:lineRule="auto"/>
        <w:contextualSpacing/>
        <w:jc w:val="center"/>
        <w:rPr>
          <w:rFonts w:hint="eastAsia" w:ascii="宋体" w:hAnsi="宋体" w:eastAsia="宋体" w:cs="宋体"/>
          <w:b/>
          <w:color w:val="auto"/>
          <w:sz w:val="44"/>
          <w:szCs w:val="44"/>
          <w:highlight w:val="none"/>
        </w:rPr>
      </w:pPr>
    </w:p>
    <w:p w14:paraId="60D6B914">
      <w:pPr>
        <w:tabs>
          <w:tab w:val="left" w:pos="3261"/>
        </w:tabs>
        <w:spacing w:line="360" w:lineRule="auto"/>
        <w:contextualSpacing/>
        <w:jc w:val="center"/>
        <w:rPr>
          <w:rFonts w:hint="eastAsia" w:ascii="宋体" w:hAnsi="宋体" w:eastAsia="宋体" w:cs="宋体"/>
          <w:b/>
          <w:color w:val="auto"/>
          <w:sz w:val="44"/>
          <w:szCs w:val="44"/>
          <w:highlight w:val="none"/>
        </w:rPr>
      </w:pPr>
    </w:p>
    <w:p w14:paraId="612F3A30">
      <w:pPr>
        <w:tabs>
          <w:tab w:val="left" w:pos="3261"/>
        </w:tabs>
        <w:spacing w:line="360" w:lineRule="auto"/>
        <w:contextualSpacing/>
        <w:jc w:val="center"/>
        <w:rPr>
          <w:rFonts w:hint="eastAsia" w:ascii="宋体" w:hAnsi="宋体" w:eastAsia="宋体" w:cs="宋体"/>
          <w:b/>
          <w:color w:val="auto"/>
          <w:sz w:val="44"/>
          <w:szCs w:val="44"/>
          <w:highlight w:val="none"/>
        </w:rPr>
      </w:pPr>
    </w:p>
    <w:p w14:paraId="3AE34823">
      <w:pPr>
        <w:tabs>
          <w:tab w:val="left" w:pos="3261"/>
        </w:tabs>
        <w:spacing w:line="360" w:lineRule="auto"/>
        <w:contextualSpacing/>
        <w:jc w:val="center"/>
        <w:rPr>
          <w:rFonts w:hint="eastAsia" w:ascii="宋体" w:hAnsi="宋体" w:eastAsia="宋体" w:cs="宋体"/>
          <w:b/>
          <w:color w:val="auto"/>
          <w:sz w:val="44"/>
          <w:szCs w:val="44"/>
          <w:highlight w:val="none"/>
        </w:rPr>
      </w:pPr>
    </w:p>
    <w:p w14:paraId="7EE0A8DF">
      <w:pPr>
        <w:keepNext/>
        <w:keepLines/>
        <w:spacing w:before="340" w:after="330" w:line="578" w:lineRule="auto"/>
        <w:jc w:val="center"/>
        <w:outlineLvl w:val="0"/>
        <w:rPr>
          <w:rFonts w:hint="eastAsia" w:ascii="宋体" w:hAnsi="宋体" w:eastAsia="宋体" w:cs="宋体"/>
          <w:b/>
          <w:bCs w:val="0"/>
          <w:color w:val="auto"/>
          <w:kern w:val="44"/>
          <w:sz w:val="40"/>
          <w:szCs w:val="40"/>
          <w:highlight w:val="none"/>
        </w:rPr>
        <w:sectPr>
          <w:pgSz w:w="11910" w:h="16840"/>
          <w:pgMar w:top="1134" w:right="1134" w:bottom="1134" w:left="1134" w:header="720" w:footer="720" w:gutter="0"/>
          <w:pgNumType w:fmt="decimal"/>
          <w:cols w:space="720" w:num="1"/>
          <w:rtlGutter w:val="0"/>
        </w:sectPr>
      </w:pPr>
      <w:bookmarkStart w:id="95" w:name="_Toc3113"/>
      <w:r>
        <w:rPr>
          <w:rFonts w:hint="eastAsia" w:ascii="宋体" w:hAnsi="宋体" w:eastAsia="宋体" w:cs="宋体"/>
          <w:b/>
          <w:bCs w:val="0"/>
          <w:color w:val="auto"/>
          <w:kern w:val="44"/>
          <w:sz w:val="40"/>
          <w:szCs w:val="40"/>
          <w:highlight w:val="none"/>
        </w:rPr>
        <w:t>第七章 质疑、投诉材料格式</w:t>
      </w:r>
      <w:bookmarkEnd w:id="95"/>
    </w:p>
    <w:p w14:paraId="64B70BDD">
      <w:pP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质疑函（格式）</w:t>
      </w:r>
    </w:p>
    <w:p w14:paraId="3EF848FC">
      <w:pPr>
        <w:spacing w:line="360" w:lineRule="auto"/>
        <w:ind w:firstLine="482" w:firstLineChars="200"/>
        <w:contextualSpacing/>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一、质疑供应商基本信息：</w:t>
      </w:r>
    </w:p>
    <w:p w14:paraId="77932E83">
      <w:pPr>
        <w:spacing w:line="360" w:lineRule="auto"/>
        <w:ind w:firstLine="480" w:firstLineChars="200"/>
        <w:contextualSpacing/>
        <w:rPr>
          <w:rFonts w:hint="eastAsia" w:ascii="宋体" w:hAnsi="宋体" w:eastAsia="宋体" w:cs="宋体"/>
          <w:bCs/>
          <w:color w:val="auto"/>
          <w:kern w:val="0"/>
          <w:sz w:val="24"/>
          <w:highlight w:val="none"/>
          <w:u w:val="single"/>
        </w:rPr>
      </w:pPr>
      <w:r>
        <w:rPr>
          <w:rFonts w:hint="eastAsia" w:ascii="宋体" w:hAnsi="宋体" w:eastAsia="宋体" w:cs="宋体"/>
          <w:bCs/>
          <w:color w:val="auto"/>
          <w:kern w:val="0"/>
          <w:sz w:val="24"/>
          <w:highlight w:val="none"/>
        </w:rPr>
        <w:t>质疑供应商：</w:t>
      </w:r>
      <w:r>
        <w:rPr>
          <w:rFonts w:hint="eastAsia" w:ascii="宋体" w:hAnsi="宋体" w:eastAsia="宋体" w:cs="宋体"/>
          <w:bCs/>
          <w:color w:val="auto"/>
          <w:kern w:val="0"/>
          <w:sz w:val="24"/>
          <w:highlight w:val="none"/>
          <w:u w:val="single"/>
        </w:rPr>
        <w:t xml:space="preserve">                                       </w:t>
      </w:r>
      <w:r>
        <w:rPr>
          <w:rFonts w:hint="eastAsia" w:ascii="宋体" w:hAnsi="宋体" w:eastAsia="宋体" w:cs="宋体"/>
          <w:bCs/>
          <w:color w:val="auto"/>
          <w:kern w:val="0"/>
          <w:sz w:val="24"/>
          <w:highlight w:val="none"/>
        </w:rPr>
        <w:t xml:space="preserve">                 </w:t>
      </w:r>
    </w:p>
    <w:p w14:paraId="2CB2007B">
      <w:pPr>
        <w:spacing w:line="360" w:lineRule="auto"/>
        <w:ind w:firstLine="480" w:firstLineChars="200"/>
        <w:contextualSpacing/>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地址：</w:t>
      </w:r>
      <w:r>
        <w:rPr>
          <w:rFonts w:hint="eastAsia" w:ascii="宋体" w:hAnsi="宋体" w:eastAsia="宋体" w:cs="宋体"/>
          <w:bCs/>
          <w:color w:val="auto"/>
          <w:kern w:val="0"/>
          <w:sz w:val="24"/>
          <w:highlight w:val="none"/>
          <w:u w:val="single"/>
        </w:rPr>
        <w:t xml:space="preserve">                                          </w:t>
      </w:r>
      <w:r>
        <w:rPr>
          <w:rFonts w:hint="eastAsia" w:ascii="宋体" w:hAnsi="宋体" w:eastAsia="宋体" w:cs="宋体"/>
          <w:bCs/>
          <w:color w:val="auto"/>
          <w:kern w:val="0"/>
          <w:sz w:val="24"/>
          <w:highlight w:val="none"/>
        </w:rPr>
        <w:t>邮编：</w:t>
      </w:r>
      <w:r>
        <w:rPr>
          <w:rFonts w:hint="eastAsia" w:ascii="宋体" w:hAnsi="宋体" w:eastAsia="宋体" w:cs="宋体"/>
          <w:bCs/>
          <w:color w:val="auto"/>
          <w:kern w:val="0"/>
          <w:sz w:val="24"/>
          <w:highlight w:val="none"/>
          <w:u w:val="single"/>
        </w:rPr>
        <w:t xml:space="preserve">                  </w:t>
      </w:r>
      <w:r>
        <w:rPr>
          <w:rFonts w:hint="eastAsia" w:ascii="宋体" w:hAnsi="宋体" w:eastAsia="宋体" w:cs="宋体"/>
          <w:bCs/>
          <w:color w:val="auto"/>
          <w:kern w:val="0"/>
          <w:sz w:val="24"/>
          <w:highlight w:val="none"/>
        </w:rPr>
        <w:t xml:space="preserve">                 </w:t>
      </w:r>
    </w:p>
    <w:p w14:paraId="302AA6F3">
      <w:pPr>
        <w:spacing w:line="360" w:lineRule="auto"/>
        <w:ind w:firstLine="480" w:firstLineChars="200"/>
        <w:contextualSpacing/>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联系人：</w:t>
      </w:r>
      <w:r>
        <w:rPr>
          <w:rFonts w:hint="eastAsia" w:ascii="宋体" w:hAnsi="宋体" w:eastAsia="宋体" w:cs="宋体"/>
          <w:bCs/>
          <w:color w:val="auto"/>
          <w:kern w:val="0"/>
          <w:sz w:val="24"/>
          <w:highlight w:val="none"/>
          <w:u w:val="single"/>
        </w:rPr>
        <w:t xml:space="preserve">                     </w:t>
      </w:r>
      <w:r>
        <w:rPr>
          <w:rFonts w:hint="eastAsia" w:ascii="宋体" w:hAnsi="宋体" w:eastAsia="宋体" w:cs="宋体"/>
          <w:bCs/>
          <w:color w:val="auto"/>
          <w:kern w:val="0"/>
          <w:sz w:val="24"/>
          <w:highlight w:val="none"/>
        </w:rPr>
        <w:t>联系电话：</w:t>
      </w:r>
      <w:r>
        <w:rPr>
          <w:rFonts w:hint="eastAsia" w:ascii="宋体" w:hAnsi="宋体" w:eastAsia="宋体" w:cs="宋体"/>
          <w:bCs/>
          <w:color w:val="auto"/>
          <w:kern w:val="0"/>
          <w:sz w:val="24"/>
          <w:highlight w:val="none"/>
          <w:u w:val="single"/>
        </w:rPr>
        <w:t xml:space="preserve">                 </w:t>
      </w:r>
    </w:p>
    <w:p w14:paraId="3D3449E7">
      <w:pPr>
        <w:spacing w:line="360" w:lineRule="auto"/>
        <w:ind w:firstLine="480" w:firstLineChars="200"/>
        <w:contextualSpacing/>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授权代表：</w:t>
      </w:r>
      <w:r>
        <w:rPr>
          <w:rFonts w:hint="eastAsia" w:ascii="宋体" w:hAnsi="宋体" w:eastAsia="宋体" w:cs="宋体"/>
          <w:bCs/>
          <w:color w:val="auto"/>
          <w:kern w:val="0"/>
          <w:sz w:val="24"/>
          <w:highlight w:val="none"/>
          <w:u w:val="single"/>
        </w:rPr>
        <w:t xml:space="preserve">                      </w:t>
      </w:r>
    </w:p>
    <w:p w14:paraId="3F5C32A7">
      <w:pPr>
        <w:spacing w:line="360" w:lineRule="auto"/>
        <w:ind w:firstLine="480" w:firstLineChars="200"/>
        <w:contextualSpacing/>
        <w:rPr>
          <w:rFonts w:hint="eastAsia" w:ascii="宋体" w:hAnsi="宋体" w:eastAsia="宋体" w:cs="宋体"/>
          <w:bCs/>
          <w:color w:val="auto"/>
          <w:kern w:val="0"/>
          <w:sz w:val="24"/>
          <w:highlight w:val="none"/>
          <w:u w:val="single"/>
        </w:rPr>
      </w:pPr>
      <w:r>
        <w:rPr>
          <w:rFonts w:hint="eastAsia" w:ascii="宋体" w:hAnsi="宋体" w:eastAsia="宋体" w:cs="宋体"/>
          <w:bCs/>
          <w:color w:val="auto"/>
          <w:kern w:val="0"/>
          <w:sz w:val="24"/>
          <w:highlight w:val="none"/>
        </w:rPr>
        <w:t>联系电话：</w:t>
      </w:r>
      <w:r>
        <w:rPr>
          <w:rFonts w:hint="eastAsia" w:ascii="宋体" w:hAnsi="宋体" w:eastAsia="宋体" w:cs="宋体"/>
          <w:bCs/>
          <w:color w:val="auto"/>
          <w:kern w:val="0"/>
          <w:sz w:val="24"/>
          <w:highlight w:val="none"/>
          <w:u w:val="single"/>
        </w:rPr>
        <w:t xml:space="preserve">                      </w:t>
      </w:r>
    </w:p>
    <w:p w14:paraId="1B55A505">
      <w:pPr>
        <w:spacing w:line="360" w:lineRule="auto"/>
        <w:ind w:firstLine="480" w:firstLineChars="200"/>
        <w:contextualSpacing/>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地址：</w:t>
      </w:r>
      <w:r>
        <w:rPr>
          <w:rFonts w:hint="eastAsia" w:ascii="宋体" w:hAnsi="宋体" w:eastAsia="宋体" w:cs="宋体"/>
          <w:bCs/>
          <w:color w:val="auto"/>
          <w:kern w:val="0"/>
          <w:sz w:val="24"/>
          <w:highlight w:val="none"/>
          <w:u w:val="single"/>
        </w:rPr>
        <w:t xml:space="preserve">                 </w:t>
      </w:r>
      <w:r>
        <w:rPr>
          <w:rFonts w:hint="eastAsia" w:ascii="宋体" w:hAnsi="宋体" w:eastAsia="宋体" w:cs="宋体"/>
          <w:bCs/>
          <w:color w:val="auto"/>
          <w:kern w:val="0"/>
          <w:sz w:val="24"/>
          <w:highlight w:val="none"/>
        </w:rPr>
        <w:t>邮编：</w:t>
      </w:r>
      <w:r>
        <w:rPr>
          <w:rFonts w:hint="eastAsia" w:ascii="宋体" w:hAnsi="宋体" w:eastAsia="宋体" w:cs="宋体"/>
          <w:bCs/>
          <w:color w:val="auto"/>
          <w:kern w:val="0"/>
          <w:sz w:val="24"/>
          <w:highlight w:val="none"/>
          <w:u w:val="single"/>
        </w:rPr>
        <w:t xml:space="preserve">                  </w:t>
      </w:r>
      <w:r>
        <w:rPr>
          <w:rFonts w:hint="eastAsia" w:ascii="宋体" w:hAnsi="宋体" w:eastAsia="宋体" w:cs="宋体"/>
          <w:bCs/>
          <w:color w:val="auto"/>
          <w:kern w:val="0"/>
          <w:sz w:val="24"/>
          <w:highlight w:val="none"/>
        </w:rPr>
        <w:t xml:space="preserve">     </w:t>
      </w:r>
    </w:p>
    <w:p w14:paraId="49A476BE">
      <w:pPr>
        <w:spacing w:line="360" w:lineRule="auto"/>
        <w:ind w:firstLine="482" w:firstLineChars="200"/>
        <w:contextualSpacing/>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二、质疑项目基本情况：</w:t>
      </w:r>
    </w:p>
    <w:p w14:paraId="560816CC">
      <w:pPr>
        <w:spacing w:line="360" w:lineRule="auto"/>
        <w:ind w:left="25" w:leftChars="12" w:firstLine="472" w:firstLineChars="197"/>
        <w:contextualSpacing/>
        <w:rPr>
          <w:rFonts w:hint="eastAsia" w:ascii="宋体" w:hAnsi="宋体" w:eastAsia="宋体" w:cs="宋体"/>
          <w:color w:val="auto"/>
          <w:kern w:val="0"/>
          <w:sz w:val="24"/>
          <w:highlight w:val="none"/>
        </w:rPr>
      </w:pPr>
      <w:r>
        <w:rPr>
          <w:rFonts w:hint="eastAsia" w:ascii="宋体" w:hAnsi="宋体" w:eastAsia="宋体" w:cs="宋体"/>
          <w:bCs/>
          <w:color w:val="auto"/>
          <w:kern w:val="0"/>
          <w:sz w:val="24"/>
          <w:highlight w:val="none"/>
        </w:rPr>
        <w:t>质疑</w:t>
      </w:r>
      <w:r>
        <w:rPr>
          <w:rFonts w:hint="eastAsia" w:ascii="宋体" w:hAnsi="宋体" w:eastAsia="宋体" w:cs="宋体"/>
          <w:color w:val="auto"/>
          <w:kern w:val="0"/>
          <w:sz w:val="24"/>
          <w:highlight w:val="none"/>
        </w:rPr>
        <w:t>项目的名称：</w:t>
      </w:r>
      <w:r>
        <w:rPr>
          <w:rFonts w:hint="eastAsia" w:ascii="宋体" w:hAnsi="宋体" w:eastAsia="宋体" w:cs="宋体"/>
          <w:bCs/>
          <w:color w:val="auto"/>
          <w:kern w:val="0"/>
          <w:sz w:val="24"/>
          <w:highlight w:val="none"/>
          <w:u w:val="single"/>
        </w:rPr>
        <w:t xml:space="preserve">                                     </w:t>
      </w:r>
    </w:p>
    <w:p w14:paraId="553E2510">
      <w:pPr>
        <w:spacing w:line="360" w:lineRule="auto"/>
        <w:ind w:left="25" w:leftChars="12" w:firstLine="472" w:firstLineChars="197"/>
        <w:contextualSpacing/>
        <w:rPr>
          <w:rFonts w:hint="eastAsia" w:ascii="宋体" w:hAnsi="宋体" w:eastAsia="宋体" w:cs="宋体"/>
          <w:color w:val="auto"/>
          <w:kern w:val="0"/>
          <w:sz w:val="24"/>
          <w:highlight w:val="none"/>
        </w:rPr>
      </w:pPr>
      <w:r>
        <w:rPr>
          <w:rFonts w:hint="eastAsia" w:ascii="宋体" w:hAnsi="宋体" w:eastAsia="宋体" w:cs="宋体"/>
          <w:bCs/>
          <w:color w:val="auto"/>
          <w:kern w:val="0"/>
          <w:sz w:val="24"/>
          <w:highlight w:val="none"/>
        </w:rPr>
        <w:t>质疑</w:t>
      </w:r>
      <w:r>
        <w:rPr>
          <w:rFonts w:hint="eastAsia" w:ascii="宋体" w:hAnsi="宋体" w:eastAsia="宋体" w:cs="宋体"/>
          <w:color w:val="auto"/>
          <w:kern w:val="0"/>
          <w:sz w:val="24"/>
          <w:highlight w:val="none"/>
        </w:rPr>
        <w:t>项目的编号：</w:t>
      </w:r>
      <w:r>
        <w:rPr>
          <w:rFonts w:hint="eastAsia" w:ascii="宋体" w:hAnsi="宋体" w:eastAsia="宋体" w:cs="宋体"/>
          <w:bCs/>
          <w:color w:val="auto"/>
          <w:kern w:val="0"/>
          <w:sz w:val="24"/>
          <w:highlight w:val="none"/>
          <w:u w:val="single"/>
        </w:rPr>
        <w:t xml:space="preserve">                                     </w:t>
      </w:r>
    </w:p>
    <w:p w14:paraId="593D2318">
      <w:pPr>
        <w:spacing w:line="360" w:lineRule="auto"/>
        <w:ind w:left="25" w:leftChars="12" w:firstLine="472" w:firstLineChars="197"/>
        <w:contextualSpacing/>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采购人名称：</w:t>
      </w:r>
      <w:r>
        <w:rPr>
          <w:rFonts w:hint="eastAsia" w:ascii="宋体" w:hAnsi="宋体" w:eastAsia="宋体" w:cs="宋体"/>
          <w:bCs/>
          <w:color w:val="auto"/>
          <w:kern w:val="0"/>
          <w:sz w:val="24"/>
          <w:highlight w:val="none"/>
          <w:u w:val="single"/>
        </w:rPr>
        <w:t xml:space="preserve">                                         </w:t>
      </w:r>
    </w:p>
    <w:p w14:paraId="20C6DEEC">
      <w:pPr>
        <w:spacing w:line="360" w:lineRule="auto"/>
        <w:ind w:left="25" w:leftChars="12" w:firstLine="472" w:firstLineChars="197"/>
        <w:contextualSpacing/>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质疑事项：</w:t>
      </w:r>
    </w:p>
    <w:p w14:paraId="646672C2">
      <w:pPr>
        <w:spacing w:line="360" w:lineRule="auto"/>
        <w:ind w:left="25" w:leftChars="12" w:firstLine="352" w:firstLineChars="147"/>
        <w:contextualSpacing/>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□采购文件   采购文件获取日期：</w:t>
      </w:r>
      <w:r>
        <w:rPr>
          <w:rFonts w:hint="eastAsia" w:ascii="宋体" w:hAnsi="宋体" w:eastAsia="宋体" w:cs="宋体"/>
          <w:bCs/>
          <w:color w:val="auto"/>
          <w:kern w:val="0"/>
          <w:sz w:val="24"/>
          <w:highlight w:val="none"/>
          <w:u w:val="single"/>
        </w:rPr>
        <w:t xml:space="preserve">                                   </w:t>
      </w:r>
    </w:p>
    <w:p w14:paraId="4463D0FE">
      <w:pPr>
        <w:spacing w:line="360" w:lineRule="auto"/>
        <w:ind w:left="25" w:leftChars="12" w:firstLine="352" w:firstLineChars="147"/>
        <w:contextualSpacing/>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□采购过程   </w:t>
      </w:r>
    </w:p>
    <w:p w14:paraId="49347CC4">
      <w:pPr>
        <w:spacing w:line="360" w:lineRule="auto"/>
        <w:ind w:left="25" w:leftChars="12" w:firstLine="352" w:firstLineChars="147"/>
        <w:contextualSpacing/>
        <w:rPr>
          <w:rFonts w:hint="eastAsia" w:ascii="宋体" w:hAnsi="宋体" w:eastAsia="宋体" w:cs="宋体"/>
          <w:bCs/>
          <w:color w:val="auto"/>
          <w:kern w:val="0"/>
          <w:sz w:val="24"/>
          <w:highlight w:val="none"/>
          <w:u w:val="single"/>
        </w:rPr>
      </w:pPr>
      <w:r>
        <w:rPr>
          <w:rFonts w:hint="eastAsia" w:ascii="宋体" w:hAnsi="宋体" w:eastAsia="宋体" w:cs="宋体"/>
          <w:color w:val="auto"/>
          <w:kern w:val="0"/>
          <w:sz w:val="24"/>
          <w:highlight w:val="none"/>
        </w:rPr>
        <w:t xml:space="preserve">□成交结果   </w:t>
      </w:r>
    </w:p>
    <w:p w14:paraId="44772121">
      <w:pPr>
        <w:spacing w:line="360" w:lineRule="auto"/>
        <w:ind w:left="25" w:leftChars="12" w:firstLine="472" w:firstLineChars="196"/>
        <w:contextualSpacing/>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三、质疑事项具体内容</w:t>
      </w:r>
    </w:p>
    <w:p w14:paraId="166684BD">
      <w:pPr>
        <w:spacing w:line="360" w:lineRule="auto"/>
        <w:ind w:left="25" w:leftChars="12" w:firstLine="472" w:firstLineChars="197"/>
        <w:contextualSpacing/>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质疑事项1：</w:t>
      </w:r>
      <w:r>
        <w:rPr>
          <w:rFonts w:hint="eastAsia" w:ascii="宋体" w:hAnsi="宋体" w:eastAsia="宋体" w:cs="宋体"/>
          <w:bCs/>
          <w:color w:val="auto"/>
          <w:kern w:val="0"/>
          <w:sz w:val="24"/>
          <w:highlight w:val="none"/>
          <w:u w:val="single"/>
        </w:rPr>
        <w:t xml:space="preserve">                                                                    </w:t>
      </w:r>
    </w:p>
    <w:p w14:paraId="2E41BAEA">
      <w:pPr>
        <w:spacing w:line="360" w:lineRule="auto"/>
        <w:ind w:left="25" w:leftChars="12" w:firstLine="472" w:firstLineChars="197"/>
        <w:contextualSpacing/>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事实依据：</w:t>
      </w:r>
      <w:r>
        <w:rPr>
          <w:rFonts w:hint="eastAsia" w:ascii="宋体" w:hAnsi="宋体" w:eastAsia="宋体" w:cs="宋体"/>
          <w:bCs/>
          <w:color w:val="auto"/>
          <w:kern w:val="0"/>
          <w:sz w:val="24"/>
          <w:highlight w:val="none"/>
          <w:u w:val="single"/>
        </w:rPr>
        <w:t xml:space="preserve">                                                                      </w:t>
      </w:r>
    </w:p>
    <w:p w14:paraId="4B25F284">
      <w:pPr>
        <w:spacing w:line="360" w:lineRule="auto"/>
        <w:ind w:left="25" w:leftChars="12" w:firstLine="472" w:firstLineChars="197"/>
        <w:contextualSpacing/>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法律依据：</w:t>
      </w:r>
      <w:r>
        <w:rPr>
          <w:rFonts w:hint="eastAsia" w:ascii="宋体" w:hAnsi="宋体" w:eastAsia="宋体" w:cs="宋体"/>
          <w:color w:val="auto"/>
          <w:kern w:val="0"/>
          <w:sz w:val="24"/>
          <w:highlight w:val="none"/>
          <w:u w:val="single"/>
        </w:rPr>
        <w:t xml:space="preserve">                                                        </w:t>
      </w:r>
      <w:r>
        <w:rPr>
          <w:rFonts w:hint="eastAsia" w:ascii="宋体" w:hAnsi="宋体" w:eastAsia="宋体" w:cs="宋体"/>
          <w:bCs/>
          <w:color w:val="auto"/>
          <w:kern w:val="0"/>
          <w:sz w:val="24"/>
          <w:highlight w:val="none"/>
          <w:u w:val="single"/>
        </w:rPr>
        <w:t xml:space="preserve">               </w:t>
      </w:r>
    </w:p>
    <w:p w14:paraId="2887ACE2">
      <w:pPr>
        <w:spacing w:line="360" w:lineRule="auto"/>
        <w:ind w:left="25" w:leftChars="12" w:firstLine="472" w:firstLineChars="197"/>
        <w:contextualSpacing/>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质疑事项2</w:t>
      </w:r>
    </w:p>
    <w:p w14:paraId="4B30A54F">
      <w:pPr>
        <w:spacing w:line="360" w:lineRule="auto"/>
        <w:ind w:left="25" w:leftChars="12" w:firstLine="472" w:firstLineChars="197"/>
        <w:contextualSpacing/>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p w14:paraId="5178ED2A">
      <w:pPr>
        <w:spacing w:line="360" w:lineRule="auto"/>
        <w:ind w:left="25" w:leftChars="12" w:firstLine="472" w:firstLineChars="197"/>
        <w:contextualSpacing/>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四、与质疑事项相关的质疑请求：</w:t>
      </w:r>
    </w:p>
    <w:p w14:paraId="1D0C46E9">
      <w:pPr>
        <w:spacing w:line="360" w:lineRule="auto"/>
        <w:ind w:left="25" w:leftChars="12" w:firstLine="472" w:firstLineChars="197"/>
        <w:contextualSpacing/>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请求：</w:t>
      </w:r>
      <w:r>
        <w:rPr>
          <w:rFonts w:hint="eastAsia" w:ascii="宋体" w:hAnsi="宋体" w:eastAsia="宋体" w:cs="宋体"/>
          <w:bCs/>
          <w:color w:val="auto"/>
          <w:kern w:val="0"/>
          <w:sz w:val="24"/>
          <w:highlight w:val="none"/>
          <w:u w:val="single"/>
        </w:rPr>
        <w:t xml:space="preserve">                                                                </w:t>
      </w:r>
    </w:p>
    <w:p w14:paraId="37B5DA04">
      <w:pPr>
        <w:spacing w:line="360" w:lineRule="auto"/>
        <w:ind w:left="25" w:leftChars="12" w:firstLine="352" w:firstLineChars="147"/>
        <w:contextualSpacing/>
        <w:rPr>
          <w:rFonts w:hint="eastAsia" w:ascii="宋体" w:hAnsi="宋体" w:eastAsia="宋体" w:cs="宋体"/>
          <w:color w:val="auto"/>
          <w:kern w:val="0"/>
          <w:sz w:val="24"/>
          <w:highlight w:val="none"/>
        </w:rPr>
      </w:pPr>
    </w:p>
    <w:p w14:paraId="409F6539">
      <w:pPr>
        <w:spacing w:line="360" w:lineRule="auto"/>
        <w:ind w:left="25" w:leftChars="12" w:firstLine="472" w:firstLineChars="197"/>
        <w:contextualSpacing/>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签字（签章）：                                       公章：</w:t>
      </w:r>
    </w:p>
    <w:p w14:paraId="17DAE9F9">
      <w:pPr>
        <w:spacing w:line="360" w:lineRule="auto"/>
        <w:ind w:left="25" w:leftChars="12" w:firstLine="352" w:firstLineChars="147"/>
        <w:contextualSpacing/>
        <w:rPr>
          <w:rFonts w:hint="eastAsia" w:ascii="宋体" w:hAnsi="宋体" w:eastAsia="宋体" w:cs="宋体"/>
          <w:color w:val="auto"/>
          <w:kern w:val="0"/>
          <w:sz w:val="24"/>
          <w:highlight w:val="none"/>
        </w:rPr>
      </w:pPr>
    </w:p>
    <w:p w14:paraId="11ADBB59">
      <w:pPr>
        <w:spacing w:line="360" w:lineRule="auto"/>
        <w:ind w:left="25" w:leftChars="12" w:firstLine="472" w:firstLineChars="197"/>
        <w:contextualSpacing/>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日期：</w:t>
      </w:r>
    </w:p>
    <w:p w14:paraId="5210DAB6">
      <w:pPr>
        <w:spacing w:line="360" w:lineRule="auto"/>
        <w:contextualSpacing/>
        <w:rPr>
          <w:rFonts w:hint="eastAsia" w:ascii="宋体" w:hAnsi="宋体" w:eastAsia="宋体" w:cs="宋体"/>
          <w:b/>
          <w:color w:val="auto"/>
          <w:kern w:val="0"/>
          <w:sz w:val="24"/>
          <w:highlight w:val="none"/>
        </w:rPr>
      </w:pPr>
    </w:p>
    <w:p w14:paraId="22227CF8">
      <w:pPr>
        <w:spacing w:line="360" w:lineRule="auto"/>
        <w:contextualSpacing/>
        <w:rPr>
          <w:rFonts w:hint="eastAsia" w:ascii="宋体" w:hAnsi="宋体" w:eastAsia="宋体" w:cs="宋体"/>
          <w:b/>
          <w:color w:val="auto"/>
          <w:kern w:val="0"/>
          <w:sz w:val="24"/>
          <w:highlight w:val="none"/>
        </w:rPr>
      </w:pPr>
    </w:p>
    <w:p w14:paraId="29A86F2A">
      <w:pPr>
        <w:spacing w:line="360" w:lineRule="auto"/>
        <w:contextualSpacing/>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说明：</w:t>
      </w:r>
    </w:p>
    <w:p w14:paraId="5BF29E07">
      <w:pPr>
        <w:spacing w:line="360" w:lineRule="auto"/>
        <w:ind w:left="25" w:leftChars="12" w:firstLine="354" w:firstLineChars="147"/>
        <w:contextualSpacing/>
        <w:rPr>
          <w:rFonts w:hint="eastAsia" w:ascii="宋体" w:hAnsi="宋体" w:eastAsia="宋体" w:cs="宋体"/>
          <w:b/>
          <w:bCs/>
          <w:color w:val="auto"/>
          <w:kern w:val="0"/>
          <w:sz w:val="24"/>
          <w:highlight w:val="none"/>
        </w:rPr>
      </w:pPr>
      <w:r>
        <w:rPr>
          <w:rFonts w:hint="eastAsia" w:ascii="宋体" w:hAnsi="宋体" w:eastAsia="宋体" w:cs="宋体"/>
          <w:b/>
          <w:color w:val="auto"/>
          <w:kern w:val="0"/>
          <w:sz w:val="24"/>
          <w:highlight w:val="none"/>
        </w:rPr>
        <w:t>1.供应商提出质疑时，应提交质疑函和必要的证明材料</w:t>
      </w:r>
      <w:r>
        <w:rPr>
          <w:rFonts w:hint="eastAsia" w:ascii="宋体" w:hAnsi="宋体" w:eastAsia="宋体" w:cs="宋体"/>
          <w:b/>
          <w:bCs/>
          <w:color w:val="auto"/>
          <w:kern w:val="0"/>
          <w:sz w:val="24"/>
          <w:highlight w:val="none"/>
        </w:rPr>
        <w:t>。</w:t>
      </w:r>
    </w:p>
    <w:p w14:paraId="4BBFD784">
      <w:pPr>
        <w:spacing w:line="360" w:lineRule="auto"/>
        <w:ind w:left="25" w:leftChars="12" w:firstLine="354" w:firstLineChars="147"/>
        <w:contextualSpacing/>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1FAED257">
      <w:pPr>
        <w:spacing w:line="360" w:lineRule="auto"/>
        <w:ind w:left="25" w:leftChars="12" w:firstLine="354" w:firstLineChars="147"/>
        <w:contextualSpacing/>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3.质疑函的质疑事项应具体、明确，并有必要的事实依据和法律依据。</w:t>
      </w:r>
    </w:p>
    <w:p w14:paraId="1E1B3B3A">
      <w:pPr>
        <w:spacing w:line="360" w:lineRule="auto"/>
        <w:ind w:left="25" w:leftChars="12" w:firstLine="354" w:firstLineChars="147"/>
        <w:contextualSpacing/>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4.质疑函的质疑请求应与质疑事项相关。</w:t>
      </w:r>
    </w:p>
    <w:p w14:paraId="3C2AEB08">
      <w:pPr>
        <w:spacing w:line="360" w:lineRule="auto"/>
        <w:ind w:left="25" w:leftChars="12" w:firstLine="354" w:firstLineChars="147"/>
        <w:contextualSpacing/>
        <w:rPr>
          <w:rFonts w:hint="eastAsia" w:ascii="宋体" w:hAnsi="宋体" w:eastAsia="宋体" w:cs="宋体"/>
          <w:b/>
          <w:color w:val="auto"/>
          <w:kern w:val="0"/>
          <w:sz w:val="20"/>
          <w:szCs w:val="21"/>
          <w:highlight w:val="none"/>
        </w:rPr>
      </w:pPr>
      <w:r>
        <w:rPr>
          <w:rFonts w:hint="eastAsia" w:ascii="宋体" w:hAnsi="宋体" w:eastAsia="宋体" w:cs="宋体"/>
          <w:b/>
          <w:color w:val="auto"/>
          <w:kern w:val="0"/>
          <w:sz w:val="24"/>
          <w:highlight w:val="none"/>
        </w:rPr>
        <w:t>5.质疑供应商为法人或者其他组织的，质疑函应由法定代表人、主要负责人，或者其授权代表签字或者盖章，并加盖公章。</w:t>
      </w:r>
    </w:p>
    <w:p w14:paraId="487C5A30">
      <w:pPr>
        <w:snapToGrid w:val="0"/>
        <w:rPr>
          <w:rFonts w:hint="eastAsia" w:ascii="宋体" w:hAnsi="宋体" w:eastAsia="宋体" w:cs="宋体"/>
          <w:b/>
          <w:color w:val="auto"/>
          <w:kern w:val="0"/>
          <w:sz w:val="24"/>
          <w:highlight w:val="none"/>
        </w:rPr>
      </w:pPr>
    </w:p>
    <w:p w14:paraId="78B1CCC3">
      <w:pPr>
        <w:spacing w:line="460" w:lineRule="exact"/>
        <w:jc w:val="center"/>
        <w:rPr>
          <w:rFonts w:hint="eastAsia" w:ascii="宋体" w:hAnsi="宋体" w:eastAsia="宋体" w:cs="宋体"/>
          <w:color w:val="auto"/>
          <w:sz w:val="44"/>
          <w:highlight w:val="none"/>
        </w:rPr>
      </w:pPr>
      <w:r>
        <w:rPr>
          <w:rFonts w:hint="eastAsia" w:ascii="宋体" w:hAnsi="宋体" w:eastAsia="宋体" w:cs="宋体"/>
          <w:color w:val="auto"/>
          <w:sz w:val="44"/>
          <w:highlight w:val="none"/>
        </w:rPr>
        <w:br w:type="page"/>
      </w:r>
    </w:p>
    <w:p w14:paraId="678CFEEE">
      <w:pP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投诉书（格式）</w:t>
      </w:r>
    </w:p>
    <w:p w14:paraId="7AD4FBC5">
      <w:pPr>
        <w:snapToGrid w:val="0"/>
        <w:spacing w:line="360" w:lineRule="auto"/>
        <w:ind w:firstLine="482" w:firstLineChars="200"/>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一、投诉相关主体基本情况：</w:t>
      </w:r>
    </w:p>
    <w:p w14:paraId="4A9BEF2B">
      <w:pPr>
        <w:snapToGrid w:val="0"/>
        <w:spacing w:line="360" w:lineRule="auto"/>
        <w:ind w:firstLine="480" w:firstLineChars="200"/>
        <w:rPr>
          <w:rFonts w:hint="eastAsia" w:ascii="宋体" w:hAnsi="宋体" w:eastAsia="宋体" w:cs="宋体"/>
          <w:bCs/>
          <w:color w:val="auto"/>
          <w:kern w:val="0"/>
          <w:sz w:val="24"/>
          <w:highlight w:val="none"/>
          <w:u w:val="single"/>
        </w:rPr>
      </w:pPr>
      <w:r>
        <w:rPr>
          <w:rFonts w:hint="eastAsia" w:ascii="宋体" w:hAnsi="宋体" w:eastAsia="宋体" w:cs="宋体"/>
          <w:bCs/>
          <w:color w:val="auto"/>
          <w:kern w:val="0"/>
          <w:sz w:val="24"/>
          <w:highlight w:val="none"/>
        </w:rPr>
        <w:t>供应商：</w:t>
      </w:r>
      <w:r>
        <w:rPr>
          <w:rFonts w:hint="eastAsia" w:ascii="宋体" w:hAnsi="宋体" w:eastAsia="宋体" w:cs="宋体"/>
          <w:bCs/>
          <w:color w:val="auto"/>
          <w:kern w:val="0"/>
          <w:sz w:val="24"/>
          <w:highlight w:val="none"/>
          <w:u w:val="single"/>
        </w:rPr>
        <w:t xml:space="preserve">                                                                      </w:t>
      </w:r>
    </w:p>
    <w:p w14:paraId="7F307C8B">
      <w:pPr>
        <w:snapToGrid w:val="0"/>
        <w:spacing w:line="360" w:lineRule="auto"/>
        <w:ind w:firstLine="480" w:firstLineChars="200"/>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地址：</w:t>
      </w:r>
      <w:r>
        <w:rPr>
          <w:rFonts w:hint="eastAsia" w:ascii="宋体" w:hAnsi="宋体" w:eastAsia="宋体" w:cs="宋体"/>
          <w:bCs/>
          <w:color w:val="auto"/>
          <w:kern w:val="0"/>
          <w:sz w:val="24"/>
          <w:highlight w:val="none"/>
          <w:u w:val="single"/>
        </w:rPr>
        <w:t xml:space="preserve">                                          </w:t>
      </w:r>
      <w:r>
        <w:rPr>
          <w:rFonts w:hint="eastAsia" w:ascii="宋体" w:hAnsi="宋体" w:eastAsia="宋体" w:cs="宋体"/>
          <w:bCs/>
          <w:color w:val="auto"/>
          <w:kern w:val="0"/>
          <w:sz w:val="24"/>
          <w:highlight w:val="none"/>
        </w:rPr>
        <w:t>邮编：</w:t>
      </w:r>
      <w:r>
        <w:rPr>
          <w:rFonts w:hint="eastAsia" w:ascii="宋体" w:hAnsi="宋体" w:eastAsia="宋体" w:cs="宋体"/>
          <w:bCs/>
          <w:color w:val="auto"/>
          <w:kern w:val="0"/>
          <w:sz w:val="24"/>
          <w:highlight w:val="none"/>
          <w:u w:val="single"/>
        </w:rPr>
        <w:t xml:space="preserve">                        </w:t>
      </w:r>
    </w:p>
    <w:p w14:paraId="77AD0C91">
      <w:pPr>
        <w:snapToGrid w:val="0"/>
        <w:spacing w:line="360" w:lineRule="auto"/>
        <w:ind w:firstLine="480" w:firstLineChars="200"/>
        <w:rPr>
          <w:rFonts w:hint="eastAsia" w:ascii="宋体" w:hAnsi="宋体" w:eastAsia="宋体" w:cs="宋体"/>
          <w:bCs/>
          <w:color w:val="auto"/>
          <w:kern w:val="0"/>
          <w:sz w:val="24"/>
          <w:highlight w:val="none"/>
          <w:u w:val="single"/>
        </w:rPr>
      </w:pPr>
      <w:r>
        <w:rPr>
          <w:rFonts w:hint="eastAsia" w:ascii="宋体" w:hAnsi="宋体" w:eastAsia="宋体" w:cs="宋体"/>
          <w:bCs/>
          <w:color w:val="auto"/>
          <w:kern w:val="0"/>
          <w:sz w:val="24"/>
          <w:highlight w:val="none"/>
        </w:rPr>
        <w:t>法定代表人/主要负责人：</w:t>
      </w:r>
      <w:r>
        <w:rPr>
          <w:rFonts w:hint="eastAsia" w:ascii="宋体" w:hAnsi="宋体" w:eastAsia="宋体" w:cs="宋体"/>
          <w:bCs/>
          <w:color w:val="auto"/>
          <w:kern w:val="0"/>
          <w:sz w:val="24"/>
          <w:highlight w:val="none"/>
          <w:u w:val="single"/>
        </w:rPr>
        <w:t xml:space="preserve">                                                      </w:t>
      </w:r>
    </w:p>
    <w:p w14:paraId="2CAE9E75">
      <w:pPr>
        <w:snapToGrid w:val="0"/>
        <w:spacing w:line="360" w:lineRule="auto"/>
        <w:ind w:firstLine="480" w:firstLineChars="200"/>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联系电话：</w:t>
      </w:r>
      <w:r>
        <w:rPr>
          <w:rFonts w:hint="eastAsia" w:ascii="宋体" w:hAnsi="宋体" w:eastAsia="宋体" w:cs="宋体"/>
          <w:bCs/>
          <w:color w:val="auto"/>
          <w:kern w:val="0"/>
          <w:sz w:val="24"/>
          <w:highlight w:val="none"/>
          <w:u w:val="single"/>
        </w:rPr>
        <w:t xml:space="preserve">                                         </w:t>
      </w:r>
    </w:p>
    <w:p w14:paraId="6555C1C1">
      <w:pPr>
        <w:snapToGrid w:val="0"/>
        <w:spacing w:line="360" w:lineRule="auto"/>
        <w:ind w:firstLine="480" w:firstLineChars="200"/>
        <w:rPr>
          <w:rFonts w:hint="eastAsia" w:ascii="宋体" w:hAnsi="宋体" w:eastAsia="宋体" w:cs="宋体"/>
          <w:bCs/>
          <w:color w:val="auto"/>
          <w:kern w:val="0"/>
          <w:sz w:val="24"/>
          <w:highlight w:val="none"/>
          <w:u w:val="single"/>
        </w:rPr>
      </w:pPr>
      <w:r>
        <w:rPr>
          <w:rFonts w:hint="eastAsia" w:ascii="宋体" w:hAnsi="宋体" w:eastAsia="宋体" w:cs="宋体"/>
          <w:bCs/>
          <w:color w:val="auto"/>
          <w:kern w:val="0"/>
          <w:sz w:val="24"/>
          <w:highlight w:val="none"/>
        </w:rPr>
        <w:t>授权代表：</w:t>
      </w:r>
      <w:r>
        <w:rPr>
          <w:rFonts w:hint="eastAsia" w:ascii="宋体" w:hAnsi="宋体" w:eastAsia="宋体" w:cs="宋体"/>
          <w:bCs/>
          <w:color w:val="auto"/>
          <w:kern w:val="0"/>
          <w:sz w:val="24"/>
          <w:highlight w:val="none"/>
          <w:u w:val="single"/>
        </w:rPr>
        <w:t xml:space="preserve">                                         </w:t>
      </w:r>
      <w:r>
        <w:rPr>
          <w:rFonts w:hint="eastAsia" w:ascii="宋体" w:hAnsi="宋体" w:eastAsia="宋体" w:cs="宋体"/>
          <w:bCs/>
          <w:color w:val="auto"/>
          <w:kern w:val="0"/>
          <w:sz w:val="24"/>
          <w:highlight w:val="none"/>
        </w:rPr>
        <w:t>联系电话：</w:t>
      </w:r>
      <w:r>
        <w:rPr>
          <w:rFonts w:hint="eastAsia" w:ascii="宋体" w:hAnsi="宋体" w:eastAsia="宋体" w:cs="宋体"/>
          <w:bCs/>
          <w:color w:val="auto"/>
          <w:kern w:val="0"/>
          <w:sz w:val="24"/>
          <w:highlight w:val="none"/>
          <w:u w:val="single"/>
        </w:rPr>
        <w:t xml:space="preserve">                   </w:t>
      </w:r>
    </w:p>
    <w:p w14:paraId="45203F7C">
      <w:pPr>
        <w:snapToGrid w:val="0"/>
        <w:spacing w:line="360" w:lineRule="auto"/>
        <w:ind w:firstLine="480" w:firstLineChars="200"/>
        <w:rPr>
          <w:rFonts w:hint="eastAsia" w:ascii="宋体" w:hAnsi="宋体" w:eastAsia="宋体" w:cs="宋体"/>
          <w:bCs/>
          <w:color w:val="auto"/>
          <w:kern w:val="0"/>
          <w:sz w:val="24"/>
          <w:highlight w:val="none"/>
          <w:u w:val="single"/>
        </w:rPr>
      </w:pPr>
      <w:r>
        <w:rPr>
          <w:rFonts w:hint="eastAsia" w:ascii="宋体" w:hAnsi="宋体" w:eastAsia="宋体" w:cs="宋体"/>
          <w:bCs/>
          <w:color w:val="auto"/>
          <w:kern w:val="0"/>
          <w:sz w:val="24"/>
          <w:highlight w:val="none"/>
        </w:rPr>
        <w:t>地址：</w:t>
      </w:r>
      <w:r>
        <w:rPr>
          <w:rFonts w:hint="eastAsia" w:ascii="宋体" w:hAnsi="宋体" w:eastAsia="宋体" w:cs="宋体"/>
          <w:bCs/>
          <w:color w:val="auto"/>
          <w:kern w:val="0"/>
          <w:sz w:val="24"/>
          <w:highlight w:val="none"/>
          <w:u w:val="single"/>
        </w:rPr>
        <w:t xml:space="preserve">                                                            </w:t>
      </w:r>
    </w:p>
    <w:p w14:paraId="2732D234">
      <w:pPr>
        <w:snapToGrid w:val="0"/>
        <w:spacing w:line="360" w:lineRule="auto"/>
        <w:ind w:firstLine="480" w:firstLineChars="200"/>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邮编：</w:t>
      </w:r>
      <w:r>
        <w:rPr>
          <w:rFonts w:hint="eastAsia" w:ascii="宋体" w:hAnsi="宋体" w:eastAsia="宋体" w:cs="宋体"/>
          <w:bCs/>
          <w:color w:val="auto"/>
          <w:kern w:val="0"/>
          <w:sz w:val="24"/>
          <w:highlight w:val="none"/>
          <w:u w:val="single"/>
        </w:rPr>
        <w:t xml:space="preserve">         </w:t>
      </w:r>
      <w:r>
        <w:rPr>
          <w:rFonts w:hint="eastAsia" w:ascii="宋体" w:hAnsi="宋体" w:eastAsia="宋体" w:cs="宋体"/>
          <w:bCs/>
          <w:color w:val="auto"/>
          <w:kern w:val="0"/>
          <w:sz w:val="24"/>
          <w:highlight w:val="none"/>
        </w:rPr>
        <w:t xml:space="preserve">   </w:t>
      </w:r>
    </w:p>
    <w:p w14:paraId="3D30AC82">
      <w:pPr>
        <w:snapToGrid w:val="0"/>
        <w:spacing w:line="360" w:lineRule="auto"/>
        <w:ind w:firstLine="480" w:firstLineChars="200"/>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被投诉人1：</w:t>
      </w:r>
    </w:p>
    <w:p w14:paraId="20F16C58">
      <w:pPr>
        <w:snapToGrid w:val="0"/>
        <w:spacing w:line="360" w:lineRule="auto"/>
        <w:ind w:firstLine="480" w:firstLineChars="200"/>
        <w:rPr>
          <w:rFonts w:hint="eastAsia" w:ascii="宋体" w:hAnsi="宋体" w:eastAsia="宋体" w:cs="宋体"/>
          <w:bCs/>
          <w:color w:val="auto"/>
          <w:kern w:val="0"/>
          <w:sz w:val="24"/>
          <w:highlight w:val="none"/>
          <w:u w:val="single"/>
        </w:rPr>
      </w:pPr>
      <w:r>
        <w:rPr>
          <w:rFonts w:hint="eastAsia" w:ascii="宋体" w:hAnsi="宋体" w:eastAsia="宋体" w:cs="宋体"/>
          <w:bCs/>
          <w:color w:val="auto"/>
          <w:kern w:val="0"/>
          <w:sz w:val="24"/>
          <w:highlight w:val="none"/>
        </w:rPr>
        <w:t>地址：</w:t>
      </w:r>
      <w:r>
        <w:rPr>
          <w:rFonts w:hint="eastAsia" w:ascii="宋体" w:hAnsi="宋体" w:eastAsia="宋体" w:cs="宋体"/>
          <w:bCs/>
          <w:color w:val="auto"/>
          <w:kern w:val="0"/>
          <w:sz w:val="24"/>
          <w:highlight w:val="none"/>
          <w:u w:val="single"/>
        </w:rPr>
        <w:t xml:space="preserve">                                                            </w:t>
      </w:r>
    </w:p>
    <w:p w14:paraId="4575BD54">
      <w:pPr>
        <w:snapToGrid w:val="0"/>
        <w:spacing w:line="360" w:lineRule="auto"/>
        <w:ind w:firstLine="480" w:firstLineChars="200"/>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邮编：</w:t>
      </w:r>
      <w:r>
        <w:rPr>
          <w:rFonts w:hint="eastAsia" w:ascii="宋体" w:hAnsi="宋体" w:eastAsia="宋体" w:cs="宋体"/>
          <w:bCs/>
          <w:color w:val="auto"/>
          <w:kern w:val="0"/>
          <w:sz w:val="24"/>
          <w:highlight w:val="none"/>
          <w:u w:val="single"/>
        </w:rPr>
        <w:t xml:space="preserve">         </w:t>
      </w:r>
      <w:r>
        <w:rPr>
          <w:rFonts w:hint="eastAsia" w:ascii="宋体" w:hAnsi="宋体" w:eastAsia="宋体" w:cs="宋体"/>
          <w:bCs/>
          <w:color w:val="auto"/>
          <w:kern w:val="0"/>
          <w:sz w:val="24"/>
          <w:highlight w:val="none"/>
        </w:rPr>
        <w:t xml:space="preserve">  </w:t>
      </w:r>
    </w:p>
    <w:p w14:paraId="0A405096">
      <w:pPr>
        <w:snapToGrid w:val="0"/>
        <w:spacing w:line="360" w:lineRule="auto"/>
        <w:ind w:firstLine="480" w:firstLineChars="200"/>
        <w:rPr>
          <w:rFonts w:hint="eastAsia" w:ascii="宋体" w:hAnsi="宋体" w:eastAsia="宋体" w:cs="宋体"/>
          <w:bCs/>
          <w:color w:val="auto"/>
          <w:kern w:val="0"/>
          <w:sz w:val="24"/>
          <w:highlight w:val="none"/>
          <w:u w:val="single"/>
        </w:rPr>
      </w:pPr>
      <w:r>
        <w:rPr>
          <w:rFonts w:hint="eastAsia" w:ascii="宋体" w:hAnsi="宋体" w:eastAsia="宋体" w:cs="宋体"/>
          <w:bCs/>
          <w:color w:val="auto"/>
          <w:kern w:val="0"/>
          <w:sz w:val="24"/>
          <w:highlight w:val="none"/>
        </w:rPr>
        <w:t>联系人：</w:t>
      </w:r>
      <w:r>
        <w:rPr>
          <w:rFonts w:hint="eastAsia" w:ascii="宋体" w:hAnsi="宋体" w:eastAsia="宋体" w:cs="宋体"/>
          <w:bCs/>
          <w:color w:val="auto"/>
          <w:kern w:val="0"/>
          <w:sz w:val="24"/>
          <w:highlight w:val="none"/>
          <w:u w:val="single"/>
        </w:rPr>
        <w:t xml:space="preserve">                                                </w:t>
      </w:r>
      <w:r>
        <w:rPr>
          <w:rFonts w:hint="eastAsia" w:ascii="宋体" w:hAnsi="宋体" w:eastAsia="宋体" w:cs="宋体"/>
          <w:bCs/>
          <w:color w:val="auto"/>
          <w:kern w:val="0"/>
          <w:sz w:val="24"/>
          <w:highlight w:val="none"/>
        </w:rPr>
        <w:t>联系电话：</w:t>
      </w:r>
      <w:r>
        <w:rPr>
          <w:rFonts w:hint="eastAsia" w:ascii="宋体" w:hAnsi="宋体" w:eastAsia="宋体" w:cs="宋体"/>
          <w:bCs/>
          <w:color w:val="auto"/>
          <w:kern w:val="0"/>
          <w:sz w:val="24"/>
          <w:highlight w:val="none"/>
          <w:u w:val="single"/>
        </w:rPr>
        <w:t xml:space="preserve">            </w:t>
      </w:r>
    </w:p>
    <w:p w14:paraId="093323F8">
      <w:pPr>
        <w:snapToGrid w:val="0"/>
        <w:spacing w:line="360" w:lineRule="auto"/>
        <w:ind w:firstLine="480" w:firstLineChars="200"/>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被投诉人2：</w:t>
      </w:r>
    </w:p>
    <w:p w14:paraId="0BA2A1E7">
      <w:pPr>
        <w:snapToGrid w:val="0"/>
        <w:spacing w:line="360" w:lineRule="auto"/>
        <w:ind w:firstLine="480" w:firstLineChars="200"/>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w:t>
      </w:r>
    </w:p>
    <w:p w14:paraId="04FD0B4D">
      <w:pPr>
        <w:snapToGrid w:val="0"/>
        <w:spacing w:line="360" w:lineRule="auto"/>
        <w:ind w:firstLine="480" w:firstLineChars="200"/>
        <w:rPr>
          <w:rFonts w:hint="eastAsia" w:ascii="宋体" w:hAnsi="宋体" w:eastAsia="宋体" w:cs="宋体"/>
          <w:bCs/>
          <w:color w:val="auto"/>
          <w:kern w:val="0"/>
          <w:sz w:val="24"/>
          <w:highlight w:val="none"/>
          <w:u w:val="single"/>
        </w:rPr>
      </w:pPr>
      <w:r>
        <w:rPr>
          <w:rFonts w:hint="eastAsia" w:ascii="宋体" w:hAnsi="宋体" w:eastAsia="宋体" w:cs="宋体"/>
          <w:bCs/>
          <w:color w:val="auto"/>
          <w:kern w:val="0"/>
          <w:sz w:val="24"/>
          <w:highlight w:val="none"/>
        </w:rPr>
        <w:t>相关供应商：</w:t>
      </w:r>
      <w:r>
        <w:rPr>
          <w:rFonts w:hint="eastAsia" w:ascii="宋体" w:hAnsi="宋体" w:eastAsia="宋体" w:cs="宋体"/>
          <w:bCs/>
          <w:color w:val="auto"/>
          <w:kern w:val="0"/>
          <w:sz w:val="24"/>
          <w:highlight w:val="none"/>
          <w:u w:val="single"/>
        </w:rPr>
        <w:t xml:space="preserve">                                                                  </w:t>
      </w:r>
    </w:p>
    <w:p w14:paraId="104F70A4">
      <w:pPr>
        <w:snapToGrid w:val="0"/>
        <w:spacing w:line="360" w:lineRule="auto"/>
        <w:ind w:firstLine="480" w:firstLineChars="200"/>
        <w:rPr>
          <w:rFonts w:hint="eastAsia" w:ascii="宋体" w:hAnsi="宋体" w:eastAsia="宋体" w:cs="宋体"/>
          <w:bCs/>
          <w:color w:val="auto"/>
          <w:kern w:val="0"/>
          <w:sz w:val="24"/>
          <w:highlight w:val="none"/>
          <w:u w:val="single"/>
        </w:rPr>
      </w:pPr>
      <w:r>
        <w:rPr>
          <w:rFonts w:hint="eastAsia" w:ascii="宋体" w:hAnsi="宋体" w:eastAsia="宋体" w:cs="宋体"/>
          <w:bCs/>
          <w:color w:val="auto"/>
          <w:kern w:val="0"/>
          <w:sz w:val="24"/>
          <w:highlight w:val="none"/>
        </w:rPr>
        <w:t>地址：</w:t>
      </w:r>
      <w:r>
        <w:rPr>
          <w:rFonts w:hint="eastAsia" w:ascii="宋体" w:hAnsi="宋体" w:eastAsia="宋体" w:cs="宋体"/>
          <w:bCs/>
          <w:color w:val="auto"/>
          <w:kern w:val="0"/>
          <w:sz w:val="24"/>
          <w:highlight w:val="none"/>
          <w:u w:val="single"/>
        </w:rPr>
        <w:t xml:space="preserve">                                              </w:t>
      </w:r>
      <w:r>
        <w:rPr>
          <w:rFonts w:hint="eastAsia" w:ascii="宋体" w:hAnsi="宋体" w:eastAsia="宋体" w:cs="宋体"/>
          <w:bCs/>
          <w:color w:val="auto"/>
          <w:kern w:val="0"/>
          <w:sz w:val="24"/>
          <w:highlight w:val="none"/>
        </w:rPr>
        <w:t>邮编：</w:t>
      </w:r>
      <w:r>
        <w:rPr>
          <w:rFonts w:hint="eastAsia" w:ascii="宋体" w:hAnsi="宋体" w:eastAsia="宋体" w:cs="宋体"/>
          <w:bCs/>
          <w:color w:val="auto"/>
          <w:kern w:val="0"/>
          <w:sz w:val="24"/>
          <w:highlight w:val="none"/>
          <w:u w:val="single"/>
        </w:rPr>
        <w:t xml:space="preserve">                    </w:t>
      </w:r>
    </w:p>
    <w:p w14:paraId="3E19C537">
      <w:pPr>
        <w:snapToGrid w:val="0"/>
        <w:spacing w:line="360" w:lineRule="auto"/>
        <w:ind w:firstLine="480" w:firstLineChars="200"/>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联系人：</w:t>
      </w:r>
      <w:r>
        <w:rPr>
          <w:rFonts w:hint="eastAsia" w:ascii="宋体" w:hAnsi="宋体" w:eastAsia="宋体" w:cs="宋体"/>
          <w:bCs/>
          <w:color w:val="auto"/>
          <w:kern w:val="0"/>
          <w:sz w:val="24"/>
          <w:highlight w:val="none"/>
          <w:u w:val="single"/>
        </w:rPr>
        <w:t xml:space="preserve">                                            </w:t>
      </w:r>
      <w:r>
        <w:rPr>
          <w:rFonts w:hint="eastAsia" w:ascii="宋体" w:hAnsi="宋体" w:eastAsia="宋体" w:cs="宋体"/>
          <w:bCs/>
          <w:color w:val="auto"/>
          <w:kern w:val="0"/>
          <w:sz w:val="24"/>
          <w:highlight w:val="none"/>
        </w:rPr>
        <w:t>联系电话：</w:t>
      </w:r>
      <w:r>
        <w:rPr>
          <w:rFonts w:hint="eastAsia" w:ascii="宋体" w:hAnsi="宋体" w:eastAsia="宋体" w:cs="宋体"/>
          <w:bCs/>
          <w:color w:val="auto"/>
          <w:kern w:val="0"/>
          <w:sz w:val="24"/>
          <w:highlight w:val="none"/>
          <w:u w:val="single"/>
        </w:rPr>
        <w:t xml:space="preserve">                 </w:t>
      </w:r>
    </w:p>
    <w:p w14:paraId="78F5515B">
      <w:pPr>
        <w:snapToGrid w:val="0"/>
        <w:spacing w:line="360" w:lineRule="auto"/>
        <w:ind w:firstLine="482" w:firstLineChars="200"/>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二、投诉项目基本情况：</w:t>
      </w:r>
    </w:p>
    <w:p w14:paraId="3F92F503">
      <w:pPr>
        <w:spacing w:line="360" w:lineRule="auto"/>
        <w:ind w:left="25" w:leftChars="12" w:firstLine="472" w:firstLineChars="197"/>
        <w:rPr>
          <w:rFonts w:hint="eastAsia" w:ascii="宋体" w:hAnsi="宋体" w:eastAsia="宋体" w:cs="宋体"/>
          <w:color w:val="auto"/>
          <w:kern w:val="0"/>
          <w:sz w:val="24"/>
          <w:highlight w:val="none"/>
        </w:rPr>
      </w:pPr>
      <w:r>
        <w:rPr>
          <w:rFonts w:hint="eastAsia" w:ascii="宋体" w:hAnsi="宋体" w:eastAsia="宋体" w:cs="宋体"/>
          <w:bCs/>
          <w:color w:val="auto"/>
          <w:kern w:val="0"/>
          <w:sz w:val="24"/>
          <w:highlight w:val="none"/>
        </w:rPr>
        <w:t>采购</w:t>
      </w:r>
      <w:r>
        <w:rPr>
          <w:rFonts w:hint="eastAsia" w:ascii="宋体" w:hAnsi="宋体" w:eastAsia="宋体" w:cs="宋体"/>
          <w:color w:val="auto"/>
          <w:kern w:val="0"/>
          <w:sz w:val="24"/>
          <w:highlight w:val="none"/>
        </w:rPr>
        <w:t>项目的名称：</w:t>
      </w:r>
      <w:r>
        <w:rPr>
          <w:rFonts w:hint="eastAsia" w:ascii="宋体" w:hAnsi="宋体" w:eastAsia="宋体" w:cs="宋体"/>
          <w:bCs/>
          <w:color w:val="auto"/>
          <w:kern w:val="0"/>
          <w:sz w:val="24"/>
          <w:highlight w:val="none"/>
          <w:u w:val="single"/>
        </w:rPr>
        <w:t xml:space="preserve">                                                             </w:t>
      </w:r>
    </w:p>
    <w:p w14:paraId="50EBFFD4">
      <w:pPr>
        <w:spacing w:line="360" w:lineRule="auto"/>
        <w:ind w:left="25" w:leftChars="12" w:firstLine="472" w:firstLineChars="197"/>
        <w:rPr>
          <w:rFonts w:hint="eastAsia" w:ascii="宋体" w:hAnsi="宋体" w:eastAsia="宋体" w:cs="宋体"/>
          <w:color w:val="auto"/>
          <w:kern w:val="0"/>
          <w:sz w:val="24"/>
          <w:highlight w:val="none"/>
        </w:rPr>
      </w:pPr>
      <w:r>
        <w:rPr>
          <w:rFonts w:hint="eastAsia" w:ascii="宋体" w:hAnsi="宋体" w:eastAsia="宋体" w:cs="宋体"/>
          <w:bCs/>
          <w:color w:val="auto"/>
          <w:kern w:val="0"/>
          <w:sz w:val="24"/>
          <w:highlight w:val="none"/>
        </w:rPr>
        <w:t>采购</w:t>
      </w:r>
      <w:r>
        <w:rPr>
          <w:rFonts w:hint="eastAsia" w:ascii="宋体" w:hAnsi="宋体" w:eastAsia="宋体" w:cs="宋体"/>
          <w:color w:val="auto"/>
          <w:kern w:val="0"/>
          <w:sz w:val="24"/>
          <w:highlight w:val="none"/>
        </w:rPr>
        <w:t>项目的编号：</w:t>
      </w:r>
      <w:r>
        <w:rPr>
          <w:rFonts w:hint="eastAsia" w:ascii="宋体" w:hAnsi="宋体" w:eastAsia="宋体" w:cs="宋体"/>
          <w:bCs/>
          <w:color w:val="auto"/>
          <w:kern w:val="0"/>
          <w:sz w:val="24"/>
          <w:highlight w:val="none"/>
          <w:u w:val="single"/>
        </w:rPr>
        <w:t xml:space="preserve">                                          </w:t>
      </w:r>
    </w:p>
    <w:p w14:paraId="27F70957">
      <w:pPr>
        <w:spacing w:line="360" w:lineRule="auto"/>
        <w:ind w:left="25" w:leftChars="12" w:firstLine="472" w:firstLineChars="197"/>
        <w:rPr>
          <w:rFonts w:hint="eastAsia" w:ascii="宋体" w:hAnsi="宋体" w:eastAsia="宋体" w:cs="宋体"/>
          <w:bCs/>
          <w:color w:val="auto"/>
          <w:kern w:val="0"/>
          <w:sz w:val="24"/>
          <w:highlight w:val="none"/>
          <w:u w:val="single"/>
        </w:rPr>
      </w:pPr>
      <w:r>
        <w:rPr>
          <w:rFonts w:hint="eastAsia" w:ascii="宋体" w:hAnsi="宋体" w:eastAsia="宋体" w:cs="宋体"/>
          <w:color w:val="auto"/>
          <w:kern w:val="0"/>
          <w:sz w:val="24"/>
          <w:highlight w:val="none"/>
        </w:rPr>
        <w:t>采购人名称：</w:t>
      </w:r>
      <w:r>
        <w:rPr>
          <w:rFonts w:hint="eastAsia" w:ascii="宋体" w:hAnsi="宋体" w:eastAsia="宋体" w:cs="宋体"/>
          <w:bCs/>
          <w:color w:val="auto"/>
          <w:kern w:val="0"/>
          <w:sz w:val="24"/>
          <w:highlight w:val="none"/>
          <w:u w:val="single"/>
        </w:rPr>
        <w:t xml:space="preserve">                                                                 </w:t>
      </w:r>
    </w:p>
    <w:p w14:paraId="2380E8B6">
      <w:pPr>
        <w:spacing w:line="360" w:lineRule="auto"/>
        <w:ind w:left="25" w:leftChars="12" w:firstLine="472" w:firstLineChars="197"/>
        <w:rPr>
          <w:rFonts w:hint="eastAsia" w:ascii="宋体" w:hAnsi="宋体" w:eastAsia="宋体" w:cs="宋体"/>
          <w:bCs/>
          <w:color w:val="auto"/>
          <w:kern w:val="0"/>
          <w:sz w:val="24"/>
          <w:highlight w:val="none"/>
          <w:u w:val="single"/>
        </w:rPr>
      </w:pPr>
      <w:r>
        <w:rPr>
          <w:rFonts w:hint="eastAsia" w:ascii="宋体" w:hAnsi="宋体" w:eastAsia="宋体" w:cs="宋体"/>
          <w:color w:val="auto"/>
          <w:kern w:val="0"/>
          <w:sz w:val="24"/>
          <w:highlight w:val="none"/>
        </w:rPr>
        <w:t>代理机构名称：</w:t>
      </w:r>
      <w:r>
        <w:rPr>
          <w:rFonts w:hint="eastAsia" w:ascii="宋体" w:hAnsi="宋体" w:eastAsia="宋体" w:cs="宋体"/>
          <w:bCs/>
          <w:color w:val="auto"/>
          <w:kern w:val="0"/>
          <w:sz w:val="24"/>
          <w:highlight w:val="none"/>
          <w:u w:val="single"/>
        </w:rPr>
        <w:t xml:space="preserve">                                                               </w:t>
      </w:r>
    </w:p>
    <w:p w14:paraId="384685DA">
      <w:pPr>
        <w:spacing w:line="360" w:lineRule="auto"/>
        <w:ind w:left="25" w:leftChars="12" w:firstLine="472" w:firstLineChars="197"/>
        <w:rPr>
          <w:rFonts w:hint="eastAsia" w:ascii="宋体" w:hAnsi="宋体" w:eastAsia="宋体" w:cs="宋体"/>
          <w:bCs/>
          <w:color w:val="auto"/>
          <w:kern w:val="0"/>
          <w:sz w:val="24"/>
          <w:highlight w:val="none"/>
          <w:u w:val="single"/>
        </w:rPr>
      </w:pPr>
      <w:r>
        <w:rPr>
          <w:rFonts w:hint="eastAsia" w:ascii="宋体" w:hAnsi="宋体" w:cs="宋体"/>
          <w:bCs/>
          <w:color w:val="auto"/>
          <w:kern w:val="0"/>
          <w:sz w:val="24"/>
          <w:highlight w:val="none"/>
          <w:lang w:eastAsia="zh-CN"/>
        </w:rPr>
        <w:t>采购文件</w:t>
      </w:r>
      <w:r>
        <w:rPr>
          <w:rFonts w:hint="eastAsia" w:ascii="宋体" w:hAnsi="宋体" w:eastAsia="宋体" w:cs="宋体"/>
          <w:bCs/>
          <w:color w:val="auto"/>
          <w:kern w:val="0"/>
          <w:sz w:val="24"/>
          <w:highlight w:val="none"/>
        </w:rPr>
        <w:t>公告：</w:t>
      </w:r>
      <w:r>
        <w:rPr>
          <w:rFonts w:hint="eastAsia" w:ascii="宋体" w:hAnsi="宋体" w:eastAsia="宋体" w:cs="宋体"/>
          <w:bCs/>
          <w:color w:val="auto"/>
          <w:kern w:val="0"/>
          <w:sz w:val="24"/>
          <w:highlight w:val="none"/>
          <w:u w:val="single"/>
        </w:rPr>
        <w:t>是/否</w:t>
      </w:r>
      <w:r>
        <w:rPr>
          <w:rFonts w:hint="eastAsia" w:ascii="宋体" w:hAnsi="宋体" w:eastAsia="宋体" w:cs="宋体"/>
          <w:bCs/>
          <w:color w:val="auto"/>
          <w:kern w:val="0"/>
          <w:sz w:val="24"/>
          <w:highlight w:val="none"/>
        </w:rPr>
        <w:t>公告期限：</w:t>
      </w:r>
      <w:r>
        <w:rPr>
          <w:rFonts w:hint="eastAsia" w:ascii="宋体" w:hAnsi="宋体" w:eastAsia="宋体" w:cs="宋体"/>
          <w:bCs/>
          <w:color w:val="auto"/>
          <w:kern w:val="0"/>
          <w:sz w:val="24"/>
          <w:highlight w:val="none"/>
          <w:u w:val="single"/>
        </w:rPr>
        <w:t xml:space="preserve">                                                 </w:t>
      </w:r>
    </w:p>
    <w:p w14:paraId="59E50678">
      <w:pPr>
        <w:spacing w:line="360" w:lineRule="auto"/>
        <w:ind w:left="25" w:leftChars="12" w:firstLine="472" w:firstLineChars="197"/>
        <w:rPr>
          <w:rFonts w:hint="eastAsia" w:ascii="宋体" w:hAnsi="宋体" w:eastAsia="宋体" w:cs="宋体"/>
          <w:b/>
          <w:color w:val="auto"/>
          <w:kern w:val="0"/>
          <w:sz w:val="24"/>
          <w:highlight w:val="none"/>
        </w:rPr>
      </w:pPr>
      <w:r>
        <w:rPr>
          <w:rFonts w:hint="eastAsia" w:ascii="宋体" w:hAnsi="宋体" w:eastAsia="宋体" w:cs="宋体"/>
          <w:bCs/>
          <w:color w:val="auto"/>
          <w:kern w:val="0"/>
          <w:sz w:val="24"/>
          <w:highlight w:val="none"/>
        </w:rPr>
        <w:t>采购结果公告：</w:t>
      </w:r>
      <w:r>
        <w:rPr>
          <w:rFonts w:hint="eastAsia" w:ascii="宋体" w:hAnsi="宋体" w:eastAsia="宋体" w:cs="宋体"/>
          <w:bCs/>
          <w:color w:val="auto"/>
          <w:kern w:val="0"/>
          <w:sz w:val="24"/>
          <w:highlight w:val="none"/>
          <w:u w:val="single"/>
        </w:rPr>
        <w:t>是/否</w:t>
      </w:r>
      <w:r>
        <w:rPr>
          <w:rFonts w:hint="eastAsia" w:ascii="宋体" w:hAnsi="宋体" w:eastAsia="宋体" w:cs="宋体"/>
          <w:bCs/>
          <w:color w:val="auto"/>
          <w:kern w:val="0"/>
          <w:sz w:val="24"/>
          <w:highlight w:val="none"/>
        </w:rPr>
        <w:t>公告期限：</w:t>
      </w:r>
      <w:r>
        <w:rPr>
          <w:rFonts w:hint="eastAsia" w:ascii="宋体" w:hAnsi="宋体" w:eastAsia="宋体" w:cs="宋体"/>
          <w:bCs/>
          <w:color w:val="auto"/>
          <w:kern w:val="0"/>
          <w:sz w:val="24"/>
          <w:highlight w:val="none"/>
          <w:u w:val="single"/>
        </w:rPr>
        <w:t xml:space="preserve">                                                  </w:t>
      </w:r>
    </w:p>
    <w:p w14:paraId="52E397B3">
      <w:pPr>
        <w:spacing w:line="360" w:lineRule="auto"/>
        <w:ind w:left="25" w:leftChars="12" w:firstLine="472" w:firstLineChars="196"/>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三、质疑基本情况</w:t>
      </w:r>
    </w:p>
    <w:p w14:paraId="3C5F2878">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投诉人于</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年</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月</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日，向</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提出质疑，质疑事项为：</w:t>
      </w:r>
    </w:p>
    <w:p w14:paraId="5A914185">
      <w:pPr>
        <w:spacing w:line="360" w:lineRule="auto"/>
        <w:ind w:firstLine="241"/>
        <w:rPr>
          <w:rFonts w:hint="eastAsia" w:ascii="宋体" w:hAnsi="宋体" w:eastAsia="宋体" w:cs="宋体"/>
          <w:bCs/>
          <w:color w:val="auto"/>
          <w:kern w:val="0"/>
          <w:sz w:val="24"/>
          <w:highlight w:val="none"/>
          <w:u w:val="single"/>
        </w:rPr>
      </w:pPr>
      <w:r>
        <w:rPr>
          <w:rFonts w:hint="eastAsia" w:ascii="宋体" w:hAnsi="宋体" w:eastAsia="宋体" w:cs="宋体"/>
          <w:color w:val="auto"/>
          <w:kern w:val="0"/>
          <w:sz w:val="24"/>
          <w:highlight w:val="none"/>
        </w:rPr>
        <w:t xml:space="preserve">    </w:t>
      </w:r>
      <w:r>
        <w:rPr>
          <w:rFonts w:hint="eastAsia" w:ascii="宋体" w:hAnsi="宋体" w:eastAsia="宋体" w:cs="宋体"/>
          <w:bCs/>
          <w:color w:val="auto"/>
          <w:kern w:val="0"/>
          <w:sz w:val="24"/>
          <w:highlight w:val="none"/>
          <w:u w:val="single"/>
        </w:rPr>
        <w:t xml:space="preserve">                                                                             </w:t>
      </w:r>
    </w:p>
    <w:p w14:paraId="4CD2AF33">
      <w:pPr>
        <w:spacing w:line="360" w:lineRule="auto"/>
        <w:ind w:firstLine="241"/>
        <w:rPr>
          <w:rFonts w:hint="eastAsia" w:ascii="宋体" w:hAnsi="宋体" w:eastAsia="宋体" w:cs="宋体"/>
          <w:bCs/>
          <w:color w:val="auto"/>
          <w:kern w:val="0"/>
          <w:sz w:val="24"/>
          <w:highlight w:val="none"/>
          <w:u w:val="single"/>
        </w:rPr>
      </w:pPr>
      <w:r>
        <w:rPr>
          <w:rFonts w:hint="eastAsia" w:ascii="宋体" w:hAnsi="宋体" w:eastAsia="宋体" w:cs="宋体"/>
          <w:bCs/>
          <w:color w:val="auto"/>
          <w:kern w:val="0"/>
          <w:sz w:val="24"/>
          <w:highlight w:val="none"/>
        </w:rPr>
        <w:t xml:space="preserve">    </w:t>
      </w:r>
      <w:r>
        <w:rPr>
          <w:rFonts w:hint="eastAsia" w:ascii="宋体" w:hAnsi="宋体" w:eastAsia="宋体" w:cs="宋体"/>
          <w:bCs/>
          <w:color w:val="auto"/>
          <w:kern w:val="0"/>
          <w:sz w:val="24"/>
          <w:highlight w:val="none"/>
          <w:u w:val="single"/>
        </w:rPr>
        <w:t xml:space="preserve">                                                                            </w:t>
      </w:r>
    </w:p>
    <w:p w14:paraId="1DFE5548">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bCs/>
          <w:color w:val="auto"/>
          <w:kern w:val="0"/>
          <w:sz w:val="24"/>
          <w:highlight w:val="none"/>
          <w:u w:val="single"/>
        </w:rPr>
        <w:t>采购人/代理机构</w:t>
      </w:r>
      <w:r>
        <w:rPr>
          <w:rFonts w:hint="eastAsia" w:ascii="宋体" w:hAnsi="宋体" w:eastAsia="宋体" w:cs="宋体"/>
          <w:bCs/>
          <w:color w:val="auto"/>
          <w:kern w:val="0"/>
          <w:sz w:val="24"/>
          <w:highlight w:val="none"/>
        </w:rPr>
        <w:t>于</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年</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月</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日，</w:t>
      </w:r>
      <w:r>
        <w:rPr>
          <w:rFonts w:hint="eastAsia" w:ascii="宋体" w:hAnsi="宋体" w:eastAsia="宋体" w:cs="宋体"/>
          <w:bCs/>
          <w:color w:val="auto"/>
          <w:kern w:val="0"/>
          <w:sz w:val="24"/>
          <w:highlight w:val="none"/>
        </w:rPr>
        <w:t xml:space="preserve">就质疑事项作出了答复/没有在法定期限内作出答复。                                                                        </w:t>
      </w:r>
    </w:p>
    <w:p w14:paraId="2C71B008">
      <w:pPr>
        <w:spacing w:line="360" w:lineRule="auto"/>
        <w:ind w:left="25" w:leftChars="12" w:firstLine="472" w:firstLineChars="196"/>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四、投诉事项具体内容</w:t>
      </w:r>
    </w:p>
    <w:p w14:paraId="533C1835">
      <w:pPr>
        <w:spacing w:line="360" w:lineRule="auto"/>
        <w:ind w:left="25" w:leftChars="12" w:firstLine="472" w:firstLineChars="197"/>
        <w:rPr>
          <w:rFonts w:hint="eastAsia" w:ascii="宋体" w:hAnsi="宋体" w:eastAsia="宋体" w:cs="宋体"/>
          <w:bCs/>
          <w:color w:val="auto"/>
          <w:kern w:val="0"/>
          <w:sz w:val="24"/>
          <w:highlight w:val="none"/>
          <w:u w:val="single"/>
        </w:rPr>
      </w:pPr>
      <w:r>
        <w:rPr>
          <w:rFonts w:hint="eastAsia" w:ascii="宋体" w:hAnsi="宋体" w:eastAsia="宋体" w:cs="宋体"/>
          <w:color w:val="auto"/>
          <w:kern w:val="0"/>
          <w:sz w:val="24"/>
          <w:highlight w:val="none"/>
        </w:rPr>
        <w:t>投诉事项1：</w:t>
      </w:r>
      <w:r>
        <w:rPr>
          <w:rFonts w:hint="eastAsia" w:ascii="宋体" w:hAnsi="宋体" w:eastAsia="宋体" w:cs="宋体"/>
          <w:bCs/>
          <w:color w:val="auto"/>
          <w:kern w:val="0"/>
          <w:sz w:val="24"/>
          <w:highlight w:val="none"/>
          <w:u w:val="single"/>
        </w:rPr>
        <w:t xml:space="preserve">                                                                   </w:t>
      </w:r>
    </w:p>
    <w:p w14:paraId="49889001">
      <w:pPr>
        <w:spacing w:line="360" w:lineRule="auto"/>
        <w:ind w:firstLine="480" w:firstLineChars="200"/>
        <w:rPr>
          <w:rFonts w:hint="eastAsia" w:ascii="宋体" w:hAnsi="宋体" w:eastAsia="宋体" w:cs="宋体"/>
          <w:bCs/>
          <w:color w:val="auto"/>
          <w:kern w:val="0"/>
          <w:sz w:val="24"/>
          <w:highlight w:val="none"/>
          <w:u w:val="single"/>
        </w:rPr>
      </w:pPr>
      <w:r>
        <w:rPr>
          <w:rFonts w:hint="eastAsia" w:ascii="宋体" w:hAnsi="宋体" w:eastAsia="宋体" w:cs="宋体"/>
          <w:bCs/>
          <w:color w:val="auto"/>
          <w:kern w:val="0"/>
          <w:sz w:val="24"/>
          <w:highlight w:val="none"/>
        </w:rPr>
        <w:t>事实依据：</w:t>
      </w:r>
      <w:r>
        <w:rPr>
          <w:rFonts w:hint="eastAsia" w:ascii="宋体" w:hAnsi="宋体" w:eastAsia="宋体" w:cs="宋体"/>
          <w:color w:val="auto"/>
          <w:kern w:val="0"/>
          <w:sz w:val="24"/>
          <w:highlight w:val="none"/>
        </w:rPr>
        <w:t xml:space="preserve"> </w:t>
      </w:r>
      <w:r>
        <w:rPr>
          <w:rFonts w:hint="eastAsia" w:ascii="宋体" w:hAnsi="宋体" w:eastAsia="宋体" w:cs="宋体"/>
          <w:bCs/>
          <w:color w:val="auto"/>
          <w:kern w:val="0"/>
          <w:sz w:val="24"/>
          <w:highlight w:val="none"/>
          <w:u w:val="single"/>
        </w:rPr>
        <w:t xml:space="preserve">                                                                    </w:t>
      </w:r>
    </w:p>
    <w:p w14:paraId="63A91EF9">
      <w:pPr>
        <w:spacing w:line="360" w:lineRule="auto"/>
        <w:ind w:left="25" w:leftChars="12" w:firstLine="472" w:firstLineChars="197"/>
        <w:rPr>
          <w:rFonts w:hint="eastAsia" w:ascii="宋体" w:hAnsi="宋体" w:eastAsia="宋体" w:cs="宋体"/>
          <w:color w:val="auto"/>
          <w:kern w:val="0"/>
          <w:sz w:val="24"/>
          <w:highlight w:val="none"/>
        </w:rPr>
      </w:pPr>
      <w:r>
        <w:rPr>
          <w:rFonts w:hint="eastAsia" w:ascii="宋体" w:hAnsi="宋体" w:eastAsia="宋体" w:cs="宋体"/>
          <w:bCs/>
          <w:color w:val="auto"/>
          <w:kern w:val="0"/>
          <w:sz w:val="24"/>
          <w:highlight w:val="none"/>
          <w:u w:val="single"/>
        </w:rPr>
        <w:t xml:space="preserve">                                                                               </w:t>
      </w:r>
    </w:p>
    <w:p w14:paraId="7B679F1B">
      <w:pPr>
        <w:spacing w:line="360" w:lineRule="auto"/>
        <w:ind w:firstLine="480" w:firstLineChars="200"/>
        <w:rPr>
          <w:rFonts w:hint="eastAsia" w:ascii="宋体" w:hAnsi="宋体" w:eastAsia="宋体" w:cs="宋体"/>
          <w:bCs/>
          <w:color w:val="auto"/>
          <w:kern w:val="0"/>
          <w:sz w:val="24"/>
          <w:highlight w:val="none"/>
          <w:u w:val="single"/>
        </w:rPr>
      </w:pPr>
      <w:r>
        <w:rPr>
          <w:rFonts w:hint="eastAsia" w:ascii="宋体" w:hAnsi="宋体" w:eastAsia="宋体" w:cs="宋体"/>
          <w:bCs/>
          <w:color w:val="auto"/>
          <w:kern w:val="0"/>
          <w:sz w:val="24"/>
          <w:highlight w:val="none"/>
        </w:rPr>
        <w:t>法律依据：</w:t>
      </w:r>
      <w:r>
        <w:rPr>
          <w:rFonts w:hint="eastAsia" w:ascii="宋体" w:hAnsi="宋体" w:eastAsia="宋体" w:cs="宋体"/>
          <w:color w:val="auto"/>
          <w:kern w:val="0"/>
          <w:sz w:val="24"/>
          <w:highlight w:val="none"/>
        </w:rPr>
        <w:t xml:space="preserve"> </w:t>
      </w:r>
      <w:r>
        <w:rPr>
          <w:rFonts w:hint="eastAsia" w:ascii="宋体" w:hAnsi="宋体" w:eastAsia="宋体" w:cs="宋体"/>
          <w:bCs/>
          <w:color w:val="auto"/>
          <w:kern w:val="0"/>
          <w:sz w:val="24"/>
          <w:highlight w:val="none"/>
          <w:u w:val="single"/>
        </w:rPr>
        <w:t xml:space="preserve">                                                                    </w:t>
      </w:r>
    </w:p>
    <w:p w14:paraId="3C97EE3B">
      <w:pPr>
        <w:spacing w:line="360" w:lineRule="auto"/>
        <w:ind w:left="25" w:leftChars="12" w:firstLine="352" w:firstLineChars="147"/>
        <w:rPr>
          <w:rFonts w:hint="eastAsia" w:ascii="宋体" w:hAnsi="宋体" w:eastAsia="宋体" w:cs="宋体"/>
          <w:bCs/>
          <w:color w:val="auto"/>
          <w:kern w:val="0"/>
          <w:sz w:val="24"/>
          <w:highlight w:val="none"/>
          <w:u w:val="single"/>
        </w:rPr>
      </w:pPr>
      <w:r>
        <w:rPr>
          <w:rFonts w:hint="eastAsia" w:ascii="宋体" w:hAnsi="宋体" w:eastAsia="宋体" w:cs="宋体"/>
          <w:bCs/>
          <w:color w:val="auto"/>
          <w:kern w:val="0"/>
          <w:sz w:val="24"/>
          <w:highlight w:val="none"/>
        </w:rPr>
        <w:t xml:space="preserve"> </w:t>
      </w:r>
      <w:r>
        <w:rPr>
          <w:rFonts w:hint="eastAsia" w:ascii="宋体" w:hAnsi="宋体" w:eastAsia="宋体" w:cs="宋体"/>
          <w:bCs/>
          <w:color w:val="auto"/>
          <w:kern w:val="0"/>
          <w:sz w:val="24"/>
          <w:highlight w:val="none"/>
          <w:u w:val="single"/>
        </w:rPr>
        <w:t xml:space="preserve">                                                                               </w:t>
      </w:r>
    </w:p>
    <w:p w14:paraId="50E574FE">
      <w:pPr>
        <w:spacing w:line="360" w:lineRule="auto"/>
        <w:ind w:left="25" w:leftChars="12" w:firstLine="472" w:firstLineChars="197"/>
        <w:rPr>
          <w:rFonts w:hint="eastAsia" w:ascii="宋体" w:hAnsi="宋体" w:eastAsia="宋体" w:cs="宋体"/>
          <w:bCs/>
          <w:color w:val="auto"/>
          <w:kern w:val="0"/>
          <w:sz w:val="24"/>
          <w:highlight w:val="none"/>
        </w:rPr>
      </w:pPr>
      <w:r>
        <w:rPr>
          <w:rFonts w:hint="eastAsia" w:ascii="宋体" w:hAnsi="宋体" w:eastAsia="宋体" w:cs="宋体"/>
          <w:color w:val="auto"/>
          <w:kern w:val="0"/>
          <w:sz w:val="24"/>
          <w:highlight w:val="none"/>
        </w:rPr>
        <w:t xml:space="preserve">投诉事项2  </w:t>
      </w:r>
      <w:r>
        <w:rPr>
          <w:rFonts w:hint="eastAsia" w:ascii="宋体" w:hAnsi="宋体" w:eastAsia="宋体" w:cs="宋体"/>
          <w:bCs/>
          <w:color w:val="auto"/>
          <w:kern w:val="0"/>
          <w:sz w:val="24"/>
          <w:highlight w:val="none"/>
        </w:rPr>
        <w:t xml:space="preserve">   </w:t>
      </w:r>
    </w:p>
    <w:p w14:paraId="60B06D5C">
      <w:pPr>
        <w:spacing w:line="360" w:lineRule="auto"/>
        <w:ind w:left="25" w:leftChars="12" w:firstLine="472" w:firstLineChars="197"/>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w:t>
      </w:r>
    </w:p>
    <w:p w14:paraId="4064F5C6">
      <w:pPr>
        <w:spacing w:line="360" w:lineRule="auto"/>
        <w:ind w:left="25" w:leftChars="12" w:firstLine="472" w:firstLineChars="196"/>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五、与投诉事项相关的投诉请求：</w:t>
      </w:r>
    </w:p>
    <w:p w14:paraId="702130D5">
      <w:pPr>
        <w:spacing w:line="360" w:lineRule="auto"/>
        <w:ind w:left="25" w:leftChars="12" w:firstLine="472" w:firstLineChars="197"/>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请求：</w:t>
      </w:r>
      <w:r>
        <w:rPr>
          <w:rFonts w:hint="eastAsia" w:ascii="宋体" w:hAnsi="宋体" w:eastAsia="宋体" w:cs="宋体"/>
          <w:bCs/>
          <w:color w:val="auto"/>
          <w:kern w:val="0"/>
          <w:sz w:val="24"/>
          <w:highlight w:val="none"/>
          <w:u w:val="single"/>
        </w:rPr>
        <w:t xml:space="preserve">                                                                         </w:t>
      </w:r>
    </w:p>
    <w:p w14:paraId="2AACAE6F">
      <w:pPr>
        <w:spacing w:line="360" w:lineRule="auto"/>
        <w:ind w:left="25" w:leftChars="12" w:firstLine="352" w:firstLineChars="147"/>
        <w:rPr>
          <w:rFonts w:hint="eastAsia" w:ascii="宋体" w:hAnsi="宋体" w:eastAsia="宋体" w:cs="宋体"/>
          <w:color w:val="auto"/>
          <w:kern w:val="0"/>
          <w:sz w:val="24"/>
          <w:highlight w:val="none"/>
        </w:rPr>
      </w:pPr>
    </w:p>
    <w:p w14:paraId="3DB713EC">
      <w:pPr>
        <w:spacing w:line="360" w:lineRule="auto"/>
        <w:ind w:left="25" w:leftChars="12" w:firstLine="472" w:firstLineChars="197"/>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签字（签章）：                                       公章：</w:t>
      </w:r>
    </w:p>
    <w:p w14:paraId="276DFF38">
      <w:pPr>
        <w:spacing w:line="360" w:lineRule="auto"/>
        <w:ind w:left="25" w:leftChars="12" w:firstLine="352" w:firstLineChars="147"/>
        <w:rPr>
          <w:rFonts w:hint="eastAsia" w:ascii="宋体" w:hAnsi="宋体" w:eastAsia="宋体" w:cs="宋体"/>
          <w:color w:val="auto"/>
          <w:kern w:val="0"/>
          <w:sz w:val="24"/>
          <w:highlight w:val="none"/>
        </w:rPr>
      </w:pPr>
    </w:p>
    <w:p w14:paraId="78CFE07D">
      <w:pPr>
        <w:spacing w:line="360" w:lineRule="auto"/>
        <w:ind w:left="25" w:leftChars="12" w:firstLine="472" w:firstLineChars="197"/>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日期：</w:t>
      </w:r>
    </w:p>
    <w:p w14:paraId="760B051D">
      <w:pPr>
        <w:spacing w:line="360" w:lineRule="auto"/>
        <w:ind w:left="25" w:leftChars="12" w:firstLine="472" w:firstLineChars="197"/>
        <w:rPr>
          <w:rFonts w:hint="eastAsia" w:ascii="宋体" w:hAnsi="宋体" w:eastAsia="宋体" w:cs="宋体"/>
          <w:color w:val="auto"/>
          <w:kern w:val="0"/>
          <w:sz w:val="24"/>
          <w:highlight w:val="none"/>
        </w:rPr>
      </w:pPr>
      <w:r>
        <w:rPr>
          <w:rFonts w:hint="eastAsia" w:ascii="宋体" w:hAnsi="宋体" w:eastAsia="宋体" w:cs="宋体"/>
          <w:bCs/>
          <w:color w:val="auto"/>
          <w:kern w:val="0"/>
          <w:sz w:val="24"/>
          <w:highlight w:val="none"/>
        </w:rPr>
        <w:t xml:space="preserve">                                                                                 </w:t>
      </w:r>
    </w:p>
    <w:p w14:paraId="61639436">
      <w:pPr>
        <w:snapToGrid w:val="0"/>
        <w:spacing w:line="360" w:lineRule="auto"/>
        <w:rPr>
          <w:rFonts w:hint="eastAsia" w:ascii="宋体" w:hAnsi="宋体" w:eastAsia="宋体" w:cs="宋体"/>
          <w:b/>
          <w:color w:val="auto"/>
          <w:kern w:val="0"/>
          <w:sz w:val="24"/>
          <w:highlight w:val="none"/>
        </w:rPr>
      </w:pPr>
    </w:p>
    <w:p w14:paraId="56B128DA">
      <w:pPr>
        <w:snapToGrid w:val="0"/>
        <w:spacing w:line="360" w:lineRule="auto"/>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说明：</w:t>
      </w:r>
    </w:p>
    <w:p w14:paraId="58065A4F">
      <w:pPr>
        <w:spacing w:line="360" w:lineRule="auto"/>
        <w:ind w:left="25" w:leftChars="12" w:firstLine="354" w:firstLineChars="147"/>
        <w:rPr>
          <w:rFonts w:hint="eastAsia" w:ascii="宋体" w:hAnsi="宋体" w:eastAsia="宋体" w:cs="宋体"/>
          <w:b/>
          <w:bCs/>
          <w:color w:val="auto"/>
          <w:kern w:val="0"/>
          <w:sz w:val="24"/>
          <w:highlight w:val="none"/>
        </w:rPr>
      </w:pPr>
      <w:r>
        <w:rPr>
          <w:rFonts w:hint="eastAsia" w:ascii="宋体" w:hAnsi="宋体" w:eastAsia="宋体" w:cs="宋体"/>
          <w:b/>
          <w:color w:val="auto"/>
          <w:kern w:val="0"/>
          <w:sz w:val="24"/>
          <w:highlight w:val="none"/>
        </w:rPr>
        <w:t>1.投诉人提起投诉时，应当提交投诉书和必要的证明材料，并按照被投诉人和与投诉事项有关的供应商数量提供投诉书副本</w:t>
      </w:r>
      <w:r>
        <w:rPr>
          <w:rFonts w:hint="eastAsia" w:ascii="宋体" w:hAnsi="宋体" w:eastAsia="宋体" w:cs="宋体"/>
          <w:b/>
          <w:bCs/>
          <w:color w:val="auto"/>
          <w:kern w:val="0"/>
          <w:sz w:val="24"/>
          <w:highlight w:val="none"/>
        </w:rPr>
        <w:t>。</w:t>
      </w:r>
    </w:p>
    <w:p w14:paraId="1A63D13F">
      <w:pPr>
        <w:spacing w:line="360" w:lineRule="auto"/>
        <w:ind w:left="25" w:leftChars="12" w:firstLine="354" w:firstLineChars="147"/>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2731828B">
      <w:pPr>
        <w:spacing w:line="360" w:lineRule="auto"/>
        <w:ind w:left="25" w:leftChars="12" w:firstLine="354" w:firstLineChars="147"/>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3.投诉书应简要列明质疑事项，质疑函、质疑答复等作为附件材料提供。</w:t>
      </w:r>
    </w:p>
    <w:p w14:paraId="11598B1B">
      <w:pPr>
        <w:spacing w:line="360" w:lineRule="auto"/>
        <w:ind w:left="25" w:leftChars="12" w:firstLine="354" w:firstLineChars="147"/>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4.投诉书的投诉事项应具体、明确，并有必要的事实依据和法律依据。</w:t>
      </w:r>
    </w:p>
    <w:p w14:paraId="48EB818C">
      <w:pPr>
        <w:spacing w:line="360" w:lineRule="auto"/>
        <w:ind w:left="25" w:leftChars="12" w:firstLine="354" w:firstLineChars="147"/>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5.投诉书的投诉请求应与投诉事项相关。</w:t>
      </w:r>
    </w:p>
    <w:p w14:paraId="33AC2471">
      <w:pPr>
        <w:spacing w:line="360" w:lineRule="auto"/>
        <w:ind w:left="25" w:leftChars="12" w:firstLine="354" w:firstLineChars="147"/>
        <w:rPr>
          <w:rFonts w:hint="eastAsia" w:ascii="宋体" w:hAnsi="宋体" w:eastAsia="宋体" w:cs="宋体"/>
          <w:b/>
          <w:color w:val="auto"/>
          <w:highlight w:val="none"/>
        </w:rPr>
      </w:pPr>
      <w:r>
        <w:rPr>
          <w:rFonts w:hint="eastAsia" w:ascii="宋体" w:hAnsi="宋体" w:eastAsia="宋体" w:cs="宋体"/>
          <w:b/>
          <w:color w:val="auto"/>
          <w:kern w:val="0"/>
          <w:sz w:val="24"/>
          <w:highlight w:val="none"/>
        </w:rPr>
        <w:t>6.投诉人为法人或者其他组织的，投诉书应由法定代表人、主要负责人，或者其授权代表签字或者盖章，并加盖公章。</w:t>
      </w:r>
    </w:p>
    <w:p w14:paraId="3EB7BD6E">
      <w:pPr>
        <w:bidi w:val="0"/>
        <w:jc w:val="center"/>
        <w:outlineLvl w:val="0"/>
        <w:rPr>
          <w:rFonts w:hint="eastAsia" w:ascii="宋体" w:hAnsi="宋体" w:eastAsia="宋体" w:cs="宋体"/>
          <w:b/>
          <w:bCs/>
          <w:color w:val="auto"/>
          <w:kern w:val="44"/>
          <w:sz w:val="44"/>
          <w:szCs w:val="44"/>
          <w:highlight w:val="none"/>
          <w:lang w:val="en-US" w:eastAsia="zh-CN" w:bidi="ar-SA"/>
        </w:rPr>
      </w:pPr>
      <w:bookmarkStart w:id="96" w:name="_Toc12838"/>
      <w:bookmarkStart w:id="97" w:name="_Toc32167"/>
      <w:bookmarkStart w:id="98" w:name="_Toc8819"/>
    </w:p>
    <w:p w14:paraId="3BCB3934">
      <w:pPr>
        <w:bidi w:val="0"/>
        <w:jc w:val="center"/>
        <w:outlineLvl w:val="0"/>
        <w:rPr>
          <w:rFonts w:hint="eastAsia" w:ascii="宋体" w:hAnsi="宋体" w:eastAsia="宋体" w:cs="宋体"/>
          <w:b/>
          <w:bCs/>
          <w:color w:val="auto"/>
          <w:kern w:val="44"/>
          <w:sz w:val="44"/>
          <w:szCs w:val="44"/>
          <w:highlight w:val="none"/>
          <w:lang w:val="en-US" w:eastAsia="zh-CN" w:bidi="ar-SA"/>
        </w:rPr>
      </w:pPr>
    </w:p>
    <w:p w14:paraId="1364E4A5">
      <w:pPr>
        <w:bidi w:val="0"/>
        <w:jc w:val="center"/>
        <w:outlineLvl w:val="0"/>
        <w:rPr>
          <w:rFonts w:hint="eastAsia" w:ascii="宋体" w:hAnsi="宋体" w:eastAsia="宋体" w:cs="宋体"/>
          <w:b/>
          <w:bCs/>
          <w:color w:val="auto"/>
          <w:kern w:val="44"/>
          <w:sz w:val="44"/>
          <w:szCs w:val="44"/>
          <w:highlight w:val="none"/>
          <w:lang w:val="en-US" w:eastAsia="zh-CN" w:bidi="ar-SA"/>
        </w:rPr>
      </w:pPr>
    </w:p>
    <w:p w14:paraId="56DC3596">
      <w:pPr>
        <w:bidi w:val="0"/>
        <w:jc w:val="center"/>
        <w:outlineLvl w:val="0"/>
        <w:rPr>
          <w:rFonts w:hint="eastAsia" w:ascii="宋体" w:hAnsi="宋体" w:eastAsia="宋体" w:cs="宋体"/>
          <w:b/>
          <w:bCs/>
          <w:color w:val="auto"/>
          <w:kern w:val="44"/>
          <w:sz w:val="44"/>
          <w:szCs w:val="44"/>
          <w:highlight w:val="none"/>
          <w:lang w:val="en-US" w:eastAsia="zh-CN" w:bidi="ar-SA"/>
        </w:rPr>
      </w:pPr>
    </w:p>
    <w:p w14:paraId="4B2F9F04">
      <w:pPr>
        <w:bidi w:val="0"/>
        <w:jc w:val="center"/>
        <w:outlineLvl w:val="0"/>
        <w:rPr>
          <w:rFonts w:hint="eastAsia" w:ascii="宋体" w:hAnsi="宋体" w:eastAsia="宋体" w:cs="宋体"/>
          <w:b/>
          <w:bCs/>
          <w:color w:val="auto"/>
          <w:kern w:val="44"/>
          <w:sz w:val="44"/>
          <w:szCs w:val="44"/>
          <w:highlight w:val="none"/>
          <w:lang w:val="en-US" w:eastAsia="zh-CN" w:bidi="ar-SA"/>
        </w:rPr>
      </w:pPr>
    </w:p>
    <w:p w14:paraId="3A0A259A">
      <w:pPr>
        <w:bidi w:val="0"/>
        <w:jc w:val="center"/>
        <w:outlineLvl w:val="0"/>
        <w:rPr>
          <w:rFonts w:hint="eastAsia" w:ascii="宋体" w:hAnsi="宋体" w:eastAsia="宋体" w:cs="宋体"/>
          <w:b/>
          <w:bCs/>
          <w:color w:val="auto"/>
          <w:kern w:val="44"/>
          <w:sz w:val="44"/>
          <w:szCs w:val="44"/>
          <w:highlight w:val="none"/>
          <w:lang w:val="en-US" w:eastAsia="zh-CN" w:bidi="ar-SA"/>
        </w:rPr>
      </w:pPr>
    </w:p>
    <w:p w14:paraId="209FA302">
      <w:pPr>
        <w:bidi w:val="0"/>
        <w:jc w:val="center"/>
        <w:outlineLvl w:val="0"/>
        <w:rPr>
          <w:rFonts w:hint="eastAsia" w:ascii="宋体" w:hAnsi="宋体" w:eastAsia="宋体" w:cs="宋体"/>
          <w:b/>
          <w:bCs/>
          <w:color w:val="auto"/>
          <w:kern w:val="44"/>
          <w:sz w:val="44"/>
          <w:szCs w:val="44"/>
          <w:highlight w:val="none"/>
          <w:lang w:val="en-US" w:eastAsia="zh-CN" w:bidi="ar-SA"/>
        </w:rPr>
      </w:pPr>
    </w:p>
    <w:p w14:paraId="1FA8316A">
      <w:pPr>
        <w:bidi w:val="0"/>
        <w:jc w:val="center"/>
        <w:outlineLvl w:val="0"/>
        <w:rPr>
          <w:rFonts w:hint="eastAsia" w:ascii="宋体" w:hAnsi="宋体" w:eastAsia="宋体" w:cs="宋体"/>
          <w:b/>
          <w:bCs/>
          <w:color w:val="auto"/>
          <w:kern w:val="44"/>
          <w:sz w:val="44"/>
          <w:szCs w:val="44"/>
          <w:highlight w:val="none"/>
          <w:lang w:val="en-US" w:eastAsia="zh-CN" w:bidi="ar-SA"/>
        </w:rPr>
      </w:pPr>
    </w:p>
    <w:p w14:paraId="533DF91B">
      <w:pPr>
        <w:bidi w:val="0"/>
        <w:jc w:val="center"/>
        <w:outlineLvl w:val="0"/>
        <w:rPr>
          <w:rFonts w:hint="eastAsia" w:ascii="宋体" w:hAnsi="宋体" w:eastAsia="宋体" w:cs="宋体"/>
          <w:b/>
          <w:bCs/>
          <w:color w:val="auto"/>
          <w:kern w:val="44"/>
          <w:sz w:val="44"/>
          <w:szCs w:val="44"/>
          <w:highlight w:val="none"/>
          <w:lang w:val="en-US" w:eastAsia="zh-CN" w:bidi="ar-SA"/>
        </w:rPr>
      </w:pPr>
    </w:p>
    <w:p w14:paraId="59A4B77E">
      <w:pPr>
        <w:bidi w:val="0"/>
        <w:jc w:val="center"/>
        <w:outlineLvl w:val="0"/>
        <w:rPr>
          <w:rFonts w:hint="eastAsia" w:ascii="宋体" w:hAnsi="宋体" w:eastAsia="宋体" w:cs="宋体"/>
          <w:b/>
          <w:bCs/>
          <w:color w:val="auto"/>
          <w:kern w:val="44"/>
          <w:sz w:val="44"/>
          <w:szCs w:val="44"/>
          <w:highlight w:val="none"/>
          <w:lang w:val="en-US" w:eastAsia="zh-CN" w:bidi="ar-SA"/>
        </w:rPr>
      </w:pPr>
    </w:p>
    <w:p w14:paraId="74C0BBDD">
      <w:pPr>
        <w:bidi w:val="0"/>
        <w:jc w:val="center"/>
        <w:outlineLvl w:val="0"/>
        <w:rPr>
          <w:rFonts w:hint="eastAsia" w:ascii="宋体" w:hAnsi="宋体" w:eastAsia="宋体" w:cs="宋体"/>
          <w:b/>
          <w:bCs/>
          <w:color w:val="auto"/>
          <w:kern w:val="44"/>
          <w:sz w:val="44"/>
          <w:szCs w:val="44"/>
          <w:highlight w:val="none"/>
          <w:lang w:val="en-US" w:eastAsia="zh-CN" w:bidi="ar-SA"/>
        </w:rPr>
      </w:pPr>
    </w:p>
    <w:p w14:paraId="69A69F74">
      <w:pPr>
        <w:bidi w:val="0"/>
        <w:jc w:val="center"/>
        <w:outlineLvl w:val="0"/>
        <w:rPr>
          <w:rFonts w:hint="eastAsia" w:ascii="宋体" w:hAnsi="宋体" w:eastAsia="宋体" w:cs="宋体"/>
          <w:b/>
          <w:bCs/>
          <w:color w:val="auto"/>
          <w:kern w:val="44"/>
          <w:sz w:val="44"/>
          <w:szCs w:val="44"/>
          <w:highlight w:val="none"/>
          <w:lang w:val="en-US" w:eastAsia="zh-CN" w:bidi="ar-SA"/>
        </w:rPr>
      </w:pPr>
      <w:bookmarkStart w:id="99" w:name="_Toc15064"/>
      <w:r>
        <w:rPr>
          <w:rFonts w:hint="eastAsia" w:ascii="宋体" w:hAnsi="宋体" w:eastAsia="宋体" w:cs="宋体"/>
          <w:b/>
          <w:bCs/>
          <w:color w:val="auto"/>
          <w:kern w:val="44"/>
          <w:sz w:val="44"/>
          <w:szCs w:val="44"/>
          <w:highlight w:val="none"/>
          <w:lang w:val="en-US" w:eastAsia="zh-CN" w:bidi="ar-SA"/>
        </w:rPr>
        <w:t>第八章 政府采购合同验收书范本</w:t>
      </w:r>
      <w:bookmarkEnd w:id="96"/>
      <w:bookmarkEnd w:id="97"/>
      <w:bookmarkEnd w:id="98"/>
      <w:bookmarkEnd w:id="99"/>
    </w:p>
    <w:p w14:paraId="67696E89">
      <w:pPr>
        <w:tabs>
          <w:tab w:val="left" w:pos="576"/>
        </w:tabs>
        <w:jc w:val="center"/>
        <w:outlineLvl w:val="9"/>
        <w:rPr>
          <w:rFonts w:hint="eastAsia" w:ascii="宋体" w:hAnsi="宋体" w:eastAsia="宋体" w:cs="宋体"/>
          <w:color w:val="auto"/>
          <w:kern w:val="0"/>
          <w:sz w:val="32"/>
          <w:highlight w:val="none"/>
        </w:rPr>
      </w:pPr>
      <w:r>
        <w:rPr>
          <w:rFonts w:hint="eastAsia" w:ascii="宋体" w:hAnsi="宋体" w:eastAsia="宋体" w:cs="宋体"/>
          <w:b/>
          <w:color w:val="auto"/>
          <w:sz w:val="24"/>
          <w:szCs w:val="24"/>
          <w:highlight w:val="none"/>
        </w:rPr>
        <w:br w:type="page"/>
      </w:r>
      <w:r>
        <w:rPr>
          <w:rFonts w:hint="eastAsia" w:ascii="宋体" w:hAnsi="宋体" w:eastAsia="宋体" w:cs="宋体"/>
          <w:b/>
          <w:bCs/>
          <w:color w:val="auto"/>
          <w:kern w:val="2"/>
          <w:sz w:val="32"/>
          <w:szCs w:val="32"/>
          <w:highlight w:val="none"/>
          <w:lang w:val="en-US" w:eastAsia="zh-CN" w:bidi="ar-SA"/>
        </w:rPr>
        <w:t>广西壮族自治区政府采购项目合同验收书（格式）</w:t>
      </w:r>
    </w:p>
    <w:p w14:paraId="5B22ED86">
      <w:pPr>
        <w:widowControl/>
        <w:snapToGrid w:val="0"/>
        <w:spacing w:before="100" w:beforeAutospacing="1" w:after="100" w:afterAutospacing="1" w:line="320" w:lineRule="exact"/>
        <w:ind w:left="-359" w:leftChars="-171"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根据政府采购项目（</w:t>
      </w:r>
      <w:r>
        <w:rPr>
          <w:rFonts w:hint="eastAsia" w:ascii="宋体" w:hAnsi="宋体" w:eastAsia="宋体" w:cs="宋体"/>
          <w:color w:val="auto"/>
          <w:kern w:val="0"/>
          <w:sz w:val="24"/>
          <w:highlight w:val="none"/>
          <w:u w:val="single"/>
        </w:rPr>
        <w:t>采购合同编号：</w:t>
      </w:r>
      <w:r>
        <w:rPr>
          <w:rFonts w:hint="eastAsia" w:ascii="宋体" w:hAnsi="宋体" w:eastAsia="宋体" w:cs="宋体"/>
          <w:color w:val="auto"/>
          <w:kern w:val="0"/>
          <w:sz w:val="24"/>
          <w:highlight w:val="none"/>
          <w:u w:val="single"/>
        </w:rPr>
        <w:softHyphen/>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）的约定，我单位对（</w:t>
      </w:r>
      <w:r>
        <w:rPr>
          <w:rFonts w:hint="eastAsia" w:ascii="宋体" w:hAnsi="宋体" w:eastAsia="宋体" w:cs="宋体"/>
          <w:color w:val="auto"/>
          <w:kern w:val="0"/>
          <w:sz w:val="24"/>
          <w:highlight w:val="none"/>
          <w:u w:val="single"/>
        </w:rPr>
        <w:t xml:space="preserve">  项目名称   </w:t>
      </w:r>
      <w:r>
        <w:rPr>
          <w:rFonts w:hint="eastAsia" w:ascii="宋体" w:hAnsi="宋体" w:eastAsia="宋体" w:cs="宋体"/>
          <w:color w:val="auto"/>
          <w:kern w:val="0"/>
          <w:sz w:val="24"/>
          <w:highlight w:val="none"/>
        </w:rPr>
        <w:t>）       政府采购项目中标（或成交）供应商（</w:t>
      </w:r>
      <w:r>
        <w:rPr>
          <w:rFonts w:hint="eastAsia" w:ascii="宋体" w:hAnsi="宋体" w:eastAsia="宋体" w:cs="宋体"/>
          <w:color w:val="auto"/>
          <w:kern w:val="0"/>
          <w:sz w:val="24"/>
          <w:highlight w:val="none"/>
          <w:u w:val="single"/>
        </w:rPr>
        <w:t xml:space="preserve">            公司名称              </w:t>
      </w:r>
      <w:r>
        <w:rPr>
          <w:rFonts w:hint="eastAsia" w:ascii="宋体" w:hAnsi="宋体" w:eastAsia="宋体" w:cs="宋体"/>
          <w:color w:val="auto"/>
          <w:kern w:val="0"/>
          <w:sz w:val="24"/>
          <w:highlight w:val="none"/>
        </w:rPr>
        <w:t>）       提供的货物（或工程、服务）进行了验收，验收情况如下：</w:t>
      </w:r>
    </w:p>
    <w:tbl>
      <w:tblPr>
        <w:tblStyle w:val="31"/>
        <w:tblW w:w="9627"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0" w:type="dxa"/>
          <w:bottom w:w="0" w:type="dxa"/>
          <w:right w:w="0" w:type="dxa"/>
        </w:tblCellMar>
      </w:tblPr>
      <w:tblGrid>
        <w:gridCol w:w="1527"/>
        <w:gridCol w:w="2294"/>
        <w:gridCol w:w="946"/>
        <w:gridCol w:w="2495"/>
        <w:gridCol w:w="205"/>
        <w:gridCol w:w="793"/>
        <w:gridCol w:w="1367"/>
      </w:tblGrid>
      <w:tr w14:paraId="6B7166E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97" w:hRule="atLeast"/>
          <w:jc w:val="center"/>
        </w:trPr>
        <w:tc>
          <w:tcPr>
            <w:tcW w:w="3821" w:type="dxa"/>
            <w:gridSpan w:val="2"/>
            <w:tcBorders>
              <w:top w:val="single" w:color="auto" w:sz="8" w:space="0"/>
              <w:left w:val="single" w:color="auto" w:sz="8" w:space="0"/>
              <w:bottom w:val="single" w:color="auto" w:sz="8" w:space="0"/>
              <w:right w:val="single" w:color="auto" w:sz="8" w:space="0"/>
            </w:tcBorders>
            <w:noWrap w:val="0"/>
            <w:vAlign w:val="center"/>
          </w:tcPr>
          <w:p w14:paraId="6A2CC0B2">
            <w:pPr>
              <w:widowControl/>
              <w:snapToGrid w:val="0"/>
              <w:spacing w:before="100" w:beforeAutospacing="1" w:after="100" w:afterAutospacing="1" w:line="320" w:lineRule="exact"/>
              <w:ind w:left="-3" w:firstLine="4" w:firstLineChars="2"/>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验收方式：</w:t>
            </w:r>
          </w:p>
        </w:tc>
        <w:tc>
          <w:tcPr>
            <w:tcW w:w="5806" w:type="dxa"/>
            <w:gridSpan w:val="5"/>
            <w:tcBorders>
              <w:top w:val="single" w:color="auto" w:sz="8" w:space="0"/>
              <w:left w:val="single" w:color="auto" w:sz="8" w:space="0"/>
              <w:bottom w:val="single" w:color="auto" w:sz="8" w:space="0"/>
              <w:right w:val="single" w:color="auto" w:sz="8" w:space="0"/>
            </w:tcBorders>
            <w:noWrap w:val="0"/>
            <w:vAlign w:val="center"/>
          </w:tcPr>
          <w:p w14:paraId="44ABA30F">
            <w:pPr>
              <w:widowControl/>
              <w:snapToGrid w:val="0"/>
              <w:spacing w:before="100" w:beforeAutospacing="1" w:after="100" w:afterAutospacing="1" w:line="320" w:lineRule="exact"/>
              <w:ind w:left="-3" w:firstLine="480" w:firstLineChars="20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□自行验收         □委托验收</w:t>
            </w:r>
          </w:p>
        </w:tc>
      </w:tr>
      <w:tr w14:paraId="1D1C322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22" w:hRule="atLeast"/>
          <w:jc w:val="center"/>
        </w:trPr>
        <w:tc>
          <w:tcPr>
            <w:tcW w:w="1527" w:type="dxa"/>
            <w:tcBorders>
              <w:top w:val="single" w:color="auto" w:sz="8" w:space="0"/>
              <w:left w:val="single" w:color="auto" w:sz="8" w:space="0"/>
              <w:bottom w:val="single" w:color="auto" w:sz="8" w:space="0"/>
              <w:right w:val="single" w:color="auto" w:sz="8" w:space="0"/>
            </w:tcBorders>
            <w:noWrap w:val="0"/>
            <w:vAlign w:val="center"/>
          </w:tcPr>
          <w:p w14:paraId="55092D26">
            <w:pPr>
              <w:widowControl/>
              <w:snapToGrid w:val="0"/>
              <w:spacing w:before="100" w:beforeAutospacing="1" w:after="100" w:afterAutospacing="1" w:line="320" w:lineRule="exact"/>
              <w:ind w:firstLine="2" w:firstLineChars="1"/>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序号</w:t>
            </w:r>
          </w:p>
        </w:tc>
        <w:tc>
          <w:tcPr>
            <w:tcW w:w="2294" w:type="dxa"/>
            <w:tcBorders>
              <w:top w:val="single" w:color="auto" w:sz="8" w:space="0"/>
              <w:left w:val="single" w:color="auto" w:sz="8" w:space="0"/>
              <w:bottom w:val="single" w:color="auto" w:sz="8" w:space="0"/>
              <w:right w:val="single" w:color="auto" w:sz="8" w:space="0"/>
            </w:tcBorders>
            <w:noWrap w:val="0"/>
            <w:vAlign w:val="center"/>
          </w:tcPr>
          <w:p w14:paraId="163BD536">
            <w:pPr>
              <w:widowControl/>
              <w:snapToGrid w:val="0"/>
              <w:spacing w:before="100" w:beforeAutospacing="1" w:after="100" w:afterAutospacing="1" w:line="320" w:lineRule="exact"/>
              <w:ind w:left="-3" w:firstLine="2" w:firstLineChars="1"/>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名  称</w:t>
            </w:r>
          </w:p>
        </w:tc>
        <w:tc>
          <w:tcPr>
            <w:tcW w:w="3441" w:type="dxa"/>
            <w:gridSpan w:val="2"/>
            <w:tcBorders>
              <w:top w:val="single" w:color="auto" w:sz="8" w:space="0"/>
              <w:left w:val="single" w:color="auto" w:sz="8" w:space="0"/>
              <w:bottom w:val="single" w:color="auto" w:sz="8" w:space="0"/>
              <w:right w:val="single" w:color="auto" w:sz="8" w:space="0"/>
            </w:tcBorders>
            <w:noWrap w:val="0"/>
            <w:vAlign w:val="center"/>
          </w:tcPr>
          <w:p w14:paraId="5F5F2576">
            <w:pPr>
              <w:widowControl/>
              <w:snapToGrid w:val="0"/>
              <w:spacing w:before="100" w:beforeAutospacing="1" w:after="100" w:afterAutospacing="1" w:line="320" w:lineRule="exact"/>
              <w:ind w:left="-3" w:firstLine="2" w:firstLineChars="1"/>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货物型号规格、标准及配置等（或服务内容、标准）</w:t>
            </w:r>
          </w:p>
        </w:tc>
        <w:tc>
          <w:tcPr>
            <w:tcW w:w="998" w:type="dxa"/>
            <w:gridSpan w:val="2"/>
            <w:tcBorders>
              <w:top w:val="single" w:color="auto" w:sz="8" w:space="0"/>
              <w:left w:val="single" w:color="auto" w:sz="8" w:space="0"/>
              <w:bottom w:val="single" w:color="auto" w:sz="8" w:space="0"/>
              <w:right w:val="single" w:color="auto" w:sz="8" w:space="0"/>
            </w:tcBorders>
            <w:noWrap w:val="0"/>
            <w:vAlign w:val="center"/>
          </w:tcPr>
          <w:p w14:paraId="682FE8FB">
            <w:pPr>
              <w:widowControl/>
              <w:snapToGrid w:val="0"/>
              <w:spacing w:before="100" w:beforeAutospacing="1" w:after="100" w:afterAutospacing="1" w:line="32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数量</w:t>
            </w:r>
          </w:p>
        </w:tc>
        <w:tc>
          <w:tcPr>
            <w:tcW w:w="1367" w:type="dxa"/>
            <w:tcBorders>
              <w:top w:val="single" w:color="auto" w:sz="8" w:space="0"/>
              <w:left w:val="single" w:color="auto" w:sz="8" w:space="0"/>
              <w:bottom w:val="single" w:color="auto" w:sz="8" w:space="0"/>
              <w:right w:val="single" w:color="auto" w:sz="8" w:space="0"/>
            </w:tcBorders>
            <w:noWrap w:val="0"/>
            <w:vAlign w:val="center"/>
          </w:tcPr>
          <w:p w14:paraId="17EB9BBA">
            <w:pPr>
              <w:widowControl/>
              <w:snapToGrid w:val="0"/>
              <w:spacing w:before="100" w:beforeAutospacing="1" w:after="100" w:afterAutospacing="1" w:line="320" w:lineRule="exact"/>
              <w:ind w:left="-3" w:firstLine="2" w:firstLineChars="1"/>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金  额</w:t>
            </w:r>
          </w:p>
        </w:tc>
      </w:tr>
      <w:tr w14:paraId="51159F7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1527" w:type="dxa"/>
            <w:tcBorders>
              <w:top w:val="single" w:color="auto" w:sz="8" w:space="0"/>
              <w:left w:val="single" w:color="auto" w:sz="8" w:space="0"/>
              <w:bottom w:val="single" w:color="auto" w:sz="8" w:space="0"/>
              <w:right w:val="single" w:color="auto" w:sz="8" w:space="0"/>
            </w:tcBorders>
            <w:noWrap w:val="0"/>
            <w:vAlign w:val="center"/>
          </w:tcPr>
          <w:p w14:paraId="2245E3D4">
            <w:pPr>
              <w:widowControl/>
              <w:snapToGrid w:val="0"/>
              <w:spacing w:before="100" w:beforeAutospacing="1" w:after="100" w:afterAutospacing="1" w:line="320" w:lineRule="exact"/>
              <w:ind w:left="-3" w:firstLine="4" w:firstLineChars="2"/>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c>
          <w:tcPr>
            <w:tcW w:w="2294" w:type="dxa"/>
            <w:tcBorders>
              <w:top w:val="single" w:color="auto" w:sz="8" w:space="0"/>
              <w:left w:val="single" w:color="auto" w:sz="8" w:space="0"/>
              <w:bottom w:val="single" w:color="auto" w:sz="8" w:space="0"/>
              <w:right w:val="single" w:color="auto" w:sz="8" w:space="0"/>
            </w:tcBorders>
            <w:noWrap w:val="0"/>
            <w:vAlign w:val="center"/>
          </w:tcPr>
          <w:p w14:paraId="1BEDE2C3">
            <w:pPr>
              <w:widowControl/>
              <w:snapToGrid w:val="0"/>
              <w:spacing w:before="100" w:beforeAutospacing="1" w:after="100" w:afterAutospacing="1" w:line="320" w:lineRule="exact"/>
              <w:ind w:left="-3"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c>
          <w:tcPr>
            <w:tcW w:w="3441" w:type="dxa"/>
            <w:gridSpan w:val="2"/>
            <w:tcBorders>
              <w:top w:val="single" w:color="auto" w:sz="8" w:space="0"/>
              <w:left w:val="single" w:color="auto" w:sz="8" w:space="0"/>
              <w:bottom w:val="single" w:color="auto" w:sz="8" w:space="0"/>
              <w:right w:val="single" w:color="auto" w:sz="8" w:space="0"/>
            </w:tcBorders>
            <w:noWrap w:val="0"/>
            <w:vAlign w:val="center"/>
          </w:tcPr>
          <w:p w14:paraId="4441D9B2">
            <w:pPr>
              <w:widowControl/>
              <w:snapToGrid w:val="0"/>
              <w:spacing w:before="100" w:beforeAutospacing="1" w:after="100" w:afterAutospacing="1" w:line="320" w:lineRule="exact"/>
              <w:ind w:left="-3"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c>
          <w:tcPr>
            <w:tcW w:w="998" w:type="dxa"/>
            <w:gridSpan w:val="2"/>
            <w:tcBorders>
              <w:top w:val="single" w:color="auto" w:sz="8" w:space="0"/>
              <w:left w:val="single" w:color="auto" w:sz="8" w:space="0"/>
              <w:bottom w:val="single" w:color="auto" w:sz="8" w:space="0"/>
              <w:right w:val="single" w:color="auto" w:sz="8" w:space="0"/>
            </w:tcBorders>
            <w:noWrap w:val="0"/>
            <w:vAlign w:val="center"/>
          </w:tcPr>
          <w:p w14:paraId="7304EFF8">
            <w:pPr>
              <w:widowControl/>
              <w:snapToGrid w:val="0"/>
              <w:spacing w:before="100" w:beforeAutospacing="1" w:after="100" w:afterAutospacing="1" w:line="32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c>
          <w:tcPr>
            <w:tcW w:w="1367" w:type="dxa"/>
            <w:tcBorders>
              <w:top w:val="single" w:color="auto" w:sz="8" w:space="0"/>
              <w:left w:val="single" w:color="auto" w:sz="8" w:space="0"/>
              <w:bottom w:val="single" w:color="auto" w:sz="8" w:space="0"/>
              <w:right w:val="single" w:color="auto" w:sz="8" w:space="0"/>
            </w:tcBorders>
            <w:noWrap w:val="0"/>
            <w:vAlign w:val="center"/>
          </w:tcPr>
          <w:p w14:paraId="578459B4">
            <w:pPr>
              <w:widowControl/>
              <w:snapToGrid w:val="0"/>
              <w:spacing w:before="100" w:beforeAutospacing="1" w:after="100" w:afterAutospacing="1" w:line="32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r>
      <w:tr w14:paraId="25C7D2F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1527" w:type="dxa"/>
            <w:tcBorders>
              <w:top w:val="single" w:color="auto" w:sz="8" w:space="0"/>
              <w:left w:val="single" w:color="auto" w:sz="8" w:space="0"/>
              <w:bottom w:val="single" w:color="auto" w:sz="8" w:space="0"/>
              <w:right w:val="single" w:color="auto" w:sz="8" w:space="0"/>
            </w:tcBorders>
            <w:noWrap w:val="0"/>
            <w:vAlign w:val="center"/>
          </w:tcPr>
          <w:p w14:paraId="54BAB54A">
            <w:pPr>
              <w:widowControl/>
              <w:snapToGrid w:val="0"/>
              <w:spacing w:before="100" w:beforeAutospacing="1" w:after="100" w:afterAutospacing="1" w:line="320" w:lineRule="exact"/>
              <w:ind w:left="-3"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c>
          <w:tcPr>
            <w:tcW w:w="2294" w:type="dxa"/>
            <w:tcBorders>
              <w:top w:val="single" w:color="auto" w:sz="8" w:space="0"/>
              <w:left w:val="single" w:color="auto" w:sz="8" w:space="0"/>
              <w:bottom w:val="single" w:color="auto" w:sz="8" w:space="0"/>
              <w:right w:val="single" w:color="auto" w:sz="8" w:space="0"/>
            </w:tcBorders>
            <w:noWrap w:val="0"/>
            <w:vAlign w:val="center"/>
          </w:tcPr>
          <w:p w14:paraId="30A70338">
            <w:pPr>
              <w:widowControl/>
              <w:snapToGrid w:val="0"/>
              <w:spacing w:before="100" w:beforeAutospacing="1" w:after="100" w:afterAutospacing="1" w:line="320" w:lineRule="exact"/>
              <w:ind w:left="-3"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c>
          <w:tcPr>
            <w:tcW w:w="3441" w:type="dxa"/>
            <w:gridSpan w:val="2"/>
            <w:tcBorders>
              <w:top w:val="single" w:color="auto" w:sz="8" w:space="0"/>
              <w:left w:val="single" w:color="auto" w:sz="8" w:space="0"/>
              <w:bottom w:val="single" w:color="auto" w:sz="8" w:space="0"/>
              <w:right w:val="single" w:color="auto" w:sz="8" w:space="0"/>
            </w:tcBorders>
            <w:noWrap w:val="0"/>
            <w:vAlign w:val="center"/>
          </w:tcPr>
          <w:p w14:paraId="0829D18A">
            <w:pPr>
              <w:widowControl/>
              <w:snapToGrid w:val="0"/>
              <w:spacing w:before="100" w:beforeAutospacing="1" w:after="100" w:afterAutospacing="1" w:line="320" w:lineRule="exact"/>
              <w:ind w:left="-3"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c>
          <w:tcPr>
            <w:tcW w:w="998" w:type="dxa"/>
            <w:gridSpan w:val="2"/>
            <w:tcBorders>
              <w:top w:val="single" w:color="auto" w:sz="8" w:space="0"/>
              <w:left w:val="single" w:color="auto" w:sz="8" w:space="0"/>
              <w:bottom w:val="single" w:color="auto" w:sz="8" w:space="0"/>
              <w:right w:val="single" w:color="auto" w:sz="8" w:space="0"/>
            </w:tcBorders>
            <w:noWrap w:val="0"/>
            <w:vAlign w:val="center"/>
          </w:tcPr>
          <w:p w14:paraId="6A9EFE36">
            <w:pPr>
              <w:widowControl/>
              <w:snapToGrid w:val="0"/>
              <w:spacing w:before="100" w:beforeAutospacing="1" w:after="100" w:afterAutospacing="1" w:line="32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c>
          <w:tcPr>
            <w:tcW w:w="1367" w:type="dxa"/>
            <w:tcBorders>
              <w:top w:val="single" w:color="auto" w:sz="8" w:space="0"/>
              <w:left w:val="single" w:color="auto" w:sz="8" w:space="0"/>
              <w:bottom w:val="single" w:color="auto" w:sz="8" w:space="0"/>
              <w:right w:val="single" w:color="auto" w:sz="8" w:space="0"/>
            </w:tcBorders>
            <w:noWrap w:val="0"/>
            <w:vAlign w:val="center"/>
          </w:tcPr>
          <w:p w14:paraId="6B9B0383">
            <w:pPr>
              <w:widowControl/>
              <w:snapToGrid w:val="0"/>
              <w:spacing w:before="100" w:beforeAutospacing="1" w:after="100" w:afterAutospacing="1" w:line="32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r>
      <w:tr w14:paraId="20A4D0A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1527" w:type="dxa"/>
            <w:tcBorders>
              <w:top w:val="single" w:color="auto" w:sz="8" w:space="0"/>
              <w:left w:val="single" w:color="auto" w:sz="8" w:space="0"/>
              <w:bottom w:val="single" w:color="auto" w:sz="8" w:space="0"/>
              <w:right w:val="single" w:color="auto" w:sz="8" w:space="0"/>
            </w:tcBorders>
            <w:noWrap w:val="0"/>
            <w:vAlign w:val="center"/>
          </w:tcPr>
          <w:p w14:paraId="54089E0E">
            <w:pPr>
              <w:widowControl/>
              <w:snapToGrid w:val="0"/>
              <w:spacing w:before="100" w:beforeAutospacing="1" w:after="100" w:afterAutospacing="1" w:line="320" w:lineRule="exact"/>
              <w:ind w:left="-3"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c>
          <w:tcPr>
            <w:tcW w:w="2294" w:type="dxa"/>
            <w:tcBorders>
              <w:top w:val="single" w:color="auto" w:sz="8" w:space="0"/>
              <w:left w:val="single" w:color="auto" w:sz="8" w:space="0"/>
              <w:bottom w:val="single" w:color="auto" w:sz="8" w:space="0"/>
              <w:right w:val="single" w:color="auto" w:sz="8" w:space="0"/>
            </w:tcBorders>
            <w:noWrap w:val="0"/>
            <w:vAlign w:val="center"/>
          </w:tcPr>
          <w:p w14:paraId="2AAD4B9C">
            <w:pPr>
              <w:widowControl/>
              <w:snapToGrid w:val="0"/>
              <w:spacing w:before="100" w:beforeAutospacing="1" w:after="100" w:afterAutospacing="1" w:line="320" w:lineRule="exact"/>
              <w:ind w:left="-3"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c>
          <w:tcPr>
            <w:tcW w:w="3441" w:type="dxa"/>
            <w:gridSpan w:val="2"/>
            <w:tcBorders>
              <w:top w:val="single" w:color="auto" w:sz="8" w:space="0"/>
              <w:left w:val="single" w:color="auto" w:sz="8" w:space="0"/>
              <w:bottom w:val="single" w:color="auto" w:sz="8" w:space="0"/>
              <w:right w:val="single" w:color="auto" w:sz="8" w:space="0"/>
            </w:tcBorders>
            <w:noWrap w:val="0"/>
            <w:vAlign w:val="center"/>
          </w:tcPr>
          <w:p w14:paraId="618A0891">
            <w:pPr>
              <w:widowControl/>
              <w:snapToGrid w:val="0"/>
              <w:spacing w:before="100" w:beforeAutospacing="1" w:after="100" w:afterAutospacing="1" w:line="320" w:lineRule="exact"/>
              <w:ind w:left="-3"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c>
          <w:tcPr>
            <w:tcW w:w="998" w:type="dxa"/>
            <w:gridSpan w:val="2"/>
            <w:tcBorders>
              <w:top w:val="single" w:color="auto" w:sz="8" w:space="0"/>
              <w:left w:val="single" w:color="auto" w:sz="8" w:space="0"/>
              <w:bottom w:val="single" w:color="auto" w:sz="8" w:space="0"/>
              <w:right w:val="single" w:color="auto" w:sz="8" w:space="0"/>
            </w:tcBorders>
            <w:noWrap w:val="0"/>
            <w:vAlign w:val="center"/>
          </w:tcPr>
          <w:p w14:paraId="4CA06A78">
            <w:pPr>
              <w:widowControl/>
              <w:snapToGrid w:val="0"/>
              <w:spacing w:before="100" w:beforeAutospacing="1" w:after="100" w:afterAutospacing="1" w:line="32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c>
          <w:tcPr>
            <w:tcW w:w="1367" w:type="dxa"/>
            <w:tcBorders>
              <w:top w:val="single" w:color="auto" w:sz="8" w:space="0"/>
              <w:left w:val="single" w:color="auto" w:sz="8" w:space="0"/>
              <w:bottom w:val="single" w:color="auto" w:sz="8" w:space="0"/>
              <w:right w:val="single" w:color="auto" w:sz="8" w:space="0"/>
            </w:tcBorders>
            <w:noWrap w:val="0"/>
            <w:vAlign w:val="center"/>
          </w:tcPr>
          <w:p w14:paraId="172B6067">
            <w:pPr>
              <w:widowControl/>
              <w:snapToGrid w:val="0"/>
              <w:spacing w:before="100" w:beforeAutospacing="1" w:after="100" w:afterAutospacing="1" w:line="32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r>
      <w:tr w14:paraId="52D70D8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7262" w:type="dxa"/>
            <w:gridSpan w:val="4"/>
            <w:tcBorders>
              <w:top w:val="single" w:color="auto" w:sz="8" w:space="0"/>
              <w:left w:val="single" w:color="auto" w:sz="8" w:space="0"/>
              <w:bottom w:val="single" w:color="auto" w:sz="8" w:space="0"/>
              <w:right w:val="single" w:color="auto" w:sz="8" w:space="0"/>
            </w:tcBorders>
            <w:noWrap w:val="0"/>
            <w:vAlign w:val="center"/>
          </w:tcPr>
          <w:p w14:paraId="616FB04F">
            <w:pPr>
              <w:widowControl/>
              <w:snapToGrid w:val="0"/>
              <w:spacing w:before="100" w:beforeAutospacing="1" w:after="100" w:afterAutospacing="1" w:line="320" w:lineRule="exact"/>
              <w:ind w:left="-3" w:firstLine="4" w:firstLineChars="2"/>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合        计</w:t>
            </w:r>
          </w:p>
        </w:tc>
        <w:tc>
          <w:tcPr>
            <w:tcW w:w="998" w:type="dxa"/>
            <w:gridSpan w:val="2"/>
            <w:tcBorders>
              <w:top w:val="single" w:color="auto" w:sz="8" w:space="0"/>
              <w:left w:val="single" w:color="auto" w:sz="8" w:space="0"/>
              <w:bottom w:val="single" w:color="auto" w:sz="8" w:space="0"/>
              <w:right w:val="single" w:color="auto" w:sz="8" w:space="0"/>
            </w:tcBorders>
            <w:noWrap w:val="0"/>
            <w:vAlign w:val="center"/>
          </w:tcPr>
          <w:p w14:paraId="02299820">
            <w:pPr>
              <w:widowControl/>
              <w:snapToGrid w:val="0"/>
              <w:spacing w:before="100" w:beforeAutospacing="1" w:after="100" w:afterAutospacing="1" w:line="32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c>
          <w:tcPr>
            <w:tcW w:w="1367" w:type="dxa"/>
            <w:tcBorders>
              <w:top w:val="single" w:color="auto" w:sz="8" w:space="0"/>
              <w:left w:val="single" w:color="auto" w:sz="8" w:space="0"/>
              <w:bottom w:val="single" w:color="auto" w:sz="8" w:space="0"/>
              <w:right w:val="single" w:color="auto" w:sz="8" w:space="0"/>
            </w:tcBorders>
            <w:noWrap w:val="0"/>
            <w:vAlign w:val="center"/>
          </w:tcPr>
          <w:p w14:paraId="761038ED">
            <w:pPr>
              <w:widowControl/>
              <w:snapToGrid w:val="0"/>
              <w:spacing w:before="100" w:beforeAutospacing="1" w:after="100" w:afterAutospacing="1" w:line="32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r>
      <w:tr w14:paraId="2269C5F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41" w:hRule="atLeast"/>
          <w:jc w:val="center"/>
        </w:trPr>
        <w:tc>
          <w:tcPr>
            <w:tcW w:w="9627" w:type="dxa"/>
            <w:gridSpan w:val="7"/>
            <w:tcBorders>
              <w:top w:val="single" w:color="auto" w:sz="8" w:space="0"/>
              <w:left w:val="single" w:color="auto" w:sz="8" w:space="0"/>
              <w:bottom w:val="single" w:color="auto" w:sz="8" w:space="0"/>
              <w:right w:val="single" w:color="auto" w:sz="8" w:space="0"/>
            </w:tcBorders>
            <w:noWrap w:val="0"/>
            <w:vAlign w:val="center"/>
          </w:tcPr>
          <w:p w14:paraId="17F1A663">
            <w:pPr>
              <w:widowControl/>
              <w:snapToGrid w:val="0"/>
              <w:spacing w:before="100" w:beforeAutospacing="1" w:after="100" w:afterAutospacing="1" w:line="320" w:lineRule="exact"/>
              <w:ind w:firstLine="2" w:firstLineChars="1"/>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合计大写金额：   仟    佰    拾    万    仟    佰    拾    元</w:t>
            </w:r>
          </w:p>
        </w:tc>
      </w:tr>
      <w:tr w14:paraId="7F57793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41" w:hRule="atLeast"/>
          <w:jc w:val="center"/>
        </w:trPr>
        <w:tc>
          <w:tcPr>
            <w:tcW w:w="1527" w:type="dxa"/>
            <w:tcBorders>
              <w:top w:val="single" w:color="auto" w:sz="8" w:space="0"/>
              <w:left w:val="single" w:color="auto" w:sz="8" w:space="0"/>
              <w:bottom w:val="single" w:color="auto" w:sz="8" w:space="0"/>
              <w:right w:val="single" w:color="auto" w:sz="8" w:space="0"/>
            </w:tcBorders>
            <w:noWrap w:val="0"/>
            <w:vAlign w:val="center"/>
          </w:tcPr>
          <w:p w14:paraId="52C97594">
            <w:pPr>
              <w:widowControl/>
              <w:snapToGrid w:val="0"/>
              <w:spacing w:before="100" w:beforeAutospacing="1" w:after="100" w:afterAutospacing="1" w:line="320" w:lineRule="exact"/>
              <w:ind w:firstLine="2" w:firstLineChars="1"/>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实际供货日期</w:t>
            </w:r>
          </w:p>
        </w:tc>
        <w:tc>
          <w:tcPr>
            <w:tcW w:w="3240" w:type="dxa"/>
            <w:gridSpan w:val="2"/>
            <w:tcBorders>
              <w:top w:val="single" w:color="auto" w:sz="8" w:space="0"/>
              <w:left w:val="single" w:color="auto" w:sz="8" w:space="0"/>
              <w:bottom w:val="single" w:color="auto" w:sz="8" w:space="0"/>
              <w:right w:val="single" w:color="auto" w:sz="8" w:space="0"/>
            </w:tcBorders>
            <w:noWrap w:val="0"/>
            <w:vAlign w:val="center"/>
          </w:tcPr>
          <w:p w14:paraId="4612D4F8">
            <w:pPr>
              <w:snapToGrid w:val="0"/>
              <w:spacing w:before="100" w:beforeAutospacing="1" w:after="100" w:afterAutospacing="1" w:line="320" w:lineRule="exact"/>
              <w:ind w:firstLine="480" w:firstLineChars="200"/>
              <w:jc w:val="left"/>
              <w:rPr>
                <w:rFonts w:hint="eastAsia" w:ascii="宋体" w:hAnsi="宋体" w:eastAsia="宋体" w:cs="宋体"/>
                <w:color w:val="auto"/>
                <w:kern w:val="0"/>
                <w:sz w:val="24"/>
                <w:highlight w:val="none"/>
              </w:rPr>
            </w:pPr>
          </w:p>
        </w:tc>
        <w:tc>
          <w:tcPr>
            <w:tcW w:w="2700" w:type="dxa"/>
            <w:gridSpan w:val="2"/>
            <w:tcBorders>
              <w:top w:val="single" w:color="auto" w:sz="8" w:space="0"/>
              <w:left w:val="single" w:color="auto" w:sz="8" w:space="0"/>
              <w:bottom w:val="single" w:color="auto" w:sz="8" w:space="0"/>
              <w:right w:val="single" w:color="auto" w:sz="8" w:space="0"/>
            </w:tcBorders>
            <w:noWrap w:val="0"/>
            <w:vAlign w:val="center"/>
          </w:tcPr>
          <w:p w14:paraId="65C3BFA0">
            <w:pPr>
              <w:snapToGrid w:val="0"/>
              <w:spacing w:before="100" w:beforeAutospacing="1" w:after="100" w:afterAutospacing="1" w:line="320" w:lineRule="exact"/>
              <w:ind w:firstLine="45" w:firstLineChars="19"/>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合同交货验收日期</w:t>
            </w:r>
          </w:p>
        </w:tc>
        <w:tc>
          <w:tcPr>
            <w:tcW w:w="2160" w:type="dxa"/>
            <w:gridSpan w:val="2"/>
            <w:tcBorders>
              <w:top w:val="single" w:color="auto" w:sz="8" w:space="0"/>
              <w:left w:val="single" w:color="auto" w:sz="8" w:space="0"/>
              <w:bottom w:val="single" w:color="auto" w:sz="8" w:space="0"/>
              <w:right w:val="single" w:color="auto" w:sz="8" w:space="0"/>
            </w:tcBorders>
            <w:noWrap w:val="0"/>
            <w:vAlign w:val="center"/>
          </w:tcPr>
          <w:p w14:paraId="163CFD47">
            <w:pPr>
              <w:snapToGrid w:val="0"/>
              <w:spacing w:before="100" w:beforeAutospacing="1" w:after="100" w:afterAutospacing="1" w:line="320" w:lineRule="exact"/>
              <w:ind w:firstLine="480" w:firstLineChars="200"/>
              <w:jc w:val="left"/>
              <w:rPr>
                <w:rFonts w:hint="eastAsia" w:ascii="宋体" w:hAnsi="宋体" w:eastAsia="宋体" w:cs="宋体"/>
                <w:color w:val="auto"/>
                <w:kern w:val="0"/>
                <w:sz w:val="24"/>
                <w:highlight w:val="none"/>
              </w:rPr>
            </w:pPr>
          </w:p>
        </w:tc>
      </w:tr>
      <w:tr w14:paraId="62D6FA6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94" w:hRule="atLeast"/>
          <w:jc w:val="center"/>
        </w:trPr>
        <w:tc>
          <w:tcPr>
            <w:tcW w:w="1527" w:type="dxa"/>
            <w:tcBorders>
              <w:top w:val="single" w:color="auto" w:sz="8" w:space="0"/>
              <w:left w:val="single" w:color="auto" w:sz="8" w:space="0"/>
              <w:bottom w:val="single" w:color="auto" w:sz="8" w:space="0"/>
              <w:right w:val="single" w:color="auto" w:sz="8" w:space="0"/>
            </w:tcBorders>
            <w:noWrap w:val="0"/>
            <w:vAlign w:val="center"/>
          </w:tcPr>
          <w:p w14:paraId="1429DA06">
            <w:pPr>
              <w:widowControl/>
              <w:snapToGrid w:val="0"/>
              <w:spacing w:before="100" w:beforeAutospacing="1" w:after="100" w:afterAutospacing="1" w:line="320" w:lineRule="exact"/>
              <w:ind w:firstLine="480" w:firstLineChars="200"/>
              <w:jc w:val="left"/>
              <w:rPr>
                <w:rFonts w:hint="eastAsia" w:ascii="宋体" w:hAnsi="宋体" w:eastAsia="宋体" w:cs="宋体"/>
                <w:color w:val="auto"/>
                <w:kern w:val="0"/>
                <w:sz w:val="24"/>
                <w:highlight w:val="none"/>
              </w:rPr>
            </w:pPr>
          </w:p>
        </w:tc>
        <w:tc>
          <w:tcPr>
            <w:tcW w:w="3240" w:type="dxa"/>
            <w:gridSpan w:val="2"/>
            <w:tcBorders>
              <w:top w:val="single" w:color="auto" w:sz="8" w:space="0"/>
              <w:left w:val="single" w:color="auto" w:sz="8" w:space="0"/>
              <w:bottom w:val="single" w:color="auto" w:sz="8" w:space="0"/>
              <w:right w:val="single" w:color="auto" w:sz="8" w:space="0"/>
            </w:tcBorders>
            <w:noWrap w:val="0"/>
            <w:vAlign w:val="center"/>
          </w:tcPr>
          <w:p w14:paraId="2384927A">
            <w:pPr>
              <w:snapToGrid w:val="0"/>
              <w:spacing w:before="100" w:beforeAutospacing="1" w:after="100" w:afterAutospacing="1" w:line="320" w:lineRule="exact"/>
              <w:ind w:firstLine="480" w:firstLineChars="200"/>
              <w:jc w:val="left"/>
              <w:rPr>
                <w:rFonts w:hint="eastAsia" w:ascii="宋体" w:hAnsi="宋体" w:eastAsia="宋体" w:cs="宋体"/>
                <w:color w:val="auto"/>
                <w:kern w:val="0"/>
                <w:sz w:val="24"/>
                <w:highlight w:val="none"/>
              </w:rPr>
            </w:pPr>
          </w:p>
        </w:tc>
        <w:tc>
          <w:tcPr>
            <w:tcW w:w="2700" w:type="dxa"/>
            <w:gridSpan w:val="2"/>
            <w:tcBorders>
              <w:top w:val="single" w:color="auto" w:sz="8" w:space="0"/>
              <w:left w:val="single" w:color="auto" w:sz="8" w:space="0"/>
              <w:bottom w:val="single" w:color="auto" w:sz="8" w:space="0"/>
              <w:right w:val="single" w:color="auto" w:sz="8" w:space="0"/>
            </w:tcBorders>
            <w:noWrap w:val="0"/>
            <w:vAlign w:val="center"/>
          </w:tcPr>
          <w:p w14:paraId="695150EB">
            <w:pPr>
              <w:snapToGrid w:val="0"/>
              <w:spacing w:before="100" w:beforeAutospacing="1" w:after="100" w:afterAutospacing="1" w:line="320" w:lineRule="exact"/>
              <w:ind w:left="590" w:firstLine="480" w:firstLineChars="200"/>
              <w:jc w:val="left"/>
              <w:rPr>
                <w:rFonts w:hint="eastAsia" w:ascii="宋体" w:hAnsi="宋体" w:eastAsia="宋体" w:cs="宋体"/>
                <w:color w:val="auto"/>
                <w:kern w:val="0"/>
                <w:sz w:val="24"/>
                <w:highlight w:val="none"/>
              </w:rPr>
            </w:pPr>
          </w:p>
        </w:tc>
        <w:tc>
          <w:tcPr>
            <w:tcW w:w="2160" w:type="dxa"/>
            <w:gridSpan w:val="2"/>
            <w:tcBorders>
              <w:top w:val="single" w:color="auto" w:sz="8" w:space="0"/>
              <w:left w:val="single" w:color="auto" w:sz="8" w:space="0"/>
              <w:bottom w:val="single" w:color="auto" w:sz="8" w:space="0"/>
              <w:right w:val="single" w:color="auto" w:sz="8" w:space="0"/>
            </w:tcBorders>
            <w:noWrap w:val="0"/>
            <w:vAlign w:val="center"/>
          </w:tcPr>
          <w:p w14:paraId="3CCE4DFF">
            <w:pPr>
              <w:snapToGrid w:val="0"/>
              <w:spacing w:before="100" w:beforeAutospacing="1" w:after="100" w:afterAutospacing="1" w:line="320" w:lineRule="exact"/>
              <w:ind w:firstLine="480" w:firstLineChars="200"/>
              <w:jc w:val="left"/>
              <w:rPr>
                <w:rFonts w:hint="eastAsia" w:ascii="宋体" w:hAnsi="宋体" w:eastAsia="宋体" w:cs="宋体"/>
                <w:color w:val="auto"/>
                <w:kern w:val="0"/>
                <w:sz w:val="24"/>
                <w:highlight w:val="none"/>
              </w:rPr>
            </w:pPr>
          </w:p>
        </w:tc>
      </w:tr>
      <w:tr w14:paraId="04F7044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93" w:hRule="atLeast"/>
          <w:jc w:val="center"/>
        </w:trPr>
        <w:tc>
          <w:tcPr>
            <w:tcW w:w="1527"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1F839ACA">
            <w:pPr>
              <w:widowControl/>
              <w:snapToGrid w:val="0"/>
              <w:spacing w:before="100" w:beforeAutospacing="1" w:after="100" w:afterAutospacing="1" w:line="320" w:lineRule="exact"/>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验收具体内容</w:t>
            </w:r>
          </w:p>
        </w:tc>
        <w:tc>
          <w:tcPr>
            <w:tcW w:w="8100" w:type="dxa"/>
            <w:gridSpan w:val="6"/>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36CAFDC2">
            <w:pPr>
              <w:widowControl/>
              <w:snapToGrid w:val="0"/>
              <w:spacing w:before="100" w:beforeAutospacing="1" w:after="100" w:afterAutospacing="1" w:line="320" w:lineRule="exact"/>
              <w:jc w:val="left"/>
              <w:rPr>
                <w:rFonts w:hint="eastAsia" w:ascii="宋体" w:hAnsi="宋体" w:eastAsia="宋体" w:cs="宋体"/>
                <w:color w:val="auto"/>
                <w:kern w:val="0"/>
                <w:sz w:val="24"/>
                <w:highlight w:val="none"/>
                <w:lang w:eastAsia="zh-CN"/>
              </w:rPr>
            </w:pPr>
            <w:r>
              <w:rPr>
                <w:rFonts w:hint="eastAsia" w:ascii="宋体" w:hAnsi="宋体" w:eastAsia="宋体" w:cs="宋体"/>
                <w:color w:val="auto"/>
                <w:sz w:val="24"/>
                <w:highlight w:val="none"/>
              </w:rPr>
              <w:t>（应</w:t>
            </w:r>
            <w:r>
              <w:rPr>
                <w:rFonts w:hint="eastAsia" w:ascii="宋体" w:hAnsi="宋体" w:eastAsia="宋体" w:cs="宋体"/>
                <w:color w:val="auto"/>
                <w:kern w:val="0"/>
                <w:sz w:val="24"/>
                <w:highlight w:val="none"/>
              </w:rPr>
              <w:t>按采购合同、采购文件、投标响应文件及验收方案等进行验收；并核对</w:t>
            </w:r>
            <w:r>
              <w:rPr>
                <w:rFonts w:hint="eastAsia" w:ascii="宋体" w:hAnsi="宋体" w:eastAsia="宋体" w:cs="宋体"/>
                <w:color w:val="auto"/>
                <w:sz w:val="24"/>
                <w:highlight w:val="none"/>
              </w:rPr>
              <w:t>中标或者成交供应商在安装调试等方面是否违反合同约定或服务规范要求、提供的质量保证证明材料是否齐全、应有的配件及附件是否达到合同约定等</w:t>
            </w:r>
            <w:r>
              <w:rPr>
                <w:rFonts w:hint="eastAsia" w:ascii="宋体" w:hAnsi="宋体" w:eastAsia="宋体" w:cs="宋体"/>
                <w:color w:val="auto"/>
                <w:kern w:val="0"/>
                <w:sz w:val="24"/>
                <w:highlight w:val="none"/>
              </w:rPr>
              <w:t>。可附件</w:t>
            </w:r>
            <w:r>
              <w:rPr>
                <w:rFonts w:hint="eastAsia" w:ascii="宋体" w:hAnsi="宋体" w:cs="宋体"/>
                <w:color w:val="auto"/>
                <w:kern w:val="0"/>
                <w:sz w:val="24"/>
                <w:highlight w:val="none"/>
                <w:lang w:eastAsia="zh-CN"/>
              </w:rPr>
              <w:t>）</w:t>
            </w:r>
          </w:p>
        </w:tc>
      </w:tr>
      <w:tr w14:paraId="12B43B2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281" w:hRule="atLeast"/>
          <w:jc w:val="center"/>
        </w:trPr>
        <w:tc>
          <w:tcPr>
            <w:tcW w:w="1527" w:type="dxa"/>
            <w:vMerge w:val="restart"/>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4DF30881">
            <w:pPr>
              <w:widowControl/>
              <w:spacing w:before="100" w:beforeAutospacing="1" w:after="100" w:afterAutospacing="1" w:line="320" w:lineRule="exact"/>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验收小组意见</w:t>
            </w:r>
          </w:p>
        </w:tc>
        <w:tc>
          <w:tcPr>
            <w:tcW w:w="8100" w:type="dxa"/>
            <w:gridSpan w:val="6"/>
            <w:tcBorders>
              <w:top w:val="single" w:color="auto" w:sz="8" w:space="0"/>
              <w:left w:val="single" w:color="auto" w:sz="8" w:space="0"/>
              <w:bottom w:val="single" w:color="auto" w:sz="4" w:space="0"/>
              <w:right w:val="single" w:color="auto" w:sz="8" w:space="0"/>
            </w:tcBorders>
            <w:noWrap w:val="0"/>
            <w:vAlign w:val="center"/>
          </w:tcPr>
          <w:p w14:paraId="48253B02">
            <w:pPr>
              <w:widowControl/>
              <w:spacing w:before="100" w:beforeAutospacing="1" w:after="100" w:afterAutospacing="1" w:line="320" w:lineRule="exact"/>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验收结论性意见：</w:t>
            </w:r>
          </w:p>
          <w:p w14:paraId="4E071871">
            <w:pPr>
              <w:widowControl/>
              <w:spacing w:before="100" w:beforeAutospacing="1" w:after="100" w:afterAutospacing="1" w:line="320" w:lineRule="exact"/>
              <w:jc w:val="left"/>
              <w:rPr>
                <w:rFonts w:hint="eastAsia" w:ascii="宋体" w:hAnsi="宋体" w:eastAsia="宋体" w:cs="宋体"/>
                <w:color w:val="auto"/>
                <w:kern w:val="0"/>
                <w:sz w:val="24"/>
                <w:highlight w:val="none"/>
              </w:rPr>
            </w:pPr>
          </w:p>
        </w:tc>
      </w:tr>
      <w:tr w14:paraId="5592CF2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07" w:hRule="atLeast"/>
          <w:jc w:val="center"/>
        </w:trPr>
        <w:tc>
          <w:tcPr>
            <w:tcW w:w="0" w:type="auto"/>
            <w:vMerge w:val="continue"/>
            <w:tcBorders>
              <w:top w:val="single" w:color="auto" w:sz="8" w:space="0"/>
              <w:left w:val="single" w:color="auto" w:sz="8" w:space="0"/>
              <w:bottom w:val="single" w:color="auto" w:sz="8" w:space="0"/>
              <w:right w:val="single" w:color="auto" w:sz="8" w:space="0"/>
            </w:tcBorders>
            <w:noWrap w:val="0"/>
            <w:vAlign w:val="center"/>
          </w:tcPr>
          <w:p w14:paraId="4037D27B">
            <w:pPr>
              <w:widowControl/>
              <w:spacing w:line="320" w:lineRule="exact"/>
              <w:jc w:val="left"/>
              <w:rPr>
                <w:rFonts w:hint="eastAsia" w:ascii="宋体" w:hAnsi="宋体" w:eastAsia="宋体" w:cs="宋体"/>
                <w:color w:val="auto"/>
                <w:kern w:val="0"/>
                <w:sz w:val="24"/>
                <w:highlight w:val="none"/>
              </w:rPr>
            </w:pPr>
          </w:p>
        </w:tc>
        <w:tc>
          <w:tcPr>
            <w:tcW w:w="8100" w:type="dxa"/>
            <w:gridSpan w:val="6"/>
            <w:tcBorders>
              <w:top w:val="single" w:color="auto" w:sz="4" w:space="0"/>
              <w:left w:val="single" w:color="auto" w:sz="8" w:space="0"/>
              <w:bottom w:val="single" w:color="auto" w:sz="8" w:space="0"/>
              <w:right w:val="single" w:color="auto" w:sz="8" w:space="0"/>
            </w:tcBorders>
            <w:noWrap w:val="0"/>
            <w:vAlign w:val="center"/>
          </w:tcPr>
          <w:p w14:paraId="5431785C">
            <w:pPr>
              <w:spacing w:before="100" w:beforeAutospacing="1" w:after="100" w:afterAutospacing="1" w:line="320" w:lineRule="exact"/>
              <w:ind w:firstLine="96" w:firstLineChars="4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有异议的意见和说明理由：</w:t>
            </w:r>
          </w:p>
          <w:p w14:paraId="7F98140F">
            <w:pPr>
              <w:spacing w:before="100" w:beforeAutospacing="1" w:after="100" w:afterAutospacing="1" w:line="320" w:lineRule="exact"/>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签字：</w:t>
            </w:r>
          </w:p>
        </w:tc>
      </w:tr>
      <w:tr w14:paraId="716B4F4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07" w:hRule="atLeast"/>
          <w:jc w:val="center"/>
        </w:trPr>
        <w:tc>
          <w:tcPr>
            <w:tcW w:w="9627" w:type="dxa"/>
            <w:gridSpan w:val="7"/>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715D9BDD">
            <w:pPr>
              <w:widowControl/>
              <w:spacing w:before="100" w:beforeAutospacing="1" w:after="100" w:afterAutospacing="1" w:line="320" w:lineRule="exact"/>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验收小组成员签字：</w:t>
            </w:r>
          </w:p>
        </w:tc>
      </w:tr>
      <w:tr w14:paraId="3FB77D7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36" w:hRule="atLeast"/>
          <w:jc w:val="center"/>
        </w:trPr>
        <w:tc>
          <w:tcPr>
            <w:tcW w:w="9627" w:type="dxa"/>
            <w:gridSpan w:val="7"/>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58BF39C3">
            <w:pPr>
              <w:widowControl/>
              <w:spacing w:before="100" w:beforeAutospacing="1" w:after="100" w:afterAutospacing="1" w:line="320" w:lineRule="exact"/>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监督人员或其他相关人员签字：</w:t>
            </w:r>
          </w:p>
          <w:p w14:paraId="207571A4">
            <w:pPr>
              <w:widowControl/>
              <w:spacing w:before="100" w:beforeAutospacing="1" w:after="100" w:afterAutospacing="1" w:line="320" w:lineRule="exact"/>
              <w:ind w:firstLine="74" w:firstLineChars="31"/>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或受邀机构的意见（盖章）：</w:t>
            </w:r>
          </w:p>
        </w:tc>
      </w:tr>
      <w:tr w14:paraId="591C9F4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58" w:hRule="atLeast"/>
          <w:jc w:val="center"/>
        </w:trPr>
        <w:tc>
          <w:tcPr>
            <w:tcW w:w="4767" w:type="dxa"/>
            <w:gridSpan w:val="3"/>
            <w:tcBorders>
              <w:top w:val="single" w:color="auto" w:sz="8" w:space="0"/>
              <w:left w:val="single" w:color="auto" w:sz="8" w:space="0"/>
              <w:bottom w:val="single" w:color="auto" w:sz="8" w:space="0"/>
              <w:right w:val="nil"/>
            </w:tcBorders>
            <w:noWrap w:val="0"/>
            <w:tcMar>
              <w:top w:w="0" w:type="dxa"/>
              <w:left w:w="108" w:type="dxa"/>
              <w:bottom w:w="0" w:type="dxa"/>
              <w:right w:w="108" w:type="dxa"/>
            </w:tcMar>
            <w:vAlign w:val="center"/>
          </w:tcPr>
          <w:p w14:paraId="3C5BCECE">
            <w:pPr>
              <w:widowControl/>
              <w:spacing w:before="100" w:beforeAutospacing="1" w:after="100" w:afterAutospacing="1" w:line="320" w:lineRule="exact"/>
              <w:ind w:firstLine="74" w:firstLineChars="31"/>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中标或者成交供应商负责人签字或盖章：</w:t>
            </w:r>
          </w:p>
          <w:p w14:paraId="00C4AF93">
            <w:pPr>
              <w:widowControl/>
              <w:spacing w:before="100" w:beforeAutospacing="1" w:after="100" w:afterAutospacing="1" w:line="320" w:lineRule="exact"/>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联系电话：         年 月 日</w:t>
            </w:r>
          </w:p>
        </w:tc>
        <w:tc>
          <w:tcPr>
            <w:tcW w:w="4860" w:type="dxa"/>
            <w:gridSpan w:val="4"/>
            <w:tcBorders>
              <w:top w:val="single" w:color="auto" w:sz="8" w:space="0"/>
              <w:left w:val="nil"/>
              <w:bottom w:val="single" w:color="auto" w:sz="8" w:space="0"/>
              <w:right w:val="single" w:color="auto" w:sz="8" w:space="0"/>
            </w:tcBorders>
            <w:noWrap w:val="0"/>
            <w:vAlign w:val="center"/>
          </w:tcPr>
          <w:p w14:paraId="4286D4F8">
            <w:pPr>
              <w:widowControl/>
              <w:spacing w:before="100" w:beforeAutospacing="1" w:after="100" w:afterAutospacing="1" w:line="320" w:lineRule="exact"/>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采购人或受托机构的意见（盖章）：</w:t>
            </w:r>
          </w:p>
          <w:p w14:paraId="7907A208">
            <w:pPr>
              <w:widowControl/>
              <w:spacing w:before="100" w:beforeAutospacing="1" w:after="100" w:afterAutospacing="1" w:line="320" w:lineRule="exact"/>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联系电话：                 年   月   日</w:t>
            </w:r>
          </w:p>
        </w:tc>
      </w:tr>
    </w:tbl>
    <w:p w14:paraId="3A1601F1">
      <w:pPr>
        <w:snapToGrid w:val="0"/>
        <w:spacing w:before="50" w:after="165" w:afterLines="50" w:line="360" w:lineRule="auto"/>
        <w:ind w:firstLine="480" w:firstLineChars="200"/>
        <w:jc w:val="left"/>
        <w:rPr>
          <w:rFonts w:hint="eastAsia" w:ascii="宋体" w:hAnsi="宋体" w:eastAsia="宋体" w:cs="宋体"/>
          <w:color w:val="auto"/>
          <w:sz w:val="24"/>
          <w:highlight w:val="none"/>
        </w:rPr>
      </w:pPr>
    </w:p>
    <w:p w14:paraId="3554A52B">
      <w:pPr>
        <w:rPr>
          <w:rFonts w:hint="eastAsia" w:ascii="宋体" w:hAnsi="宋体" w:eastAsia="宋体" w:cs="宋体"/>
          <w:color w:val="auto"/>
          <w:highlight w:val="none"/>
        </w:rPr>
      </w:pPr>
    </w:p>
    <w:p w14:paraId="3462C71B">
      <w:pPr>
        <w:rPr>
          <w:rFonts w:hint="eastAsia" w:ascii="宋体" w:hAnsi="宋体" w:eastAsia="宋体" w:cs="宋体"/>
          <w:color w:val="auto"/>
          <w:highlight w:val="none"/>
        </w:rPr>
      </w:pPr>
    </w:p>
    <w:sectPr>
      <w:footerReference r:id="rId12" w:type="first"/>
      <w:footerReference r:id="rId11" w:type="default"/>
      <w:pgSz w:w="11910" w:h="16840"/>
      <w:pgMar w:top="1134" w:right="1134" w:bottom="1134" w:left="1134" w:header="850" w:footer="720" w:gutter="0"/>
      <w:pgNumType w:fmt="decimal"/>
      <w:cols w:space="720" w:num="1"/>
      <w:rtlGutter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embedRegular r:id="rId1" w:fontKey="{641817DB-41E9-4067-BDE6-6C830CEDA9A1}"/>
  </w:font>
  <w:font w:name="仿宋">
    <w:panose1 w:val="02010609060101010101"/>
    <w:charset w:val="86"/>
    <w:family w:val="auto"/>
    <w:pitch w:val="default"/>
    <w:sig w:usb0="800002BF" w:usb1="38CF7CFA" w:usb2="00000016" w:usb3="00000000" w:csb0="00040001" w:csb1="00000000"/>
    <w:embedRegular r:id="rId2" w:fontKey="{08D28D7A-ED4A-488F-A2CE-3443B0CD2BE4}"/>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9911A5">
    <w:pPr>
      <w:pStyle w:val="19"/>
      <w:tabs>
        <w:tab w:val="center" w:pos="4439"/>
        <w:tab w:val="clear" w:pos="4153"/>
      </w:tabs>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A72757">
    <w:pPr>
      <w:pStyle w:val="19"/>
      <w:tabs>
        <w:tab w:val="center" w:pos="4439"/>
        <w:tab w:val="clear" w:pos="4153"/>
      </w:tabs>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935" cy="153035"/>
              <wp:effectExtent l="0" t="0" r="0" b="0"/>
              <wp:wrapNone/>
              <wp:docPr id="3" name="文本框 5124"/>
              <wp:cNvGraphicFramePr/>
              <a:graphic xmlns:a="http://schemas.openxmlformats.org/drawingml/2006/main">
                <a:graphicData uri="http://schemas.microsoft.com/office/word/2010/wordprocessingShape">
                  <wps:wsp>
                    <wps:cNvSpPr txBox="1">
                      <a:spLocks noChangeArrowheads="1"/>
                    </wps:cNvSpPr>
                    <wps:spPr bwMode="auto">
                      <a:xfrm>
                        <a:off x="0" y="0"/>
                        <a:ext cx="114935" cy="153035"/>
                      </a:xfrm>
                      <a:prstGeom prst="rect">
                        <a:avLst/>
                      </a:prstGeom>
                      <a:noFill/>
                      <a:ln>
                        <a:noFill/>
                      </a:ln>
                      <a:effectLst/>
                    </wps:spPr>
                    <wps:txbx>
                      <w:txbxContent>
                        <w:p w14:paraId="206E7B2E"/>
                      </w:txbxContent>
                    </wps:txbx>
                    <wps:bodyPr rot="0" vert="horz" wrap="none" lIns="0" tIns="0" rIns="0" bIns="0" anchor="t" anchorCtr="0" upright="1">
                      <a:spAutoFit/>
                    </wps:bodyPr>
                  </wps:wsp>
                </a:graphicData>
              </a:graphic>
            </wp:anchor>
          </w:drawing>
        </mc:Choice>
        <mc:Fallback>
          <w:pict>
            <v:shape id="文本框 5124" o:spid="_x0000_s1026" o:spt="202" type="#_x0000_t202" style="position:absolute;left:0pt;margin-top:0pt;height:12.05pt;width:9.05pt;mso-position-horizontal:center;mso-position-horizontal-relative:margin;mso-wrap-style:none;z-index:251661312;mso-width-relative:page;mso-height-relative:page;" filled="f" stroked="f" coordsize="21600,21600" o:gfxdata="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AkFT5rQAAAAAwEAAA8AAAAAAAAAAQAgAAAAIgAA&#10;AGRycy9kb3ducmV2LnhtbFBLAQIUABQAAAAIAIdO4kDgjSxSEAIAABMEAAAOAAAAAAAAAAEAIAAA&#10;AB8BAABkcnMvZTJvRG9jLnhtbFBLBQYAAAAABgAGAFkBAAChBQAAAAA=&#10;">
              <v:fill on="f" focussize="0,0"/>
              <v:stroke on="f"/>
              <v:imagedata o:title=""/>
              <o:lock v:ext="edit" aspectratio="f"/>
              <v:textbox inset="0mm,0mm,0mm,0mm" style="mso-fit-shape-to-text:t;">
                <w:txbxContent>
                  <w:p w14:paraId="206E7B2E"/>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97CA54">
    <w:pPr>
      <w:pStyle w:val="19"/>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0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C460B13">
                          <w:pPr>
                            <w:pStyle w:val="1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46</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35"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HbdjF7LAQAAnAMAAA4AAAAAAAAAAQAgAAAAHgEAAGRycy9lMm9E&#10;b2MueG1sUEsFBgAAAAAGAAYAWQEAAFsFAAAAAA==&#10;">
              <v:fill on="f" focussize="0,0"/>
              <v:stroke on="f"/>
              <v:imagedata o:title=""/>
              <o:lock v:ext="edit" aspectratio="f"/>
              <v:textbox inset="0mm,0mm,0mm,0mm" style="mso-fit-shape-to-text:t;">
                <w:txbxContent>
                  <w:p w14:paraId="2C460B13">
                    <w:pPr>
                      <w:pStyle w:val="1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46</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354463">
    <w:pPr>
      <w:pStyle w:val="19"/>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0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D8B6740">
                          <w:pPr>
                            <w:pStyle w:val="1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46</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文本框 1033"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6pebnPAAAABQEAAA8AAAAAAAAA&#10;AQAgAAAAIgAAAGRycy9kb3ducmV2LnhtbFBLAQIUABQAAAAIAIdO4kBZFp9E4QEAAMEDAAAOAAAA&#10;AAAAAAEAIAAAAB4BAABkcnMvZTJvRG9jLnhtbFBLBQYAAAAABgAGAFkBAABxBQAAAAA=&#10;">
              <v:fill on="f" focussize="0,0"/>
              <v:stroke on="f"/>
              <v:imagedata o:title=""/>
              <o:lock v:ext="edit" aspectratio="f"/>
              <v:textbox inset="0mm,0mm,0mm,0mm" style="mso-fit-shape-to-text:t;">
                <w:txbxContent>
                  <w:p w14:paraId="5D8B6740">
                    <w:pPr>
                      <w:pStyle w:val="1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46</w:t>
                    </w:r>
                    <w:r>
                      <w:rPr>
                        <w:rFonts w:hint="eastAsia"/>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03A066">
    <w:pPr>
      <w:pStyle w:val="19"/>
      <w:jc w:val="cente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0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1A28F9B">
                          <w:pPr>
                            <w:pStyle w:val="1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71</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文本框 1034"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6pebnPAAAABQEAAA8AAAAAAAAA&#10;AQAgAAAAIgAAAGRycy9kb3ducmV2LnhtbFBLAQIUABQAAAAIAIdO4kA9vY+24QEAAMEDAAAOAAAA&#10;AAAAAAEAIAAAAB4BAABkcnMvZTJvRG9jLnhtbFBLBQYAAAAABgAGAFkBAABxBQAAAAA=&#10;">
              <v:fill on="f" focussize="0,0"/>
              <v:stroke on="f"/>
              <v:imagedata o:title=""/>
              <o:lock v:ext="edit" aspectratio="f"/>
              <v:textbox inset="0mm,0mm,0mm,0mm" style="mso-fit-shape-to-text:t;">
                <w:txbxContent>
                  <w:p w14:paraId="71A28F9B">
                    <w:pPr>
                      <w:pStyle w:val="1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71</w:t>
                    </w:r>
                    <w:r>
                      <w:rPr>
                        <w:rFonts w:hint="eastAsia"/>
                        <w:lang w:eastAsia="zh-CN"/>
                      </w:rPr>
                      <w:fldChar w:fldCharType="end"/>
                    </w:r>
                  </w:p>
                </w:txbxContent>
              </v:textbox>
            </v:shape>
          </w:pict>
        </mc:Fallback>
      </mc:AlternateContent>
    </w:r>
  </w:p>
  <w:p w14:paraId="45C47E2D">
    <w:pPr>
      <w:pStyle w:val="19"/>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48E382">
    <w:pPr>
      <w:pStyle w:val="19"/>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61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FF5E843">
                          <w:pPr>
                            <w:pStyle w:val="19"/>
                            <w:rPr>
                              <w:rFonts w:hint="eastAsia"/>
                            </w:rPr>
                          </w:pPr>
                          <w:r>
                            <w:rPr>
                              <w:rFonts w:hint="eastAsia"/>
                            </w:rPr>
                            <w:fldChar w:fldCharType="begin"/>
                          </w:r>
                          <w:r>
                            <w:rPr>
                              <w:rFonts w:hint="eastAsia"/>
                            </w:rPr>
                            <w:instrText xml:space="preserve"> PAGE  \* MERGEFORMAT </w:instrText>
                          </w:r>
                          <w:r>
                            <w:rPr>
                              <w:rFonts w:hint="eastAsia"/>
                            </w:rPr>
                            <w:fldChar w:fldCharType="separate"/>
                          </w:r>
                          <w:r>
                            <w:t>63</w:t>
                          </w:r>
                          <w:r>
                            <w:rPr>
                              <w:rFonts w:hint="eastAsia"/>
                            </w:rPr>
                            <w:fldChar w:fldCharType="end"/>
                          </w:r>
                        </w:p>
                      </w:txbxContent>
                    </wps:txbx>
                    <wps:bodyPr wrap="none" lIns="0" tIns="0" rIns="0" bIns="0" upright="0">
                      <a:spAutoFit/>
                    </wps:bodyPr>
                  </wps:wsp>
                </a:graphicData>
              </a:graphic>
            </wp:anchor>
          </w:drawing>
        </mc:Choice>
        <mc:Fallback>
          <w:pict>
            <v:shape id="文本框 614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FxnUqfLAQAAnAMAAA4AAAAAAAAAAQAgAAAAHgEAAGRycy9lMm9E&#10;b2MueG1sUEsFBgAAAAAGAAYAWQEAAFsFAAAAAA==&#10;">
              <v:fill on="f" focussize="0,0"/>
              <v:stroke on="f"/>
              <v:imagedata o:title=""/>
              <o:lock v:ext="edit" aspectratio="f"/>
              <v:textbox inset="0mm,0mm,0mm,0mm" style="mso-fit-shape-to-text:t;">
                <w:txbxContent>
                  <w:p w14:paraId="4FF5E843">
                    <w:pPr>
                      <w:pStyle w:val="19"/>
                      <w:rPr>
                        <w:rFonts w:hint="eastAsia"/>
                      </w:rPr>
                    </w:pPr>
                    <w:r>
                      <w:rPr>
                        <w:rFonts w:hint="eastAsia"/>
                      </w:rPr>
                      <w:fldChar w:fldCharType="begin"/>
                    </w:r>
                    <w:r>
                      <w:rPr>
                        <w:rFonts w:hint="eastAsia"/>
                      </w:rPr>
                      <w:instrText xml:space="preserve"> PAGE  \* MERGEFORMAT </w:instrText>
                    </w:r>
                    <w:r>
                      <w:rPr>
                        <w:rFonts w:hint="eastAsia"/>
                      </w:rPr>
                      <w:fldChar w:fldCharType="separate"/>
                    </w:r>
                    <w:r>
                      <w:t>63</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947F51">
    <w:pPr>
      <w:pStyle w:val="20"/>
      <w:tabs>
        <w:tab w:val="center" w:pos="0"/>
        <w:tab w:val="clear" w:pos="4153"/>
      </w:tabs>
    </w:pPr>
    <w:r>
      <w:rPr>
        <w:rFonts w:hint="eastAsia"/>
        <w:lang w:eastAsia="zh-CN"/>
      </w:rPr>
      <w:t>2025年柳城县东泉镇垃圾清运服务项目</w:t>
    </w:r>
    <w:r>
      <w:rPr>
        <w:rFonts w:hint="eastAsia"/>
      </w:rPr>
      <w:t>（</w:t>
    </w:r>
    <w:r>
      <w:rPr>
        <w:rFonts w:hint="eastAsia"/>
        <w:lang w:eastAsia="zh-CN"/>
      </w:rPr>
      <w:t>项目编号：LZZC2025-C3-220028-GXGG</w:t>
    </w:r>
    <w:r>
      <w:rPr>
        <w:rFonts w:hint="eastAsia"/>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AB68ED">
    <w:pPr>
      <w:pStyle w:val="20"/>
      <w:pBdr>
        <w:bottom w:val="none" w:color="auto" w:sz="0" w:space="1"/>
      </w:pBdr>
      <w:tabs>
        <w:tab w:val="center" w:pos="0"/>
        <w:tab w:val="clear" w:pos="4153"/>
      </w:tabs>
      <w:jc w:val="center"/>
      <w:rPr>
        <w:rFonts w:hint="eastAsia" w:eastAsia="宋体"/>
        <w:lang w:eastAsia="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8658C2">
    <w:pPr>
      <w:pStyle w:val="20"/>
      <w:tabs>
        <w:tab w:val="center" w:pos="0"/>
        <w:tab w:val="clear" w:pos="4153"/>
      </w:tabs>
    </w:pPr>
    <w:r>
      <w:rPr>
        <w:rFonts w:hint="eastAsia" w:ascii="宋体" w:hAnsi="宋体"/>
        <w:lang w:eastAsia="zh-CN"/>
      </w:rPr>
      <w:t>2025年柳城县东泉镇垃圾清运服务项目</w:t>
    </w:r>
    <w:r>
      <w:rPr>
        <w:rFonts w:hint="eastAsia" w:ascii="宋体" w:hAnsi="宋体"/>
      </w:rPr>
      <w:t>（项目编号：</w:t>
    </w:r>
    <w:r>
      <w:rPr>
        <w:rFonts w:hint="eastAsia" w:ascii="宋体" w:hAnsi="宋体"/>
        <w:lang w:eastAsia="zh-CN"/>
      </w:rPr>
      <w:t>LZZC2025-C3-220028-GXGG</w:t>
    </w:r>
    <w:r>
      <w:rPr>
        <w:rFonts w:hint="eastAsia" w:ascii="宋体" w:hAnsi="宋体"/>
      </w:rP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0C908E">
    <w:pPr>
      <w:pStyle w:val="20"/>
      <w:tabs>
        <w:tab w:val="center" w:pos="0"/>
        <w:tab w:val="clear" w:pos="4153"/>
      </w:tabs>
    </w:pPr>
    <w:r>
      <w:rPr>
        <w:rFonts w:hint="eastAsia" w:ascii="宋体" w:hAnsi="宋体"/>
        <w:lang w:eastAsia="zh-CN"/>
      </w:rPr>
      <w:t>2025年柳城县东泉镇垃圾清运服务项目</w:t>
    </w:r>
    <w:r>
      <w:rPr>
        <w:rFonts w:hint="eastAsia" w:ascii="宋体" w:hAnsi="宋体"/>
      </w:rPr>
      <w:t>（</w:t>
    </w:r>
    <w:r>
      <w:rPr>
        <w:rFonts w:hint="eastAsia" w:ascii="宋体" w:hAnsi="宋体"/>
        <w:lang w:eastAsia="zh-CN"/>
      </w:rPr>
      <w:t>项目编号：LZZC2025-C3-220028-GXGG</w:t>
    </w:r>
    <w:r>
      <w:rPr>
        <w:rFonts w:hint="eastAsia" w:ascii="宋体" w:hAnsi="宋体"/>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4B72B42"/>
    <w:multiLevelType w:val="singleLevel"/>
    <w:tmpl w:val="E4B72B42"/>
    <w:lvl w:ilvl="0" w:tentative="0">
      <w:start w:val="5"/>
      <w:numFmt w:val="chineseCounting"/>
      <w:suff w:val="space"/>
      <w:lvlText w:val="第%1章"/>
      <w:lvlJc w:val="left"/>
      <w:rPr>
        <w:rFonts w:hint="eastAsia"/>
      </w:rPr>
    </w:lvl>
  </w:abstractNum>
  <w:abstractNum w:abstractNumId="1">
    <w:nsid w:val="00000003"/>
    <w:multiLevelType w:val="multilevel"/>
    <w:tmpl w:val="00000003"/>
    <w:lvl w:ilvl="0" w:tentative="0">
      <w:start w:val="1"/>
      <w:numFmt w:val="decimal"/>
      <w:lvlText w:val="（%1）"/>
      <w:lvlJc w:val="left"/>
      <w:pPr>
        <w:tabs>
          <w:tab w:val="left" w:pos="1140"/>
        </w:tabs>
        <w:ind w:left="1140" w:hanging="720"/>
      </w:p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2">
    <w:nsid w:val="0000000B"/>
    <w:multiLevelType w:val="multilevel"/>
    <w:tmpl w:val="0000000B"/>
    <w:lvl w:ilvl="0" w:tentative="0">
      <w:start w:val="1"/>
      <w:numFmt w:val="decimal"/>
      <w:lvlText w:val="（%1）"/>
      <w:lvlJc w:val="left"/>
      <w:pPr>
        <w:tabs>
          <w:tab w:val="left" w:pos="1140"/>
        </w:tabs>
        <w:ind w:left="1140" w:hanging="720"/>
      </w:pPr>
      <w:rPr>
        <w:rFonts w:ascii="宋体" w:hAnsi="宋体" w:eastAsia="宋体" w:cs="Times New Roman"/>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0" w:hash="w8O7LcPqCYgK6iRkWb0+UsqiU4Q=" w:salt="J1KlTAnElHRJ3tI3v8BcTg=="/>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dhOGZkYWE3YzIzZWUyNDFiZWViZTAzNDE4MWIxNDMifQ=="/>
  </w:docVars>
  <w:rsids>
    <w:rsidRoot w:val="00172A27"/>
    <w:rsid w:val="00000672"/>
    <w:rsid w:val="00001013"/>
    <w:rsid w:val="00001799"/>
    <w:rsid w:val="00001AF2"/>
    <w:rsid w:val="00001ECA"/>
    <w:rsid w:val="00002D29"/>
    <w:rsid w:val="00003B93"/>
    <w:rsid w:val="0000474D"/>
    <w:rsid w:val="00005FDF"/>
    <w:rsid w:val="000070B3"/>
    <w:rsid w:val="000076B8"/>
    <w:rsid w:val="0001047A"/>
    <w:rsid w:val="000109DC"/>
    <w:rsid w:val="00010D39"/>
    <w:rsid w:val="0001172C"/>
    <w:rsid w:val="00011A4D"/>
    <w:rsid w:val="00011BC9"/>
    <w:rsid w:val="00012854"/>
    <w:rsid w:val="00012EA6"/>
    <w:rsid w:val="00013359"/>
    <w:rsid w:val="000139CF"/>
    <w:rsid w:val="00013AA4"/>
    <w:rsid w:val="00013DFE"/>
    <w:rsid w:val="000141EA"/>
    <w:rsid w:val="00015094"/>
    <w:rsid w:val="00016ABC"/>
    <w:rsid w:val="000177DB"/>
    <w:rsid w:val="000179C9"/>
    <w:rsid w:val="00017CCC"/>
    <w:rsid w:val="00020227"/>
    <w:rsid w:val="00020263"/>
    <w:rsid w:val="00020455"/>
    <w:rsid w:val="00020527"/>
    <w:rsid w:val="00020813"/>
    <w:rsid w:val="000220B2"/>
    <w:rsid w:val="0002264C"/>
    <w:rsid w:val="00022731"/>
    <w:rsid w:val="00022792"/>
    <w:rsid w:val="00024463"/>
    <w:rsid w:val="00025461"/>
    <w:rsid w:val="00025636"/>
    <w:rsid w:val="00025E36"/>
    <w:rsid w:val="00026855"/>
    <w:rsid w:val="00026886"/>
    <w:rsid w:val="0002785D"/>
    <w:rsid w:val="000329E0"/>
    <w:rsid w:val="000352E9"/>
    <w:rsid w:val="00035494"/>
    <w:rsid w:val="00036125"/>
    <w:rsid w:val="00036A07"/>
    <w:rsid w:val="0003780B"/>
    <w:rsid w:val="00040571"/>
    <w:rsid w:val="00040973"/>
    <w:rsid w:val="0004156E"/>
    <w:rsid w:val="00041713"/>
    <w:rsid w:val="0004440C"/>
    <w:rsid w:val="00046B5E"/>
    <w:rsid w:val="000470CB"/>
    <w:rsid w:val="000509D9"/>
    <w:rsid w:val="00051ACB"/>
    <w:rsid w:val="000533E7"/>
    <w:rsid w:val="00055D41"/>
    <w:rsid w:val="00057CD6"/>
    <w:rsid w:val="00060DCE"/>
    <w:rsid w:val="000610E3"/>
    <w:rsid w:val="000614F3"/>
    <w:rsid w:val="000623B4"/>
    <w:rsid w:val="00062405"/>
    <w:rsid w:val="000634A7"/>
    <w:rsid w:val="00063B0B"/>
    <w:rsid w:val="00063F81"/>
    <w:rsid w:val="00064847"/>
    <w:rsid w:val="00065E08"/>
    <w:rsid w:val="000673E2"/>
    <w:rsid w:val="0007063F"/>
    <w:rsid w:val="000707FD"/>
    <w:rsid w:val="00070949"/>
    <w:rsid w:val="000711E4"/>
    <w:rsid w:val="000724D9"/>
    <w:rsid w:val="00072AED"/>
    <w:rsid w:val="00073F47"/>
    <w:rsid w:val="0007492F"/>
    <w:rsid w:val="00074ED8"/>
    <w:rsid w:val="00075B7E"/>
    <w:rsid w:val="00077ACA"/>
    <w:rsid w:val="00077C70"/>
    <w:rsid w:val="000813B5"/>
    <w:rsid w:val="00081BA3"/>
    <w:rsid w:val="00081D2E"/>
    <w:rsid w:val="00081F89"/>
    <w:rsid w:val="00082619"/>
    <w:rsid w:val="00082D02"/>
    <w:rsid w:val="00083871"/>
    <w:rsid w:val="00083B91"/>
    <w:rsid w:val="0008473C"/>
    <w:rsid w:val="0008520B"/>
    <w:rsid w:val="000860BD"/>
    <w:rsid w:val="000871B8"/>
    <w:rsid w:val="000916DA"/>
    <w:rsid w:val="00092442"/>
    <w:rsid w:val="000929EF"/>
    <w:rsid w:val="000933BE"/>
    <w:rsid w:val="00093CD4"/>
    <w:rsid w:val="0009560F"/>
    <w:rsid w:val="0009588E"/>
    <w:rsid w:val="000959EE"/>
    <w:rsid w:val="00097183"/>
    <w:rsid w:val="000972CB"/>
    <w:rsid w:val="00097608"/>
    <w:rsid w:val="000A13F3"/>
    <w:rsid w:val="000A23B1"/>
    <w:rsid w:val="000A2B0E"/>
    <w:rsid w:val="000A398F"/>
    <w:rsid w:val="000A3BB7"/>
    <w:rsid w:val="000A448C"/>
    <w:rsid w:val="000A509C"/>
    <w:rsid w:val="000A54A7"/>
    <w:rsid w:val="000A6007"/>
    <w:rsid w:val="000A65A6"/>
    <w:rsid w:val="000A70E3"/>
    <w:rsid w:val="000A7275"/>
    <w:rsid w:val="000A7A12"/>
    <w:rsid w:val="000A7A72"/>
    <w:rsid w:val="000B1202"/>
    <w:rsid w:val="000B1801"/>
    <w:rsid w:val="000B1D0C"/>
    <w:rsid w:val="000B2273"/>
    <w:rsid w:val="000B2585"/>
    <w:rsid w:val="000B2BC6"/>
    <w:rsid w:val="000B2D03"/>
    <w:rsid w:val="000B3815"/>
    <w:rsid w:val="000B3C7B"/>
    <w:rsid w:val="000B4321"/>
    <w:rsid w:val="000B6A6B"/>
    <w:rsid w:val="000B6C95"/>
    <w:rsid w:val="000B79FC"/>
    <w:rsid w:val="000B7BD1"/>
    <w:rsid w:val="000C02B1"/>
    <w:rsid w:val="000C1679"/>
    <w:rsid w:val="000C1EE3"/>
    <w:rsid w:val="000C3AE7"/>
    <w:rsid w:val="000C3CC9"/>
    <w:rsid w:val="000C6DE4"/>
    <w:rsid w:val="000C7202"/>
    <w:rsid w:val="000D0A89"/>
    <w:rsid w:val="000D1389"/>
    <w:rsid w:val="000D1798"/>
    <w:rsid w:val="000D2626"/>
    <w:rsid w:val="000D291C"/>
    <w:rsid w:val="000D3FB6"/>
    <w:rsid w:val="000D411D"/>
    <w:rsid w:val="000D4589"/>
    <w:rsid w:val="000D4809"/>
    <w:rsid w:val="000D73DD"/>
    <w:rsid w:val="000E1C51"/>
    <w:rsid w:val="000E28AB"/>
    <w:rsid w:val="000E2E3E"/>
    <w:rsid w:val="000E3583"/>
    <w:rsid w:val="000E3AF0"/>
    <w:rsid w:val="000E4E04"/>
    <w:rsid w:val="000E693B"/>
    <w:rsid w:val="000E6EC9"/>
    <w:rsid w:val="000E70B4"/>
    <w:rsid w:val="000E7B62"/>
    <w:rsid w:val="000F0E1E"/>
    <w:rsid w:val="000F1A1B"/>
    <w:rsid w:val="000F2A95"/>
    <w:rsid w:val="000F3281"/>
    <w:rsid w:val="000F32FD"/>
    <w:rsid w:val="000F3733"/>
    <w:rsid w:val="000F5F8B"/>
    <w:rsid w:val="000F6153"/>
    <w:rsid w:val="000F63C8"/>
    <w:rsid w:val="000F64AA"/>
    <w:rsid w:val="000F7AF4"/>
    <w:rsid w:val="000F7C33"/>
    <w:rsid w:val="000F7F0C"/>
    <w:rsid w:val="001004D6"/>
    <w:rsid w:val="00102676"/>
    <w:rsid w:val="00103646"/>
    <w:rsid w:val="00103918"/>
    <w:rsid w:val="00104897"/>
    <w:rsid w:val="00104EDE"/>
    <w:rsid w:val="00105CDA"/>
    <w:rsid w:val="00106BEE"/>
    <w:rsid w:val="00107C74"/>
    <w:rsid w:val="0011091C"/>
    <w:rsid w:val="00111266"/>
    <w:rsid w:val="001112EB"/>
    <w:rsid w:val="00112768"/>
    <w:rsid w:val="00113678"/>
    <w:rsid w:val="00113C3E"/>
    <w:rsid w:val="00115E11"/>
    <w:rsid w:val="00115EEE"/>
    <w:rsid w:val="00115F56"/>
    <w:rsid w:val="00116CA9"/>
    <w:rsid w:val="00116F38"/>
    <w:rsid w:val="001170A4"/>
    <w:rsid w:val="00117AE7"/>
    <w:rsid w:val="00117CBD"/>
    <w:rsid w:val="0012006A"/>
    <w:rsid w:val="00121979"/>
    <w:rsid w:val="00122064"/>
    <w:rsid w:val="00124341"/>
    <w:rsid w:val="00124492"/>
    <w:rsid w:val="00124B12"/>
    <w:rsid w:val="001250A0"/>
    <w:rsid w:val="001263B8"/>
    <w:rsid w:val="0012763E"/>
    <w:rsid w:val="00130217"/>
    <w:rsid w:val="00130783"/>
    <w:rsid w:val="00130A47"/>
    <w:rsid w:val="00130D7C"/>
    <w:rsid w:val="00132B47"/>
    <w:rsid w:val="001337F8"/>
    <w:rsid w:val="001348B4"/>
    <w:rsid w:val="001351CB"/>
    <w:rsid w:val="00135530"/>
    <w:rsid w:val="00135947"/>
    <w:rsid w:val="001359A2"/>
    <w:rsid w:val="00135F92"/>
    <w:rsid w:val="00136020"/>
    <w:rsid w:val="00136445"/>
    <w:rsid w:val="00140132"/>
    <w:rsid w:val="00141C9C"/>
    <w:rsid w:val="0014277F"/>
    <w:rsid w:val="001434BE"/>
    <w:rsid w:val="00144050"/>
    <w:rsid w:val="0014479F"/>
    <w:rsid w:val="001452B4"/>
    <w:rsid w:val="00145320"/>
    <w:rsid w:val="001476D3"/>
    <w:rsid w:val="001509CF"/>
    <w:rsid w:val="00150D1D"/>
    <w:rsid w:val="001525AA"/>
    <w:rsid w:val="00152A87"/>
    <w:rsid w:val="00153BB5"/>
    <w:rsid w:val="00154518"/>
    <w:rsid w:val="00156359"/>
    <w:rsid w:val="001568F3"/>
    <w:rsid w:val="00156DD6"/>
    <w:rsid w:val="0016086E"/>
    <w:rsid w:val="00160D0C"/>
    <w:rsid w:val="00161172"/>
    <w:rsid w:val="00161998"/>
    <w:rsid w:val="00161E65"/>
    <w:rsid w:val="00162597"/>
    <w:rsid w:val="001629AF"/>
    <w:rsid w:val="001629FD"/>
    <w:rsid w:val="0016428A"/>
    <w:rsid w:val="001647C9"/>
    <w:rsid w:val="00165627"/>
    <w:rsid w:val="00165929"/>
    <w:rsid w:val="001661A3"/>
    <w:rsid w:val="00167226"/>
    <w:rsid w:val="0016782B"/>
    <w:rsid w:val="0016784D"/>
    <w:rsid w:val="00172CA8"/>
    <w:rsid w:val="00173256"/>
    <w:rsid w:val="00173B0E"/>
    <w:rsid w:val="00173E03"/>
    <w:rsid w:val="00174182"/>
    <w:rsid w:val="0017512C"/>
    <w:rsid w:val="0017586A"/>
    <w:rsid w:val="00175BA6"/>
    <w:rsid w:val="00176CA7"/>
    <w:rsid w:val="00176F8E"/>
    <w:rsid w:val="001778C5"/>
    <w:rsid w:val="00177E56"/>
    <w:rsid w:val="00177F0A"/>
    <w:rsid w:val="00180DA0"/>
    <w:rsid w:val="00181EAD"/>
    <w:rsid w:val="00181F43"/>
    <w:rsid w:val="00182862"/>
    <w:rsid w:val="00184F57"/>
    <w:rsid w:val="00185544"/>
    <w:rsid w:val="00185617"/>
    <w:rsid w:val="00186823"/>
    <w:rsid w:val="00186FE1"/>
    <w:rsid w:val="00187A14"/>
    <w:rsid w:val="0019171E"/>
    <w:rsid w:val="00192368"/>
    <w:rsid w:val="001923A0"/>
    <w:rsid w:val="001928B1"/>
    <w:rsid w:val="00193537"/>
    <w:rsid w:val="00193846"/>
    <w:rsid w:val="00195424"/>
    <w:rsid w:val="001955FF"/>
    <w:rsid w:val="00196D6E"/>
    <w:rsid w:val="00197EDD"/>
    <w:rsid w:val="001A02B3"/>
    <w:rsid w:val="001A04BB"/>
    <w:rsid w:val="001A08D0"/>
    <w:rsid w:val="001A1B39"/>
    <w:rsid w:val="001A2120"/>
    <w:rsid w:val="001A28C6"/>
    <w:rsid w:val="001A2E69"/>
    <w:rsid w:val="001A3C34"/>
    <w:rsid w:val="001A3EDE"/>
    <w:rsid w:val="001A4222"/>
    <w:rsid w:val="001A50EA"/>
    <w:rsid w:val="001A5BA2"/>
    <w:rsid w:val="001A5E24"/>
    <w:rsid w:val="001A6B27"/>
    <w:rsid w:val="001A6D8B"/>
    <w:rsid w:val="001A6DAA"/>
    <w:rsid w:val="001A7717"/>
    <w:rsid w:val="001A793A"/>
    <w:rsid w:val="001B125A"/>
    <w:rsid w:val="001B1EBA"/>
    <w:rsid w:val="001B2142"/>
    <w:rsid w:val="001B2F2B"/>
    <w:rsid w:val="001B327A"/>
    <w:rsid w:val="001B35DE"/>
    <w:rsid w:val="001B3A13"/>
    <w:rsid w:val="001B3F5C"/>
    <w:rsid w:val="001B59FF"/>
    <w:rsid w:val="001B6512"/>
    <w:rsid w:val="001B65D7"/>
    <w:rsid w:val="001B6752"/>
    <w:rsid w:val="001B6768"/>
    <w:rsid w:val="001B6F1F"/>
    <w:rsid w:val="001B7CD7"/>
    <w:rsid w:val="001B7ECC"/>
    <w:rsid w:val="001C025B"/>
    <w:rsid w:val="001C115F"/>
    <w:rsid w:val="001C1EAB"/>
    <w:rsid w:val="001C25A7"/>
    <w:rsid w:val="001C318C"/>
    <w:rsid w:val="001C35C4"/>
    <w:rsid w:val="001C4287"/>
    <w:rsid w:val="001C4479"/>
    <w:rsid w:val="001C5190"/>
    <w:rsid w:val="001C6081"/>
    <w:rsid w:val="001C7B48"/>
    <w:rsid w:val="001D0CFB"/>
    <w:rsid w:val="001D1A0D"/>
    <w:rsid w:val="001D343C"/>
    <w:rsid w:val="001D34F5"/>
    <w:rsid w:val="001D56FC"/>
    <w:rsid w:val="001D58A1"/>
    <w:rsid w:val="001D58C2"/>
    <w:rsid w:val="001D5A8A"/>
    <w:rsid w:val="001D61CA"/>
    <w:rsid w:val="001D6E87"/>
    <w:rsid w:val="001D735E"/>
    <w:rsid w:val="001D73C8"/>
    <w:rsid w:val="001D7BC6"/>
    <w:rsid w:val="001E129E"/>
    <w:rsid w:val="001E175C"/>
    <w:rsid w:val="001E1B0E"/>
    <w:rsid w:val="001E3B63"/>
    <w:rsid w:val="001E522E"/>
    <w:rsid w:val="001E5A94"/>
    <w:rsid w:val="001E5F6F"/>
    <w:rsid w:val="001F0373"/>
    <w:rsid w:val="001F2A2E"/>
    <w:rsid w:val="001F3356"/>
    <w:rsid w:val="001F3C63"/>
    <w:rsid w:val="001F4460"/>
    <w:rsid w:val="001F53EE"/>
    <w:rsid w:val="001F711A"/>
    <w:rsid w:val="001F75B0"/>
    <w:rsid w:val="00200CE5"/>
    <w:rsid w:val="00200F7C"/>
    <w:rsid w:val="002014DB"/>
    <w:rsid w:val="0020150B"/>
    <w:rsid w:val="00201E12"/>
    <w:rsid w:val="002033B5"/>
    <w:rsid w:val="0020382C"/>
    <w:rsid w:val="0020437A"/>
    <w:rsid w:val="0020454C"/>
    <w:rsid w:val="00204740"/>
    <w:rsid w:val="00205129"/>
    <w:rsid w:val="0020521F"/>
    <w:rsid w:val="0020532C"/>
    <w:rsid w:val="002114C7"/>
    <w:rsid w:val="0021302C"/>
    <w:rsid w:val="00213B1C"/>
    <w:rsid w:val="00214202"/>
    <w:rsid w:val="002148E3"/>
    <w:rsid w:val="0021552D"/>
    <w:rsid w:val="002156AE"/>
    <w:rsid w:val="00215E99"/>
    <w:rsid w:val="0022054D"/>
    <w:rsid w:val="00223DDB"/>
    <w:rsid w:val="00223FA4"/>
    <w:rsid w:val="00223FB0"/>
    <w:rsid w:val="00224067"/>
    <w:rsid w:val="0022421C"/>
    <w:rsid w:val="00224E83"/>
    <w:rsid w:val="00225664"/>
    <w:rsid w:val="0022663D"/>
    <w:rsid w:val="00227F2D"/>
    <w:rsid w:val="00230179"/>
    <w:rsid w:val="00231851"/>
    <w:rsid w:val="002319FB"/>
    <w:rsid w:val="00231B89"/>
    <w:rsid w:val="00231F11"/>
    <w:rsid w:val="00231F5E"/>
    <w:rsid w:val="002346B4"/>
    <w:rsid w:val="00234F6E"/>
    <w:rsid w:val="002355BE"/>
    <w:rsid w:val="002358EA"/>
    <w:rsid w:val="00236578"/>
    <w:rsid w:val="00236DE9"/>
    <w:rsid w:val="00237342"/>
    <w:rsid w:val="00237D5A"/>
    <w:rsid w:val="002415AE"/>
    <w:rsid w:val="00241D3C"/>
    <w:rsid w:val="00242109"/>
    <w:rsid w:val="00243189"/>
    <w:rsid w:val="002439AB"/>
    <w:rsid w:val="00243C19"/>
    <w:rsid w:val="00244AE8"/>
    <w:rsid w:val="00244DC9"/>
    <w:rsid w:val="00245587"/>
    <w:rsid w:val="00245F2B"/>
    <w:rsid w:val="00247F3A"/>
    <w:rsid w:val="00250122"/>
    <w:rsid w:val="00250755"/>
    <w:rsid w:val="00251043"/>
    <w:rsid w:val="00251C4A"/>
    <w:rsid w:val="0025271C"/>
    <w:rsid w:val="002529E4"/>
    <w:rsid w:val="002533CD"/>
    <w:rsid w:val="002535EA"/>
    <w:rsid w:val="00254EAB"/>
    <w:rsid w:val="002557AF"/>
    <w:rsid w:val="0025589C"/>
    <w:rsid w:val="00255B62"/>
    <w:rsid w:val="002566B1"/>
    <w:rsid w:val="002575E3"/>
    <w:rsid w:val="00257A74"/>
    <w:rsid w:val="002603C1"/>
    <w:rsid w:val="002609A1"/>
    <w:rsid w:val="002612B1"/>
    <w:rsid w:val="00266165"/>
    <w:rsid w:val="002662FE"/>
    <w:rsid w:val="00266F2C"/>
    <w:rsid w:val="0027125E"/>
    <w:rsid w:val="00271767"/>
    <w:rsid w:val="00272293"/>
    <w:rsid w:val="002723C8"/>
    <w:rsid w:val="00273C2A"/>
    <w:rsid w:val="00273CBE"/>
    <w:rsid w:val="002746B1"/>
    <w:rsid w:val="00274BAD"/>
    <w:rsid w:val="00282D56"/>
    <w:rsid w:val="002835B0"/>
    <w:rsid w:val="00283C74"/>
    <w:rsid w:val="0028407E"/>
    <w:rsid w:val="0028410F"/>
    <w:rsid w:val="00284572"/>
    <w:rsid w:val="00285221"/>
    <w:rsid w:val="00286FB5"/>
    <w:rsid w:val="00287763"/>
    <w:rsid w:val="00287FCB"/>
    <w:rsid w:val="00290606"/>
    <w:rsid w:val="002909B2"/>
    <w:rsid w:val="00291D6D"/>
    <w:rsid w:val="00291FF1"/>
    <w:rsid w:val="00292AA2"/>
    <w:rsid w:val="00293361"/>
    <w:rsid w:val="002952B1"/>
    <w:rsid w:val="00295D11"/>
    <w:rsid w:val="00296FB6"/>
    <w:rsid w:val="002A0001"/>
    <w:rsid w:val="002A0BD9"/>
    <w:rsid w:val="002A0C3A"/>
    <w:rsid w:val="002A1130"/>
    <w:rsid w:val="002A1880"/>
    <w:rsid w:val="002A23B7"/>
    <w:rsid w:val="002A3A57"/>
    <w:rsid w:val="002A4B4F"/>
    <w:rsid w:val="002A57A8"/>
    <w:rsid w:val="002A6DEF"/>
    <w:rsid w:val="002A6E42"/>
    <w:rsid w:val="002A770B"/>
    <w:rsid w:val="002B013E"/>
    <w:rsid w:val="002B058D"/>
    <w:rsid w:val="002B0C16"/>
    <w:rsid w:val="002B2AC5"/>
    <w:rsid w:val="002B3528"/>
    <w:rsid w:val="002B3539"/>
    <w:rsid w:val="002B4532"/>
    <w:rsid w:val="002B5042"/>
    <w:rsid w:val="002B69CC"/>
    <w:rsid w:val="002B6D71"/>
    <w:rsid w:val="002C0C1C"/>
    <w:rsid w:val="002C54C2"/>
    <w:rsid w:val="002C5D34"/>
    <w:rsid w:val="002C5D7F"/>
    <w:rsid w:val="002C60BB"/>
    <w:rsid w:val="002C661A"/>
    <w:rsid w:val="002D0D6F"/>
    <w:rsid w:val="002D25FC"/>
    <w:rsid w:val="002D4AC6"/>
    <w:rsid w:val="002D5BF5"/>
    <w:rsid w:val="002D5E95"/>
    <w:rsid w:val="002D5EE8"/>
    <w:rsid w:val="002D7360"/>
    <w:rsid w:val="002D7648"/>
    <w:rsid w:val="002D780A"/>
    <w:rsid w:val="002E109C"/>
    <w:rsid w:val="002E193E"/>
    <w:rsid w:val="002E1A94"/>
    <w:rsid w:val="002E1D55"/>
    <w:rsid w:val="002E26C4"/>
    <w:rsid w:val="002E30A5"/>
    <w:rsid w:val="002E47E4"/>
    <w:rsid w:val="002E4BF9"/>
    <w:rsid w:val="002E4D61"/>
    <w:rsid w:val="002E5FED"/>
    <w:rsid w:val="002E68A7"/>
    <w:rsid w:val="002E6E6C"/>
    <w:rsid w:val="002F0522"/>
    <w:rsid w:val="002F0B85"/>
    <w:rsid w:val="002F16DD"/>
    <w:rsid w:val="002F199D"/>
    <w:rsid w:val="002F213C"/>
    <w:rsid w:val="002F2453"/>
    <w:rsid w:val="002F352D"/>
    <w:rsid w:val="002F381E"/>
    <w:rsid w:val="002F4084"/>
    <w:rsid w:val="002F4A08"/>
    <w:rsid w:val="002F4ADB"/>
    <w:rsid w:val="002F531E"/>
    <w:rsid w:val="002F548D"/>
    <w:rsid w:val="002F5ACC"/>
    <w:rsid w:val="002F704B"/>
    <w:rsid w:val="002F72C3"/>
    <w:rsid w:val="002F768C"/>
    <w:rsid w:val="002F7D1E"/>
    <w:rsid w:val="00300201"/>
    <w:rsid w:val="0030025A"/>
    <w:rsid w:val="00301ADC"/>
    <w:rsid w:val="00302EFC"/>
    <w:rsid w:val="00303243"/>
    <w:rsid w:val="00303BCC"/>
    <w:rsid w:val="00303F2B"/>
    <w:rsid w:val="00303F8D"/>
    <w:rsid w:val="0030572D"/>
    <w:rsid w:val="0030586A"/>
    <w:rsid w:val="0030622D"/>
    <w:rsid w:val="00306811"/>
    <w:rsid w:val="00306F32"/>
    <w:rsid w:val="003074C5"/>
    <w:rsid w:val="00307A3C"/>
    <w:rsid w:val="00307FA4"/>
    <w:rsid w:val="00310290"/>
    <w:rsid w:val="0031083D"/>
    <w:rsid w:val="00310CC1"/>
    <w:rsid w:val="00311B60"/>
    <w:rsid w:val="00312504"/>
    <w:rsid w:val="00313026"/>
    <w:rsid w:val="00313913"/>
    <w:rsid w:val="0031421F"/>
    <w:rsid w:val="00314B31"/>
    <w:rsid w:val="00315A65"/>
    <w:rsid w:val="003165D7"/>
    <w:rsid w:val="00317BA7"/>
    <w:rsid w:val="00320BE2"/>
    <w:rsid w:val="00321886"/>
    <w:rsid w:val="00323694"/>
    <w:rsid w:val="00323BE7"/>
    <w:rsid w:val="00324C3A"/>
    <w:rsid w:val="00324D63"/>
    <w:rsid w:val="003255AF"/>
    <w:rsid w:val="003256EB"/>
    <w:rsid w:val="003259DB"/>
    <w:rsid w:val="003314D9"/>
    <w:rsid w:val="00331653"/>
    <w:rsid w:val="00331A48"/>
    <w:rsid w:val="00331BCC"/>
    <w:rsid w:val="003330C9"/>
    <w:rsid w:val="0033364C"/>
    <w:rsid w:val="00334415"/>
    <w:rsid w:val="00335EA1"/>
    <w:rsid w:val="0033691E"/>
    <w:rsid w:val="00336A6A"/>
    <w:rsid w:val="00336CCB"/>
    <w:rsid w:val="003411D1"/>
    <w:rsid w:val="003416BA"/>
    <w:rsid w:val="00342148"/>
    <w:rsid w:val="00342F99"/>
    <w:rsid w:val="0034575A"/>
    <w:rsid w:val="00345F57"/>
    <w:rsid w:val="00350458"/>
    <w:rsid w:val="00350E6C"/>
    <w:rsid w:val="003518A6"/>
    <w:rsid w:val="00351E7F"/>
    <w:rsid w:val="00352953"/>
    <w:rsid w:val="00354062"/>
    <w:rsid w:val="0035459E"/>
    <w:rsid w:val="00355C0D"/>
    <w:rsid w:val="003566A9"/>
    <w:rsid w:val="00356988"/>
    <w:rsid w:val="003569D3"/>
    <w:rsid w:val="00356CE9"/>
    <w:rsid w:val="003570BB"/>
    <w:rsid w:val="00357128"/>
    <w:rsid w:val="0035755E"/>
    <w:rsid w:val="00357A80"/>
    <w:rsid w:val="00361441"/>
    <w:rsid w:val="00361B8B"/>
    <w:rsid w:val="00363F39"/>
    <w:rsid w:val="0036445C"/>
    <w:rsid w:val="00364627"/>
    <w:rsid w:val="00364AB0"/>
    <w:rsid w:val="00364D71"/>
    <w:rsid w:val="003667B0"/>
    <w:rsid w:val="003667DD"/>
    <w:rsid w:val="00366B48"/>
    <w:rsid w:val="00367764"/>
    <w:rsid w:val="00370316"/>
    <w:rsid w:val="00370DC7"/>
    <w:rsid w:val="00371CBD"/>
    <w:rsid w:val="00371F20"/>
    <w:rsid w:val="00371F52"/>
    <w:rsid w:val="003721E3"/>
    <w:rsid w:val="00372B98"/>
    <w:rsid w:val="003737B7"/>
    <w:rsid w:val="003740CC"/>
    <w:rsid w:val="003745F4"/>
    <w:rsid w:val="00374E79"/>
    <w:rsid w:val="0037529A"/>
    <w:rsid w:val="00375388"/>
    <w:rsid w:val="00375FB9"/>
    <w:rsid w:val="00376170"/>
    <w:rsid w:val="00376851"/>
    <w:rsid w:val="00376FA2"/>
    <w:rsid w:val="00377A3B"/>
    <w:rsid w:val="00377E3C"/>
    <w:rsid w:val="00380BBE"/>
    <w:rsid w:val="00381D70"/>
    <w:rsid w:val="0038235E"/>
    <w:rsid w:val="003829D0"/>
    <w:rsid w:val="0038326A"/>
    <w:rsid w:val="0038444F"/>
    <w:rsid w:val="003861F0"/>
    <w:rsid w:val="00387051"/>
    <w:rsid w:val="00387ECF"/>
    <w:rsid w:val="0039021B"/>
    <w:rsid w:val="00390429"/>
    <w:rsid w:val="003906A0"/>
    <w:rsid w:val="0039366C"/>
    <w:rsid w:val="00393EC8"/>
    <w:rsid w:val="003950F5"/>
    <w:rsid w:val="0039538F"/>
    <w:rsid w:val="00395E42"/>
    <w:rsid w:val="00396409"/>
    <w:rsid w:val="00396A2D"/>
    <w:rsid w:val="00396FC3"/>
    <w:rsid w:val="003A1A94"/>
    <w:rsid w:val="003A204E"/>
    <w:rsid w:val="003A2D25"/>
    <w:rsid w:val="003A5728"/>
    <w:rsid w:val="003A60E7"/>
    <w:rsid w:val="003A7092"/>
    <w:rsid w:val="003A72A1"/>
    <w:rsid w:val="003A7611"/>
    <w:rsid w:val="003A7D1F"/>
    <w:rsid w:val="003B0B6A"/>
    <w:rsid w:val="003B22F7"/>
    <w:rsid w:val="003B29CF"/>
    <w:rsid w:val="003B3A90"/>
    <w:rsid w:val="003B534F"/>
    <w:rsid w:val="003B5E4F"/>
    <w:rsid w:val="003B7A79"/>
    <w:rsid w:val="003C0FE1"/>
    <w:rsid w:val="003C151A"/>
    <w:rsid w:val="003C350C"/>
    <w:rsid w:val="003C3903"/>
    <w:rsid w:val="003C3BA0"/>
    <w:rsid w:val="003C4580"/>
    <w:rsid w:val="003C5C5E"/>
    <w:rsid w:val="003C6746"/>
    <w:rsid w:val="003C7555"/>
    <w:rsid w:val="003C7898"/>
    <w:rsid w:val="003D0FF5"/>
    <w:rsid w:val="003D11A3"/>
    <w:rsid w:val="003D1537"/>
    <w:rsid w:val="003D183C"/>
    <w:rsid w:val="003D2D1B"/>
    <w:rsid w:val="003D48C7"/>
    <w:rsid w:val="003D4C27"/>
    <w:rsid w:val="003D7109"/>
    <w:rsid w:val="003D7ADB"/>
    <w:rsid w:val="003D7CE8"/>
    <w:rsid w:val="003E0514"/>
    <w:rsid w:val="003E1032"/>
    <w:rsid w:val="003E1904"/>
    <w:rsid w:val="003E285E"/>
    <w:rsid w:val="003E3124"/>
    <w:rsid w:val="003E3300"/>
    <w:rsid w:val="003E43D3"/>
    <w:rsid w:val="003E48E1"/>
    <w:rsid w:val="003E59BB"/>
    <w:rsid w:val="003E6225"/>
    <w:rsid w:val="003E65AC"/>
    <w:rsid w:val="003E66AE"/>
    <w:rsid w:val="003E72B9"/>
    <w:rsid w:val="003E7ED4"/>
    <w:rsid w:val="003F0E52"/>
    <w:rsid w:val="003F0F6B"/>
    <w:rsid w:val="003F1FC6"/>
    <w:rsid w:val="003F1FE3"/>
    <w:rsid w:val="003F2359"/>
    <w:rsid w:val="003F3865"/>
    <w:rsid w:val="003F3D55"/>
    <w:rsid w:val="003F44E2"/>
    <w:rsid w:val="003F4632"/>
    <w:rsid w:val="003F47BA"/>
    <w:rsid w:val="003F4FE6"/>
    <w:rsid w:val="003F5638"/>
    <w:rsid w:val="003F6617"/>
    <w:rsid w:val="00402332"/>
    <w:rsid w:val="004025C2"/>
    <w:rsid w:val="00403195"/>
    <w:rsid w:val="004033A9"/>
    <w:rsid w:val="00403E55"/>
    <w:rsid w:val="0040407C"/>
    <w:rsid w:val="0040416C"/>
    <w:rsid w:val="00404681"/>
    <w:rsid w:val="00405AC1"/>
    <w:rsid w:val="00406923"/>
    <w:rsid w:val="0040763D"/>
    <w:rsid w:val="00410D17"/>
    <w:rsid w:val="00413442"/>
    <w:rsid w:val="00413821"/>
    <w:rsid w:val="00413BA5"/>
    <w:rsid w:val="004141A3"/>
    <w:rsid w:val="00414909"/>
    <w:rsid w:val="0041582F"/>
    <w:rsid w:val="00416112"/>
    <w:rsid w:val="00416AC8"/>
    <w:rsid w:val="00417AE0"/>
    <w:rsid w:val="00417BAA"/>
    <w:rsid w:val="0042042B"/>
    <w:rsid w:val="00420B45"/>
    <w:rsid w:val="00420D7A"/>
    <w:rsid w:val="00421257"/>
    <w:rsid w:val="00422193"/>
    <w:rsid w:val="004223DE"/>
    <w:rsid w:val="00422A10"/>
    <w:rsid w:val="00424D17"/>
    <w:rsid w:val="00425DFD"/>
    <w:rsid w:val="004263A3"/>
    <w:rsid w:val="00427713"/>
    <w:rsid w:val="00427CCC"/>
    <w:rsid w:val="0043013A"/>
    <w:rsid w:val="00430421"/>
    <w:rsid w:val="00430A36"/>
    <w:rsid w:val="00430B4F"/>
    <w:rsid w:val="00431084"/>
    <w:rsid w:val="004310D7"/>
    <w:rsid w:val="004322D6"/>
    <w:rsid w:val="00432589"/>
    <w:rsid w:val="00432A94"/>
    <w:rsid w:val="00432C95"/>
    <w:rsid w:val="00433827"/>
    <w:rsid w:val="00433A40"/>
    <w:rsid w:val="00434B70"/>
    <w:rsid w:val="004360C8"/>
    <w:rsid w:val="004371D5"/>
    <w:rsid w:val="0044006B"/>
    <w:rsid w:val="0044033F"/>
    <w:rsid w:val="00440630"/>
    <w:rsid w:val="00441F0F"/>
    <w:rsid w:val="00442965"/>
    <w:rsid w:val="00444157"/>
    <w:rsid w:val="0044417C"/>
    <w:rsid w:val="00444DB3"/>
    <w:rsid w:val="00445617"/>
    <w:rsid w:val="00445A2F"/>
    <w:rsid w:val="0044684E"/>
    <w:rsid w:val="00446F22"/>
    <w:rsid w:val="0045019F"/>
    <w:rsid w:val="004503A4"/>
    <w:rsid w:val="00450555"/>
    <w:rsid w:val="004506FA"/>
    <w:rsid w:val="00450DC6"/>
    <w:rsid w:val="004516A5"/>
    <w:rsid w:val="00451E9C"/>
    <w:rsid w:val="0045280F"/>
    <w:rsid w:val="004535AE"/>
    <w:rsid w:val="0045444D"/>
    <w:rsid w:val="0045463A"/>
    <w:rsid w:val="00454AC9"/>
    <w:rsid w:val="00455050"/>
    <w:rsid w:val="004554A3"/>
    <w:rsid w:val="00455A6E"/>
    <w:rsid w:val="00455EAD"/>
    <w:rsid w:val="004578EB"/>
    <w:rsid w:val="004604D5"/>
    <w:rsid w:val="00460697"/>
    <w:rsid w:val="0046117B"/>
    <w:rsid w:val="00464AB7"/>
    <w:rsid w:val="00465DE5"/>
    <w:rsid w:val="00467EF8"/>
    <w:rsid w:val="00472429"/>
    <w:rsid w:val="004725E5"/>
    <w:rsid w:val="00472751"/>
    <w:rsid w:val="00473128"/>
    <w:rsid w:val="00473263"/>
    <w:rsid w:val="00475078"/>
    <w:rsid w:val="00475767"/>
    <w:rsid w:val="004779A0"/>
    <w:rsid w:val="004808E3"/>
    <w:rsid w:val="00481016"/>
    <w:rsid w:val="0048204C"/>
    <w:rsid w:val="004821BB"/>
    <w:rsid w:val="004826FE"/>
    <w:rsid w:val="004827D5"/>
    <w:rsid w:val="00482AF2"/>
    <w:rsid w:val="004830C9"/>
    <w:rsid w:val="00483347"/>
    <w:rsid w:val="00483E2E"/>
    <w:rsid w:val="00484B69"/>
    <w:rsid w:val="00485406"/>
    <w:rsid w:val="0048590F"/>
    <w:rsid w:val="00486D60"/>
    <w:rsid w:val="00491FA1"/>
    <w:rsid w:val="00492A25"/>
    <w:rsid w:val="004938A3"/>
    <w:rsid w:val="0049558B"/>
    <w:rsid w:val="00496350"/>
    <w:rsid w:val="0049797C"/>
    <w:rsid w:val="004A00E1"/>
    <w:rsid w:val="004A0943"/>
    <w:rsid w:val="004A1405"/>
    <w:rsid w:val="004A1FC6"/>
    <w:rsid w:val="004A2E5F"/>
    <w:rsid w:val="004A38C2"/>
    <w:rsid w:val="004A3C03"/>
    <w:rsid w:val="004A3DB7"/>
    <w:rsid w:val="004A5088"/>
    <w:rsid w:val="004A5255"/>
    <w:rsid w:val="004A6CB0"/>
    <w:rsid w:val="004A70FF"/>
    <w:rsid w:val="004A7EDE"/>
    <w:rsid w:val="004B0D93"/>
    <w:rsid w:val="004B1FA4"/>
    <w:rsid w:val="004B29AC"/>
    <w:rsid w:val="004B35DF"/>
    <w:rsid w:val="004B3627"/>
    <w:rsid w:val="004B4922"/>
    <w:rsid w:val="004B57DF"/>
    <w:rsid w:val="004B5976"/>
    <w:rsid w:val="004B7137"/>
    <w:rsid w:val="004B722E"/>
    <w:rsid w:val="004B72E8"/>
    <w:rsid w:val="004C01A5"/>
    <w:rsid w:val="004C0412"/>
    <w:rsid w:val="004C1142"/>
    <w:rsid w:val="004C2138"/>
    <w:rsid w:val="004C3940"/>
    <w:rsid w:val="004C51FD"/>
    <w:rsid w:val="004C65A8"/>
    <w:rsid w:val="004C6689"/>
    <w:rsid w:val="004D139A"/>
    <w:rsid w:val="004D14DC"/>
    <w:rsid w:val="004D17C6"/>
    <w:rsid w:val="004D2858"/>
    <w:rsid w:val="004D2E49"/>
    <w:rsid w:val="004D35BA"/>
    <w:rsid w:val="004D38E5"/>
    <w:rsid w:val="004D3C5A"/>
    <w:rsid w:val="004D449A"/>
    <w:rsid w:val="004D4701"/>
    <w:rsid w:val="004D47C7"/>
    <w:rsid w:val="004D4F35"/>
    <w:rsid w:val="004D5D45"/>
    <w:rsid w:val="004D618D"/>
    <w:rsid w:val="004D62A9"/>
    <w:rsid w:val="004D6FC3"/>
    <w:rsid w:val="004D7476"/>
    <w:rsid w:val="004D7716"/>
    <w:rsid w:val="004E0306"/>
    <w:rsid w:val="004E0572"/>
    <w:rsid w:val="004E06D5"/>
    <w:rsid w:val="004E1641"/>
    <w:rsid w:val="004E1818"/>
    <w:rsid w:val="004E1990"/>
    <w:rsid w:val="004E25A8"/>
    <w:rsid w:val="004E325D"/>
    <w:rsid w:val="004E3930"/>
    <w:rsid w:val="004E3ED9"/>
    <w:rsid w:val="004E5866"/>
    <w:rsid w:val="004E6097"/>
    <w:rsid w:val="004E61EF"/>
    <w:rsid w:val="004E63C6"/>
    <w:rsid w:val="004E76A7"/>
    <w:rsid w:val="004E7B03"/>
    <w:rsid w:val="004F0064"/>
    <w:rsid w:val="004F06AC"/>
    <w:rsid w:val="004F1D2A"/>
    <w:rsid w:val="004F243F"/>
    <w:rsid w:val="004F252C"/>
    <w:rsid w:val="004F36A3"/>
    <w:rsid w:val="004F3E0C"/>
    <w:rsid w:val="004F4308"/>
    <w:rsid w:val="004F7160"/>
    <w:rsid w:val="00500258"/>
    <w:rsid w:val="00500B2D"/>
    <w:rsid w:val="00501A99"/>
    <w:rsid w:val="00503180"/>
    <w:rsid w:val="005038A4"/>
    <w:rsid w:val="00505450"/>
    <w:rsid w:val="005100B7"/>
    <w:rsid w:val="005113C9"/>
    <w:rsid w:val="00512050"/>
    <w:rsid w:val="00512055"/>
    <w:rsid w:val="0051280C"/>
    <w:rsid w:val="00512842"/>
    <w:rsid w:val="005128BE"/>
    <w:rsid w:val="0051356F"/>
    <w:rsid w:val="00513E7C"/>
    <w:rsid w:val="005140BB"/>
    <w:rsid w:val="00514FBE"/>
    <w:rsid w:val="00514FD9"/>
    <w:rsid w:val="0051550A"/>
    <w:rsid w:val="0051608F"/>
    <w:rsid w:val="00520EF8"/>
    <w:rsid w:val="005210F7"/>
    <w:rsid w:val="00521753"/>
    <w:rsid w:val="0052239D"/>
    <w:rsid w:val="005224EE"/>
    <w:rsid w:val="00522879"/>
    <w:rsid w:val="00523BB1"/>
    <w:rsid w:val="0052570E"/>
    <w:rsid w:val="005260CD"/>
    <w:rsid w:val="00526265"/>
    <w:rsid w:val="0052655D"/>
    <w:rsid w:val="005265E0"/>
    <w:rsid w:val="00526BC3"/>
    <w:rsid w:val="00531761"/>
    <w:rsid w:val="0053248F"/>
    <w:rsid w:val="0053332A"/>
    <w:rsid w:val="0053358A"/>
    <w:rsid w:val="00534668"/>
    <w:rsid w:val="00534DDD"/>
    <w:rsid w:val="00535291"/>
    <w:rsid w:val="00535A94"/>
    <w:rsid w:val="00537874"/>
    <w:rsid w:val="0053795F"/>
    <w:rsid w:val="00537D3D"/>
    <w:rsid w:val="00540511"/>
    <w:rsid w:val="00540578"/>
    <w:rsid w:val="00540808"/>
    <w:rsid w:val="0054080E"/>
    <w:rsid w:val="00540EA1"/>
    <w:rsid w:val="0054358E"/>
    <w:rsid w:val="00543AF4"/>
    <w:rsid w:val="00544191"/>
    <w:rsid w:val="0054440C"/>
    <w:rsid w:val="005448EC"/>
    <w:rsid w:val="00544C0A"/>
    <w:rsid w:val="00544F39"/>
    <w:rsid w:val="00546F90"/>
    <w:rsid w:val="00547EFB"/>
    <w:rsid w:val="005522F2"/>
    <w:rsid w:val="005531DF"/>
    <w:rsid w:val="00553874"/>
    <w:rsid w:val="00554577"/>
    <w:rsid w:val="00554AD8"/>
    <w:rsid w:val="00554F78"/>
    <w:rsid w:val="00555DA1"/>
    <w:rsid w:val="00556BF7"/>
    <w:rsid w:val="00557F60"/>
    <w:rsid w:val="00561730"/>
    <w:rsid w:val="00561B97"/>
    <w:rsid w:val="00562149"/>
    <w:rsid w:val="00567B5D"/>
    <w:rsid w:val="005706D5"/>
    <w:rsid w:val="00570757"/>
    <w:rsid w:val="00573733"/>
    <w:rsid w:val="00573F8B"/>
    <w:rsid w:val="00574554"/>
    <w:rsid w:val="00574E06"/>
    <w:rsid w:val="005751BB"/>
    <w:rsid w:val="00576089"/>
    <w:rsid w:val="005764B1"/>
    <w:rsid w:val="00576852"/>
    <w:rsid w:val="00576D06"/>
    <w:rsid w:val="00577287"/>
    <w:rsid w:val="005779E4"/>
    <w:rsid w:val="00577F9F"/>
    <w:rsid w:val="00580EC7"/>
    <w:rsid w:val="00581132"/>
    <w:rsid w:val="0058289C"/>
    <w:rsid w:val="005836C7"/>
    <w:rsid w:val="0058408E"/>
    <w:rsid w:val="00585374"/>
    <w:rsid w:val="005854CA"/>
    <w:rsid w:val="00585FAB"/>
    <w:rsid w:val="00590B77"/>
    <w:rsid w:val="00590D9A"/>
    <w:rsid w:val="005913A3"/>
    <w:rsid w:val="005940D4"/>
    <w:rsid w:val="00594A7B"/>
    <w:rsid w:val="0059580E"/>
    <w:rsid w:val="00595D90"/>
    <w:rsid w:val="00596A6F"/>
    <w:rsid w:val="00596FCE"/>
    <w:rsid w:val="005A11BC"/>
    <w:rsid w:val="005A1525"/>
    <w:rsid w:val="005A1E17"/>
    <w:rsid w:val="005A252B"/>
    <w:rsid w:val="005A2A8F"/>
    <w:rsid w:val="005A3204"/>
    <w:rsid w:val="005A3341"/>
    <w:rsid w:val="005A3C3D"/>
    <w:rsid w:val="005A46EC"/>
    <w:rsid w:val="005A5EAE"/>
    <w:rsid w:val="005A6407"/>
    <w:rsid w:val="005A726C"/>
    <w:rsid w:val="005B07EC"/>
    <w:rsid w:val="005B2B11"/>
    <w:rsid w:val="005B32A4"/>
    <w:rsid w:val="005B3371"/>
    <w:rsid w:val="005B338D"/>
    <w:rsid w:val="005B36D7"/>
    <w:rsid w:val="005B3BAF"/>
    <w:rsid w:val="005B4DA3"/>
    <w:rsid w:val="005B5BEE"/>
    <w:rsid w:val="005B77D2"/>
    <w:rsid w:val="005C019B"/>
    <w:rsid w:val="005C08D0"/>
    <w:rsid w:val="005C1AED"/>
    <w:rsid w:val="005C30F5"/>
    <w:rsid w:val="005C51A5"/>
    <w:rsid w:val="005C557A"/>
    <w:rsid w:val="005C566F"/>
    <w:rsid w:val="005C5C47"/>
    <w:rsid w:val="005C61DD"/>
    <w:rsid w:val="005C6438"/>
    <w:rsid w:val="005C6B8B"/>
    <w:rsid w:val="005C727F"/>
    <w:rsid w:val="005D02E3"/>
    <w:rsid w:val="005D1F34"/>
    <w:rsid w:val="005D2C1F"/>
    <w:rsid w:val="005D2DE8"/>
    <w:rsid w:val="005D34B2"/>
    <w:rsid w:val="005D3B54"/>
    <w:rsid w:val="005D40CD"/>
    <w:rsid w:val="005D6B59"/>
    <w:rsid w:val="005D784B"/>
    <w:rsid w:val="005E03E4"/>
    <w:rsid w:val="005E0454"/>
    <w:rsid w:val="005E05F6"/>
    <w:rsid w:val="005E2442"/>
    <w:rsid w:val="005E3111"/>
    <w:rsid w:val="005E3F85"/>
    <w:rsid w:val="005E4A5F"/>
    <w:rsid w:val="005E57B0"/>
    <w:rsid w:val="005E5B01"/>
    <w:rsid w:val="005E6D3B"/>
    <w:rsid w:val="005F009E"/>
    <w:rsid w:val="005F0DF1"/>
    <w:rsid w:val="005F1516"/>
    <w:rsid w:val="005F229E"/>
    <w:rsid w:val="005F2564"/>
    <w:rsid w:val="005F3822"/>
    <w:rsid w:val="005F4635"/>
    <w:rsid w:val="005F4900"/>
    <w:rsid w:val="005F4E52"/>
    <w:rsid w:val="005F6D58"/>
    <w:rsid w:val="005F7383"/>
    <w:rsid w:val="0060058E"/>
    <w:rsid w:val="00601F77"/>
    <w:rsid w:val="00602A3C"/>
    <w:rsid w:val="00603EFD"/>
    <w:rsid w:val="0060475B"/>
    <w:rsid w:val="00604BED"/>
    <w:rsid w:val="00604FB6"/>
    <w:rsid w:val="00605387"/>
    <w:rsid w:val="00606302"/>
    <w:rsid w:val="006076FD"/>
    <w:rsid w:val="0061143F"/>
    <w:rsid w:val="006114D8"/>
    <w:rsid w:val="00613553"/>
    <w:rsid w:val="00613601"/>
    <w:rsid w:val="00613791"/>
    <w:rsid w:val="006150D6"/>
    <w:rsid w:val="00615245"/>
    <w:rsid w:val="0061590D"/>
    <w:rsid w:val="0061641E"/>
    <w:rsid w:val="00617EEE"/>
    <w:rsid w:val="00620A1F"/>
    <w:rsid w:val="006214DE"/>
    <w:rsid w:val="0062169D"/>
    <w:rsid w:val="0062181E"/>
    <w:rsid w:val="0062211B"/>
    <w:rsid w:val="00622BB7"/>
    <w:rsid w:val="00622C1E"/>
    <w:rsid w:val="00623389"/>
    <w:rsid w:val="00623DAA"/>
    <w:rsid w:val="00623FAF"/>
    <w:rsid w:val="006265C4"/>
    <w:rsid w:val="0062678A"/>
    <w:rsid w:val="006270AF"/>
    <w:rsid w:val="00634367"/>
    <w:rsid w:val="00640082"/>
    <w:rsid w:val="00640291"/>
    <w:rsid w:val="00640EFE"/>
    <w:rsid w:val="00641D6D"/>
    <w:rsid w:val="00641FAC"/>
    <w:rsid w:val="00643664"/>
    <w:rsid w:val="00643CAA"/>
    <w:rsid w:val="00644F16"/>
    <w:rsid w:val="006455EB"/>
    <w:rsid w:val="006456C2"/>
    <w:rsid w:val="00645A65"/>
    <w:rsid w:val="006477F0"/>
    <w:rsid w:val="006478E4"/>
    <w:rsid w:val="0065171A"/>
    <w:rsid w:val="00652680"/>
    <w:rsid w:val="00653CDE"/>
    <w:rsid w:val="00654585"/>
    <w:rsid w:val="00655AB6"/>
    <w:rsid w:val="00656281"/>
    <w:rsid w:val="0065636A"/>
    <w:rsid w:val="00657003"/>
    <w:rsid w:val="00660238"/>
    <w:rsid w:val="006602EF"/>
    <w:rsid w:val="00661277"/>
    <w:rsid w:val="006619E0"/>
    <w:rsid w:val="00663FEA"/>
    <w:rsid w:val="00664803"/>
    <w:rsid w:val="006657C5"/>
    <w:rsid w:val="006661A4"/>
    <w:rsid w:val="00666AC0"/>
    <w:rsid w:val="006670E0"/>
    <w:rsid w:val="006671B8"/>
    <w:rsid w:val="00667275"/>
    <w:rsid w:val="00667532"/>
    <w:rsid w:val="0066783E"/>
    <w:rsid w:val="00667E53"/>
    <w:rsid w:val="006711C4"/>
    <w:rsid w:val="006713AB"/>
    <w:rsid w:val="00672CA5"/>
    <w:rsid w:val="00673711"/>
    <w:rsid w:val="00673F82"/>
    <w:rsid w:val="00674F74"/>
    <w:rsid w:val="0067508F"/>
    <w:rsid w:val="00677576"/>
    <w:rsid w:val="0068051E"/>
    <w:rsid w:val="00680B9D"/>
    <w:rsid w:val="00681F13"/>
    <w:rsid w:val="0068231C"/>
    <w:rsid w:val="00682344"/>
    <w:rsid w:val="00682F28"/>
    <w:rsid w:val="00683515"/>
    <w:rsid w:val="00684842"/>
    <w:rsid w:val="006859AA"/>
    <w:rsid w:val="00685BD6"/>
    <w:rsid w:val="00687116"/>
    <w:rsid w:val="006878A6"/>
    <w:rsid w:val="00687D5F"/>
    <w:rsid w:val="00690437"/>
    <w:rsid w:val="00690DC3"/>
    <w:rsid w:val="00690E65"/>
    <w:rsid w:val="006911B7"/>
    <w:rsid w:val="00691387"/>
    <w:rsid w:val="0069188E"/>
    <w:rsid w:val="00691974"/>
    <w:rsid w:val="00692BF6"/>
    <w:rsid w:val="00692CE6"/>
    <w:rsid w:val="00693186"/>
    <w:rsid w:val="00693381"/>
    <w:rsid w:val="00693B6C"/>
    <w:rsid w:val="006942AE"/>
    <w:rsid w:val="00695421"/>
    <w:rsid w:val="00697BD3"/>
    <w:rsid w:val="00697DFA"/>
    <w:rsid w:val="006A16D5"/>
    <w:rsid w:val="006A1772"/>
    <w:rsid w:val="006A1780"/>
    <w:rsid w:val="006A21DD"/>
    <w:rsid w:val="006A26C6"/>
    <w:rsid w:val="006A3302"/>
    <w:rsid w:val="006A3B28"/>
    <w:rsid w:val="006A4FEE"/>
    <w:rsid w:val="006A703E"/>
    <w:rsid w:val="006A7BE3"/>
    <w:rsid w:val="006A7D32"/>
    <w:rsid w:val="006B01D1"/>
    <w:rsid w:val="006B0DF4"/>
    <w:rsid w:val="006B0E2B"/>
    <w:rsid w:val="006B16EA"/>
    <w:rsid w:val="006B1780"/>
    <w:rsid w:val="006B224E"/>
    <w:rsid w:val="006B376E"/>
    <w:rsid w:val="006B4589"/>
    <w:rsid w:val="006B610E"/>
    <w:rsid w:val="006B643B"/>
    <w:rsid w:val="006B6805"/>
    <w:rsid w:val="006B6DE0"/>
    <w:rsid w:val="006C16C3"/>
    <w:rsid w:val="006C2187"/>
    <w:rsid w:val="006C32F4"/>
    <w:rsid w:val="006C3C54"/>
    <w:rsid w:val="006C4B6B"/>
    <w:rsid w:val="006C4F9F"/>
    <w:rsid w:val="006C71A2"/>
    <w:rsid w:val="006C73EC"/>
    <w:rsid w:val="006D0C1D"/>
    <w:rsid w:val="006D2E9D"/>
    <w:rsid w:val="006D4A4E"/>
    <w:rsid w:val="006D4C42"/>
    <w:rsid w:val="006D5389"/>
    <w:rsid w:val="006D5809"/>
    <w:rsid w:val="006D607E"/>
    <w:rsid w:val="006D6781"/>
    <w:rsid w:val="006D6E12"/>
    <w:rsid w:val="006D70CB"/>
    <w:rsid w:val="006D715C"/>
    <w:rsid w:val="006D7363"/>
    <w:rsid w:val="006D774E"/>
    <w:rsid w:val="006D7EA2"/>
    <w:rsid w:val="006E0754"/>
    <w:rsid w:val="006E2668"/>
    <w:rsid w:val="006E2D39"/>
    <w:rsid w:val="006E32B0"/>
    <w:rsid w:val="006E348E"/>
    <w:rsid w:val="006E396A"/>
    <w:rsid w:val="006E3D63"/>
    <w:rsid w:val="006E58BF"/>
    <w:rsid w:val="006E5DD8"/>
    <w:rsid w:val="006E5EA1"/>
    <w:rsid w:val="006E6DEE"/>
    <w:rsid w:val="006E7D4B"/>
    <w:rsid w:val="006F0760"/>
    <w:rsid w:val="006F11E2"/>
    <w:rsid w:val="006F2574"/>
    <w:rsid w:val="006F3221"/>
    <w:rsid w:val="006F3231"/>
    <w:rsid w:val="006F3DE3"/>
    <w:rsid w:val="006F4787"/>
    <w:rsid w:val="006F5C43"/>
    <w:rsid w:val="006F61D8"/>
    <w:rsid w:val="006F62B7"/>
    <w:rsid w:val="006F70BC"/>
    <w:rsid w:val="006F734B"/>
    <w:rsid w:val="006F7E7C"/>
    <w:rsid w:val="0070174E"/>
    <w:rsid w:val="007018DB"/>
    <w:rsid w:val="00701DE6"/>
    <w:rsid w:val="00702740"/>
    <w:rsid w:val="0070381B"/>
    <w:rsid w:val="007076DD"/>
    <w:rsid w:val="0070796C"/>
    <w:rsid w:val="007109BB"/>
    <w:rsid w:val="00710EBF"/>
    <w:rsid w:val="007110B8"/>
    <w:rsid w:val="0071209F"/>
    <w:rsid w:val="007125A2"/>
    <w:rsid w:val="00713DD9"/>
    <w:rsid w:val="00713F79"/>
    <w:rsid w:val="007148A8"/>
    <w:rsid w:val="00716AC8"/>
    <w:rsid w:val="00716E54"/>
    <w:rsid w:val="00717421"/>
    <w:rsid w:val="0072033C"/>
    <w:rsid w:val="00720B1B"/>
    <w:rsid w:val="00721062"/>
    <w:rsid w:val="00721E5D"/>
    <w:rsid w:val="007229D4"/>
    <w:rsid w:val="007230F8"/>
    <w:rsid w:val="007233F4"/>
    <w:rsid w:val="00724044"/>
    <w:rsid w:val="007248D3"/>
    <w:rsid w:val="00724DF8"/>
    <w:rsid w:val="00725137"/>
    <w:rsid w:val="00725378"/>
    <w:rsid w:val="00727A43"/>
    <w:rsid w:val="00727FF2"/>
    <w:rsid w:val="00730550"/>
    <w:rsid w:val="00730C2A"/>
    <w:rsid w:val="00731434"/>
    <w:rsid w:val="00731E59"/>
    <w:rsid w:val="007323E0"/>
    <w:rsid w:val="00732911"/>
    <w:rsid w:val="00733721"/>
    <w:rsid w:val="00733DE2"/>
    <w:rsid w:val="007352EA"/>
    <w:rsid w:val="0073625F"/>
    <w:rsid w:val="0073792F"/>
    <w:rsid w:val="00740C81"/>
    <w:rsid w:val="00740DA6"/>
    <w:rsid w:val="00741B4B"/>
    <w:rsid w:val="00741D1E"/>
    <w:rsid w:val="00741DD6"/>
    <w:rsid w:val="00741EE2"/>
    <w:rsid w:val="0074207F"/>
    <w:rsid w:val="00742367"/>
    <w:rsid w:val="00742EAA"/>
    <w:rsid w:val="00743360"/>
    <w:rsid w:val="00743818"/>
    <w:rsid w:val="00743857"/>
    <w:rsid w:val="007441FB"/>
    <w:rsid w:val="00744517"/>
    <w:rsid w:val="0074522A"/>
    <w:rsid w:val="00747295"/>
    <w:rsid w:val="00747829"/>
    <w:rsid w:val="00747DE2"/>
    <w:rsid w:val="007504BF"/>
    <w:rsid w:val="007506CD"/>
    <w:rsid w:val="0075267F"/>
    <w:rsid w:val="007526EC"/>
    <w:rsid w:val="007527F7"/>
    <w:rsid w:val="00753C48"/>
    <w:rsid w:val="00754250"/>
    <w:rsid w:val="00754FE4"/>
    <w:rsid w:val="00755216"/>
    <w:rsid w:val="00756236"/>
    <w:rsid w:val="00756271"/>
    <w:rsid w:val="00756348"/>
    <w:rsid w:val="00756521"/>
    <w:rsid w:val="00756AB7"/>
    <w:rsid w:val="0076106D"/>
    <w:rsid w:val="007623FB"/>
    <w:rsid w:val="00762517"/>
    <w:rsid w:val="00763240"/>
    <w:rsid w:val="0076376A"/>
    <w:rsid w:val="007648AD"/>
    <w:rsid w:val="0076504E"/>
    <w:rsid w:val="00767BFD"/>
    <w:rsid w:val="00767EA0"/>
    <w:rsid w:val="0077068F"/>
    <w:rsid w:val="00771EDF"/>
    <w:rsid w:val="00772A90"/>
    <w:rsid w:val="00772F8D"/>
    <w:rsid w:val="0077408D"/>
    <w:rsid w:val="00774270"/>
    <w:rsid w:val="007743F6"/>
    <w:rsid w:val="00775679"/>
    <w:rsid w:val="0077574F"/>
    <w:rsid w:val="00775823"/>
    <w:rsid w:val="007777CC"/>
    <w:rsid w:val="00777B32"/>
    <w:rsid w:val="0078051E"/>
    <w:rsid w:val="00781089"/>
    <w:rsid w:val="007838F3"/>
    <w:rsid w:val="007856FE"/>
    <w:rsid w:val="00785F46"/>
    <w:rsid w:val="007865F4"/>
    <w:rsid w:val="00786D5C"/>
    <w:rsid w:val="00786E96"/>
    <w:rsid w:val="00787DFF"/>
    <w:rsid w:val="00787F93"/>
    <w:rsid w:val="00791E6D"/>
    <w:rsid w:val="00791EB5"/>
    <w:rsid w:val="00791FF2"/>
    <w:rsid w:val="00793696"/>
    <w:rsid w:val="007955DA"/>
    <w:rsid w:val="00796F65"/>
    <w:rsid w:val="007A11C2"/>
    <w:rsid w:val="007A18BB"/>
    <w:rsid w:val="007A27DD"/>
    <w:rsid w:val="007A41BF"/>
    <w:rsid w:val="007A490A"/>
    <w:rsid w:val="007A7B95"/>
    <w:rsid w:val="007B0297"/>
    <w:rsid w:val="007B02FA"/>
    <w:rsid w:val="007B0F53"/>
    <w:rsid w:val="007B21AE"/>
    <w:rsid w:val="007B2570"/>
    <w:rsid w:val="007B3113"/>
    <w:rsid w:val="007B3304"/>
    <w:rsid w:val="007B7490"/>
    <w:rsid w:val="007C0525"/>
    <w:rsid w:val="007C13F7"/>
    <w:rsid w:val="007C218D"/>
    <w:rsid w:val="007C2D28"/>
    <w:rsid w:val="007C3E22"/>
    <w:rsid w:val="007C5B90"/>
    <w:rsid w:val="007C6218"/>
    <w:rsid w:val="007C6484"/>
    <w:rsid w:val="007C67C6"/>
    <w:rsid w:val="007C78BE"/>
    <w:rsid w:val="007C7E59"/>
    <w:rsid w:val="007D0476"/>
    <w:rsid w:val="007D0B91"/>
    <w:rsid w:val="007D1386"/>
    <w:rsid w:val="007D1452"/>
    <w:rsid w:val="007D3DCB"/>
    <w:rsid w:val="007D460C"/>
    <w:rsid w:val="007D4996"/>
    <w:rsid w:val="007D4AD3"/>
    <w:rsid w:val="007D5D19"/>
    <w:rsid w:val="007D5FDC"/>
    <w:rsid w:val="007D6176"/>
    <w:rsid w:val="007D6D68"/>
    <w:rsid w:val="007E32DA"/>
    <w:rsid w:val="007E4998"/>
    <w:rsid w:val="007E4A9C"/>
    <w:rsid w:val="007E6914"/>
    <w:rsid w:val="007E7F78"/>
    <w:rsid w:val="007F0179"/>
    <w:rsid w:val="007F2C13"/>
    <w:rsid w:val="007F2CEC"/>
    <w:rsid w:val="007F3435"/>
    <w:rsid w:val="007F55DE"/>
    <w:rsid w:val="007F762D"/>
    <w:rsid w:val="007F78F0"/>
    <w:rsid w:val="007F78FF"/>
    <w:rsid w:val="008001C5"/>
    <w:rsid w:val="00800F6C"/>
    <w:rsid w:val="00801065"/>
    <w:rsid w:val="00802C0B"/>
    <w:rsid w:val="008051FC"/>
    <w:rsid w:val="008055A9"/>
    <w:rsid w:val="008056C4"/>
    <w:rsid w:val="008057FD"/>
    <w:rsid w:val="00805D8B"/>
    <w:rsid w:val="00810BB6"/>
    <w:rsid w:val="00810E8E"/>
    <w:rsid w:val="00812C44"/>
    <w:rsid w:val="008135E1"/>
    <w:rsid w:val="00813779"/>
    <w:rsid w:val="00813E26"/>
    <w:rsid w:val="0081481D"/>
    <w:rsid w:val="00814BE8"/>
    <w:rsid w:val="00814F6E"/>
    <w:rsid w:val="00815363"/>
    <w:rsid w:val="00815B84"/>
    <w:rsid w:val="00816BE9"/>
    <w:rsid w:val="0082027C"/>
    <w:rsid w:val="00822518"/>
    <w:rsid w:val="008226F5"/>
    <w:rsid w:val="00823FC6"/>
    <w:rsid w:val="00824306"/>
    <w:rsid w:val="00825C74"/>
    <w:rsid w:val="00825CFA"/>
    <w:rsid w:val="00826AB9"/>
    <w:rsid w:val="00826E0E"/>
    <w:rsid w:val="00827D11"/>
    <w:rsid w:val="00827E0F"/>
    <w:rsid w:val="00827F6E"/>
    <w:rsid w:val="00831758"/>
    <w:rsid w:val="008317D9"/>
    <w:rsid w:val="0083279F"/>
    <w:rsid w:val="008334DB"/>
    <w:rsid w:val="00833B7F"/>
    <w:rsid w:val="00833E8E"/>
    <w:rsid w:val="00834906"/>
    <w:rsid w:val="00836075"/>
    <w:rsid w:val="00836417"/>
    <w:rsid w:val="00836A3E"/>
    <w:rsid w:val="00837526"/>
    <w:rsid w:val="008407A7"/>
    <w:rsid w:val="0084322B"/>
    <w:rsid w:val="00843F81"/>
    <w:rsid w:val="00844087"/>
    <w:rsid w:val="00844526"/>
    <w:rsid w:val="008448F1"/>
    <w:rsid w:val="0084519E"/>
    <w:rsid w:val="00845CAE"/>
    <w:rsid w:val="00846370"/>
    <w:rsid w:val="008477E7"/>
    <w:rsid w:val="00847C2B"/>
    <w:rsid w:val="00850272"/>
    <w:rsid w:val="008506B9"/>
    <w:rsid w:val="00851822"/>
    <w:rsid w:val="008532BF"/>
    <w:rsid w:val="008539B2"/>
    <w:rsid w:val="00853BF4"/>
    <w:rsid w:val="00854294"/>
    <w:rsid w:val="0085572E"/>
    <w:rsid w:val="0085788B"/>
    <w:rsid w:val="00857A9E"/>
    <w:rsid w:val="00857DE2"/>
    <w:rsid w:val="00863A8E"/>
    <w:rsid w:val="0086407F"/>
    <w:rsid w:val="008645E3"/>
    <w:rsid w:val="00864E79"/>
    <w:rsid w:val="0086661F"/>
    <w:rsid w:val="00866A0D"/>
    <w:rsid w:val="00866DB5"/>
    <w:rsid w:val="0086701D"/>
    <w:rsid w:val="0086702B"/>
    <w:rsid w:val="008672E2"/>
    <w:rsid w:val="0086784E"/>
    <w:rsid w:val="0087121C"/>
    <w:rsid w:val="00871FD2"/>
    <w:rsid w:val="00872084"/>
    <w:rsid w:val="00872827"/>
    <w:rsid w:val="00872A32"/>
    <w:rsid w:val="00874911"/>
    <w:rsid w:val="008754E4"/>
    <w:rsid w:val="00876EAE"/>
    <w:rsid w:val="00880106"/>
    <w:rsid w:val="00880F95"/>
    <w:rsid w:val="00882B44"/>
    <w:rsid w:val="008838AD"/>
    <w:rsid w:val="008864B3"/>
    <w:rsid w:val="008865E5"/>
    <w:rsid w:val="008871B0"/>
    <w:rsid w:val="00890B57"/>
    <w:rsid w:val="008916BA"/>
    <w:rsid w:val="0089217C"/>
    <w:rsid w:val="00892790"/>
    <w:rsid w:val="008931DA"/>
    <w:rsid w:val="00893671"/>
    <w:rsid w:val="008946DC"/>
    <w:rsid w:val="00895838"/>
    <w:rsid w:val="00895A1E"/>
    <w:rsid w:val="00895A72"/>
    <w:rsid w:val="00895CDF"/>
    <w:rsid w:val="00896679"/>
    <w:rsid w:val="00896D8C"/>
    <w:rsid w:val="008A0FC9"/>
    <w:rsid w:val="008A1956"/>
    <w:rsid w:val="008A1A7C"/>
    <w:rsid w:val="008A2CE2"/>
    <w:rsid w:val="008A40D3"/>
    <w:rsid w:val="008A469C"/>
    <w:rsid w:val="008A51D1"/>
    <w:rsid w:val="008A5DCE"/>
    <w:rsid w:val="008A75D3"/>
    <w:rsid w:val="008B05DD"/>
    <w:rsid w:val="008B07B8"/>
    <w:rsid w:val="008B17E8"/>
    <w:rsid w:val="008B2E7C"/>
    <w:rsid w:val="008B321A"/>
    <w:rsid w:val="008B399A"/>
    <w:rsid w:val="008B45F0"/>
    <w:rsid w:val="008B4A70"/>
    <w:rsid w:val="008B502F"/>
    <w:rsid w:val="008B6DFC"/>
    <w:rsid w:val="008B7227"/>
    <w:rsid w:val="008C02FB"/>
    <w:rsid w:val="008C04E0"/>
    <w:rsid w:val="008C191C"/>
    <w:rsid w:val="008C1DA4"/>
    <w:rsid w:val="008C29B0"/>
    <w:rsid w:val="008C2CD5"/>
    <w:rsid w:val="008C3618"/>
    <w:rsid w:val="008C39E7"/>
    <w:rsid w:val="008C43AD"/>
    <w:rsid w:val="008C6118"/>
    <w:rsid w:val="008C6341"/>
    <w:rsid w:val="008C731F"/>
    <w:rsid w:val="008C74D9"/>
    <w:rsid w:val="008D03C2"/>
    <w:rsid w:val="008D12FB"/>
    <w:rsid w:val="008D3B2D"/>
    <w:rsid w:val="008D58D9"/>
    <w:rsid w:val="008D5AD4"/>
    <w:rsid w:val="008D695E"/>
    <w:rsid w:val="008D6DD5"/>
    <w:rsid w:val="008D6E59"/>
    <w:rsid w:val="008D7155"/>
    <w:rsid w:val="008D76E0"/>
    <w:rsid w:val="008E0B29"/>
    <w:rsid w:val="008E141A"/>
    <w:rsid w:val="008E1A44"/>
    <w:rsid w:val="008E1E55"/>
    <w:rsid w:val="008E28E6"/>
    <w:rsid w:val="008E3232"/>
    <w:rsid w:val="008E3674"/>
    <w:rsid w:val="008E3B6C"/>
    <w:rsid w:val="008E3DE7"/>
    <w:rsid w:val="008E562C"/>
    <w:rsid w:val="008E6540"/>
    <w:rsid w:val="008E77D4"/>
    <w:rsid w:val="008E7ADD"/>
    <w:rsid w:val="008F091F"/>
    <w:rsid w:val="008F17B2"/>
    <w:rsid w:val="008F22B3"/>
    <w:rsid w:val="008F357B"/>
    <w:rsid w:val="008F44CA"/>
    <w:rsid w:val="008F49D3"/>
    <w:rsid w:val="008F62C1"/>
    <w:rsid w:val="008F6519"/>
    <w:rsid w:val="008F7012"/>
    <w:rsid w:val="008F7ADA"/>
    <w:rsid w:val="008F7B17"/>
    <w:rsid w:val="00900042"/>
    <w:rsid w:val="0090034B"/>
    <w:rsid w:val="00901121"/>
    <w:rsid w:val="00902623"/>
    <w:rsid w:val="00902A67"/>
    <w:rsid w:val="00902C5E"/>
    <w:rsid w:val="00904BE4"/>
    <w:rsid w:val="0090504A"/>
    <w:rsid w:val="009051F5"/>
    <w:rsid w:val="00905221"/>
    <w:rsid w:val="00905A7C"/>
    <w:rsid w:val="00905D7E"/>
    <w:rsid w:val="00907037"/>
    <w:rsid w:val="0091112C"/>
    <w:rsid w:val="0091160A"/>
    <w:rsid w:val="00912E04"/>
    <w:rsid w:val="00913258"/>
    <w:rsid w:val="00913851"/>
    <w:rsid w:val="00913BB0"/>
    <w:rsid w:val="0091456C"/>
    <w:rsid w:val="00914C58"/>
    <w:rsid w:val="0091564D"/>
    <w:rsid w:val="009156DA"/>
    <w:rsid w:val="00915774"/>
    <w:rsid w:val="00916BC5"/>
    <w:rsid w:val="0091726A"/>
    <w:rsid w:val="00917C01"/>
    <w:rsid w:val="00920184"/>
    <w:rsid w:val="00920EA4"/>
    <w:rsid w:val="00921792"/>
    <w:rsid w:val="00921BEA"/>
    <w:rsid w:val="009227BE"/>
    <w:rsid w:val="009238FD"/>
    <w:rsid w:val="00923998"/>
    <w:rsid w:val="00923DB4"/>
    <w:rsid w:val="0092420B"/>
    <w:rsid w:val="0092430E"/>
    <w:rsid w:val="00924570"/>
    <w:rsid w:val="00926112"/>
    <w:rsid w:val="0092625F"/>
    <w:rsid w:val="00926B28"/>
    <w:rsid w:val="00926D9C"/>
    <w:rsid w:val="00927028"/>
    <w:rsid w:val="00927763"/>
    <w:rsid w:val="00927A2D"/>
    <w:rsid w:val="00927B37"/>
    <w:rsid w:val="00931917"/>
    <w:rsid w:val="009321B1"/>
    <w:rsid w:val="00932ED7"/>
    <w:rsid w:val="009333CF"/>
    <w:rsid w:val="0093422D"/>
    <w:rsid w:val="0093483B"/>
    <w:rsid w:val="00934CF9"/>
    <w:rsid w:val="00934DD7"/>
    <w:rsid w:val="009369A9"/>
    <w:rsid w:val="00936CF7"/>
    <w:rsid w:val="00937783"/>
    <w:rsid w:val="00937EAD"/>
    <w:rsid w:val="00937F28"/>
    <w:rsid w:val="00940FE1"/>
    <w:rsid w:val="00942306"/>
    <w:rsid w:val="00942384"/>
    <w:rsid w:val="009424B8"/>
    <w:rsid w:val="00944668"/>
    <w:rsid w:val="00944DC6"/>
    <w:rsid w:val="009458B0"/>
    <w:rsid w:val="00945B52"/>
    <w:rsid w:val="00945B7A"/>
    <w:rsid w:val="00945F05"/>
    <w:rsid w:val="00946348"/>
    <w:rsid w:val="00947797"/>
    <w:rsid w:val="009478A2"/>
    <w:rsid w:val="00953808"/>
    <w:rsid w:val="009539A6"/>
    <w:rsid w:val="00954032"/>
    <w:rsid w:val="00954537"/>
    <w:rsid w:val="0095472D"/>
    <w:rsid w:val="00955FBB"/>
    <w:rsid w:val="0095694B"/>
    <w:rsid w:val="00956BD5"/>
    <w:rsid w:val="00956D84"/>
    <w:rsid w:val="009577B5"/>
    <w:rsid w:val="009608E6"/>
    <w:rsid w:val="00960F57"/>
    <w:rsid w:val="00961C90"/>
    <w:rsid w:val="00965443"/>
    <w:rsid w:val="00965954"/>
    <w:rsid w:val="00965A21"/>
    <w:rsid w:val="00965E55"/>
    <w:rsid w:val="0096608E"/>
    <w:rsid w:val="00966522"/>
    <w:rsid w:val="00966C33"/>
    <w:rsid w:val="00966FCB"/>
    <w:rsid w:val="00970F18"/>
    <w:rsid w:val="00971CF1"/>
    <w:rsid w:val="00971F5D"/>
    <w:rsid w:val="009721E9"/>
    <w:rsid w:val="00973772"/>
    <w:rsid w:val="0097471B"/>
    <w:rsid w:val="0097560A"/>
    <w:rsid w:val="00975E1E"/>
    <w:rsid w:val="00975E70"/>
    <w:rsid w:val="009761DE"/>
    <w:rsid w:val="009766FA"/>
    <w:rsid w:val="00977CD6"/>
    <w:rsid w:val="0098048B"/>
    <w:rsid w:val="00980DF9"/>
    <w:rsid w:val="00981150"/>
    <w:rsid w:val="0098243D"/>
    <w:rsid w:val="00982D26"/>
    <w:rsid w:val="00983B6E"/>
    <w:rsid w:val="00983FE5"/>
    <w:rsid w:val="009849E9"/>
    <w:rsid w:val="009859E4"/>
    <w:rsid w:val="00987812"/>
    <w:rsid w:val="00990225"/>
    <w:rsid w:val="00992A13"/>
    <w:rsid w:val="00994AAD"/>
    <w:rsid w:val="00994DE1"/>
    <w:rsid w:val="00995150"/>
    <w:rsid w:val="00995D67"/>
    <w:rsid w:val="009A013B"/>
    <w:rsid w:val="009A02F4"/>
    <w:rsid w:val="009A06BF"/>
    <w:rsid w:val="009A0D17"/>
    <w:rsid w:val="009A2494"/>
    <w:rsid w:val="009A32B1"/>
    <w:rsid w:val="009A33A3"/>
    <w:rsid w:val="009A36F2"/>
    <w:rsid w:val="009A40C3"/>
    <w:rsid w:val="009A40D5"/>
    <w:rsid w:val="009A57D0"/>
    <w:rsid w:val="009A6559"/>
    <w:rsid w:val="009A68FC"/>
    <w:rsid w:val="009A6CE4"/>
    <w:rsid w:val="009A7514"/>
    <w:rsid w:val="009A7E7A"/>
    <w:rsid w:val="009B1584"/>
    <w:rsid w:val="009B18F0"/>
    <w:rsid w:val="009B1F4C"/>
    <w:rsid w:val="009B2471"/>
    <w:rsid w:val="009B314F"/>
    <w:rsid w:val="009B439C"/>
    <w:rsid w:val="009B46BC"/>
    <w:rsid w:val="009B49A1"/>
    <w:rsid w:val="009B4A6C"/>
    <w:rsid w:val="009B4DA8"/>
    <w:rsid w:val="009B519A"/>
    <w:rsid w:val="009B620C"/>
    <w:rsid w:val="009B6753"/>
    <w:rsid w:val="009B676C"/>
    <w:rsid w:val="009B6A26"/>
    <w:rsid w:val="009C079D"/>
    <w:rsid w:val="009C0D70"/>
    <w:rsid w:val="009C13D1"/>
    <w:rsid w:val="009C2913"/>
    <w:rsid w:val="009C2BD4"/>
    <w:rsid w:val="009C5AFE"/>
    <w:rsid w:val="009C6606"/>
    <w:rsid w:val="009C6CE5"/>
    <w:rsid w:val="009C6D50"/>
    <w:rsid w:val="009C7547"/>
    <w:rsid w:val="009D05EC"/>
    <w:rsid w:val="009D18D4"/>
    <w:rsid w:val="009D2F60"/>
    <w:rsid w:val="009D3A2E"/>
    <w:rsid w:val="009D5ADE"/>
    <w:rsid w:val="009D5BAC"/>
    <w:rsid w:val="009D5C56"/>
    <w:rsid w:val="009D6265"/>
    <w:rsid w:val="009D64BD"/>
    <w:rsid w:val="009D6CB1"/>
    <w:rsid w:val="009E0286"/>
    <w:rsid w:val="009E153F"/>
    <w:rsid w:val="009E322A"/>
    <w:rsid w:val="009E393E"/>
    <w:rsid w:val="009E444E"/>
    <w:rsid w:val="009E4968"/>
    <w:rsid w:val="009E663C"/>
    <w:rsid w:val="009E684A"/>
    <w:rsid w:val="009E6BB1"/>
    <w:rsid w:val="009E6E14"/>
    <w:rsid w:val="009E794A"/>
    <w:rsid w:val="009E7C14"/>
    <w:rsid w:val="009F0494"/>
    <w:rsid w:val="009F0CD9"/>
    <w:rsid w:val="009F1A79"/>
    <w:rsid w:val="009F1F57"/>
    <w:rsid w:val="009F2DDD"/>
    <w:rsid w:val="009F3447"/>
    <w:rsid w:val="009F65F4"/>
    <w:rsid w:val="009F676B"/>
    <w:rsid w:val="009F6D2D"/>
    <w:rsid w:val="009F6D54"/>
    <w:rsid w:val="00A0010C"/>
    <w:rsid w:val="00A004DF"/>
    <w:rsid w:val="00A00FD5"/>
    <w:rsid w:val="00A012C0"/>
    <w:rsid w:val="00A019A8"/>
    <w:rsid w:val="00A01B03"/>
    <w:rsid w:val="00A01B89"/>
    <w:rsid w:val="00A02C66"/>
    <w:rsid w:val="00A02C84"/>
    <w:rsid w:val="00A0464C"/>
    <w:rsid w:val="00A050BB"/>
    <w:rsid w:val="00A054E0"/>
    <w:rsid w:val="00A05D91"/>
    <w:rsid w:val="00A0740B"/>
    <w:rsid w:val="00A07ED3"/>
    <w:rsid w:val="00A10CA8"/>
    <w:rsid w:val="00A11042"/>
    <w:rsid w:val="00A12579"/>
    <w:rsid w:val="00A133D8"/>
    <w:rsid w:val="00A15655"/>
    <w:rsid w:val="00A160B0"/>
    <w:rsid w:val="00A1740C"/>
    <w:rsid w:val="00A20069"/>
    <w:rsid w:val="00A2244D"/>
    <w:rsid w:val="00A2253D"/>
    <w:rsid w:val="00A2267F"/>
    <w:rsid w:val="00A22CDB"/>
    <w:rsid w:val="00A247B8"/>
    <w:rsid w:val="00A2495A"/>
    <w:rsid w:val="00A24C7A"/>
    <w:rsid w:val="00A24D8F"/>
    <w:rsid w:val="00A25B8B"/>
    <w:rsid w:val="00A25C5D"/>
    <w:rsid w:val="00A2689F"/>
    <w:rsid w:val="00A26ECA"/>
    <w:rsid w:val="00A27461"/>
    <w:rsid w:val="00A27D67"/>
    <w:rsid w:val="00A30ABC"/>
    <w:rsid w:val="00A33B74"/>
    <w:rsid w:val="00A3467F"/>
    <w:rsid w:val="00A34B4C"/>
    <w:rsid w:val="00A35030"/>
    <w:rsid w:val="00A3551A"/>
    <w:rsid w:val="00A366A0"/>
    <w:rsid w:val="00A37209"/>
    <w:rsid w:val="00A37584"/>
    <w:rsid w:val="00A376E8"/>
    <w:rsid w:val="00A37F8E"/>
    <w:rsid w:val="00A41537"/>
    <w:rsid w:val="00A41737"/>
    <w:rsid w:val="00A42B8F"/>
    <w:rsid w:val="00A42D8E"/>
    <w:rsid w:val="00A43254"/>
    <w:rsid w:val="00A43896"/>
    <w:rsid w:val="00A43A26"/>
    <w:rsid w:val="00A447A0"/>
    <w:rsid w:val="00A459F5"/>
    <w:rsid w:val="00A45FC0"/>
    <w:rsid w:val="00A46B74"/>
    <w:rsid w:val="00A47ECC"/>
    <w:rsid w:val="00A50171"/>
    <w:rsid w:val="00A504FA"/>
    <w:rsid w:val="00A5102E"/>
    <w:rsid w:val="00A5132E"/>
    <w:rsid w:val="00A51375"/>
    <w:rsid w:val="00A51533"/>
    <w:rsid w:val="00A531D4"/>
    <w:rsid w:val="00A54572"/>
    <w:rsid w:val="00A575B8"/>
    <w:rsid w:val="00A61C60"/>
    <w:rsid w:val="00A61ECB"/>
    <w:rsid w:val="00A6410C"/>
    <w:rsid w:val="00A647B1"/>
    <w:rsid w:val="00A64DEF"/>
    <w:rsid w:val="00A654D2"/>
    <w:rsid w:val="00A665DF"/>
    <w:rsid w:val="00A67928"/>
    <w:rsid w:val="00A67FCC"/>
    <w:rsid w:val="00A70AA5"/>
    <w:rsid w:val="00A70C03"/>
    <w:rsid w:val="00A71256"/>
    <w:rsid w:val="00A7217B"/>
    <w:rsid w:val="00A73861"/>
    <w:rsid w:val="00A739A6"/>
    <w:rsid w:val="00A740ED"/>
    <w:rsid w:val="00A74C29"/>
    <w:rsid w:val="00A74C62"/>
    <w:rsid w:val="00A75DF5"/>
    <w:rsid w:val="00A75EF9"/>
    <w:rsid w:val="00A8311C"/>
    <w:rsid w:val="00A835D0"/>
    <w:rsid w:val="00A84C5F"/>
    <w:rsid w:val="00A85930"/>
    <w:rsid w:val="00A863F7"/>
    <w:rsid w:val="00A86604"/>
    <w:rsid w:val="00A87519"/>
    <w:rsid w:val="00A9246D"/>
    <w:rsid w:val="00A92CCA"/>
    <w:rsid w:val="00A93BD0"/>
    <w:rsid w:val="00A93CC2"/>
    <w:rsid w:val="00A974CC"/>
    <w:rsid w:val="00AA1067"/>
    <w:rsid w:val="00AA2001"/>
    <w:rsid w:val="00AA2B5C"/>
    <w:rsid w:val="00AA32D2"/>
    <w:rsid w:val="00AA4016"/>
    <w:rsid w:val="00AA4C1F"/>
    <w:rsid w:val="00AA5328"/>
    <w:rsid w:val="00AA5393"/>
    <w:rsid w:val="00AA63D4"/>
    <w:rsid w:val="00AB03FD"/>
    <w:rsid w:val="00AB2000"/>
    <w:rsid w:val="00AB2E94"/>
    <w:rsid w:val="00AB38CB"/>
    <w:rsid w:val="00AB3BEC"/>
    <w:rsid w:val="00AB44E4"/>
    <w:rsid w:val="00AB4AEB"/>
    <w:rsid w:val="00AB4E5F"/>
    <w:rsid w:val="00AB5352"/>
    <w:rsid w:val="00AB56AE"/>
    <w:rsid w:val="00AB62D5"/>
    <w:rsid w:val="00AB65B5"/>
    <w:rsid w:val="00AB6DCD"/>
    <w:rsid w:val="00AB6EE0"/>
    <w:rsid w:val="00AC17A2"/>
    <w:rsid w:val="00AC40B7"/>
    <w:rsid w:val="00AC531F"/>
    <w:rsid w:val="00AC5B36"/>
    <w:rsid w:val="00AC6377"/>
    <w:rsid w:val="00AC66A4"/>
    <w:rsid w:val="00AC6CB1"/>
    <w:rsid w:val="00AC7D6D"/>
    <w:rsid w:val="00AD0091"/>
    <w:rsid w:val="00AD23EF"/>
    <w:rsid w:val="00AD2662"/>
    <w:rsid w:val="00AD307B"/>
    <w:rsid w:val="00AD4014"/>
    <w:rsid w:val="00AD41B3"/>
    <w:rsid w:val="00AD5721"/>
    <w:rsid w:val="00AD5C4D"/>
    <w:rsid w:val="00AD69F0"/>
    <w:rsid w:val="00AD7127"/>
    <w:rsid w:val="00AD730C"/>
    <w:rsid w:val="00AE123A"/>
    <w:rsid w:val="00AE1539"/>
    <w:rsid w:val="00AE28A7"/>
    <w:rsid w:val="00AE2A98"/>
    <w:rsid w:val="00AE2CF2"/>
    <w:rsid w:val="00AE3012"/>
    <w:rsid w:val="00AE33A6"/>
    <w:rsid w:val="00AE3729"/>
    <w:rsid w:val="00AE4138"/>
    <w:rsid w:val="00AE4CCE"/>
    <w:rsid w:val="00AE5C6A"/>
    <w:rsid w:val="00AE6317"/>
    <w:rsid w:val="00AE6B62"/>
    <w:rsid w:val="00AE7280"/>
    <w:rsid w:val="00AF033A"/>
    <w:rsid w:val="00AF1699"/>
    <w:rsid w:val="00AF1FD3"/>
    <w:rsid w:val="00AF2910"/>
    <w:rsid w:val="00AF34B8"/>
    <w:rsid w:val="00AF3896"/>
    <w:rsid w:val="00AF3FC2"/>
    <w:rsid w:val="00B0098A"/>
    <w:rsid w:val="00B00A5F"/>
    <w:rsid w:val="00B00F89"/>
    <w:rsid w:val="00B029B8"/>
    <w:rsid w:val="00B02F60"/>
    <w:rsid w:val="00B032B8"/>
    <w:rsid w:val="00B04721"/>
    <w:rsid w:val="00B04B15"/>
    <w:rsid w:val="00B04B46"/>
    <w:rsid w:val="00B0534D"/>
    <w:rsid w:val="00B05685"/>
    <w:rsid w:val="00B05F9F"/>
    <w:rsid w:val="00B06368"/>
    <w:rsid w:val="00B068DA"/>
    <w:rsid w:val="00B06A00"/>
    <w:rsid w:val="00B06FC6"/>
    <w:rsid w:val="00B074C9"/>
    <w:rsid w:val="00B07D9D"/>
    <w:rsid w:val="00B11AE5"/>
    <w:rsid w:val="00B12FE6"/>
    <w:rsid w:val="00B1303F"/>
    <w:rsid w:val="00B1364A"/>
    <w:rsid w:val="00B13859"/>
    <w:rsid w:val="00B13EC9"/>
    <w:rsid w:val="00B14319"/>
    <w:rsid w:val="00B14A06"/>
    <w:rsid w:val="00B158E1"/>
    <w:rsid w:val="00B16715"/>
    <w:rsid w:val="00B1768E"/>
    <w:rsid w:val="00B17910"/>
    <w:rsid w:val="00B20F18"/>
    <w:rsid w:val="00B21516"/>
    <w:rsid w:val="00B21A37"/>
    <w:rsid w:val="00B21D23"/>
    <w:rsid w:val="00B21F62"/>
    <w:rsid w:val="00B22CE0"/>
    <w:rsid w:val="00B23738"/>
    <w:rsid w:val="00B23BEF"/>
    <w:rsid w:val="00B247BB"/>
    <w:rsid w:val="00B2504A"/>
    <w:rsid w:val="00B25EE6"/>
    <w:rsid w:val="00B3115A"/>
    <w:rsid w:val="00B31825"/>
    <w:rsid w:val="00B31A5C"/>
    <w:rsid w:val="00B33B06"/>
    <w:rsid w:val="00B33C19"/>
    <w:rsid w:val="00B35A15"/>
    <w:rsid w:val="00B35B45"/>
    <w:rsid w:val="00B36A99"/>
    <w:rsid w:val="00B42264"/>
    <w:rsid w:val="00B434B2"/>
    <w:rsid w:val="00B43D45"/>
    <w:rsid w:val="00B468F2"/>
    <w:rsid w:val="00B469DE"/>
    <w:rsid w:val="00B47286"/>
    <w:rsid w:val="00B50234"/>
    <w:rsid w:val="00B51BF4"/>
    <w:rsid w:val="00B52C68"/>
    <w:rsid w:val="00B5372B"/>
    <w:rsid w:val="00B542FE"/>
    <w:rsid w:val="00B55A1B"/>
    <w:rsid w:val="00B561DB"/>
    <w:rsid w:val="00B56DF9"/>
    <w:rsid w:val="00B600BD"/>
    <w:rsid w:val="00B61274"/>
    <w:rsid w:val="00B61DCE"/>
    <w:rsid w:val="00B62188"/>
    <w:rsid w:val="00B62F79"/>
    <w:rsid w:val="00B62F82"/>
    <w:rsid w:val="00B6306A"/>
    <w:rsid w:val="00B635E3"/>
    <w:rsid w:val="00B653D7"/>
    <w:rsid w:val="00B662FF"/>
    <w:rsid w:val="00B66679"/>
    <w:rsid w:val="00B70145"/>
    <w:rsid w:val="00B71A92"/>
    <w:rsid w:val="00B721D8"/>
    <w:rsid w:val="00B730CA"/>
    <w:rsid w:val="00B747C5"/>
    <w:rsid w:val="00B74F2F"/>
    <w:rsid w:val="00B753ED"/>
    <w:rsid w:val="00B769BC"/>
    <w:rsid w:val="00B77349"/>
    <w:rsid w:val="00B7761E"/>
    <w:rsid w:val="00B80A3D"/>
    <w:rsid w:val="00B80B04"/>
    <w:rsid w:val="00B8127B"/>
    <w:rsid w:val="00B819E5"/>
    <w:rsid w:val="00B821E4"/>
    <w:rsid w:val="00B823E0"/>
    <w:rsid w:val="00B8260D"/>
    <w:rsid w:val="00B82B78"/>
    <w:rsid w:val="00B845B4"/>
    <w:rsid w:val="00B84662"/>
    <w:rsid w:val="00B84C74"/>
    <w:rsid w:val="00B85191"/>
    <w:rsid w:val="00B858A1"/>
    <w:rsid w:val="00B85FEC"/>
    <w:rsid w:val="00B864A3"/>
    <w:rsid w:val="00B86C2A"/>
    <w:rsid w:val="00B878BE"/>
    <w:rsid w:val="00B902A5"/>
    <w:rsid w:val="00B90420"/>
    <w:rsid w:val="00B90848"/>
    <w:rsid w:val="00B91146"/>
    <w:rsid w:val="00B913E4"/>
    <w:rsid w:val="00B91DB9"/>
    <w:rsid w:val="00B91FF3"/>
    <w:rsid w:val="00B93EFE"/>
    <w:rsid w:val="00B944B9"/>
    <w:rsid w:val="00B94956"/>
    <w:rsid w:val="00B94C7F"/>
    <w:rsid w:val="00B94E93"/>
    <w:rsid w:val="00B956B5"/>
    <w:rsid w:val="00B96DF2"/>
    <w:rsid w:val="00B96E18"/>
    <w:rsid w:val="00B96F5A"/>
    <w:rsid w:val="00BA0B39"/>
    <w:rsid w:val="00BA0CB2"/>
    <w:rsid w:val="00BA0E26"/>
    <w:rsid w:val="00BA138B"/>
    <w:rsid w:val="00BA305B"/>
    <w:rsid w:val="00BA31BF"/>
    <w:rsid w:val="00BA3FC7"/>
    <w:rsid w:val="00BA478B"/>
    <w:rsid w:val="00BA5224"/>
    <w:rsid w:val="00BA575E"/>
    <w:rsid w:val="00BA76B7"/>
    <w:rsid w:val="00BA7E3B"/>
    <w:rsid w:val="00BB078D"/>
    <w:rsid w:val="00BB079C"/>
    <w:rsid w:val="00BB0D7A"/>
    <w:rsid w:val="00BB10E1"/>
    <w:rsid w:val="00BB2471"/>
    <w:rsid w:val="00BB25B8"/>
    <w:rsid w:val="00BB3035"/>
    <w:rsid w:val="00BB39C1"/>
    <w:rsid w:val="00BB3DF5"/>
    <w:rsid w:val="00BB5D16"/>
    <w:rsid w:val="00BB6180"/>
    <w:rsid w:val="00BB69E6"/>
    <w:rsid w:val="00BB7BE5"/>
    <w:rsid w:val="00BC08BD"/>
    <w:rsid w:val="00BC11E8"/>
    <w:rsid w:val="00BC1B7A"/>
    <w:rsid w:val="00BC2C17"/>
    <w:rsid w:val="00BC3ACD"/>
    <w:rsid w:val="00BC3B20"/>
    <w:rsid w:val="00BC3EE4"/>
    <w:rsid w:val="00BC588C"/>
    <w:rsid w:val="00BC62F4"/>
    <w:rsid w:val="00BC6E73"/>
    <w:rsid w:val="00BC74D3"/>
    <w:rsid w:val="00BD0014"/>
    <w:rsid w:val="00BD01D8"/>
    <w:rsid w:val="00BD255F"/>
    <w:rsid w:val="00BD2895"/>
    <w:rsid w:val="00BD4236"/>
    <w:rsid w:val="00BD483B"/>
    <w:rsid w:val="00BD5CD4"/>
    <w:rsid w:val="00BD65D9"/>
    <w:rsid w:val="00BD6DF3"/>
    <w:rsid w:val="00BD6E09"/>
    <w:rsid w:val="00BD6EF9"/>
    <w:rsid w:val="00BE0ACB"/>
    <w:rsid w:val="00BE2260"/>
    <w:rsid w:val="00BE3917"/>
    <w:rsid w:val="00BE50FD"/>
    <w:rsid w:val="00BE51CA"/>
    <w:rsid w:val="00BE537F"/>
    <w:rsid w:val="00BE5D77"/>
    <w:rsid w:val="00BE6D47"/>
    <w:rsid w:val="00BE7032"/>
    <w:rsid w:val="00BE7330"/>
    <w:rsid w:val="00BF01C5"/>
    <w:rsid w:val="00BF061A"/>
    <w:rsid w:val="00BF066A"/>
    <w:rsid w:val="00BF14CC"/>
    <w:rsid w:val="00BF1821"/>
    <w:rsid w:val="00BF4342"/>
    <w:rsid w:val="00BF4704"/>
    <w:rsid w:val="00BF4FFC"/>
    <w:rsid w:val="00BF5050"/>
    <w:rsid w:val="00BF50D1"/>
    <w:rsid w:val="00BF5422"/>
    <w:rsid w:val="00BF59B1"/>
    <w:rsid w:val="00BF6A78"/>
    <w:rsid w:val="00BF7695"/>
    <w:rsid w:val="00BF79B4"/>
    <w:rsid w:val="00BF7C61"/>
    <w:rsid w:val="00C00037"/>
    <w:rsid w:val="00C01427"/>
    <w:rsid w:val="00C014C7"/>
    <w:rsid w:val="00C047AB"/>
    <w:rsid w:val="00C058AF"/>
    <w:rsid w:val="00C075B6"/>
    <w:rsid w:val="00C124C1"/>
    <w:rsid w:val="00C128AE"/>
    <w:rsid w:val="00C12BA8"/>
    <w:rsid w:val="00C136D6"/>
    <w:rsid w:val="00C13902"/>
    <w:rsid w:val="00C13D5B"/>
    <w:rsid w:val="00C141D7"/>
    <w:rsid w:val="00C1711B"/>
    <w:rsid w:val="00C17AE2"/>
    <w:rsid w:val="00C17E00"/>
    <w:rsid w:val="00C20140"/>
    <w:rsid w:val="00C20F27"/>
    <w:rsid w:val="00C215CF"/>
    <w:rsid w:val="00C2244B"/>
    <w:rsid w:val="00C22711"/>
    <w:rsid w:val="00C2280A"/>
    <w:rsid w:val="00C22B0D"/>
    <w:rsid w:val="00C22BFF"/>
    <w:rsid w:val="00C23522"/>
    <w:rsid w:val="00C240C1"/>
    <w:rsid w:val="00C24AED"/>
    <w:rsid w:val="00C250D0"/>
    <w:rsid w:val="00C252AC"/>
    <w:rsid w:val="00C25C0F"/>
    <w:rsid w:val="00C26567"/>
    <w:rsid w:val="00C26923"/>
    <w:rsid w:val="00C27214"/>
    <w:rsid w:val="00C27597"/>
    <w:rsid w:val="00C27E5E"/>
    <w:rsid w:val="00C30382"/>
    <w:rsid w:val="00C30772"/>
    <w:rsid w:val="00C30D6F"/>
    <w:rsid w:val="00C31063"/>
    <w:rsid w:val="00C31B7E"/>
    <w:rsid w:val="00C322D1"/>
    <w:rsid w:val="00C3242A"/>
    <w:rsid w:val="00C33201"/>
    <w:rsid w:val="00C33A39"/>
    <w:rsid w:val="00C33B57"/>
    <w:rsid w:val="00C34619"/>
    <w:rsid w:val="00C35D01"/>
    <w:rsid w:val="00C360B3"/>
    <w:rsid w:val="00C37027"/>
    <w:rsid w:val="00C37B19"/>
    <w:rsid w:val="00C413CB"/>
    <w:rsid w:val="00C42752"/>
    <w:rsid w:val="00C42973"/>
    <w:rsid w:val="00C44C69"/>
    <w:rsid w:val="00C4712A"/>
    <w:rsid w:val="00C5034F"/>
    <w:rsid w:val="00C50830"/>
    <w:rsid w:val="00C52479"/>
    <w:rsid w:val="00C5266E"/>
    <w:rsid w:val="00C52C59"/>
    <w:rsid w:val="00C5349E"/>
    <w:rsid w:val="00C539FF"/>
    <w:rsid w:val="00C544BD"/>
    <w:rsid w:val="00C54D3D"/>
    <w:rsid w:val="00C55A30"/>
    <w:rsid w:val="00C56384"/>
    <w:rsid w:val="00C60F8C"/>
    <w:rsid w:val="00C61794"/>
    <w:rsid w:val="00C62A48"/>
    <w:rsid w:val="00C62AC4"/>
    <w:rsid w:val="00C62B59"/>
    <w:rsid w:val="00C62F96"/>
    <w:rsid w:val="00C631E1"/>
    <w:rsid w:val="00C638D8"/>
    <w:rsid w:val="00C63AE7"/>
    <w:rsid w:val="00C63D26"/>
    <w:rsid w:val="00C6540A"/>
    <w:rsid w:val="00C668A1"/>
    <w:rsid w:val="00C67223"/>
    <w:rsid w:val="00C707B8"/>
    <w:rsid w:val="00C712AC"/>
    <w:rsid w:val="00C71C15"/>
    <w:rsid w:val="00C71F3D"/>
    <w:rsid w:val="00C72F53"/>
    <w:rsid w:val="00C74035"/>
    <w:rsid w:val="00C748EA"/>
    <w:rsid w:val="00C77818"/>
    <w:rsid w:val="00C8063F"/>
    <w:rsid w:val="00C81282"/>
    <w:rsid w:val="00C827B4"/>
    <w:rsid w:val="00C83214"/>
    <w:rsid w:val="00C8329F"/>
    <w:rsid w:val="00C84F8A"/>
    <w:rsid w:val="00C85BA4"/>
    <w:rsid w:val="00C8618F"/>
    <w:rsid w:val="00C8625D"/>
    <w:rsid w:val="00C90372"/>
    <w:rsid w:val="00C9041F"/>
    <w:rsid w:val="00C9166B"/>
    <w:rsid w:val="00C91A45"/>
    <w:rsid w:val="00C91FB4"/>
    <w:rsid w:val="00C92150"/>
    <w:rsid w:val="00C92328"/>
    <w:rsid w:val="00C92D42"/>
    <w:rsid w:val="00C938C2"/>
    <w:rsid w:val="00C93F8A"/>
    <w:rsid w:val="00C94EA1"/>
    <w:rsid w:val="00C9511B"/>
    <w:rsid w:val="00C95745"/>
    <w:rsid w:val="00C95902"/>
    <w:rsid w:val="00C962E3"/>
    <w:rsid w:val="00C978E2"/>
    <w:rsid w:val="00C97997"/>
    <w:rsid w:val="00CA10A2"/>
    <w:rsid w:val="00CA1D83"/>
    <w:rsid w:val="00CA25C0"/>
    <w:rsid w:val="00CA3451"/>
    <w:rsid w:val="00CA35C6"/>
    <w:rsid w:val="00CA4948"/>
    <w:rsid w:val="00CA52F9"/>
    <w:rsid w:val="00CA5368"/>
    <w:rsid w:val="00CA568B"/>
    <w:rsid w:val="00CA573A"/>
    <w:rsid w:val="00CA5C58"/>
    <w:rsid w:val="00CB19D7"/>
    <w:rsid w:val="00CB19FE"/>
    <w:rsid w:val="00CB1C3F"/>
    <w:rsid w:val="00CB2364"/>
    <w:rsid w:val="00CB304C"/>
    <w:rsid w:val="00CB3933"/>
    <w:rsid w:val="00CB53E8"/>
    <w:rsid w:val="00CB594A"/>
    <w:rsid w:val="00CB5CB2"/>
    <w:rsid w:val="00CB6979"/>
    <w:rsid w:val="00CB7DDE"/>
    <w:rsid w:val="00CC0A3D"/>
    <w:rsid w:val="00CC1585"/>
    <w:rsid w:val="00CC3C53"/>
    <w:rsid w:val="00CC3D24"/>
    <w:rsid w:val="00CC3F91"/>
    <w:rsid w:val="00CC4ACD"/>
    <w:rsid w:val="00CC4B0A"/>
    <w:rsid w:val="00CC544A"/>
    <w:rsid w:val="00CC57EA"/>
    <w:rsid w:val="00CC5954"/>
    <w:rsid w:val="00CC629B"/>
    <w:rsid w:val="00CC6C4E"/>
    <w:rsid w:val="00CD009D"/>
    <w:rsid w:val="00CD05A2"/>
    <w:rsid w:val="00CD29D4"/>
    <w:rsid w:val="00CD2B5C"/>
    <w:rsid w:val="00CD2FF3"/>
    <w:rsid w:val="00CD3323"/>
    <w:rsid w:val="00CD38F5"/>
    <w:rsid w:val="00CD437E"/>
    <w:rsid w:val="00CD5DAD"/>
    <w:rsid w:val="00CD72C5"/>
    <w:rsid w:val="00CD79A7"/>
    <w:rsid w:val="00CE0789"/>
    <w:rsid w:val="00CE0E8D"/>
    <w:rsid w:val="00CE1A03"/>
    <w:rsid w:val="00CE2346"/>
    <w:rsid w:val="00CE25B2"/>
    <w:rsid w:val="00CE2687"/>
    <w:rsid w:val="00CE3529"/>
    <w:rsid w:val="00CE35C8"/>
    <w:rsid w:val="00CE3962"/>
    <w:rsid w:val="00CE4D1A"/>
    <w:rsid w:val="00CE4E8A"/>
    <w:rsid w:val="00CE5105"/>
    <w:rsid w:val="00CE56BD"/>
    <w:rsid w:val="00CE5EC0"/>
    <w:rsid w:val="00CE6A0B"/>
    <w:rsid w:val="00CE6F9F"/>
    <w:rsid w:val="00CE781A"/>
    <w:rsid w:val="00CE7B08"/>
    <w:rsid w:val="00CE7D52"/>
    <w:rsid w:val="00CE7EB6"/>
    <w:rsid w:val="00CF1D74"/>
    <w:rsid w:val="00CF2BE2"/>
    <w:rsid w:val="00CF3DEB"/>
    <w:rsid w:val="00CF55F9"/>
    <w:rsid w:val="00CF7074"/>
    <w:rsid w:val="00CF7390"/>
    <w:rsid w:val="00CF7495"/>
    <w:rsid w:val="00D01CF9"/>
    <w:rsid w:val="00D0334D"/>
    <w:rsid w:val="00D0374D"/>
    <w:rsid w:val="00D06D7B"/>
    <w:rsid w:val="00D06DA5"/>
    <w:rsid w:val="00D07191"/>
    <w:rsid w:val="00D07F1D"/>
    <w:rsid w:val="00D10558"/>
    <w:rsid w:val="00D11D4D"/>
    <w:rsid w:val="00D126DC"/>
    <w:rsid w:val="00D12B03"/>
    <w:rsid w:val="00D13E70"/>
    <w:rsid w:val="00D15FCD"/>
    <w:rsid w:val="00D16C58"/>
    <w:rsid w:val="00D17019"/>
    <w:rsid w:val="00D17FC8"/>
    <w:rsid w:val="00D20B44"/>
    <w:rsid w:val="00D21168"/>
    <w:rsid w:val="00D2438C"/>
    <w:rsid w:val="00D2585A"/>
    <w:rsid w:val="00D259B0"/>
    <w:rsid w:val="00D26C3F"/>
    <w:rsid w:val="00D27026"/>
    <w:rsid w:val="00D27185"/>
    <w:rsid w:val="00D30EF8"/>
    <w:rsid w:val="00D32518"/>
    <w:rsid w:val="00D33488"/>
    <w:rsid w:val="00D33AB3"/>
    <w:rsid w:val="00D33F24"/>
    <w:rsid w:val="00D34160"/>
    <w:rsid w:val="00D346B8"/>
    <w:rsid w:val="00D34DCA"/>
    <w:rsid w:val="00D35AC8"/>
    <w:rsid w:val="00D36F87"/>
    <w:rsid w:val="00D37E4E"/>
    <w:rsid w:val="00D400A4"/>
    <w:rsid w:val="00D40DEF"/>
    <w:rsid w:val="00D417D8"/>
    <w:rsid w:val="00D41F78"/>
    <w:rsid w:val="00D42E6C"/>
    <w:rsid w:val="00D4351C"/>
    <w:rsid w:val="00D43B80"/>
    <w:rsid w:val="00D44988"/>
    <w:rsid w:val="00D45B4C"/>
    <w:rsid w:val="00D45BA4"/>
    <w:rsid w:val="00D471AF"/>
    <w:rsid w:val="00D4724F"/>
    <w:rsid w:val="00D50519"/>
    <w:rsid w:val="00D512C8"/>
    <w:rsid w:val="00D51601"/>
    <w:rsid w:val="00D51ECB"/>
    <w:rsid w:val="00D5264C"/>
    <w:rsid w:val="00D52BBC"/>
    <w:rsid w:val="00D537FE"/>
    <w:rsid w:val="00D53CC9"/>
    <w:rsid w:val="00D54A6A"/>
    <w:rsid w:val="00D54B8F"/>
    <w:rsid w:val="00D55951"/>
    <w:rsid w:val="00D559F0"/>
    <w:rsid w:val="00D57EB6"/>
    <w:rsid w:val="00D608C0"/>
    <w:rsid w:val="00D60D6D"/>
    <w:rsid w:val="00D6128C"/>
    <w:rsid w:val="00D66D8B"/>
    <w:rsid w:val="00D70849"/>
    <w:rsid w:val="00D72297"/>
    <w:rsid w:val="00D72A1C"/>
    <w:rsid w:val="00D7308F"/>
    <w:rsid w:val="00D7313E"/>
    <w:rsid w:val="00D73580"/>
    <w:rsid w:val="00D73802"/>
    <w:rsid w:val="00D73C2C"/>
    <w:rsid w:val="00D73D52"/>
    <w:rsid w:val="00D745E7"/>
    <w:rsid w:val="00D774ED"/>
    <w:rsid w:val="00D777C3"/>
    <w:rsid w:val="00D7797C"/>
    <w:rsid w:val="00D77C44"/>
    <w:rsid w:val="00D77F88"/>
    <w:rsid w:val="00D81AFA"/>
    <w:rsid w:val="00D81EAA"/>
    <w:rsid w:val="00D81FE2"/>
    <w:rsid w:val="00D8259F"/>
    <w:rsid w:val="00D825F2"/>
    <w:rsid w:val="00D8285C"/>
    <w:rsid w:val="00D828B1"/>
    <w:rsid w:val="00D82A55"/>
    <w:rsid w:val="00D83D49"/>
    <w:rsid w:val="00D84181"/>
    <w:rsid w:val="00D846AD"/>
    <w:rsid w:val="00D84754"/>
    <w:rsid w:val="00D84F27"/>
    <w:rsid w:val="00D853F0"/>
    <w:rsid w:val="00D85862"/>
    <w:rsid w:val="00D86D47"/>
    <w:rsid w:val="00D8710C"/>
    <w:rsid w:val="00D873C6"/>
    <w:rsid w:val="00D9074A"/>
    <w:rsid w:val="00D9099E"/>
    <w:rsid w:val="00D9193A"/>
    <w:rsid w:val="00D923B2"/>
    <w:rsid w:val="00D92463"/>
    <w:rsid w:val="00D93E64"/>
    <w:rsid w:val="00D93F64"/>
    <w:rsid w:val="00D94CA4"/>
    <w:rsid w:val="00D95E99"/>
    <w:rsid w:val="00D965D5"/>
    <w:rsid w:val="00D97DA2"/>
    <w:rsid w:val="00DA1A3A"/>
    <w:rsid w:val="00DA2351"/>
    <w:rsid w:val="00DA249E"/>
    <w:rsid w:val="00DA2D3D"/>
    <w:rsid w:val="00DA3EA5"/>
    <w:rsid w:val="00DA4C30"/>
    <w:rsid w:val="00DA7722"/>
    <w:rsid w:val="00DB145E"/>
    <w:rsid w:val="00DB1A94"/>
    <w:rsid w:val="00DB1D52"/>
    <w:rsid w:val="00DB1E2B"/>
    <w:rsid w:val="00DB1F62"/>
    <w:rsid w:val="00DB21E7"/>
    <w:rsid w:val="00DB2E03"/>
    <w:rsid w:val="00DB3742"/>
    <w:rsid w:val="00DB3E9B"/>
    <w:rsid w:val="00DB3F4B"/>
    <w:rsid w:val="00DB5375"/>
    <w:rsid w:val="00DB67C1"/>
    <w:rsid w:val="00DB6C0B"/>
    <w:rsid w:val="00DB70F4"/>
    <w:rsid w:val="00DB748A"/>
    <w:rsid w:val="00DC1056"/>
    <w:rsid w:val="00DC1442"/>
    <w:rsid w:val="00DC21D8"/>
    <w:rsid w:val="00DC282A"/>
    <w:rsid w:val="00DC34DC"/>
    <w:rsid w:val="00DC3780"/>
    <w:rsid w:val="00DC3ADA"/>
    <w:rsid w:val="00DC3CC6"/>
    <w:rsid w:val="00DC3F55"/>
    <w:rsid w:val="00DC4782"/>
    <w:rsid w:val="00DC514A"/>
    <w:rsid w:val="00DC67B1"/>
    <w:rsid w:val="00DC7FBC"/>
    <w:rsid w:val="00DD0019"/>
    <w:rsid w:val="00DD132B"/>
    <w:rsid w:val="00DD1725"/>
    <w:rsid w:val="00DD2159"/>
    <w:rsid w:val="00DD218B"/>
    <w:rsid w:val="00DD2A18"/>
    <w:rsid w:val="00DD3044"/>
    <w:rsid w:val="00DD3985"/>
    <w:rsid w:val="00DD61E8"/>
    <w:rsid w:val="00DD62C0"/>
    <w:rsid w:val="00DD64DE"/>
    <w:rsid w:val="00DD7859"/>
    <w:rsid w:val="00DD7B41"/>
    <w:rsid w:val="00DE0784"/>
    <w:rsid w:val="00DE0A1D"/>
    <w:rsid w:val="00DE15B2"/>
    <w:rsid w:val="00DE1A9A"/>
    <w:rsid w:val="00DE3D2C"/>
    <w:rsid w:val="00DE5E82"/>
    <w:rsid w:val="00DE5FA6"/>
    <w:rsid w:val="00DE6792"/>
    <w:rsid w:val="00DE6AA1"/>
    <w:rsid w:val="00DE7AAB"/>
    <w:rsid w:val="00DE7EF7"/>
    <w:rsid w:val="00DF015B"/>
    <w:rsid w:val="00DF02EC"/>
    <w:rsid w:val="00DF10FC"/>
    <w:rsid w:val="00DF1185"/>
    <w:rsid w:val="00DF1299"/>
    <w:rsid w:val="00DF1A70"/>
    <w:rsid w:val="00DF1E5F"/>
    <w:rsid w:val="00DF23A8"/>
    <w:rsid w:val="00DF2F27"/>
    <w:rsid w:val="00DF36B6"/>
    <w:rsid w:val="00DF4296"/>
    <w:rsid w:val="00DF53F0"/>
    <w:rsid w:val="00DF5F38"/>
    <w:rsid w:val="00DF6608"/>
    <w:rsid w:val="00DF6CCC"/>
    <w:rsid w:val="00DF6D0C"/>
    <w:rsid w:val="00DF6F64"/>
    <w:rsid w:val="00DF721E"/>
    <w:rsid w:val="00DF7B8A"/>
    <w:rsid w:val="00DF7C87"/>
    <w:rsid w:val="00E009B0"/>
    <w:rsid w:val="00E00A12"/>
    <w:rsid w:val="00E00C49"/>
    <w:rsid w:val="00E01C9C"/>
    <w:rsid w:val="00E0219D"/>
    <w:rsid w:val="00E04C0F"/>
    <w:rsid w:val="00E0570B"/>
    <w:rsid w:val="00E10343"/>
    <w:rsid w:val="00E10913"/>
    <w:rsid w:val="00E10B87"/>
    <w:rsid w:val="00E121CE"/>
    <w:rsid w:val="00E1478B"/>
    <w:rsid w:val="00E14FAC"/>
    <w:rsid w:val="00E15007"/>
    <w:rsid w:val="00E16277"/>
    <w:rsid w:val="00E16EC7"/>
    <w:rsid w:val="00E219CE"/>
    <w:rsid w:val="00E24071"/>
    <w:rsid w:val="00E24EBC"/>
    <w:rsid w:val="00E2522C"/>
    <w:rsid w:val="00E2552F"/>
    <w:rsid w:val="00E2599B"/>
    <w:rsid w:val="00E2710C"/>
    <w:rsid w:val="00E27428"/>
    <w:rsid w:val="00E305B4"/>
    <w:rsid w:val="00E31AFA"/>
    <w:rsid w:val="00E31CB7"/>
    <w:rsid w:val="00E324EE"/>
    <w:rsid w:val="00E32990"/>
    <w:rsid w:val="00E34DB1"/>
    <w:rsid w:val="00E35931"/>
    <w:rsid w:val="00E359FF"/>
    <w:rsid w:val="00E36BD1"/>
    <w:rsid w:val="00E402C5"/>
    <w:rsid w:val="00E402F4"/>
    <w:rsid w:val="00E405F1"/>
    <w:rsid w:val="00E4178B"/>
    <w:rsid w:val="00E417DB"/>
    <w:rsid w:val="00E43054"/>
    <w:rsid w:val="00E43655"/>
    <w:rsid w:val="00E44440"/>
    <w:rsid w:val="00E46013"/>
    <w:rsid w:val="00E47099"/>
    <w:rsid w:val="00E47284"/>
    <w:rsid w:val="00E4730A"/>
    <w:rsid w:val="00E477C3"/>
    <w:rsid w:val="00E517A5"/>
    <w:rsid w:val="00E51E16"/>
    <w:rsid w:val="00E53730"/>
    <w:rsid w:val="00E5438D"/>
    <w:rsid w:val="00E54511"/>
    <w:rsid w:val="00E54E50"/>
    <w:rsid w:val="00E55288"/>
    <w:rsid w:val="00E57577"/>
    <w:rsid w:val="00E62043"/>
    <w:rsid w:val="00E626B9"/>
    <w:rsid w:val="00E627C9"/>
    <w:rsid w:val="00E630F3"/>
    <w:rsid w:val="00E6332F"/>
    <w:rsid w:val="00E637C9"/>
    <w:rsid w:val="00E6402D"/>
    <w:rsid w:val="00E6680A"/>
    <w:rsid w:val="00E66F0D"/>
    <w:rsid w:val="00E70615"/>
    <w:rsid w:val="00E7161E"/>
    <w:rsid w:val="00E7207B"/>
    <w:rsid w:val="00E7347A"/>
    <w:rsid w:val="00E75A47"/>
    <w:rsid w:val="00E75BB6"/>
    <w:rsid w:val="00E75D8C"/>
    <w:rsid w:val="00E777F2"/>
    <w:rsid w:val="00E802C9"/>
    <w:rsid w:val="00E80BFB"/>
    <w:rsid w:val="00E80F0A"/>
    <w:rsid w:val="00E815D4"/>
    <w:rsid w:val="00E8291B"/>
    <w:rsid w:val="00E82E70"/>
    <w:rsid w:val="00E82F92"/>
    <w:rsid w:val="00E8395F"/>
    <w:rsid w:val="00E8410F"/>
    <w:rsid w:val="00E849D7"/>
    <w:rsid w:val="00E85E41"/>
    <w:rsid w:val="00E85EA1"/>
    <w:rsid w:val="00E86703"/>
    <w:rsid w:val="00E91044"/>
    <w:rsid w:val="00E910D3"/>
    <w:rsid w:val="00E91257"/>
    <w:rsid w:val="00E92154"/>
    <w:rsid w:val="00E923CF"/>
    <w:rsid w:val="00E93685"/>
    <w:rsid w:val="00E93B65"/>
    <w:rsid w:val="00E93C8C"/>
    <w:rsid w:val="00E95111"/>
    <w:rsid w:val="00E95FDF"/>
    <w:rsid w:val="00EA14C8"/>
    <w:rsid w:val="00EA2110"/>
    <w:rsid w:val="00EA283A"/>
    <w:rsid w:val="00EA2C90"/>
    <w:rsid w:val="00EA2E07"/>
    <w:rsid w:val="00EA383B"/>
    <w:rsid w:val="00EA48F3"/>
    <w:rsid w:val="00EA60BF"/>
    <w:rsid w:val="00EA7365"/>
    <w:rsid w:val="00EA763F"/>
    <w:rsid w:val="00EA77E9"/>
    <w:rsid w:val="00EB05D0"/>
    <w:rsid w:val="00EB1151"/>
    <w:rsid w:val="00EB1D49"/>
    <w:rsid w:val="00EB23D9"/>
    <w:rsid w:val="00EB39A0"/>
    <w:rsid w:val="00EB40FD"/>
    <w:rsid w:val="00EB559F"/>
    <w:rsid w:val="00EB566C"/>
    <w:rsid w:val="00EB5F3D"/>
    <w:rsid w:val="00EC0C38"/>
    <w:rsid w:val="00EC1CEB"/>
    <w:rsid w:val="00EC1DC0"/>
    <w:rsid w:val="00EC1DC2"/>
    <w:rsid w:val="00EC21EC"/>
    <w:rsid w:val="00EC24B8"/>
    <w:rsid w:val="00EC268C"/>
    <w:rsid w:val="00EC3753"/>
    <w:rsid w:val="00EC4E71"/>
    <w:rsid w:val="00EC5F1C"/>
    <w:rsid w:val="00ED0365"/>
    <w:rsid w:val="00ED0865"/>
    <w:rsid w:val="00ED1C60"/>
    <w:rsid w:val="00ED2EB9"/>
    <w:rsid w:val="00ED32D5"/>
    <w:rsid w:val="00ED3722"/>
    <w:rsid w:val="00ED3A31"/>
    <w:rsid w:val="00ED4469"/>
    <w:rsid w:val="00ED5424"/>
    <w:rsid w:val="00ED5F23"/>
    <w:rsid w:val="00ED6DC0"/>
    <w:rsid w:val="00ED7A7A"/>
    <w:rsid w:val="00EE0327"/>
    <w:rsid w:val="00EE038C"/>
    <w:rsid w:val="00EE28C5"/>
    <w:rsid w:val="00EE2F09"/>
    <w:rsid w:val="00EE47C5"/>
    <w:rsid w:val="00EE490C"/>
    <w:rsid w:val="00EE4E57"/>
    <w:rsid w:val="00EE5738"/>
    <w:rsid w:val="00EE58BD"/>
    <w:rsid w:val="00EE5E59"/>
    <w:rsid w:val="00EE6549"/>
    <w:rsid w:val="00EE73D0"/>
    <w:rsid w:val="00EE7CB0"/>
    <w:rsid w:val="00EF08A8"/>
    <w:rsid w:val="00EF167B"/>
    <w:rsid w:val="00EF41A8"/>
    <w:rsid w:val="00EF44FB"/>
    <w:rsid w:val="00EF5122"/>
    <w:rsid w:val="00EF5554"/>
    <w:rsid w:val="00EF5AD8"/>
    <w:rsid w:val="00EF6B90"/>
    <w:rsid w:val="00EF7807"/>
    <w:rsid w:val="00EF79F7"/>
    <w:rsid w:val="00F006C0"/>
    <w:rsid w:val="00F0125F"/>
    <w:rsid w:val="00F019AA"/>
    <w:rsid w:val="00F0267E"/>
    <w:rsid w:val="00F02686"/>
    <w:rsid w:val="00F030C0"/>
    <w:rsid w:val="00F03291"/>
    <w:rsid w:val="00F0459B"/>
    <w:rsid w:val="00F04E15"/>
    <w:rsid w:val="00F05DF3"/>
    <w:rsid w:val="00F0692C"/>
    <w:rsid w:val="00F069EA"/>
    <w:rsid w:val="00F070E5"/>
    <w:rsid w:val="00F07DDE"/>
    <w:rsid w:val="00F11675"/>
    <w:rsid w:val="00F12557"/>
    <w:rsid w:val="00F13599"/>
    <w:rsid w:val="00F13B28"/>
    <w:rsid w:val="00F14E01"/>
    <w:rsid w:val="00F156A0"/>
    <w:rsid w:val="00F15730"/>
    <w:rsid w:val="00F176A6"/>
    <w:rsid w:val="00F202C2"/>
    <w:rsid w:val="00F212F6"/>
    <w:rsid w:val="00F22756"/>
    <w:rsid w:val="00F23248"/>
    <w:rsid w:val="00F23890"/>
    <w:rsid w:val="00F2504D"/>
    <w:rsid w:val="00F2637F"/>
    <w:rsid w:val="00F268F7"/>
    <w:rsid w:val="00F30B83"/>
    <w:rsid w:val="00F30BDB"/>
    <w:rsid w:val="00F30CF8"/>
    <w:rsid w:val="00F31EDF"/>
    <w:rsid w:val="00F32CDE"/>
    <w:rsid w:val="00F32D4C"/>
    <w:rsid w:val="00F3327E"/>
    <w:rsid w:val="00F338C3"/>
    <w:rsid w:val="00F34B14"/>
    <w:rsid w:val="00F34F58"/>
    <w:rsid w:val="00F35DA7"/>
    <w:rsid w:val="00F36A6A"/>
    <w:rsid w:val="00F40101"/>
    <w:rsid w:val="00F404F7"/>
    <w:rsid w:val="00F40CCA"/>
    <w:rsid w:val="00F42D97"/>
    <w:rsid w:val="00F436B2"/>
    <w:rsid w:val="00F43813"/>
    <w:rsid w:val="00F43FEE"/>
    <w:rsid w:val="00F45A72"/>
    <w:rsid w:val="00F46723"/>
    <w:rsid w:val="00F4706D"/>
    <w:rsid w:val="00F476E1"/>
    <w:rsid w:val="00F47D1D"/>
    <w:rsid w:val="00F47F29"/>
    <w:rsid w:val="00F50016"/>
    <w:rsid w:val="00F50058"/>
    <w:rsid w:val="00F5118A"/>
    <w:rsid w:val="00F51A21"/>
    <w:rsid w:val="00F52614"/>
    <w:rsid w:val="00F5276E"/>
    <w:rsid w:val="00F52E9F"/>
    <w:rsid w:val="00F53304"/>
    <w:rsid w:val="00F53B81"/>
    <w:rsid w:val="00F540FE"/>
    <w:rsid w:val="00F556FF"/>
    <w:rsid w:val="00F55D12"/>
    <w:rsid w:val="00F5687F"/>
    <w:rsid w:val="00F56D3F"/>
    <w:rsid w:val="00F575C7"/>
    <w:rsid w:val="00F57FD0"/>
    <w:rsid w:val="00F60305"/>
    <w:rsid w:val="00F61B12"/>
    <w:rsid w:val="00F63264"/>
    <w:rsid w:val="00F634E4"/>
    <w:rsid w:val="00F6379E"/>
    <w:rsid w:val="00F64047"/>
    <w:rsid w:val="00F65171"/>
    <w:rsid w:val="00F6560D"/>
    <w:rsid w:val="00F65C23"/>
    <w:rsid w:val="00F67844"/>
    <w:rsid w:val="00F70799"/>
    <w:rsid w:val="00F70A8B"/>
    <w:rsid w:val="00F70B8D"/>
    <w:rsid w:val="00F71936"/>
    <w:rsid w:val="00F724FB"/>
    <w:rsid w:val="00F726B8"/>
    <w:rsid w:val="00F72A26"/>
    <w:rsid w:val="00F733C3"/>
    <w:rsid w:val="00F746A1"/>
    <w:rsid w:val="00F74820"/>
    <w:rsid w:val="00F756DD"/>
    <w:rsid w:val="00F77F4E"/>
    <w:rsid w:val="00F80047"/>
    <w:rsid w:val="00F800C7"/>
    <w:rsid w:val="00F8104D"/>
    <w:rsid w:val="00F81587"/>
    <w:rsid w:val="00F8288F"/>
    <w:rsid w:val="00F84033"/>
    <w:rsid w:val="00F84802"/>
    <w:rsid w:val="00F85B72"/>
    <w:rsid w:val="00F86540"/>
    <w:rsid w:val="00F865CE"/>
    <w:rsid w:val="00F8766F"/>
    <w:rsid w:val="00F91082"/>
    <w:rsid w:val="00F9116D"/>
    <w:rsid w:val="00F91A9A"/>
    <w:rsid w:val="00F9203B"/>
    <w:rsid w:val="00F93ABB"/>
    <w:rsid w:val="00F94D79"/>
    <w:rsid w:val="00F9658C"/>
    <w:rsid w:val="00F97A7F"/>
    <w:rsid w:val="00FA0889"/>
    <w:rsid w:val="00FA16E7"/>
    <w:rsid w:val="00FA31C7"/>
    <w:rsid w:val="00FA472D"/>
    <w:rsid w:val="00FB0CBF"/>
    <w:rsid w:val="00FB18F6"/>
    <w:rsid w:val="00FB2A52"/>
    <w:rsid w:val="00FB3F92"/>
    <w:rsid w:val="00FB52C7"/>
    <w:rsid w:val="00FB57DC"/>
    <w:rsid w:val="00FB6E19"/>
    <w:rsid w:val="00FB71F6"/>
    <w:rsid w:val="00FC0AF8"/>
    <w:rsid w:val="00FC1483"/>
    <w:rsid w:val="00FC1C47"/>
    <w:rsid w:val="00FC3102"/>
    <w:rsid w:val="00FC39ED"/>
    <w:rsid w:val="00FC4419"/>
    <w:rsid w:val="00FC47E2"/>
    <w:rsid w:val="00FC4AA5"/>
    <w:rsid w:val="00FC4B88"/>
    <w:rsid w:val="00FC4BB8"/>
    <w:rsid w:val="00FC5148"/>
    <w:rsid w:val="00FC623A"/>
    <w:rsid w:val="00FC6524"/>
    <w:rsid w:val="00FC75AC"/>
    <w:rsid w:val="00FD01BF"/>
    <w:rsid w:val="00FD0525"/>
    <w:rsid w:val="00FD0AB7"/>
    <w:rsid w:val="00FD297D"/>
    <w:rsid w:val="00FD2D13"/>
    <w:rsid w:val="00FD374D"/>
    <w:rsid w:val="00FD6071"/>
    <w:rsid w:val="00FD633B"/>
    <w:rsid w:val="00FE0794"/>
    <w:rsid w:val="00FE1041"/>
    <w:rsid w:val="00FE24CB"/>
    <w:rsid w:val="00FE323F"/>
    <w:rsid w:val="00FE3473"/>
    <w:rsid w:val="00FE4049"/>
    <w:rsid w:val="00FE4794"/>
    <w:rsid w:val="00FE480F"/>
    <w:rsid w:val="00FE4998"/>
    <w:rsid w:val="00FE57DE"/>
    <w:rsid w:val="00FE7A68"/>
    <w:rsid w:val="00FF0231"/>
    <w:rsid w:val="00FF1C9B"/>
    <w:rsid w:val="00FF1D49"/>
    <w:rsid w:val="00FF203B"/>
    <w:rsid w:val="00FF2562"/>
    <w:rsid w:val="00FF3A41"/>
    <w:rsid w:val="00FF3E5B"/>
    <w:rsid w:val="00FF57E4"/>
    <w:rsid w:val="00FF78E5"/>
    <w:rsid w:val="01425E7E"/>
    <w:rsid w:val="01AF3D99"/>
    <w:rsid w:val="01CA0799"/>
    <w:rsid w:val="01EC3E90"/>
    <w:rsid w:val="01F55A64"/>
    <w:rsid w:val="020B6A0C"/>
    <w:rsid w:val="020E02AA"/>
    <w:rsid w:val="02511F9D"/>
    <w:rsid w:val="02624152"/>
    <w:rsid w:val="02D9681D"/>
    <w:rsid w:val="02FE031F"/>
    <w:rsid w:val="03123DE2"/>
    <w:rsid w:val="0350044F"/>
    <w:rsid w:val="03A314B8"/>
    <w:rsid w:val="03D82B98"/>
    <w:rsid w:val="03E60EE9"/>
    <w:rsid w:val="03EA43FF"/>
    <w:rsid w:val="03F83E8B"/>
    <w:rsid w:val="03FA6D38"/>
    <w:rsid w:val="041E2451"/>
    <w:rsid w:val="044B1342"/>
    <w:rsid w:val="04651CD8"/>
    <w:rsid w:val="04980A96"/>
    <w:rsid w:val="04B72D09"/>
    <w:rsid w:val="04BB09C2"/>
    <w:rsid w:val="04EE4BE6"/>
    <w:rsid w:val="052878D5"/>
    <w:rsid w:val="054A55F5"/>
    <w:rsid w:val="054B5371"/>
    <w:rsid w:val="05C56868"/>
    <w:rsid w:val="064642DC"/>
    <w:rsid w:val="06640499"/>
    <w:rsid w:val="06866335"/>
    <w:rsid w:val="069A3EBB"/>
    <w:rsid w:val="072172D3"/>
    <w:rsid w:val="077E0292"/>
    <w:rsid w:val="07B72767"/>
    <w:rsid w:val="07C12195"/>
    <w:rsid w:val="08077E72"/>
    <w:rsid w:val="084762C4"/>
    <w:rsid w:val="08882DD0"/>
    <w:rsid w:val="08B17109"/>
    <w:rsid w:val="08B60D54"/>
    <w:rsid w:val="0983157E"/>
    <w:rsid w:val="098D649E"/>
    <w:rsid w:val="09AA6BA2"/>
    <w:rsid w:val="09CC2AAC"/>
    <w:rsid w:val="09D26E76"/>
    <w:rsid w:val="09F00295"/>
    <w:rsid w:val="0A0F4BBF"/>
    <w:rsid w:val="0A121ED8"/>
    <w:rsid w:val="0A652D3E"/>
    <w:rsid w:val="0A6B75FC"/>
    <w:rsid w:val="0B326F2A"/>
    <w:rsid w:val="0B496B71"/>
    <w:rsid w:val="0B785C4C"/>
    <w:rsid w:val="0BA80E28"/>
    <w:rsid w:val="0BC1013B"/>
    <w:rsid w:val="0BC96FF0"/>
    <w:rsid w:val="0BF10997"/>
    <w:rsid w:val="0C1C1DE3"/>
    <w:rsid w:val="0C1E2888"/>
    <w:rsid w:val="0C6F5DE9"/>
    <w:rsid w:val="0C92213C"/>
    <w:rsid w:val="0D84032B"/>
    <w:rsid w:val="0D913B3D"/>
    <w:rsid w:val="0DBF1056"/>
    <w:rsid w:val="0DDC74AE"/>
    <w:rsid w:val="0E641ACC"/>
    <w:rsid w:val="0E6D53D9"/>
    <w:rsid w:val="0EE02FCE"/>
    <w:rsid w:val="0EE71996"/>
    <w:rsid w:val="0F0071CD"/>
    <w:rsid w:val="0F192123"/>
    <w:rsid w:val="0F2A74C4"/>
    <w:rsid w:val="0F872008"/>
    <w:rsid w:val="0F8B3AAF"/>
    <w:rsid w:val="0FCD5301"/>
    <w:rsid w:val="0FEE0360"/>
    <w:rsid w:val="10090303"/>
    <w:rsid w:val="1015407B"/>
    <w:rsid w:val="10973B61"/>
    <w:rsid w:val="10A27F31"/>
    <w:rsid w:val="117B0D8C"/>
    <w:rsid w:val="11927058"/>
    <w:rsid w:val="11993A94"/>
    <w:rsid w:val="119A6D6D"/>
    <w:rsid w:val="11AC7198"/>
    <w:rsid w:val="122907E8"/>
    <w:rsid w:val="12443874"/>
    <w:rsid w:val="127A0F0E"/>
    <w:rsid w:val="12854BA0"/>
    <w:rsid w:val="12AB56A1"/>
    <w:rsid w:val="12E7492B"/>
    <w:rsid w:val="12F4157F"/>
    <w:rsid w:val="12F72695"/>
    <w:rsid w:val="1319085D"/>
    <w:rsid w:val="131F61E1"/>
    <w:rsid w:val="138944F2"/>
    <w:rsid w:val="13AF4F03"/>
    <w:rsid w:val="141B2535"/>
    <w:rsid w:val="14736E66"/>
    <w:rsid w:val="147541B9"/>
    <w:rsid w:val="147F0D6F"/>
    <w:rsid w:val="147F458F"/>
    <w:rsid w:val="14BD6D92"/>
    <w:rsid w:val="14D958EC"/>
    <w:rsid w:val="151C4634"/>
    <w:rsid w:val="1534169A"/>
    <w:rsid w:val="153A4457"/>
    <w:rsid w:val="156C2EC6"/>
    <w:rsid w:val="15842905"/>
    <w:rsid w:val="15C03E03"/>
    <w:rsid w:val="15DD5B72"/>
    <w:rsid w:val="15E5351D"/>
    <w:rsid w:val="160873D2"/>
    <w:rsid w:val="162A25EB"/>
    <w:rsid w:val="164E4CC1"/>
    <w:rsid w:val="16FD2A55"/>
    <w:rsid w:val="17067C1A"/>
    <w:rsid w:val="17366761"/>
    <w:rsid w:val="177C01F0"/>
    <w:rsid w:val="17CE6630"/>
    <w:rsid w:val="17D62037"/>
    <w:rsid w:val="1844012A"/>
    <w:rsid w:val="186D2112"/>
    <w:rsid w:val="19403F0C"/>
    <w:rsid w:val="19A17E04"/>
    <w:rsid w:val="19A5109C"/>
    <w:rsid w:val="1AB23A71"/>
    <w:rsid w:val="1AF23E6D"/>
    <w:rsid w:val="1AFF0AFE"/>
    <w:rsid w:val="1B351FAC"/>
    <w:rsid w:val="1B4F19F8"/>
    <w:rsid w:val="1B675ED9"/>
    <w:rsid w:val="1B9A06DC"/>
    <w:rsid w:val="1BA57132"/>
    <w:rsid w:val="1C18194D"/>
    <w:rsid w:val="1C192C9B"/>
    <w:rsid w:val="1C1E6EE4"/>
    <w:rsid w:val="1C226F03"/>
    <w:rsid w:val="1D2D677E"/>
    <w:rsid w:val="1D5C7CC4"/>
    <w:rsid w:val="1D6B43AB"/>
    <w:rsid w:val="1D9C075B"/>
    <w:rsid w:val="1DAF24EA"/>
    <w:rsid w:val="1DE60F19"/>
    <w:rsid w:val="1DFF767F"/>
    <w:rsid w:val="1E0A7720"/>
    <w:rsid w:val="1E6A6411"/>
    <w:rsid w:val="1E85324A"/>
    <w:rsid w:val="1E8F5E77"/>
    <w:rsid w:val="1EBD3A16"/>
    <w:rsid w:val="1ECC44FA"/>
    <w:rsid w:val="1F063325"/>
    <w:rsid w:val="1F203EA9"/>
    <w:rsid w:val="1F457880"/>
    <w:rsid w:val="1F7237CF"/>
    <w:rsid w:val="1F75092B"/>
    <w:rsid w:val="1F9C084C"/>
    <w:rsid w:val="1FBC5DF5"/>
    <w:rsid w:val="1FD60202"/>
    <w:rsid w:val="1FF90588"/>
    <w:rsid w:val="20003F5E"/>
    <w:rsid w:val="20074649"/>
    <w:rsid w:val="20140D2A"/>
    <w:rsid w:val="20492BE1"/>
    <w:rsid w:val="208A1342"/>
    <w:rsid w:val="209E3A28"/>
    <w:rsid w:val="20A57BD4"/>
    <w:rsid w:val="20B6593D"/>
    <w:rsid w:val="20C3623F"/>
    <w:rsid w:val="21423675"/>
    <w:rsid w:val="21781212"/>
    <w:rsid w:val="21962E15"/>
    <w:rsid w:val="21B83F86"/>
    <w:rsid w:val="21C75C1C"/>
    <w:rsid w:val="221178A8"/>
    <w:rsid w:val="221213CF"/>
    <w:rsid w:val="221C5C74"/>
    <w:rsid w:val="22327A92"/>
    <w:rsid w:val="227D77A3"/>
    <w:rsid w:val="2294314B"/>
    <w:rsid w:val="230C5B9D"/>
    <w:rsid w:val="231D53A2"/>
    <w:rsid w:val="232B2612"/>
    <w:rsid w:val="23403BE4"/>
    <w:rsid w:val="236D5383"/>
    <w:rsid w:val="23B7504C"/>
    <w:rsid w:val="23BE76A1"/>
    <w:rsid w:val="2421733F"/>
    <w:rsid w:val="2454390A"/>
    <w:rsid w:val="2455546D"/>
    <w:rsid w:val="24564E1D"/>
    <w:rsid w:val="245711E5"/>
    <w:rsid w:val="24571307"/>
    <w:rsid w:val="245A58F0"/>
    <w:rsid w:val="246A0F18"/>
    <w:rsid w:val="24B77ED6"/>
    <w:rsid w:val="25110A2A"/>
    <w:rsid w:val="25150ABC"/>
    <w:rsid w:val="25156BB8"/>
    <w:rsid w:val="25182B95"/>
    <w:rsid w:val="256C0944"/>
    <w:rsid w:val="25B108FE"/>
    <w:rsid w:val="25DB68A1"/>
    <w:rsid w:val="26061115"/>
    <w:rsid w:val="26446DE3"/>
    <w:rsid w:val="264509AD"/>
    <w:rsid w:val="26722306"/>
    <w:rsid w:val="267B618C"/>
    <w:rsid w:val="26812549"/>
    <w:rsid w:val="269669E7"/>
    <w:rsid w:val="269D0046"/>
    <w:rsid w:val="26D7699F"/>
    <w:rsid w:val="26E0017C"/>
    <w:rsid w:val="27334D21"/>
    <w:rsid w:val="27407542"/>
    <w:rsid w:val="274243CE"/>
    <w:rsid w:val="278C564A"/>
    <w:rsid w:val="27DC037F"/>
    <w:rsid w:val="289A78F2"/>
    <w:rsid w:val="28B02089"/>
    <w:rsid w:val="28BE70AE"/>
    <w:rsid w:val="28C6049C"/>
    <w:rsid w:val="28F12EC9"/>
    <w:rsid w:val="29AB6A4E"/>
    <w:rsid w:val="29DA269C"/>
    <w:rsid w:val="2A032BFD"/>
    <w:rsid w:val="2B2F4C6A"/>
    <w:rsid w:val="2B404781"/>
    <w:rsid w:val="2B647D96"/>
    <w:rsid w:val="2B774624"/>
    <w:rsid w:val="2BC151AD"/>
    <w:rsid w:val="2C6A7D6E"/>
    <w:rsid w:val="2C7A72BE"/>
    <w:rsid w:val="2C82282E"/>
    <w:rsid w:val="2C9A7D75"/>
    <w:rsid w:val="2CB216AE"/>
    <w:rsid w:val="2CC17412"/>
    <w:rsid w:val="2CC81AE1"/>
    <w:rsid w:val="2D0E010F"/>
    <w:rsid w:val="2DCD7B19"/>
    <w:rsid w:val="2DF67CC1"/>
    <w:rsid w:val="2E2B72CC"/>
    <w:rsid w:val="2E6C7CF6"/>
    <w:rsid w:val="2E9976CE"/>
    <w:rsid w:val="2F340AA1"/>
    <w:rsid w:val="2F401D3C"/>
    <w:rsid w:val="2F4B45C9"/>
    <w:rsid w:val="2F5B24E1"/>
    <w:rsid w:val="2F722492"/>
    <w:rsid w:val="2FA21EAE"/>
    <w:rsid w:val="2FA95C88"/>
    <w:rsid w:val="2FB475A5"/>
    <w:rsid w:val="2FE07B7F"/>
    <w:rsid w:val="3041370F"/>
    <w:rsid w:val="306F4706"/>
    <w:rsid w:val="3070356C"/>
    <w:rsid w:val="308C2216"/>
    <w:rsid w:val="3102275C"/>
    <w:rsid w:val="312B50A3"/>
    <w:rsid w:val="313E5C07"/>
    <w:rsid w:val="318C4BC4"/>
    <w:rsid w:val="31E51F90"/>
    <w:rsid w:val="31F2079F"/>
    <w:rsid w:val="3207424B"/>
    <w:rsid w:val="323D7737"/>
    <w:rsid w:val="32453A27"/>
    <w:rsid w:val="324A0867"/>
    <w:rsid w:val="3263064A"/>
    <w:rsid w:val="32A43132"/>
    <w:rsid w:val="32AC0C06"/>
    <w:rsid w:val="32B119E2"/>
    <w:rsid w:val="32D372B0"/>
    <w:rsid w:val="32FB3B27"/>
    <w:rsid w:val="33096899"/>
    <w:rsid w:val="33344EF5"/>
    <w:rsid w:val="337A0A4C"/>
    <w:rsid w:val="33A04957"/>
    <w:rsid w:val="34241494"/>
    <w:rsid w:val="34452E08"/>
    <w:rsid w:val="34AA5B2B"/>
    <w:rsid w:val="34AA710F"/>
    <w:rsid w:val="34B36265"/>
    <w:rsid w:val="34B87A7E"/>
    <w:rsid w:val="34CF1A69"/>
    <w:rsid w:val="3537750C"/>
    <w:rsid w:val="3537798C"/>
    <w:rsid w:val="358C1CAD"/>
    <w:rsid w:val="35AD335B"/>
    <w:rsid w:val="35BD118C"/>
    <w:rsid w:val="35C13FC9"/>
    <w:rsid w:val="35E0728C"/>
    <w:rsid w:val="364257B6"/>
    <w:rsid w:val="36631C6B"/>
    <w:rsid w:val="366E2AEA"/>
    <w:rsid w:val="36A52284"/>
    <w:rsid w:val="37A70123"/>
    <w:rsid w:val="37EA5922"/>
    <w:rsid w:val="37F50EF6"/>
    <w:rsid w:val="38276B93"/>
    <w:rsid w:val="3868539D"/>
    <w:rsid w:val="388F6D48"/>
    <w:rsid w:val="38AC3431"/>
    <w:rsid w:val="38AE3672"/>
    <w:rsid w:val="38E5105E"/>
    <w:rsid w:val="3905700A"/>
    <w:rsid w:val="392F2E16"/>
    <w:rsid w:val="397C5741"/>
    <w:rsid w:val="398D2353"/>
    <w:rsid w:val="39BD0402"/>
    <w:rsid w:val="39E00529"/>
    <w:rsid w:val="3A0B64A7"/>
    <w:rsid w:val="3A39340F"/>
    <w:rsid w:val="3A574DDA"/>
    <w:rsid w:val="3A617697"/>
    <w:rsid w:val="3A80103E"/>
    <w:rsid w:val="3AA73588"/>
    <w:rsid w:val="3AC84793"/>
    <w:rsid w:val="3AD3075A"/>
    <w:rsid w:val="3ADE5EC6"/>
    <w:rsid w:val="3AF74C02"/>
    <w:rsid w:val="3B262614"/>
    <w:rsid w:val="3B710987"/>
    <w:rsid w:val="3C0059A5"/>
    <w:rsid w:val="3C134E78"/>
    <w:rsid w:val="3C5D0E77"/>
    <w:rsid w:val="3CB6184C"/>
    <w:rsid w:val="3CCC6628"/>
    <w:rsid w:val="3D0C4E0B"/>
    <w:rsid w:val="3D94624D"/>
    <w:rsid w:val="3D976036"/>
    <w:rsid w:val="3DAE7C70"/>
    <w:rsid w:val="3DBA03C3"/>
    <w:rsid w:val="3DBD494D"/>
    <w:rsid w:val="3DEC7285"/>
    <w:rsid w:val="3DF15DAF"/>
    <w:rsid w:val="3DF6345D"/>
    <w:rsid w:val="3DF77EB6"/>
    <w:rsid w:val="3E2B5515"/>
    <w:rsid w:val="3E4D4F28"/>
    <w:rsid w:val="3E500D27"/>
    <w:rsid w:val="3E7A51E9"/>
    <w:rsid w:val="3E8D1F7B"/>
    <w:rsid w:val="3E9571B9"/>
    <w:rsid w:val="3EE13701"/>
    <w:rsid w:val="3EEF0540"/>
    <w:rsid w:val="3F0A7128"/>
    <w:rsid w:val="3F1A4BB3"/>
    <w:rsid w:val="3F580527"/>
    <w:rsid w:val="3F6900DD"/>
    <w:rsid w:val="40192BA6"/>
    <w:rsid w:val="40321273"/>
    <w:rsid w:val="403C5199"/>
    <w:rsid w:val="40727F0B"/>
    <w:rsid w:val="411F38FE"/>
    <w:rsid w:val="412B15D8"/>
    <w:rsid w:val="415A4C65"/>
    <w:rsid w:val="41635215"/>
    <w:rsid w:val="41766EA9"/>
    <w:rsid w:val="41EE06C6"/>
    <w:rsid w:val="42550A18"/>
    <w:rsid w:val="429D496A"/>
    <w:rsid w:val="42F473A1"/>
    <w:rsid w:val="43AC182F"/>
    <w:rsid w:val="43B9736F"/>
    <w:rsid w:val="43CF0940"/>
    <w:rsid w:val="43D47D05"/>
    <w:rsid w:val="43E17D70"/>
    <w:rsid w:val="43FD7920"/>
    <w:rsid w:val="441E62C0"/>
    <w:rsid w:val="444620F1"/>
    <w:rsid w:val="44556671"/>
    <w:rsid w:val="44627A06"/>
    <w:rsid w:val="44705C7F"/>
    <w:rsid w:val="44C963BD"/>
    <w:rsid w:val="44CE29A6"/>
    <w:rsid w:val="45325D14"/>
    <w:rsid w:val="4574179F"/>
    <w:rsid w:val="45811C7C"/>
    <w:rsid w:val="458F7C24"/>
    <w:rsid w:val="45906116"/>
    <w:rsid w:val="46004DE1"/>
    <w:rsid w:val="468B3EFB"/>
    <w:rsid w:val="470A6193"/>
    <w:rsid w:val="47385210"/>
    <w:rsid w:val="47613CD5"/>
    <w:rsid w:val="4783216D"/>
    <w:rsid w:val="47890416"/>
    <w:rsid w:val="47967477"/>
    <w:rsid w:val="47DC4F5C"/>
    <w:rsid w:val="48B40671"/>
    <w:rsid w:val="48E21116"/>
    <w:rsid w:val="49180694"/>
    <w:rsid w:val="492928A1"/>
    <w:rsid w:val="493A685C"/>
    <w:rsid w:val="493E581B"/>
    <w:rsid w:val="49506EA2"/>
    <w:rsid w:val="499A379E"/>
    <w:rsid w:val="499B5738"/>
    <w:rsid w:val="499F244D"/>
    <w:rsid w:val="49F3372F"/>
    <w:rsid w:val="4A221E38"/>
    <w:rsid w:val="4A3F31F8"/>
    <w:rsid w:val="4A40184C"/>
    <w:rsid w:val="4A585020"/>
    <w:rsid w:val="4A930494"/>
    <w:rsid w:val="4A956924"/>
    <w:rsid w:val="4A973F3F"/>
    <w:rsid w:val="4ABD7744"/>
    <w:rsid w:val="4ACF1226"/>
    <w:rsid w:val="4AF96BC7"/>
    <w:rsid w:val="4B5A416B"/>
    <w:rsid w:val="4B862A85"/>
    <w:rsid w:val="4BC82F36"/>
    <w:rsid w:val="4C325706"/>
    <w:rsid w:val="4C40066C"/>
    <w:rsid w:val="4CA02CF2"/>
    <w:rsid w:val="4CEF36E2"/>
    <w:rsid w:val="4CEF4DC5"/>
    <w:rsid w:val="4D55429F"/>
    <w:rsid w:val="4D8C1650"/>
    <w:rsid w:val="4DEC26D8"/>
    <w:rsid w:val="4E0D2791"/>
    <w:rsid w:val="4E257655"/>
    <w:rsid w:val="4E8E7871"/>
    <w:rsid w:val="4EAC1FAA"/>
    <w:rsid w:val="4EAF077C"/>
    <w:rsid w:val="4F3629AB"/>
    <w:rsid w:val="4F372380"/>
    <w:rsid w:val="4F372FFB"/>
    <w:rsid w:val="4F4421E2"/>
    <w:rsid w:val="4F5320EB"/>
    <w:rsid w:val="4F6C798B"/>
    <w:rsid w:val="500030A6"/>
    <w:rsid w:val="5025116D"/>
    <w:rsid w:val="508D4F4B"/>
    <w:rsid w:val="51511837"/>
    <w:rsid w:val="51FF77F8"/>
    <w:rsid w:val="52173BDE"/>
    <w:rsid w:val="52395ECD"/>
    <w:rsid w:val="52431936"/>
    <w:rsid w:val="52C10D75"/>
    <w:rsid w:val="52E23374"/>
    <w:rsid w:val="53081779"/>
    <w:rsid w:val="531D7AE8"/>
    <w:rsid w:val="532C7BB6"/>
    <w:rsid w:val="533F163E"/>
    <w:rsid w:val="53A3360A"/>
    <w:rsid w:val="53B316E5"/>
    <w:rsid w:val="53C27FF8"/>
    <w:rsid w:val="543071D9"/>
    <w:rsid w:val="543665CF"/>
    <w:rsid w:val="543E7ADC"/>
    <w:rsid w:val="549E1A80"/>
    <w:rsid w:val="54BF6FE2"/>
    <w:rsid w:val="54C658F4"/>
    <w:rsid w:val="55005C33"/>
    <w:rsid w:val="550C4BD7"/>
    <w:rsid w:val="55172147"/>
    <w:rsid w:val="554C1D56"/>
    <w:rsid w:val="55572986"/>
    <w:rsid w:val="555E1333"/>
    <w:rsid w:val="556A7682"/>
    <w:rsid w:val="55A979FD"/>
    <w:rsid w:val="55C062DD"/>
    <w:rsid w:val="563B6A02"/>
    <w:rsid w:val="565340FA"/>
    <w:rsid w:val="568B48DA"/>
    <w:rsid w:val="5723343E"/>
    <w:rsid w:val="573D7EAB"/>
    <w:rsid w:val="576C0528"/>
    <w:rsid w:val="5876212B"/>
    <w:rsid w:val="58E029EC"/>
    <w:rsid w:val="59E24AD2"/>
    <w:rsid w:val="5A2348F9"/>
    <w:rsid w:val="5A2F2CC8"/>
    <w:rsid w:val="5A9B3696"/>
    <w:rsid w:val="5AB346C0"/>
    <w:rsid w:val="5B0B44FC"/>
    <w:rsid w:val="5B556AB8"/>
    <w:rsid w:val="5B9C33A6"/>
    <w:rsid w:val="5BA26962"/>
    <w:rsid w:val="5C10702D"/>
    <w:rsid w:val="5C152601"/>
    <w:rsid w:val="5C205D85"/>
    <w:rsid w:val="5C591F03"/>
    <w:rsid w:val="5C7E284D"/>
    <w:rsid w:val="5C8A1B2F"/>
    <w:rsid w:val="5C901728"/>
    <w:rsid w:val="5CCB5CF1"/>
    <w:rsid w:val="5D183972"/>
    <w:rsid w:val="5D8B722E"/>
    <w:rsid w:val="5D914004"/>
    <w:rsid w:val="5DED613B"/>
    <w:rsid w:val="5DEF5B8D"/>
    <w:rsid w:val="5DF55B8C"/>
    <w:rsid w:val="5DFE5C52"/>
    <w:rsid w:val="5E3F195D"/>
    <w:rsid w:val="5E613B0E"/>
    <w:rsid w:val="5E802B0B"/>
    <w:rsid w:val="5EB42026"/>
    <w:rsid w:val="5EB87D13"/>
    <w:rsid w:val="5EEE216B"/>
    <w:rsid w:val="5F1F373D"/>
    <w:rsid w:val="5F561B72"/>
    <w:rsid w:val="5F6B37BB"/>
    <w:rsid w:val="5F8605F5"/>
    <w:rsid w:val="5FF7119A"/>
    <w:rsid w:val="600B26C3"/>
    <w:rsid w:val="606007BB"/>
    <w:rsid w:val="607246D5"/>
    <w:rsid w:val="60AC7F66"/>
    <w:rsid w:val="61113EEE"/>
    <w:rsid w:val="616B7AA3"/>
    <w:rsid w:val="61BB612C"/>
    <w:rsid w:val="61BF10D9"/>
    <w:rsid w:val="61DA3D4C"/>
    <w:rsid w:val="61F0599D"/>
    <w:rsid w:val="62160916"/>
    <w:rsid w:val="622413A9"/>
    <w:rsid w:val="622F0AD0"/>
    <w:rsid w:val="62361E5F"/>
    <w:rsid w:val="62774F17"/>
    <w:rsid w:val="62AC22DC"/>
    <w:rsid w:val="62F12229"/>
    <w:rsid w:val="637833E8"/>
    <w:rsid w:val="639037F0"/>
    <w:rsid w:val="63D4115E"/>
    <w:rsid w:val="64CD7548"/>
    <w:rsid w:val="64DD61C0"/>
    <w:rsid w:val="64E45EF7"/>
    <w:rsid w:val="64F102BF"/>
    <w:rsid w:val="64FF464D"/>
    <w:rsid w:val="651644C7"/>
    <w:rsid w:val="651E6BDA"/>
    <w:rsid w:val="65426D6C"/>
    <w:rsid w:val="656B62C3"/>
    <w:rsid w:val="65E12667"/>
    <w:rsid w:val="66056E8A"/>
    <w:rsid w:val="662912B4"/>
    <w:rsid w:val="663F32AC"/>
    <w:rsid w:val="664F7993"/>
    <w:rsid w:val="6691014E"/>
    <w:rsid w:val="669762C2"/>
    <w:rsid w:val="66C87CCE"/>
    <w:rsid w:val="66ED2D08"/>
    <w:rsid w:val="6714680B"/>
    <w:rsid w:val="672317E1"/>
    <w:rsid w:val="673D77EB"/>
    <w:rsid w:val="67584625"/>
    <w:rsid w:val="6760172C"/>
    <w:rsid w:val="677435B2"/>
    <w:rsid w:val="677456CA"/>
    <w:rsid w:val="679114C1"/>
    <w:rsid w:val="67EF75F1"/>
    <w:rsid w:val="67F138B6"/>
    <w:rsid w:val="67F24A7A"/>
    <w:rsid w:val="68134D5F"/>
    <w:rsid w:val="68365042"/>
    <w:rsid w:val="687234C5"/>
    <w:rsid w:val="687C54A8"/>
    <w:rsid w:val="69124F16"/>
    <w:rsid w:val="691A347C"/>
    <w:rsid w:val="69427A59"/>
    <w:rsid w:val="694A5205"/>
    <w:rsid w:val="69815A80"/>
    <w:rsid w:val="698F449D"/>
    <w:rsid w:val="69C42446"/>
    <w:rsid w:val="69CD5C14"/>
    <w:rsid w:val="69CF0D33"/>
    <w:rsid w:val="69F34AD9"/>
    <w:rsid w:val="6A1C5DDE"/>
    <w:rsid w:val="6A283FCE"/>
    <w:rsid w:val="6A384778"/>
    <w:rsid w:val="6A4E3ABD"/>
    <w:rsid w:val="6A8B4A13"/>
    <w:rsid w:val="6AD2649C"/>
    <w:rsid w:val="6B11594B"/>
    <w:rsid w:val="6B376C47"/>
    <w:rsid w:val="6B600F02"/>
    <w:rsid w:val="6B731183"/>
    <w:rsid w:val="6B9946B3"/>
    <w:rsid w:val="6BD9335E"/>
    <w:rsid w:val="6C07661A"/>
    <w:rsid w:val="6C335D5C"/>
    <w:rsid w:val="6C3A7223"/>
    <w:rsid w:val="6C662189"/>
    <w:rsid w:val="6C7007C7"/>
    <w:rsid w:val="6C9107E3"/>
    <w:rsid w:val="6CAD0F6F"/>
    <w:rsid w:val="6CDE7428"/>
    <w:rsid w:val="6CEB12F7"/>
    <w:rsid w:val="6D483E21"/>
    <w:rsid w:val="6D7B106D"/>
    <w:rsid w:val="6D8560A4"/>
    <w:rsid w:val="6DAE2350"/>
    <w:rsid w:val="6DE76850"/>
    <w:rsid w:val="6E034799"/>
    <w:rsid w:val="6E1640F9"/>
    <w:rsid w:val="6E296D1B"/>
    <w:rsid w:val="6E34121C"/>
    <w:rsid w:val="6E423939"/>
    <w:rsid w:val="6E7A13BA"/>
    <w:rsid w:val="6E8B52E0"/>
    <w:rsid w:val="6EBC7B8F"/>
    <w:rsid w:val="6F2862D1"/>
    <w:rsid w:val="6F6759C1"/>
    <w:rsid w:val="6F925F92"/>
    <w:rsid w:val="6FB20BD4"/>
    <w:rsid w:val="6FB650F7"/>
    <w:rsid w:val="6FBA59BE"/>
    <w:rsid w:val="70296B3E"/>
    <w:rsid w:val="704C0E05"/>
    <w:rsid w:val="70611204"/>
    <w:rsid w:val="70C1323B"/>
    <w:rsid w:val="70C25205"/>
    <w:rsid w:val="70E91FE8"/>
    <w:rsid w:val="71241A1C"/>
    <w:rsid w:val="71324139"/>
    <w:rsid w:val="714E1C11"/>
    <w:rsid w:val="719A3A8C"/>
    <w:rsid w:val="71B132B0"/>
    <w:rsid w:val="71CD79BE"/>
    <w:rsid w:val="71F15DA2"/>
    <w:rsid w:val="7251239D"/>
    <w:rsid w:val="725A21C1"/>
    <w:rsid w:val="72623BBD"/>
    <w:rsid w:val="733D0B73"/>
    <w:rsid w:val="73445350"/>
    <w:rsid w:val="735465E8"/>
    <w:rsid w:val="738329DB"/>
    <w:rsid w:val="73D51657"/>
    <w:rsid w:val="74240B0A"/>
    <w:rsid w:val="74D50BC0"/>
    <w:rsid w:val="74EB6AD9"/>
    <w:rsid w:val="74FA2C30"/>
    <w:rsid w:val="754D5C4B"/>
    <w:rsid w:val="755E374E"/>
    <w:rsid w:val="75AB270C"/>
    <w:rsid w:val="765608C9"/>
    <w:rsid w:val="76593F16"/>
    <w:rsid w:val="76C240A7"/>
    <w:rsid w:val="76E5704E"/>
    <w:rsid w:val="76F04B13"/>
    <w:rsid w:val="76FD0D45"/>
    <w:rsid w:val="770C71DA"/>
    <w:rsid w:val="775246B7"/>
    <w:rsid w:val="77AA5BFA"/>
    <w:rsid w:val="78061696"/>
    <w:rsid w:val="781E69D1"/>
    <w:rsid w:val="78281DF2"/>
    <w:rsid w:val="78A23952"/>
    <w:rsid w:val="78B7340B"/>
    <w:rsid w:val="78B867DD"/>
    <w:rsid w:val="79706276"/>
    <w:rsid w:val="797E44D4"/>
    <w:rsid w:val="7A0F55DA"/>
    <w:rsid w:val="7A263B6B"/>
    <w:rsid w:val="7A7C4677"/>
    <w:rsid w:val="7AA41B4F"/>
    <w:rsid w:val="7ACA3634"/>
    <w:rsid w:val="7AE75F94"/>
    <w:rsid w:val="7AF46346"/>
    <w:rsid w:val="7AF83CFD"/>
    <w:rsid w:val="7B0F54EB"/>
    <w:rsid w:val="7B0F5EBF"/>
    <w:rsid w:val="7B130FB9"/>
    <w:rsid w:val="7B75534E"/>
    <w:rsid w:val="7BB06386"/>
    <w:rsid w:val="7BCB6C3C"/>
    <w:rsid w:val="7BD1454E"/>
    <w:rsid w:val="7BDA78A7"/>
    <w:rsid w:val="7BEB5610"/>
    <w:rsid w:val="7BEE3352"/>
    <w:rsid w:val="7BF64EDE"/>
    <w:rsid w:val="7C377D3A"/>
    <w:rsid w:val="7C3C5E6C"/>
    <w:rsid w:val="7C400C1E"/>
    <w:rsid w:val="7C635251"/>
    <w:rsid w:val="7C8C559B"/>
    <w:rsid w:val="7C947A56"/>
    <w:rsid w:val="7C9A2D33"/>
    <w:rsid w:val="7CB5616E"/>
    <w:rsid w:val="7CF361D0"/>
    <w:rsid w:val="7DB67EA0"/>
    <w:rsid w:val="7DBB1012"/>
    <w:rsid w:val="7DD11708"/>
    <w:rsid w:val="7E21356B"/>
    <w:rsid w:val="7E4255B9"/>
    <w:rsid w:val="7E427099"/>
    <w:rsid w:val="7E722019"/>
    <w:rsid w:val="7E991353"/>
    <w:rsid w:val="7EBD579E"/>
    <w:rsid w:val="7EC167BD"/>
    <w:rsid w:val="7EED5B43"/>
    <w:rsid w:val="7F272D9E"/>
    <w:rsid w:val="7F5B485B"/>
    <w:rsid w:val="7F7E1E38"/>
    <w:rsid w:val="7F935FB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nhideWhenUsed="0" w:uiPriority="9" w:semiHidden="0" w:name="heading 5"/>
    <w:lsdException w:qFormat="1" w:uiPriority="9" w:name="heading 6"/>
    <w:lsdException w:qFormat="1" w:uiPriority="9" w:name="heading 7"/>
    <w:lsdException w:qFormat="1" w:unhideWhenUsed="0" w:uiPriority="9" w:semiHidden="0"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qFormat="1" w:unhideWhenUsed="0" w:uiPriority="0" w:semiHidden="0"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qFormat="1" w:uiPriority="99" w:semiHidden="0" w:name="endnote reference"/>
    <w:lsdException w:uiPriority="99" w:name="endnote text"/>
    <w:lsdException w:uiPriority="99" w:name="table of authorities"/>
    <w:lsdException w:uiPriority="99" w:name="macro"/>
    <w:lsdException w:uiPriority="99" w:name="toa heading"/>
    <w:lsdException w:qFormat="1" w:uiPriority="99" w:semiHidden="0"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99"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qFormat="1" w:uiPriority="99"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qFormat="1" w:unhideWhenUsed="0" w:uiPriority="0" w:semiHidden="0" w:name="HTML Sample"/>
    <w:lsdException w:uiPriority="99" w:name="HTML Typewriter"/>
    <w:lsdException w:uiPriority="99" w:name="HTML Variable"/>
    <w:lsdException w:qFormat="1" w:uiPriority="99" w:semiHidden="0"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3"/>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44"/>
    <w:qFormat/>
    <w:uiPriority w:val="9"/>
    <w:pPr>
      <w:keepNext/>
      <w:keepLines/>
      <w:spacing w:before="260" w:after="260" w:line="416" w:lineRule="auto"/>
      <w:outlineLvl w:val="1"/>
    </w:pPr>
    <w:rPr>
      <w:rFonts w:ascii="Cambria" w:hAnsi="Cambria"/>
      <w:b/>
      <w:bCs/>
      <w:sz w:val="32"/>
      <w:szCs w:val="32"/>
    </w:rPr>
  </w:style>
  <w:style w:type="paragraph" w:styleId="4">
    <w:name w:val="heading 3"/>
    <w:basedOn w:val="1"/>
    <w:next w:val="1"/>
    <w:link w:val="41"/>
    <w:qFormat/>
    <w:uiPriority w:val="9"/>
    <w:pPr>
      <w:keepNext/>
      <w:keepLines/>
      <w:spacing w:before="260" w:after="260" w:line="416" w:lineRule="auto"/>
      <w:outlineLvl w:val="2"/>
    </w:pPr>
    <w:rPr>
      <w:b/>
      <w:bCs/>
      <w:sz w:val="32"/>
      <w:szCs w:val="32"/>
    </w:rPr>
  </w:style>
  <w:style w:type="paragraph" w:styleId="5">
    <w:name w:val="heading 4"/>
    <w:basedOn w:val="1"/>
    <w:next w:val="1"/>
    <w:qFormat/>
    <w:uiPriority w:val="0"/>
    <w:pPr>
      <w:tabs>
        <w:tab w:val="left" w:pos="2155"/>
      </w:tabs>
      <w:adjustRightInd w:val="0"/>
      <w:spacing w:before="120" w:beforeLines="0" w:line="360" w:lineRule="auto"/>
      <w:ind w:left="2155" w:hanging="1078"/>
      <w:textAlignment w:val="baseline"/>
      <w:outlineLvl w:val="3"/>
    </w:pPr>
    <w:rPr>
      <w:rFonts w:ascii="Arial" w:eastAsia="黑体"/>
      <w:kern w:val="0"/>
      <w:sz w:val="28"/>
      <w:szCs w:val="20"/>
    </w:rPr>
  </w:style>
  <w:style w:type="paragraph" w:styleId="6">
    <w:name w:val="heading 5"/>
    <w:basedOn w:val="1"/>
    <w:next w:val="7"/>
    <w:link w:val="45"/>
    <w:qFormat/>
    <w:uiPriority w:val="9"/>
    <w:pPr>
      <w:keepNext/>
      <w:keepLines/>
      <w:spacing w:before="280" w:after="290" w:line="376" w:lineRule="auto"/>
      <w:outlineLvl w:val="4"/>
    </w:pPr>
    <w:rPr>
      <w:b/>
      <w:bCs/>
      <w:sz w:val="28"/>
      <w:szCs w:val="28"/>
    </w:rPr>
  </w:style>
  <w:style w:type="paragraph" w:styleId="8">
    <w:name w:val="heading 8"/>
    <w:basedOn w:val="1"/>
    <w:next w:val="1"/>
    <w:link w:val="46"/>
    <w:qFormat/>
    <w:uiPriority w:val="9"/>
    <w:pPr>
      <w:keepNext/>
      <w:keepLines/>
      <w:spacing w:before="240" w:after="64" w:line="320" w:lineRule="auto"/>
      <w:outlineLvl w:val="7"/>
    </w:pPr>
    <w:rPr>
      <w:rFonts w:ascii="等线 Light" w:hAnsi="等线 Light" w:eastAsia="等线 Light"/>
      <w:sz w:val="24"/>
    </w:rPr>
  </w:style>
  <w:style w:type="character" w:default="1" w:styleId="33">
    <w:name w:val="Default Paragraph Font"/>
    <w:unhideWhenUsed/>
    <w:qFormat/>
    <w:uiPriority w:val="1"/>
  </w:style>
  <w:style w:type="table" w:default="1" w:styleId="31">
    <w:name w:val="Normal Table"/>
    <w:unhideWhenUsed/>
    <w:qFormat/>
    <w:uiPriority w:val="99"/>
    <w:tblPr>
      <w:tblCellMar>
        <w:top w:w="0" w:type="dxa"/>
        <w:left w:w="108" w:type="dxa"/>
        <w:bottom w:w="0" w:type="dxa"/>
        <w:right w:w="108" w:type="dxa"/>
      </w:tblCellMar>
    </w:tblPr>
  </w:style>
  <w:style w:type="paragraph" w:styleId="7">
    <w:name w:val="Normal Indent"/>
    <w:basedOn w:val="1"/>
    <w:qFormat/>
    <w:uiPriority w:val="0"/>
    <w:pPr>
      <w:ind w:firstLine="420"/>
    </w:pPr>
    <w:rPr>
      <w:szCs w:val="20"/>
    </w:rPr>
  </w:style>
  <w:style w:type="paragraph" w:styleId="9">
    <w:name w:val="List Number"/>
    <w:basedOn w:val="1"/>
    <w:qFormat/>
    <w:uiPriority w:val="0"/>
    <w:pPr>
      <w:widowControl/>
      <w:tabs>
        <w:tab w:val="left" w:pos="454"/>
        <w:tab w:val="left" w:pos="720"/>
        <w:tab w:val="left" w:pos="840"/>
      </w:tabs>
      <w:spacing w:after="50" w:afterLines="50"/>
      <w:ind w:left="454" w:hanging="284"/>
      <w:jc w:val="left"/>
    </w:pPr>
    <w:rPr>
      <w:kern w:val="0"/>
      <w:sz w:val="24"/>
      <w:szCs w:val="20"/>
    </w:rPr>
  </w:style>
  <w:style w:type="paragraph" w:styleId="10">
    <w:name w:val="annotation text"/>
    <w:basedOn w:val="1"/>
    <w:link w:val="47"/>
    <w:qFormat/>
    <w:uiPriority w:val="0"/>
    <w:pPr>
      <w:jc w:val="left"/>
    </w:pPr>
  </w:style>
  <w:style w:type="paragraph" w:styleId="11">
    <w:name w:val="Body Text 3"/>
    <w:basedOn w:val="1"/>
    <w:link w:val="48"/>
    <w:unhideWhenUsed/>
    <w:qFormat/>
    <w:uiPriority w:val="99"/>
    <w:pPr>
      <w:spacing w:after="120"/>
    </w:pPr>
    <w:rPr>
      <w:sz w:val="16"/>
      <w:szCs w:val="16"/>
    </w:rPr>
  </w:style>
  <w:style w:type="paragraph" w:styleId="12">
    <w:name w:val="Body Text"/>
    <w:basedOn w:val="1"/>
    <w:link w:val="49"/>
    <w:unhideWhenUsed/>
    <w:qFormat/>
    <w:uiPriority w:val="0"/>
    <w:pPr>
      <w:spacing w:after="120"/>
    </w:pPr>
  </w:style>
  <w:style w:type="paragraph" w:styleId="13">
    <w:name w:val="Body Text Indent"/>
    <w:basedOn w:val="1"/>
    <w:link w:val="42"/>
    <w:qFormat/>
    <w:uiPriority w:val="0"/>
    <w:pPr>
      <w:ind w:firstLine="830" w:firstLineChars="352"/>
    </w:pPr>
    <w:rPr>
      <w:rFonts w:ascii="仿宋_GB2312" w:eastAsia="仿宋_GB2312"/>
      <w:kern w:val="0"/>
      <w:sz w:val="32"/>
      <w:szCs w:val="20"/>
    </w:rPr>
  </w:style>
  <w:style w:type="paragraph" w:styleId="14">
    <w:name w:val="List 2"/>
    <w:basedOn w:val="1"/>
    <w:unhideWhenUsed/>
    <w:qFormat/>
    <w:uiPriority w:val="99"/>
    <w:pPr>
      <w:ind w:left="100" w:leftChars="200" w:hanging="200" w:hangingChars="200"/>
      <w:contextualSpacing/>
    </w:pPr>
  </w:style>
  <w:style w:type="paragraph" w:styleId="15">
    <w:name w:val="toc 3"/>
    <w:basedOn w:val="1"/>
    <w:next w:val="1"/>
    <w:unhideWhenUsed/>
    <w:qFormat/>
    <w:uiPriority w:val="39"/>
    <w:pPr>
      <w:ind w:left="840" w:leftChars="400"/>
    </w:pPr>
  </w:style>
  <w:style w:type="paragraph" w:styleId="16">
    <w:name w:val="Plain Text"/>
    <w:basedOn w:val="1"/>
    <w:link w:val="50"/>
    <w:qFormat/>
    <w:uiPriority w:val="0"/>
    <w:rPr>
      <w:rFonts w:ascii="宋体" w:hAnsi="Courier New"/>
      <w:kern w:val="0"/>
      <w:sz w:val="20"/>
      <w:szCs w:val="21"/>
    </w:rPr>
  </w:style>
  <w:style w:type="paragraph" w:styleId="17">
    <w:name w:val="Date"/>
    <w:basedOn w:val="1"/>
    <w:next w:val="1"/>
    <w:link w:val="51"/>
    <w:unhideWhenUsed/>
    <w:qFormat/>
    <w:uiPriority w:val="99"/>
    <w:pPr>
      <w:ind w:left="100" w:leftChars="2500"/>
    </w:pPr>
  </w:style>
  <w:style w:type="paragraph" w:styleId="18">
    <w:name w:val="Balloon Text"/>
    <w:basedOn w:val="1"/>
    <w:link w:val="52"/>
    <w:semiHidden/>
    <w:qFormat/>
    <w:uiPriority w:val="0"/>
    <w:rPr>
      <w:sz w:val="18"/>
      <w:szCs w:val="18"/>
    </w:rPr>
  </w:style>
  <w:style w:type="paragraph" w:styleId="19">
    <w:name w:val="footer"/>
    <w:basedOn w:val="1"/>
    <w:link w:val="53"/>
    <w:unhideWhenUsed/>
    <w:qFormat/>
    <w:uiPriority w:val="99"/>
    <w:pPr>
      <w:tabs>
        <w:tab w:val="center" w:pos="4153"/>
        <w:tab w:val="right" w:pos="8306"/>
      </w:tabs>
      <w:snapToGrid w:val="0"/>
      <w:jc w:val="left"/>
    </w:pPr>
    <w:rPr>
      <w:kern w:val="0"/>
      <w:sz w:val="18"/>
      <w:szCs w:val="18"/>
    </w:rPr>
  </w:style>
  <w:style w:type="paragraph" w:styleId="20">
    <w:name w:val="header"/>
    <w:basedOn w:val="1"/>
    <w:link w:val="54"/>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21">
    <w:name w:val="toc 1"/>
    <w:basedOn w:val="1"/>
    <w:next w:val="1"/>
    <w:unhideWhenUsed/>
    <w:qFormat/>
    <w:uiPriority w:val="39"/>
  </w:style>
  <w:style w:type="paragraph" w:styleId="22">
    <w:name w:val="Subtitle"/>
    <w:basedOn w:val="1"/>
    <w:next w:val="1"/>
    <w:qFormat/>
    <w:uiPriority w:val="0"/>
    <w:pPr>
      <w:spacing w:before="240" w:after="60" w:line="312" w:lineRule="auto"/>
      <w:jc w:val="center"/>
      <w:outlineLvl w:val="1"/>
    </w:pPr>
    <w:rPr>
      <w:rFonts w:ascii="Cambria" w:hAnsi="Cambria" w:cs="Cambria"/>
      <w:b/>
      <w:bCs/>
      <w:kern w:val="28"/>
      <w:sz w:val="32"/>
      <w:szCs w:val="32"/>
    </w:rPr>
  </w:style>
  <w:style w:type="paragraph" w:styleId="23">
    <w:name w:val="List"/>
    <w:basedOn w:val="1"/>
    <w:unhideWhenUsed/>
    <w:qFormat/>
    <w:uiPriority w:val="99"/>
    <w:pPr>
      <w:ind w:left="200" w:hanging="200" w:hangingChars="200"/>
      <w:contextualSpacing/>
    </w:pPr>
  </w:style>
  <w:style w:type="paragraph" w:styleId="24">
    <w:name w:val="toc 2"/>
    <w:basedOn w:val="1"/>
    <w:next w:val="1"/>
    <w:unhideWhenUsed/>
    <w:qFormat/>
    <w:uiPriority w:val="39"/>
    <w:pPr>
      <w:tabs>
        <w:tab w:val="right" w:leader="dot" w:pos="8296"/>
      </w:tabs>
      <w:ind w:left="420" w:leftChars="200"/>
    </w:pPr>
  </w:style>
  <w:style w:type="paragraph" w:styleId="25">
    <w:name w:val="toc 9"/>
    <w:basedOn w:val="1"/>
    <w:next w:val="1"/>
    <w:qFormat/>
    <w:uiPriority w:val="0"/>
    <w:pPr>
      <w:tabs>
        <w:tab w:val="right" w:leader="dot" w:pos="9185"/>
      </w:tabs>
      <w:adjustRightInd w:val="0"/>
      <w:spacing w:line="312" w:lineRule="atLeast"/>
      <w:ind w:left="3360"/>
      <w:textAlignment w:val="baseline"/>
    </w:pPr>
    <w:rPr>
      <w:kern w:val="0"/>
      <w:szCs w:val="20"/>
    </w:rPr>
  </w:style>
  <w:style w:type="paragraph" w:styleId="26">
    <w:name w:val="Normal (Web)"/>
    <w:basedOn w:val="1"/>
    <w:unhideWhenUsed/>
    <w:qFormat/>
    <w:uiPriority w:val="99"/>
    <w:pPr>
      <w:spacing w:before="0" w:beforeAutospacing="0" w:after="0" w:afterAutospacing="0"/>
      <w:ind w:left="0" w:right="0"/>
      <w:jc w:val="both"/>
    </w:pPr>
    <w:rPr>
      <w:rFonts w:hint="default" w:ascii="Calibri" w:hAnsi="Calibri" w:cs="Calibri"/>
      <w:kern w:val="0"/>
      <w:sz w:val="24"/>
      <w:szCs w:val="24"/>
      <w:lang w:val="en-US" w:eastAsia="zh-CN" w:bidi="ar"/>
    </w:rPr>
  </w:style>
  <w:style w:type="paragraph" w:styleId="27">
    <w:name w:val="Title"/>
    <w:basedOn w:val="1"/>
    <w:next w:val="1"/>
    <w:qFormat/>
    <w:uiPriority w:val="10"/>
    <w:pPr>
      <w:widowControl/>
      <w:overflowPunct w:val="0"/>
      <w:autoSpaceDE w:val="0"/>
      <w:autoSpaceDN w:val="0"/>
      <w:adjustRightInd w:val="0"/>
      <w:jc w:val="center"/>
      <w:textAlignment w:val="baseline"/>
    </w:pPr>
    <w:rPr>
      <w:rFonts w:ascii="Cambria" w:hAnsi="Cambria"/>
      <w:b/>
      <w:bCs/>
      <w:sz w:val="32"/>
      <w:szCs w:val="32"/>
    </w:rPr>
  </w:style>
  <w:style w:type="paragraph" w:styleId="28">
    <w:name w:val="annotation subject"/>
    <w:basedOn w:val="10"/>
    <w:next w:val="10"/>
    <w:link w:val="55"/>
    <w:qFormat/>
    <w:uiPriority w:val="99"/>
    <w:rPr>
      <w:b/>
      <w:bCs/>
    </w:rPr>
  </w:style>
  <w:style w:type="paragraph" w:styleId="29">
    <w:name w:val="Body Text First Indent"/>
    <w:basedOn w:val="12"/>
    <w:qFormat/>
    <w:uiPriority w:val="0"/>
    <w:pPr>
      <w:ind w:firstLine="420" w:firstLineChars="100"/>
    </w:pPr>
  </w:style>
  <w:style w:type="paragraph" w:styleId="30">
    <w:name w:val="Body Text First Indent 2"/>
    <w:basedOn w:val="13"/>
    <w:qFormat/>
    <w:uiPriority w:val="0"/>
    <w:pPr>
      <w:ind w:firstLine="420" w:firstLineChars="200"/>
    </w:pPr>
    <w:rPr>
      <w:rFonts w:eastAsia="仿宋"/>
      <w:sz w:val="28"/>
    </w:rPr>
  </w:style>
  <w:style w:type="table" w:styleId="32">
    <w:name w:val="Table Grid"/>
    <w:basedOn w:val="31"/>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4">
    <w:name w:val="endnote reference"/>
    <w:unhideWhenUsed/>
    <w:qFormat/>
    <w:uiPriority w:val="99"/>
    <w:rPr>
      <w:vertAlign w:val="superscript"/>
    </w:rPr>
  </w:style>
  <w:style w:type="character" w:styleId="35">
    <w:name w:val="page number"/>
    <w:basedOn w:val="33"/>
    <w:qFormat/>
    <w:uiPriority w:val="0"/>
  </w:style>
  <w:style w:type="character" w:styleId="36">
    <w:name w:val="FollowedHyperlink"/>
    <w:unhideWhenUsed/>
    <w:qFormat/>
    <w:uiPriority w:val="99"/>
    <w:rPr>
      <w:color w:val="800080"/>
      <w:u w:val="single"/>
    </w:rPr>
  </w:style>
  <w:style w:type="character" w:styleId="37">
    <w:name w:val="Hyperlink"/>
    <w:unhideWhenUsed/>
    <w:qFormat/>
    <w:uiPriority w:val="99"/>
    <w:rPr>
      <w:color w:val="0000FF"/>
      <w:u w:val="single"/>
    </w:rPr>
  </w:style>
  <w:style w:type="character" w:styleId="38">
    <w:name w:val="annotation reference"/>
    <w:qFormat/>
    <w:uiPriority w:val="0"/>
    <w:rPr>
      <w:sz w:val="21"/>
      <w:szCs w:val="21"/>
    </w:rPr>
  </w:style>
  <w:style w:type="character" w:styleId="39">
    <w:name w:val="HTML Sample"/>
    <w:qFormat/>
    <w:uiPriority w:val="0"/>
    <w:rPr>
      <w:rFonts w:ascii="Courier New" w:hAnsi="Courier New"/>
    </w:rPr>
  </w:style>
  <w:style w:type="character" w:customStyle="1" w:styleId="40">
    <w:name w:val="标题 2 Char"/>
    <w:qFormat/>
    <w:uiPriority w:val="9"/>
    <w:rPr>
      <w:rFonts w:ascii="Cambria" w:hAnsi="Cambria" w:eastAsia="宋体" w:cs="Times New Roman"/>
      <w:b/>
      <w:bCs/>
      <w:kern w:val="2"/>
      <w:sz w:val="32"/>
      <w:szCs w:val="32"/>
    </w:rPr>
  </w:style>
  <w:style w:type="character" w:customStyle="1" w:styleId="41">
    <w:name w:val="标题 3 Char"/>
    <w:link w:val="4"/>
    <w:qFormat/>
    <w:uiPriority w:val="9"/>
    <w:rPr>
      <w:b/>
      <w:bCs/>
      <w:kern w:val="2"/>
      <w:sz w:val="32"/>
      <w:szCs w:val="32"/>
    </w:rPr>
  </w:style>
  <w:style w:type="character" w:customStyle="1" w:styleId="42">
    <w:name w:val="正文文本缩进 Char"/>
    <w:link w:val="13"/>
    <w:qFormat/>
    <w:uiPriority w:val="0"/>
    <w:rPr>
      <w:rFonts w:ascii="仿宋_GB2312" w:hAnsi="Times New Roman" w:eastAsia="仿宋_GB2312" w:cs="Times New Roman"/>
      <w:sz w:val="32"/>
      <w:szCs w:val="20"/>
    </w:rPr>
  </w:style>
  <w:style w:type="character" w:customStyle="1" w:styleId="43">
    <w:name w:val="标题 1 Char"/>
    <w:link w:val="2"/>
    <w:qFormat/>
    <w:uiPriority w:val="9"/>
    <w:rPr>
      <w:b/>
      <w:bCs/>
      <w:kern w:val="44"/>
      <w:sz w:val="44"/>
      <w:szCs w:val="44"/>
    </w:rPr>
  </w:style>
  <w:style w:type="character" w:customStyle="1" w:styleId="44">
    <w:name w:val="标题 2 Char1"/>
    <w:link w:val="3"/>
    <w:qFormat/>
    <w:uiPriority w:val="9"/>
    <w:rPr>
      <w:rFonts w:ascii="Cambria" w:hAnsi="Cambria" w:eastAsia="宋体" w:cs="Times New Roman"/>
      <w:b/>
      <w:bCs/>
      <w:kern w:val="2"/>
      <w:sz w:val="32"/>
      <w:szCs w:val="32"/>
    </w:rPr>
  </w:style>
  <w:style w:type="character" w:customStyle="1" w:styleId="45">
    <w:name w:val="标题 5 Char"/>
    <w:link w:val="6"/>
    <w:qFormat/>
    <w:uiPriority w:val="9"/>
    <w:rPr>
      <w:rFonts w:ascii="Times New Roman" w:hAnsi="Times New Roman"/>
      <w:b/>
      <w:bCs/>
      <w:kern w:val="2"/>
      <w:sz w:val="28"/>
      <w:szCs w:val="28"/>
    </w:rPr>
  </w:style>
  <w:style w:type="character" w:customStyle="1" w:styleId="46">
    <w:name w:val="标题 8 Char1"/>
    <w:link w:val="8"/>
    <w:qFormat/>
    <w:uiPriority w:val="9"/>
    <w:rPr>
      <w:rFonts w:ascii="等线 Light" w:hAnsi="等线 Light" w:eastAsia="等线 Light" w:cs="Times New Roman"/>
      <w:kern w:val="2"/>
      <w:sz w:val="24"/>
      <w:szCs w:val="24"/>
    </w:rPr>
  </w:style>
  <w:style w:type="character" w:customStyle="1" w:styleId="47">
    <w:name w:val="批注文字 Char1"/>
    <w:link w:val="10"/>
    <w:qFormat/>
    <w:uiPriority w:val="0"/>
    <w:rPr>
      <w:rFonts w:ascii="Times New Roman" w:hAnsi="Times New Roman"/>
      <w:kern w:val="2"/>
      <w:sz w:val="21"/>
      <w:szCs w:val="24"/>
    </w:rPr>
  </w:style>
  <w:style w:type="character" w:customStyle="1" w:styleId="48">
    <w:name w:val="正文文本 3 Char"/>
    <w:link w:val="11"/>
    <w:qFormat/>
    <w:uiPriority w:val="99"/>
    <w:rPr>
      <w:kern w:val="2"/>
      <w:sz w:val="16"/>
      <w:szCs w:val="16"/>
    </w:rPr>
  </w:style>
  <w:style w:type="character" w:customStyle="1" w:styleId="49">
    <w:name w:val="正文文本 Char1"/>
    <w:link w:val="12"/>
    <w:qFormat/>
    <w:uiPriority w:val="0"/>
    <w:rPr>
      <w:rFonts w:ascii="Times New Roman" w:hAnsi="Times New Roman"/>
      <w:kern w:val="2"/>
      <w:sz w:val="21"/>
      <w:szCs w:val="24"/>
    </w:rPr>
  </w:style>
  <w:style w:type="character" w:customStyle="1" w:styleId="50">
    <w:name w:val="纯文本 Char1"/>
    <w:link w:val="16"/>
    <w:qFormat/>
    <w:uiPriority w:val="0"/>
    <w:rPr>
      <w:rFonts w:ascii="宋体" w:hAnsi="Courier New" w:eastAsia="宋体" w:cs="Courier New"/>
      <w:szCs w:val="21"/>
    </w:rPr>
  </w:style>
  <w:style w:type="character" w:customStyle="1" w:styleId="51">
    <w:name w:val="日期 Char"/>
    <w:link w:val="17"/>
    <w:qFormat/>
    <w:uiPriority w:val="99"/>
    <w:rPr>
      <w:rFonts w:ascii="Times New Roman" w:hAnsi="Times New Roman"/>
      <w:kern w:val="2"/>
      <w:sz w:val="21"/>
      <w:szCs w:val="24"/>
    </w:rPr>
  </w:style>
  <w:style w:type="character" w:customStyle="1" w:styleId="52">
    <w:name w:val="批注框文本 Char"/>
    <w:link w:val="18"/>
    <w:semiHidden/>
    <w:qFormat/>
    <w:uiPriority w:val="0"/>
    <w:rPr>
      <w:kern w:val="2"/>
      <w:sz w:val="18"/>
      <w:szCs w:val="18"/>
    </w:rPr>
  </w:style>
  <w:style w:type="character" w:customStyle="1" w:styleId="53">
    <w:name w:val="页脚 Char"/>
    <w:link w:val="19"/>
    <w:qFormat/>
    <w:uiPriority w:val="99"/>
    <w:rPr>
      <w:sz w:val="18"/>
      <w:szCs w:val="18"/>
    </w:rPr>
  </w:style>
  <w:style w:type="character" w:customStyle="1" w:styleId="54">
    <w:name w:val="页眉 Char"/>
    <w:link w:val="20"/>
    <w:qFormat/>
    <w:uiPriority w:val="99"/>
    <w:rPr>
      <w:sz w:val="18"/>
      <w:szCs w:val="18"/>
    </w:rPr>
  </w:style>
  <w:style w:type="character" w:customStyle="1" w:styleId="55">
    <w:name w:val="批注主题 Char"/>
    <w:link w:val="28"/>
    <w:qFormat/>
    <w:uiPriority w:val="99"/>
    <w:rPr>
      <w:rFonts w:ascii="Times New Roman" w:hAnsi="Times New Roman"/>
      <w:b/>
      <w:bCs/>
      <w:kern w:val="2"/>
      <w:sz w:val="21"/>
      <w:szCs w:val="24"/>
    </w:rPr>
  </w:style>
  <w:style w:type="paragraph" w:customStyle="1" w:styleId="56">
    <w:name w:val="表格文字"/>
    <w:basedOn w:val="13"/>
    <w:next w:val="12"/>
    <w:qFormat/>
    <w:uiPriority w:val="0"/>
    <w:pPr>
      <w:adjustRightInd w:val="0"/>
      <w:spacing w:line="420" w:lineRule="atLeast"/>
      <w:jc w:val="left"/>
      <w:textAlignment w:val="baseline"/>
    </w:pPr>
    <w:rPr>
      <w:kern w:val="0"/>
    </w:rPr>
  </w:style>
  <w:style w:type="character" w:customStyle="1" w:styleId="57">
    <w:name w:val="批注文字 Char"/>
    <w:qFormat/>
    <w:uiPriority w:val="0"/>
    <w:rPr>
      <w:rFonts w:ascii="Times New Roman" w:hAnsi="Times New Roman"/>
      <w:kern w:val="2"/>
      <w:sz w:val="21"/>
      <w:szCs w:val="24"/>
    </w:rPr>
  </w:style>
  <w:style w:type="character" w:customStyle="1" w:styleId="58">
    <w:name w:val="正文文本 (26) + 间距 0 pt"/>
    <w:qFormat/>
    <w:uiPriority w:val="0"/>
    <w:rPr>
      <w:rFonts w:ascii="宋体" w:hAnsi="宋体" w:eastAsia="宋体" w:cs="宋体"/>
      <w:color w:val="000000"/>
      <w:spacing w:val="0"/>
      <w:w w:val="100"/>
      <w:position w:val="0"/>
      <w:sz w:val="22"/>
      <w:szCs w:val="22"/>
      <w:u w:val="none"/>
      <w:lang w:val="zh-CN" w:eastAsia="zh-CN" w:bidi="zh-CN"/>
    </w:rPr>
  </w:style>
  <w:style w:type="character" w:customStyle="1" w:styleId="59">
    <w:name w:val="未处理的提及"/>
    <w:unhideWhenUsed/>
    <w:qFormat/>
    <w:uiPriority w:val="99"/>
    <w:rPr>
      <w:color w:val="605E5C"/>
      <w:shd w:val="clear" w:color="auto" w:fill="E1DFDD"/>
    </w:rPr>
  </w:style>
  <w:style w:type="character" w:customStyle="1" w:styleId="60">
    <w:name w:val="标题 8 Char"/>
    <w:qFormat/>
    <w:uiPriority w:val="0"/>
    <w:rPr>
      <w:rFonts w:ascii="Arial" w:hAnsi="Arial" w:eastAsia="黑体"/>
      <w:kern w:val="2"/>
      <w:sz w:val="24"/>
      <w:szCs w:val="24"/>
    </w:rPr>
  </w:style>
  <w:style w:type="character" w:customStyle="1" w:styleId="61">
    <w:name w:val="apple-style-span"/>
    <w:qFormat/>
    <w:uiPriority w:val="0"/>
  </w:style>
  <w:style w:type="character" w:customStyle="1" w:styleId="62">
    <w:name w:val="textcontents"/>
    <w:qFormat/>
    <w:uiPriority w:val="0"/>
  </w:style>
  <w:style w:type="character" w:customStyle="1" w:styleId="63">
    <w:name w:val="批注文字 字符"/>
    <w:qFormat/>
    <w:uiPriority w:val="0"/>
    <w:rPr>
      <w:rFonts w:ascii="Times New Roman" w:hAnsi="Times New Roman"/>
      <w:kern w:val="2"/>
      <w:sz w:val="21"/>
      <w:szCs w:val="24"/>
    </w:rPr>
  </w:style>
  <w:style w:type="character" w:customStyle="1" w:styleId="64">
    <w:name w:val="纯文本 字符1"/>
    <w:qFormat/>
    <w:uiPriority w:val="0"/>
    <w:rPr>
      <w:rFonts w:ascii="宋体" w:hAnsi="Courier New"/>
    </w:rPr>
  </w:style>
  <w:style w:type="character" w:customStyle="1" w:styleId="65">
    <w:name w:val="正文文本 字符"/>
    <w:qFormat/>
    <w:uiPriority w:val="0"/>
    <w:rPr>
      <w:rFonts w:ascii="Times New Roman" w:hAnsi="Times New Roman"/>
      <w:kern w:val="2"/>
      <w:sz w:val="21"/>
      <w:szCs w:val="24"/>
    </w:rPr>
  </w:style>
  <w:style w:type="character" w:customStyle="1" w:styleId="66">
    <w:name w:val="标题 1 字符1"/>
    <w:qFormat/>
    <w:uiPriority w:val="0"/>
    <w:rPr>
      <w:b/>
      <w:bCs/>
      <w:kern w:val="44"/>
      <w:sz w:val="44"/>
      <w:szCs w:val="44"/>
    </w:rPr>
  </w:style>
  <w:style w:type="character" w:customStyle="1" w:styleId="67">
    <w:name w:val="正文2 Char Char"/>
    <w:link w:val="68"/>
    <w:qFormat/>
    <w:uiPriority w:val="0"/>
    <w:rPr>
      <w:sz w:val="24"/>
    </w:rPr>
  </w:style>
  <w:style w:type="paragraph" w:customStyle="1" w:styleId="68">
    <w:name w:val="正文2"/>
    <w:basedOn w:val="1"/>
    <w:link w:val="67"/>
    <w:qFormat/>
    <w:uiPriority w:val="0"/>
    <w:pPr>
      <w:adjustRightInd w:val="0"/>
      <w:spacing w:before="156" w:line="360" w:lineRule="auto"/>
      <w:ind w:firstLine="510" w:firstLineChars="200"/>
    </w:pPr>
    <w:rPr>
      <w:kern w:val="0"/>
      <w:sz w:val="24"/>
      <w:szCs w:val="20"/>
    </w:rPr>
  </w:style>
  <w:style w:type="character" w:customStyle="1" w:styleId="69">
    <w:name w:val="纯文本 Char"/>
    <w:qFormat/>
    <w:uiPriority w:val="99"/>
    <w:rPr>
      <w:rFonts w:ascii="宋体" w:hAnsi="Courier New" w:eastAsia="宋体" w:cs="Courier New"/>
      <w:szCs w:val="21"/>
    </w:rPr>
  </w:style>
  <w:style w:type="character" w:customStyle="1" w:styleId="70">
    <w:name w:val="纯文本 字符2"/>
    <w:qFormat/>
    <w:uiPriority w:val="0"/>
    <w:rPr>
      <w:rFonts w:ascii="宋体" w:hAnsi="Courier New" w:eastAsia="宋体" w:cs="Courier New"/>
      <w:szCs w:val="21"/>
    </w:rPr>
  </w:style>
  <w:style w:type="character" w:customStyle="1" w:styleId="71">
    <w:name w:val="纯文本 字符"/>
    <w:qFormat/>
    <w:uiPriority w:val="0"/>
    <w:rPr>
      <w:rFonts w:ascii="宋体" w:hAnsi="Courier New" w:eastAsia="宋体" w:cs="Courier New"/>
      <w:szCs w:val="21"/>
    </w:rPr>
  </w:style>
  <w:style w:type="character" w:customStyle="1" w:styleId="72">
    <w:name w:val="正文文本 Char"/>
    <w:qFormat/>
    <w:uiPriority w:val="0"/>
    <w:rPr>
      <w:rFonts w:ascii="Times New Roman" w:hAnsi="Times New Roman"/>
      <w:kern w:val="2"/>
      <w:sz w:val="21"/>
      <w:szCs w:val="24"/>
    </w:rPr>
  </w:style>
  <w:style w:type="character" w:customStyle="1" w:styleId="73">
    <w:name w:val="批注文字 字符1"/>
    <w:qFormat/>
    <w:uiPriority w:val="0"/>
    <w:rPr>
      <w:rFonts w:ascii="Times New Roman" w:hAnsi="Times New Roman"/>
      <w:kern w:val="2"/>
      <w:sz w:val="21"/>
      <w:szCs w:val="24"/>
    </w:rPr>
  </w:style>
  <w:style w:type="paragraph" w:customStyle="1" w:styleId="74">
    <w:name w:val="样式5"/>
    <w:basedOn w:val="1"/>
    <w:qFormat/>
    <w:uiPriority w:val="0"/>
    <w:pPr>
      <w:adjustRightInd w:val="0"/>
      <w:spacing w:line="440" w:lineRule="exact"/>
      <w:ind w:left="2" w:firstLine="480" w:firstLineChars="200"/>
    </w:pPr>
    <w:rPr>
      <w:rFonts w:ascii="仿宋_GB2312" w:hAnsi="仿宋" w:eastAsia="仿宋_GB2312"/>
      <w:sz w:val="24"/>
    </w:rPr>
  </w:style>
  <w:style w:type="paragraph" w:customStyle="1" w:styleId="75">
    <w:name w:val="Char Char Char Char"/>
    <w:basedOn w:val="1"/>
    <w:qFormat/>
    <w:uiPriority w:val="0"/>
    <w:pPr>
      <w:widowControl/>
      <w:spacing w:after="160" w:line="240" w:lineRule="exact"/>
      <w:jc w:val="left"/>
    </w:pPr>
  </w:style>
  <w:style w:type="paragraph" w:customStyle="1" w:styleId="76">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77">
    <w:name w:val="默认段落字体 Para Char Char Char Char Char Char Char Char Char1 Char Char Char Char"/>
    <w:basedOn w:val="1"/>
    <w:qFormat/>
    <w:uiPriority w:val="0"/>
    <w:rPr>
      <w:rFonts w:ascii="Tahoma" w:hAnsi="Tahoma"/>
      <w:sz w:val="24"/>
      <w:szCs w:val="20"/>
    </w:rPr>
  </w:style>
  <w:style w:type="paragraph" w:customStyle="1" w:styleId="78">
    <w:name w:val="Table Paragraph"/>
    <w:basedOn w:val="1"/>
    <w:qFormat/>
    <w:uiPriority w:val="1"/>
    <w:pPr>
      <w:jc w:val="left"/>
    </w:pPr>
    <w:rPr>
      <w:rFonts w:ascii="Calibri" w:hAnsi="Calibri"/>
      <w:kern w:val="0"/>
      <w:sz w:val="22"/>
      <w:szCs w:val="22"/>
      <w:lang w:eastAsia="en-US"/>
    </w:rPr>
  </w:style>
  <w:style w:type="paragraph" w:customStyle="1" w:styleId="79">
    <w:name w:val="正文1"/>
    <w:basedOn w:val="1"/>
    <w:qFormat/>
    <w:uiPriority w:val="0"/>
    <w:pPr>
      <w:adjustRightInd w:val="0"/>
      <w:spacing w:line="318" w:lineRule="atLeast"/>
      <w:ind w:left="369" w:firstLine="369"/>
      <w:textAlignment w:val="baseline"/>
    </w:pPr>
    <w:rPr>
      <w:szCs w:val="20"/>
    </w:rPr>
  </w:style>
  <w:style w:type="paragraph" w:styleId="80">
    <w:name w:val="List Paragraph"/>
    <w:basedOn w:val="1"/>
    <w:qFormat/>
    <w:uiPriority w:val="34"/>
    <w:pPr>
      <w:ind w:firstLine="420" w:firstLineChars="200"/>
    </w:pPr>
  </w:style>
  <w:style w:type="paragraph" w:customStyle="1" w:styleId="81">
    <w:name w:val="_Style 80"/>
    <w:basedOn w:val="2"/>
    <w:next w:val="1"/>
    <w:qFormat/>
    <w:uiPriority w:val="39"/>
    <w:pPr>
      <w:widowControl/>
      <w:spacing w:before="240" w:after="0" w:line="259" w:lineRule="auto"/>
      <w:jc w:val="left"/>
      <w:outlineLvl w:val="9"/>
    </w:pPr>
    <w:rPr>
      <w:rFonts w:ascii="等线 Light" w:hAnsi="等线 Light" w:eastAsia="等线 Light" w:cs="Times New Roman"/>
      <w:b w:val="0"/>
      <w:bCs w:val="0"/>
      <w:color w:val="2F5496"/>
      <w:kern w:val="0"/>
      <w:sz w:val="32"/>
      <w:szCs w:val="32"/>
      <w:lang w:val="en-US" w:eastAsia="zh-CN"/>
    </w:rPr>
  </w:style>
  <w:style w:type="paragraph" w:customStyle="1" w:styleId="82">
    <w:name w:val="正文缩进1"/>
    <w:basedOn w:val="1"/>
    <w:next w:val="13"/>
    <w:qFormat/>
    <w:uiPriority w:val="0"/>
    <w:pPr>
      <w:autoSpaceDE w:val="0"/>
      <w:autoSpaceDN w:val="0"/>
      <w:adjustRightInd w:val="0"/>
      <w:snapToGrid w:val="0"/>
      <w:spacing w:after="120" w:line="360" w:lineRule="auto"/>
      <w:ind w:left="420" w:leftChars="200" w:firstLine="480" w:firstLineChars="200"/>
    </w:pPr>
    <w:rPr>
      <w:sz w:val="24"/>
      <w:szCs w:val="21"/>
    </w:rPr>
  </w:style>
  <w:style w:type="character" w:customStyle="1" w:styleId="83">
    <w:name w:val="NormalCharacter"/>
    <w:qFormat/>
    <w:uiPriority w:val="0"/>
  </w:style>
  <w:style w:type="character" w:customStyle="1" w:styleId="84">
    <w:name w:val="普通文字 Char Char1"/>
    <w:qFormat/>
    <w:uiPriority w:val="0"/>
    <w:rPr>
      <w:rFonts w:ascii="宋体" w:hAnsi="Courier New" w:eastAsia="宋体"/>
      <w:kern w:val="2"/>
      <w:sz w:val="21"/>
      <w:lang w:val="en-US" w:eastAsia="zh-CN" w:bidi="ar-SA"/>
    </w:rPr>
  </w:style>
  <w:style w:type="paragraph" w:styleId="85">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86">
    <w:name w:val="Table Text"/>
    <w:basedOn w:val="1"/>
    <w:semiHidden/>
    <w:qFormat/>
    <w:uiPriority w:val="0"/>
    <w:rPr>
      <w:rFonts w:ascii="宋体" w:hAnsi="宋体" w:eastAsia="宋体" w:cs="宋体"/>
      <w:sz w:val="19"/>
      <w:szCs w:val="19"/>
      <w:lang w:val="en-US" w:eastAsia="en-US" w:bidi="ar-SA"/>
    </w:rPr>
  </w:style>
  <w:style w:type="paragraph" w:customStyle="1" w:styleId="87">
    <w:name w:val="Default"/>
    <w:basedOn w:val="27"/>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88">
    <w:name w:val="List Paragraph2"/>
    <w:basedOn w:val="1"/>
    <w:qFormat/>
    <w:uiPriority w:val="99"/>
    <w:pPr>
      <w:ind w:firstLine="420" w:firstLineChars="200"/>
    </w:pPr>
    <w:rPr>
      <w:rFonts w:ascii="Times New Roman" w:hAnsi="Times New Roman"/>
      <w:szCs w:val="20"/>
    </w:rPr>
  </w:style>
  <w:style w:type="table" w:customStyle="1" w:styleId="89">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广西云龙招标有限公司</Company>
  <Pages>66</Pages>
  <Words>373</Words>
  <Characters>456</Characters>
  <Lines>2300</Lines>
  <Paragraphs>2168</Paragraphs>
  <TotalTime>1</TotalTime>
  <ScaleCrop>false</ScaleCrop>
  <LinksUpToDate>false</LinksUpToDate>
  <CharactersWithSpaces>504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2021-08-17T04:20:00Z</dcterms:created>
  <dc:creator>唐冰</dc:creator>
  <cp:lastModifiedBy>代理机构</cp:lastModifiedBy>
  <cp:lastPrinted>2024-06-05T08:30:00Z</cp:lastPrinted>
  <dcterms:modified xsi:type="dcterms:W3CDTF">2025-05-16T02:54:11Z</dcterms:modified>
  <dc:title>竞争性谈判文件规范</dc:title>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59327E408E7A41C885B9CEF29E8D81FE_13</vt:lpwstr>
  </property>
  <property fmtid="{D5CDD505-2E9C-101B-9397-08002B2CF9AE}" pid="4" name="KSOTemplateDocerSaveRecord">
    <vt:lpwstr>eyJoZGlkIjoiNjdhOGZkYWE3YzIzZWUyNDFiZWViZTAzNDE4MWIxNDMiLCJ1c2VySWQiOiIzODUzMjY4NTMifQ==</vt:lpwstr>
  </property>
</Properties>
</file>