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35" w:tblpY="209"/>
        <w:tblOverlap w:val="never"/>
        <w:tblW w:w="9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82"/>
        <w:gridCol w:w="803"/>
        <w:gridCol w:w="6955"/>
      </w:tblGrid>
      <w:tr w14:paraId="28B6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967" w:type="dxa"/>
            <w:gridSpan w:val="4"/>
            <w:noWrap w:val="0"/>
            <w:vAlign w:val="center"/>
          </w:tcPr>
          <w:p w14:paraId="59AA3AF6">
            <w:pPr>
              <w:suppressAutoHyphens/>
              <w:wordWrap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bookmarkStart w:id="0" w:name="PO_TDCUS_ITEM_PB_REQ_FILE_1_1"/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服务需求一览表</w:t>
            </w:r>
          </w:p>
        </w:tc>
      </w:tr>
      <w:tr w14:paraId="545D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27" w:type="dxa"/>
            <w:noWrap w:val="0"/>
            <w:vAlign w:val="center"/>
          </w:tcPr>
          <w:p w14:paraId="56B00CAF">
            <w:pPr>
              <w:suppressAutoHyphens/>
              <w:wordWrap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482" w:type="dxa"/>
            <w:noWrap w:val="0"/>
            <w:vAlign w:val="center"/>
          </w:tcPr>
          <w:p w14:paraId="2A3916AA">
            <w:pPr>
              <w:suppressAutoHyphens/>
              <w:wordWrap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服务名称</w:t>
            </w:r>
          </w:p>
        </w:tc>
        <w:tc>
          <w:tcPr>
            <w:tcW w:w="803" w:type="dxa"/>
            <w:noWrap w:val="0"/>
            <w:vAlign w:val="center"/>
          </w:tcPr>
          <w:p w14:paraId="510CA2DE">
            <w:pPr>
              <w:suppressAutoHyphens/>
              <w:wordWrap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6955" w:type="dxa"/>
            <w:noWrap w:val="0"/>
            <w:vAlign w:val="center"/>
          </w:tcPr>
          <w:p w14:paraId="2EA8BC7C">
            <w:pPr>
              <w:suppressAutoHyphens/>
              <w:wordWrap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服务内容</w:t>
            </w:r>
          </w:p>
        </w:tc>
      </w:tr>
      <w:tr w14:paraId="7715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27" w:type="dxa"/>
            <w:noWrap w:val="0"/>
            <w:vAlign w:val="center"/>
          </w:tcPr>
          <w:p w14:paraId="1A723B6A">
            <w:pPr>
              <w:wordWrap w:val="0"/>
              <w:snapToGrid w:val="0"/>
              <w:spacing w:line="360" w:lineRule="auto"/>
              <w:ind w:firstLine="240" w:firstLineChars="100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482" w:type="dxa"/>
            <w:noWrap w:val="0"/>
            <w:vAlign w:val="center"/>
          </w:tcPr>
          <w:p w14:paraId="538B86C3">
            <w:pPr>
              <w:pStyle w:val="4"/>
              <w:spacing w:before="0" w:beforeAutospacing="0" w:after="0" w:afterAutospacing="0" w:line="560" w:lineRule="exact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中国-东盟(南宁)动漫游戏产业园服务项目</w:t>
            </w:r>
          </w:p>
          <w:p w14:paraId="643E21A6"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49566FD8"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1项</w:t>
            </w:r>
          </w:p>
        </w:tc>
        <w:tc>
          <w:tcPr>
            <w:tcW w:w="6955" w:type="dxa"/>
            <w:noWrap w:val="0"/>
            <w:vAlign w:val="top"/>
          </w:tcPr>
          <w:p w14:paraId="5F88D267">
            <w:pPr>
              <w:wordWrap w:val="0"/>
              <w:snapToGrid w:val="0"/>
              <w:spacing w:line="420" w:lineRule="exact"/>
              <w:ind w:firstLine="482" w:firstLineChars="200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一、项目内容：中国-东盟(南宁)动漫游戏产业园服务项目</w:t>
            </w:r>
          </w:p>
          <w:p w14:paraId="453ED379">
            <w:pPr>
              <w:wordWrap w:val="0"/>
              <w:snapToGrid w:val="0"/>
              <w:spacing w:line="420" w:lineRule="exact"/>
              <w:ind w:firstLine="482" w:firstLineChars="200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二、项目要求</w:t>
            </w:r>
          </w:p>
          <w:p w14:paraId="1492DAF5">
            <w:pPr>
              <w:wordWrap w:val="0"/>
              <w:snapToGrid w:val="0"/>
              <w:spacing w:line="420" w:lineRule="exact"/>
              <w:ind w:firstLine="482" w:firstLineChars="200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（一）项目概况</w:t>
            </w:r>
          </w:p>
          <w:p w14:paraId="19179720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对南宁市青秀区云景路25号中国—东盟（南宁）动漫游戏产业园5389.96㎡的物业做运营管理服务。</w:t>
            </w:r>
          </w:p>
          <w:p w14:paraId="0C4F3DD8">
            <w:pPr>
              <w:wordWrap w:val="0"/>
              <w:snapToGrid w:val="0"/>
              <w:spacing w:line="420" w:lineRule="exact"/>
              <w:ind w:firstLine="482" w:firstLineChars="200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（二）服务项目要求</w:t>
            </w:r>
          </w:p>
          <w:p w14:paraId="3D6B4D84">
            <w:pPr>
              <w:wordWrap w:val="0"/>
              <w:snapToGrid w:val="0"/>
              <w:spacing w:line="420" w:lineRule="exact"/>
              <w:ind w:firstLine="482" w:firstLineChars="200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1.招商服务​</w:t>
            </w:r>
          </w:p>
          <w:p w14:paraId="365EA9C7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（1）招商规划服务。开展招商引资活动，制定详细的招商计划，明确招商目标和重点领域，针对动漫游戏产业链上下游企业、相关配套服务企业等进行招商，定期向园区管理方汇报工作进展情况。</w:t>
            </w:r>
          </w:p>
          <w:p w14:paraId="3B1C647B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（2）招商推广服务。通过行业展会、专题推介会、线上平台等多种渠道，宣传园区的产业优势、配套资源、扶持政策等，吸引目标企业关注。</w:t>
            </w:r>
          </w:p>
          <w:p w14:paraId="32A1811C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（3）入驻咨询与手续办理服务。为企业提供入驻咨询、手续办理等服务，协助企业了解入驻流程、租赁政策以及协助企业办理入驻手续，包括合同签订、工商注册、税务登记等相关事宜。​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2.产业服务​</w:t>
            </w:r>
          </w:p>
          <w:p w14:paraId="56930E60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（1）政策解读与申报服务。及时收集整理国家、地方及东盟区域动漫游戏产业政策，通过专题讲座、一对一咨询等方式解读。协助企业申报扶持项目及优惠政策，指导材料准备并跟踪申报进度。</w:t>
            </w:r>
          </w:p>
          <w:p w14:paraId="4D9363D5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（2）市场推广服务。整合市场资源，组织企业参加东盟区域行业展会及交流活动。搭建线上推广平台，利用社交媒体、行业网站宣传企业及产品。协助开展市场调研并提供分析报告。​</w:t>
            </w:r>
          </w:p>
          <w:p w14:paraId="7EDB164D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（3）企业交流合作平台搭建。搭建企业交流合作平台，定期组织行业研讨会、座谈会、项目对接会等活动。建立企业信息库，促进技术交流、资源共享与业务合作及信息互通。​</w:t>
            </w:r>
          </w:p>
          <w:p w14:paraId="5CAD132E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（4）人才引育服务。与高校、职业院校、人力资源机构合作搭建人才招聘平台，输送专业人才，根据企业需求组织人才培训课程，提升员工专业技能。</w:t>
            </w:r>
          </w:p>
          <w:p w14:paraId="076B7426">
            <w:pPr>
              <w:wordWrap w:val="0"/>
              <w:snapToGrid w:val="0"/>
              <w:spacing w:line="420" w:lineRule="exact"/>
              <w:ind w:firstLine="482" w:firstLineChars="200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3.品牌建设</w:t>
            </w:r>
          </w:p>
          <w:p w14:paraId="7FF1883E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（1）规划园区品牌定位。结合园区定位和东盟区域特色，明确品牌定位和推广方向，打造具有辨识度和影响力的园区品牌。</w:t>
            </w:r>
          </w:p>
          <w:p w14:paraId="6003116F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（2）举办特色活动。举办动漫游戏展会、东盟动漫活动、主题节日庆典等，吸引行业关注，提升园区影响力。积极参与国内外相关的品牌评选活动，争取获得荣誉称号，增强品牌美誉度。</w:t>
            </w:r>
          </w:p>
          <w:p w14:paraId="123B51A8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3）多渠道品牌传播与合作推广。整合线上线下媒体，通过行业及社交媒体常态化传播品牌内容，展示园区动态、企业成果与产业生态。加强与东盟相关园区、协会及机构合作，联合推广、共享资源。建立品牌维护机制，持续优化形象。</w:t>
            </w:r>
          </w:p>
          <w:p w14:paraId="330C749A">
            <w:pPr>
              <w:wordWrap w:val="0"/>
              <w:snapToGrid w:val="0"/>
              <w:spacing w:line="420" w:lineRule="exact"/>
              <w:ind w:firstLine="482" w:firstLineChars="200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4.日常管理服务</w:t>
            </w:r>
          </w:p>
          <w:p w14:paraId="5CDAA498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1）制度建设与安全管理。建立合理的组织架构与内部责任分工，明确规范的运行流程和标准，构建专业服务机制与流程并上墙公示。健全安全管理体系与制度，定期开展安全检查与隐患排查，对发现的问题及时整改，同时常态化组织安全培训与应急演练。</w:t>
            </w:r>
          </w:p>
          <w:p w14:paraId="5C6F3C86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（2）展厅运营管理。负责展厅日常运营，保持环境整洁、设施完好，科学陈列展品，突出东盟动漫特色与企业成果，配专职讲解员，建访客登记与反馈机制，定期统计数据与反馈，优化运营策略。</w:t>
            </w:r>
          </w:p>
          <w:p w14:paraId="5E651846">
            <w:pPr>
              <w:wordWrap w:val="0"/>
              <w:snapToGrid w:val="0"/>
              <w:spacing w:after="165" w:afterLines="50" w:line="420" w:lineRule="exact"/>
              <w:ind w:firstLine="482" w:firstLineChars="200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（三）项目指标要求</w:t>
            </w:r>
          </w:p>
          <w:tbl>
            <w:tblPr>
              <w:tblStyle w:val="5"/>
              <w:tblW w:w="659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2"/>
              <w:gridCol w:w="1126"/>
              <w:gridCol w:w="3249"/>
              <w:gridCol w:w="655"/>
              <w:gridCol w:w="922"/>
            </w:tblGrid>
            <w:tr w14:paraId="21EA6A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1" w:hRule="atLeast"/>
                <w:jc w:val="center"/>
              </w:trPr>
              <w:tc>
                <w:tcPr>
                  <w:tcW w:w="642" w:type="dxa"/>
                  <w:noWrap/>
                  <w:vAlign w:val="center"/>
                </w:tcPr>
                <w:p w14:paraId="42B96B35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auto"/>
                      <w:sz w:val="24"/>
                      <w:highlight w:val="none"/>
                    </w:rPr>
                    <w:t>序号</w:t>
                  </w:r>
                </w:p>
              </w:tc>
              <w:tc>
                <w:tcPr>
                  <w:tcW w:w="1126" w:type="dxa"/>
                  <w:noWrap/>
                  <w:vAlign w:val="center"/>
                </w:tcPr>
                <w:p w14:paraId="148F5DFE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auto"/>
                      <w:sz w:val="24"/>
                      <w:highlight w:val="none"/>
                    </w:rPr>
                    <w:t>指标类别</w:t>
                  </w:r>
                </w:p>
              </w:tc>
              <w:tc>
                <w:tcPr>
                  <w:tcW w:w="3249" w:type="dxa"/>
                  <w:noWrap/>
                  <w:vAlign w:val="center"/>
                </w:tcPr>
                <w:p w14:paraId="2DCA925C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auto"/>
                      <w:sz w:val="24"/>
                      <w:highlight w:val="none"/>
                    </w:rPr>
                    <w:t>指标内容</w:t>
                  </w:r>
                </w:p>
              </w:tc>
              <w:tc>
                <w:tcPr>
                  <w:tcW w:w="655" w:type="dxa"/>
                  <w:noWrap/>
                  <w:vAlign w:val="center"/>
                </w:tcPr>
                <w:p w14:paraId="6778D08B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auto"/>
                      <w:sz w:val="24"/>
                      <w:highlight w:val="none"/>
                    </w:rPr>
                    <w:t>分值</w:t>
                  </w:r>
                </w:p>
              </w:tc>
              <w:tc>
                <w:tcPr>
                  <w:tcW w:w="922" w:type="dxa"/>
                  <w:noWrap/>
                  <w:vAlign w:val="center"/>
                </w:tcPr>
                <w:p w14:paraId="45139D60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b/>
                      <w:bCs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auto"/>
                      <w:sz w:val="24"/>
                      <w:highlight w:val="none"/>
                    </w:rPr>
                    <w:t>备注</w:t>
                  </w:r>
                </w:p>
              </w:tc>
            </w:tr>
            <w:tr w14:paraId="575EEB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7" w:hRule="atLeast"/>
                <w:jc w:val="center"/>
              </w:trPr>
              <w:tc>
                <w:tcPr>
                  <w:tcW w:w="642" w:type="dxa"/>
                  <w:noWrap/>
                  <w:vAlign w:val="center"/>
                </w:tcPr>
                <w:p w14:paraId="76CB1A3D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1</w:t>
                  </w:r>
                </w:p>
              </w:tc>
              <w:tc>
                <w:tcPr>
                  <w:tcW w:w="1126" w:type="dxa"/>
                  <w:vMerge w:val="restart"/>
                  <w:noWrap/>
                  <w:vAlign w:val="center"/>
                </w:tcPr>
                <w:p w14:paraId="3B721445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运营指标</w:t>
                  </w:r>
                </w:p>
                <w:p w14:paraId="2C02C013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（10分）</w:t>
                  </w:r>
                </w:p>
              </w:tc>
              <w:tc>
                <w:tcPr>
                  <w:tcW w:w="3249" w:type="dxa"/>
                  <w:noWrap/>
                  <w:vAlign w:val="center"/>
                </w:tcPr>
                <w:p w14:paraId="099B0A8F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运营公司注册落地、不少于5位团队成员到岗开展工作，形成完善的内部管理制度</w:t>
                  </w:r>
                </w:p>
              </w:tc>
              <w:tc>
                <w:tcPr>
                  <w:tcW w:w="655" w:type="dxa"/>
                  <w:noWrap/>
                  <w:vAlign w:val="center"/>
                </w:tcPr>
                <w:p w14:paraId="4AA3B506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3</w:t>
                  </w:r>
                </w:p>
              </w:tc>
              <w:tc>
                <w:tcPr>
                  <w:tcW w:w="922" w:type="dxa"/>
                  <w:noWrap/>
                  <w:vAlign w:val="center"/>
                </w:tcPr>
                <w:p w14:paraId="2689EEA0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6012B5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9" w:hRule="atLeast"/>
                <w:jc w:val="center"/>
              </w:trPr>
              <w:tc>
                <w:tcPr>
                  <w:tcW w:w="642" w:type="dxa"/>
                  <w:noWrap/>
                  <w:vAlign w:val="center"/>
                </w:tcPr>
                <w:p w14:paraId="715E0551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2</w:t>
                  </w:r>
                </w:p>
              </w:tc>
              <w:tc>
                <w:tcPr>
                  <w:tcW w:w="1126" w:type="dxa"/>
                  <w:vMerge w:val="continue"/>
                  <w:noWrap/>
                  <w:vAlign w:val="center"/>
                </w:tcPr>
                <w:p w14:paraId="7592D2F5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249" w:type="dxa"/>
                  <w:noWrap/>
                  <w:vAlign w:val="center"/>
                </w:tcPr>
                <w:p w14:paraId="6C28B572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做好园区的物业管理和企业的日常服务管理</w:t>
                  </w:r>
                </w:p>
              </w:tc>
              <w:tc>
                <w:tcPr>
                  <w:tcW w:w="655" w:type="dxa"/>
                  <w:noWrap/>
                  <w:vAlign w:val="center"/>
                </w:tcPr>
                <w:p w14:paraId="6D1262AF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3</w:t>
                  </w:r>
                </w:p>
              </w:tc>
              <w:tc>
                <w:tcPr>
                  <w:tcW w:w="922" w:type="dxa"/>
                  <w:noWrap/>
                  <w:vAlign w:val="center"/>
                </w:tcPr>
                <w:p w14:paraId="7FB7EF3C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513F54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6" w:hRule="atLeast"/>
                <w:jc w:val="center"/>
              </w:trPr>
              <w:tc>
                <w:tcPr>
                  <w:tcW w:w="642" w:type="dxa"/>
                  <w:noWrap/>
                  <w:vAlign w:val="center"/>
                </w:tcPr>
                <w:p w14:paraId="4435CDC5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3</w:t>
                  </w:r>
                </w:p>
              </w:tc>
              <w:tc>
                <w:tcPr>
                  <w:tcW w:w="1126" w:type="dxa"/>
                  <w:vMerge w:val="continue"/>
                  <w:noWrap/>
                  <w:vAlign w:val="center"/>
                </w:tcPr>
                <w:p w14:paraId="59BF3314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249" w:type="dxa"/>
                  <w:noWrap/>
                  <w:vAlign w:val="center"/>
                </w:tcPr>
                <w:p w14:paraId="21CC9714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做好园区展厅的管理服务，定期开展研学活动</w:t>
                  </w:r>
                </w:p>
              </w:tc>
              <w:tc>
                <w:tcPr>
                  <w:tcW w:w="655" w:type="dxa"/>
                  <w:noWrap/>
                  <w:vAlign w:val="center"/>
                </w:tcPr>
                <w:p w14:paraId="69D40A8C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2</w:t>
                  </w:r>
                </w:p>
              </w:tc>
              <w:tc>
                <w:tcPr>
                  <w:tcW w:w="922" w:type="dxa"/>
                  <w:noWrap/>
                  <w:vAlign w:val="center"/>
                </w:tcPr>
                <w:p w14:paraId="2AA87DB1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77D2DC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5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1A33EA66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4</w:t>
                  </w:r>
                </w:p>
              </w:tc>
              <w:tc>
                <w:tcPr>
                  <w:tcW w:w="1126" w:type="dxa"/>
                  <w:vMerge w:val="continue"/>
                  <w:noWrap w:val="0"/>
                  <w:vAlign w:val="center"/>
                </w:tcPr>
                <w:p w14:paraId="3775B05B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3731A7E8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遵守《南宁市公园管理条例》并服从公园日常管理，举办活动须提前获得城区能相关部门及公园审批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4C494EBB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2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7A4A9F64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71B1FC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3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1F7B5EF4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5</w:t>
                  </w:r>
                </w:p>
              </w:tc>
              <w:tc>
                <w:tcPr>
                  <w:tcW w:w="1126" w:type="dxa"/>
                  <w:vMerge w:val="restart"/>
                  <w:noWrap w:val="0"/>
                  <w:vAlign w:val="center"/>
                </w:tcPr>
                <w:p w14:paraId="4C18B71A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活动指标</w:t>
                  </w:r>
                </w:p>
                <w:p w14:paraId="65989C76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（20分）</w:t>
                  </w:r>
                </w:p>
                <w:p w14:paraId="6DAE0AD9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7EAEBEEC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每年在东盟国家举办不少于1场的动漫产业相关活动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753EE62D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3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7F579F02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372023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8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7103C226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6</w:t>
                  </w:r>
                </w:p>
              </w:tc>
              <w:tc>
                <w:tcPr>
                  <w:tcW w:w="1126" w:type="dxa"/>
                  <w:vMerge w:val="continue"/>
                  <w:noWrap w:val="0"/>
                  <w:vAlign w:val="center"/>
                </w:tcPr>
                <w:p w14:paraId="3A1476FD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61B066E3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每年在青秀区开展东盟客商文化产品专场推荐活动不少于1场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43BF7C7F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2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19FB24A8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64E193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1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3D3D9EBD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7</w:t>
                  </w:r>
                </w:p>
              </w:tc>
              <w:tc>
                <w:tcPr>
                  <w:tcW w:w="1126" w:type="dxa"/>
                  <w:vMerge w:val="continue"/>
                  <w:noWrap w:val="0"/>
                  <w:vAlign w:val="center"/>
                </w:tcPr>
                <w:p w14:paraId="45DA520E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2C4F250F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每年举办漫展相关活动不少于6场，每场活动规模人数不少于1000人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4F6307C3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6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5D130521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05087B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4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42216A09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8</w:t>
                  </w:r>
                </w:p>
              </w:tc>
              <w:tc>
                <w:tcPr>
                  <w:tcW w:w="1126" w:type="dxa"/>
                  <w:vMerge w:val="continue"/>
                  <w:noWrap w:val="0"/>
                  <w:vAlign w:val="center"/>
                </w:tcPr>
                <w:p w14:paraId="53648158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0F56BE4B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每年承办自治区级产业交流活动不少于1场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264759AD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2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25B74034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5688A7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5DB6064A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9</w:t>
                  </w:r>
                </w:p>
              </w:tc>
              <w:tc>
                <w:tcPr>
                  <w:tcW w:w="1126" w:type="dxa"/>
                  <w:vMerge w:val="continue"/>
                  <w:noWrap w:val="0"/>
                  <w:vAlign w:val="center"/>
                </w:tcPr>
                <w:p w14:paraId="766CEF40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2A22A9A9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每年举办动漫游戏相关赛事不少于6场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3D07AA0F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3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3CFE3546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31B6F3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77234A0E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10</w:t>
                  </w:r>
                </w:p>
              </w:tc>
              <w:tc>
                <w:tcPr>
                  <w:tcW w:w="1126" w:type="dxa"/>
                  <w:vMerge w:val="continue"/>
                  <w:noWrap w:val="0"/>
                  <w:vAlign w:val="center"/>
                </w:tcPr>
                <w:p w14:paraId="08FF3493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39BC8CEE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每年开展园区产业路演不少于6场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2055239B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3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1CB0B039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75691B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6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1674DB32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11</w:t>
                  </w:r>
                </w:p>
              </w:tc>
              <w:tc>
                <w:tcPr>
                  <w:tcW w:w="1126" w:type="dxa"/>
                  <w:vMerge w:val="continue"/>
                  <w:noWrap w:val="0"/>
                  <w:vAlign w:val="center"/>
                </w:tcPr>
                <w:p w14:paraId="12136881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1BD6609F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每年举办产品发布会不少于1场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43EE1294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1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0B009B58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45DE47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5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07E4A070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12</w:t>
                  </w:r>
                </w:p>
              </w:tc>
              <w:tc>
                <w:tcPr>
                  <w:tcW w:w="1126" w:type="dxa"/>
                  <w:vMerge w:val="restart"/>
                  <w:noWrap w:val="0"/>
                  <w:vAlign w:val="center"/>
                </w:tcPr>
                <w:p w14:paraId="7E5CE983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产业指标</w:t>
                  </w:r>
                </w:p>
                <w:p w14:paraId="51A15032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（35分）</w:t>
                  </w: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0F2C38CB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每年招商引资上下游企业数量不低于5家，每年培养上规入统文化企业不少于2家，园区内动漫文化企业占比不低于60%,形成产业集聚区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5CC2D9B1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10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3C985869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引进企业均需采购人审核。</w:t>
                  </w:r>
                </w:p>
              </w:tc>
            </w:tr>
            <w:tr w14:paraId="71F308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5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5B5F991A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13</w:t>
                  </w:r>
                </w:p>
              </w:tc>
              <w:tc>
                <w:tcPr>
                  <w:tcW w:w="1126" w:type="dxa"/>
                  <w:vMerge w:val="continue"/>
                  <w:noWrap w:val="0"/>
                  <w:vAlign w:val="center"/>
                </w:tcPr>
                <w:p w14:paraId="5B89F46C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5C076389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文化企业营收总产值首年不低于5000万，从第二年开始按30%逐年递增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656284CF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20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0ED0E420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2E60F2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2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74313F14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14</w:t>
                  </w:r>
                </w:p>
              </w:tc>
              <w:tc>
                <w:tcPr>
                  <w:tcW w:w="1126" w:type="dxa"/>
                  <w:vMerge w:val="continue"/>
                  <w:noWrap w:val="0"/>
                  <w:vAlign w:val="center"/>
                </w:tcPr>
                <w:p w14:paraId="6BBC31A1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51011C86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每年打造不少于2个运用人工智能赋能产业的项目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4DC3E8CF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5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068EB6E9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44CED4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9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3C4A98CA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15</w:t>
                  </w:r>
                </w:p>
              </w:tc>
              <w:tc>
                <w:tcPr>
                  <w:tcW w:w="1126" w:type="dxa"/>
                  <w:vMerge w:val="restart"/>
                  <w:noWrap w:val="0"/>
                  <w:vAlign w:val="center"/>
                </w:tcPr>
                <w:p w14:paraId="1F9A7218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创新指标</w:t>
                  </w:r>
                </w:p>
                <w:p w14:paraId="14FBDA02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（25分）</w:t>
                  </w: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502CB572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每年引进原创动漫作品不少于1部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2E7F461F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10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7E7F9BC6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5B3056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53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36BE1666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16</w:t>
                  </w:r>
                </w:p>
              </w:tc>
              <w:tc>
                <w:tcPr>
                  <w:tcW w:w="1126" w:type="dxa"/>
                  <w:vMerge w:val="continue"/>
                  <w:noWrap w:val="0"/>
                  <w:vAlign w:val="center"/>
                </w:tcPr>
                <w:p w14:paraId="67ED6285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440B324D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每年孵化原创IP不少于2个，每年新增授权不少于1个省外的动漫IP产品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524B8A22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10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1AC351A2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285B30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2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1C203C05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17</w:t>
                  </w:r>
                </w:p>
              </w:tc>
              <w:tc>
                <w:tcPr>
                  <w:tcW w:w="1126" w:type="dxa"/>
                  <w:vMerge w:val="continue"/>
                  <w:noWrap w:val="0"/>
                  <w:vAlign w:val="center"/>
                </w:tcPr>
                <w:p w14:paraId="7A953C3C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56EB368A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每年译制不少于1个动漫作品面向东盟出口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0AE57225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5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57F297EB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3A1F62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3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042EC1B4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18</w:t>
                  </w:r>
                </w:p>
              </w:tc>
              <w:tc>
                <w:tcPr>
                  <w:tcW w:w="1126" w:type="dxa"/>
                  <w:vMerge w:val="restart"/>
                  <w:noWrap w:val="0"/>
                  <w:vAlign w:val="center"/>
                </w:tcPr>
                <w:p w14:paraId="5B0652C8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校地合作指标</w:t>
                  </w:r>
                </w:p>
                <w:p w14:paraId="30DE6F27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10分</w:t>
                  </w: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227F30A0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组织开展大学生实训，首年500名，次年1000名，第三年1500名，培养一批专业人才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315BF9FE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6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134419C0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65C79A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1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4C567AAD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19</w:t>
                  </w:r>
                </w:p>
              </w:tc>
              <w:tc>
                <w:tcPr>
                  <w:tcW w:w="1126" w:type="dxa"/>
                  <w:vMerge w:val="continue"/>
                  <w:noWrap w:val="0"/>
                  <w:vAlign w:val="center"/>
                </w:tcPr>
                <w:p w14:paraId="30524F71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7D04EB96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每年举办一期大学生实训课程成果展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598E3957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2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4B19DF35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17EA29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5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51DD673C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20</w:t>
                  </w:r>
                </w:p>
              </w:tc>
              <w:tc>
                <w:tcPr>
                  <w:tcW w:w="1126" w:type="dxa"/>
                  <w:vMerge w:val="continue"/>
                  <w:noWrap w:val="0"/>
                  <w:vAlign w:val="center"/>
                </w:tcPr>
                <w:p w14:paraId="0F813097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0E301F33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每年吸纳实训学生在园区就业/创业不少于10人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5B13FB57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2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184FFD8B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1A359E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8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38C30D74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21</w:t>
                  </w:r>
                </w:p>
              </w:tc>
              <w:tc>
                <w:tcPr>
                  <w:tcW w:w="1126" w:type="dxa"/>
                  <w:vMerge w:val="restart"/>
                  <w:noWrap w:val="0"/>
                  <w:vAlign w:val="center"/>
                </w:tcPr>
                <w:p w14:paraId="16CDA6E6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加分项</w:t>
                  </w:r>
                </w:p>
                <w:p w14:paraId="624F2AAE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10分</w:t>
                  </w: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69C17F8A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每年获评1个自治区级以上的项目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015F3987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5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2AABA458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  <w:tr w14:paraId="40A10B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5" w:hRule="atLeast"/>
                <w:jc w:val="center"/>
              </w:trPr>
              <w:tc>
                <w:tcPr>
                  <w:tcW w:w="642" w:type="dxa"/>
                  <w:noWrap w:val="0"/>
                  <w:vAlign w:val="center"/>
                </w:tcPr>
                <w:p w14:paraId="177F40DD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22</w:t>
                  </w:r>
                </w:p>
              </w:tc>
              <w:tc>
                <w:tcPr>
                  <w:tcW w:w="1126" w:type="dxa"/>
                  <w:vMerge w:val="continue"/>
                  <w:noWrap w:val="0"/>
                  <w:vAlign w:val="top"/>
                </w:tcPr>
                <w:p w14:paraId="4881EB89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  <w:tc>
                <w:tcPr>
                  <w:tcW w:w="3249" w:type="dxa"/>
                  <w:noWrap w:val="0"/>
                  <w:vAlign w:val="center"/>
                </w:tcPr>
                <w:p w14:paraId="1E7D280A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每年作品获得国家级奖项，每一项5分；自治区级奖项，每一项1分；上限不超过5分</w:t>
                  </w:r>
                </w:p>
              </w:tc>
              <w:tc>
                <w:tcPr>
                  <w:tcW w:w="655" w:type="dxa"/>
                  <w:noWrap w:val="0"/>
                  <w:vAlign w:val="center"/>
                </w:tcPr>
                <w:p w14:paraId="16DA924D">
                  <w:pPr>
                    <w:wordWrap w:val="0"/>
                    <w:snapToGrid w:val="0"/>
                    <w:spacing w:line="420" w:lineRule="exact"/>
                    <w:jc w:val="center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  <w:t>5</w:t>
                  </w:r>
                </w:p>
              </w:tc>
              <w:tc>
                <w:tcPr>
                  <w:tcW w:w="922" w:type="dxa"/>
                  <w:noWrap w:val="0"/>
                  <w:vAlign w:val="center"/>
                </w:tcPr>
                <w:p w14:paraId="68BAA05C">
                  <w:pPr>
                    <w:wordWrap w:val="0"/>
                    <w:snapToGrid w:val="0"/>
                    <w:spacing w:line="420" w:lineRule="exact"/>
                    <w:rPr>
                      <w:rFonts w:hint="eastAsia" w:ascii="宋体" w:hAnsi="宋体" w:cs="宋体"/>
                      <w:color w:val="auto"/>
                      <w:sz w:val="24"/>
                      <w:highlight w:val="none"/>
                    </w:rPr>
                  </w:pPr>
                </w:p>
              </w:tc>
            </w:tr>
          </w:tbl>
          <w:p w14:paraId="15CD46F3">
            <w:pPr>
              <w:pStyle w:val="2"/>
              <w:spacing w:after="0"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055B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727" w:type="dxa"/>
            <w:noWrap w:val="0"/>
            <w:vAlign w:val="center"/>
          </w:tcPr>
          <w:p w14:paraId="798B1787">
            <w:pPr>
              <w:wordWrap w:val="0"/>
              <w:snapToGrid w:val="0"/>
              <w:spacing w:line="360" w:lineRule="exact"/>
              <w:jc w:val="center"/>
              <w:rPr>
                <w:rFonts w:hint="eastAsia" w:cs="宋体"/>
                <w:color w:val="auto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spacing w:val="113"/>
                <w:sz w:val="24"/>
                <w:highlight w:val="none"/>
              </w:rPr>
              <w:t>商务条款</w:t>
            </w:r>
          </w:p>
        </w:tc>
        <w:tc>
          <w:tcPr>
            <w:tcW w:w="9240" w:type="dxa"/>
            <w:gridSpan w:val="3"/>
            <w:noWrap w:val="0"/>
            <w:vAlign w:val="top"/>
          </w:tcPr>
          <w:p w14:paraId="2A22AFB3">
            <w:pPr>
              <w:wordWrap w:val="0"/>
              <w:snapToGrid w:val="0"/>
              <w:spacing w:line="420" w:lineRule="exact"/>
              <w:ind w:firstLine="482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▲一、合同签订期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：自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中标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通知书发出之日起5个工作日内。</w:t>
            </w:r>
          </w:p>
          <w:p w14:paraId="6AF2879A">
            <w:pPr>
              <w:wordWrap w:val="0"/>
              <w:snapToGrid w:val="0"/>
              <w:spacing w:line="420" w:lineRule="exact"/>
              <w:ind w:firstLine="482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▲二、合同履行期限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：本服务采购周期为三年，自合同签署之日起计算。</w:t>
            </w:r>
          </w:p>
          <w:p w14:paraId="4B6AEB55">
            <w:pPr>
              <w:wordWrap w:val="0"/>
              <w:snapToGrid w:val="0"/>
              <w:spacing w:line="420" w:lineRule="exact"/>
              <w:ind w:firstLine="482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▲三、服务地点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：南宁市青秀区云景路25号中国—东盟（南宁）动漫游戏产业园</w:t>
            </w:r>
          </w:p>
          <w:p w14:paraId="4263737B">
            <w:pPr>
              <w:wordWrap w:val="0"/>
              <w:snapToGrid w:val="0"/>
              <w:spacing w:line="420" w:lineRule="exact"/>
              <w:ind w:firstLine="482" w:firstLineChars="200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▲四、付款条件：</w:t>
            </w:r>
          </w:p>
          <w:p w14:paraId="629DF200">
            <w:pPr>
              <w:wordWrap w:val="0"/>
              <w:snapToGrid w:val="0"/>
              <w:spacing w:line="420" w:lineRule="exact"/>
              <w:ind w:firstLine="482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1.付款方式：运营方中标后需先行按评估公司评估标准支付物业租金费用 154万元(物业租金具体事宜由运营方和物业代管公司另行约定)。服务费用根据考核结果进行支付，最高不超过 149万元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年。</w:t>
            </w:r>
          </w:p>
          <w:p w14:paraId="7D9A3E8F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2.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中标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供应商凭以下有效文件与采购人结算：</w:t>
            </w:r>
          </w:p>
          <w:p w14:paraId="4298D0CA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（1）合同；</w:t>
            </w:r>
          </w:p>
          <w:p w14:paraId="5A1F84AB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（2）运营考核指标佐证材料；</w:t>
            </w:r>
          </w:p>
          <w:p w14:paraId="4F71C5A9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（3）政府采购履约验收证明和资金支付申请表；</w:t>
            </w:r>
          </w:p>
          <w:p w14:paraId="6A0A6D52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（4）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中标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供应商开具的正式发票；</w:t>
            </w:r>
          </w:p>
          <w:p w14:paraId="4ADDEEB9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（5）相对应的票据材料。</w:t>
            </w:r>
          </w:p>
          <w:p w14:paraId="6172D8FC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中标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供应商应理解政府部门付款的相关程序，因采购人使用的是财政资金，如因财政资金支付时间延后，由双方协商确定付款时间。</w:t>
            </w:r>
          </w:p>
          <w:p w14:paraId="5138E153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五、验收标准：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每年按照考核指标对服务工作完成情况进行考评，出具考评意见，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根据考核指标分数按比例支付服务费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考评出现不合格（低于60分）情况的，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责令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进行整改，连续出现两次不合格情况的，终止合同。</w:t>
            </w:r>
          </w:p>
          <w:p w14:paraId="5687566B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六、其他要求</w:t>
            </w:r>
          </w:p>
          <w:p w14:paraId="69B61044">
            <w:pPr>
              <w:wordWrap w:val="0"/>
              <w:snapToGrid w:val="0"/>
              <w:spacing w:line="42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本采购需求中的各项指标可根据实际情况进行合理调整，但需经双方协商一致并签订补充协议。</w:t>
            </w:r>
          </w:p>
        </w:tc>
      </w:tr>
      <w:bookmarkEnd w:id="0"/>
    </w:tbl>
    <w:p w14:paraId="50394B4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D4F1A"/>
    <w:rsid w:val="489D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First Indent 2"/>
    <w:basedOn w:val="1"/>
    <w:unhideWhenUsed/>
    <w:qFormat/>
    <w:uiPriority w:val="99"/>
    <w:pPr>
      <w:ind w:firstLine="420" w:firstLineChars="200"/>
    </w:p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2025-10-28T03:56:00Z</dcterms:created>
  <dc:creator>z</dc:creator>
  <cp:lastModifiedBy>z</cp:lastModifiedBy>
  <dcterms:modified xsi:type="dcterms:W3CDTF">2025-10-28T03:57:20Z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E95753520A694DE7A602C80B5824AE3E_11</vt:lpwstr>
  </property>
  <property fmtid="{D5CDD505-2E9C-101B-9397-08002B2CF9AE}" pid="4" name="KSOTemplateDocerSaveRecord">
    <vt:lpwstr>eyJoZGlkIjoiMDcxMDZlNWViYzA1NTgwZmFjZGVhZDRkMmFkODgwNzYiLCJ1c2VySWQiOiIxMDA5OTI1MDYxIn0=</vt:lpwstr>
  </property>
</Properties>
</file>