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AFFC5">
      <w:pPr>
        <w:pStyle w:val="3"/>
        <w:spacing w:before="88" w:line="223" w:lineRule="auto"/>
        <w:ind w:left="2637"/>
        <w:outlineLvl w:val="0"/>
        <w:rPr>
          <w:color w:val="auto"/>
          <w:sz w:val="43"/>
          <w:szCs w:val="43"/>
          <w:highlight w:val="none"/>
        </w:rPr>
      </w:pPr>
      <w:bookmarkStart w:id="0" w:name="_GoBack"/>
      <w:bookmarkEnd w:id="0"/>
      <w:r>
        <w:rPr>
          <w:color w:val="auto"/>
          <w:spacing w:val="4"/>
          <w:sz w:val="43"/>
          <w:szCs w:val="43"/>
          <w:highlight w:val="none"/>
        </w:rPr>
        <w:t xml:space="preserve"> </w:t>
      </w:r>
      <w:r>
        <w:rPr>
          <w:b/>
          <w:bCs/>
          <w:color w:val="auto"/>
          <w:spacing w:val="4"/>
          <w:sz w:val="43"/>
          <w:szCs w:val="43"/>
          <w:highlight w:val="none"/>
        </w:rPr>
        <w:t>采购需求</w:t>
      </w:r>
    </w:p>
    <w:p w14:paraId="2553EFF0">
      <w:pPr>
        <w:spacing w:line="269" w:lineRule="auto"/>
        <w:rPr>
          <w:rFonts w:ascii="Arial"/>
          <w:color w:val="auto"/>
          <w:sz w:val="21"/>
          <w:highlight w:val="none"/>
        </w:rPr>
      </w:pPr>
    </w:p>
    <w:p w14:paraId="1661DC2B">
      <w:pPr>
        <w:spacing w:line="269" w:lineRule="auto"/>
        <w:rPr>
          <w:rFonts w:ascii="Arial"/>
          <w:color w:val="auto"/>
          <w:sz w:val="21"/>
          <w:highlight w:val="none"/>
        </w:rPr>
      </w:pPr>
    </w:p>
    <w:p w14:paraId="54A533B6">
      <w:pPr>
        <w:spacing w:line="270" w:lineRule="auto"/>
        <w:rPr>
          <w:rFonts w:ascii="Arial"/>
          <w:color w:val="auto"/>
          <w:sz w:val="21"/>
          <w:highlight w:val="none"/>
        </w:rPr>
      </w:pPr>
    </w:p>
    <w:p w14:paraId="6CE11711">
      <w:pPr>
        <w:pStyle w:val="3"/>
        <w:spacing w:before="65" w:line="228" w:lineRule="auto"/>
        <w:ind w:left="3"/>
        <w:rPr>
          <w:color w:val="auto"/>
          <w:sz w:val="20"/>
          <w:szCs w:val="20"/>
          <w:highlight w:val="none"/>
        </w:rPr>
      </w:pPr>
      <w:r>
        <w:rPr>
          <w:color w:val="auto"/>
          <w:spacing w:val="2"/>
          <w:sz w:val="20"/>
          <w:szCs w:val="20"/>
          <w:highlight w:val="none"/>
        </w:rPr>
        <w:t>说明：</w:t>
      </w:r>
    </w:p>
    <w:p w14:paraId="6C1AC9B9">
      <w:pPr>
        <w:pStyle w:val="3"/>
        <w:spacing w:before="129" w:line="275" w:lineRule="exact"/>
        <w:ind w:left="437"/>
        <w:rPr>
          <w:color w:val="auto"/>
          <w:sz w:val="20"/>
          <w:szCs w:val="20"/>
          <w:highlight w:val="none"/>
        </w:rPr>
      </w:pPr>
      <w:r>
        <w:rPr>
          <w:rFonts w:ascii="Times New Roman" w:hAnsi="Times New Roman" w:eastAsia="Times New Roman" w:cs="Times New Roman"/>
          <w:color w:val="auto"/>
          <w:spacing w:val="7"/>
          <w:position w:val="1"/>
          <w:sz w:val="20"/>
          <w:szCs w:val="20"/>
          <w:highlight w:val="none"/>
        </w:rPr>
        <w:t xml:space="preserve">1.  </w:t>
      </w:r>
      <w:r>
        <w:rPr>
          <w:color w:val="auto"/>
          <w:spacing w:val="7"/>
          <w:position w:val="1"/>
          <w:sz w:val="20"/>
          <w:szCs w:val="20"/>
          <w:highlight w:val="none"/>
        </w:rPr>
        <w:t>为落实政府采购政策需满足的要求</w:t>
      </w:r>
    </w:p>
    <w:p w14:paraId="3ABE92E7">
      <w:pPr>
        <w:pStyle w:val="3"/>
        <w:spacing w:before="166" w:line="303" w:lineRule="auto"/>
        <w:ind w:right="73" w:firstLine="430"/>
        <w:rPr>
          <w:color w:val="auto"/>
          <w:sz w:val="20"/>
          <w:szCs w:val="20"/>
          <w:highlight w:val="none"/>
        </w:rPr>
      </w:pPr>
      <w:r>
        <w:rPr>
          <w:color w:val="auto"/>
          <w:spacing w:val="-2"/>
          <w:sz w:val="20"/>
          <w:szCs w:val="20"/>
          <w:highlight w:val="none"/>
        </w:rPr>
        <w:t>（1）本招标文件所称中小企业必须符合《政府采购促进中小企业发展管理办法》（财库〔2020〕</w:t>
      </w:r>
      <w:r>
        <w:rPr>
          <w:color w:val="auto"/>
          <w:spacing w:val="1"/>
          <w:sz w:val="20"/>
          <w:szCs w:val="20"/>
          <w:highlight w:val="none"/>
        </w:rPr>
        <w:t xml:space="preserve"> </w:t>
      </w:r>
      <w:r>
        <w:rPr>
          <w:color w:val="auto"/>
          <w:spacing w:val="4"/>
          <w:sz w:val="20"/>
          <w:szCs w:val="20"/>
          <w:highlight w:val="none"/>
        </w:rPr>
        <w:t>46</w:t>
      </w:r>
      <w:r>
        <w:rPr>
          <w:color w:val="auto"/>
          <w:spacing w:val="-30"/>
          <w:sz w:val="20"/>
          <w:szCs w:val="20"/>
          <w:highlight w:val="none"/>
        </w:rPr>
        <w:t xml:space="preserve"> </w:t>
      </w:r>
      <w:r>
        <w:rPr>
          <w:color w:val="auto"/>
          <w:spacing w:val="4"/>
          <w:sz w:val="20"/>
          <w:szCs w:val="20"/>
          <w:highlight w:val="none"/>
        </w:rPr>
        <w:t>号）的规定。</w:t>
      </w:r>
    </w:p>
    <w:p w14:paraId="196ED197">
      <w:pPr>
        <w:pStyle w:val="3"/>
        <w:spacing w:before="159" w:line="356" w:lineRule="auto"/>
        <w:ind w:left="1" w:firstLine="434"/>
        <w:rPr>
          <w:color w:val="auto"/>
          <w:sz w:val="20"/>
          <w:szCs w:val="20"/>
          <w:highlight w:val="none"/>
        </w:rPr>
      </w:pPr>
      <w:r>
        <w:rPr>
          <w:color w:val="auto"/>
          <w:spacing w:val="8"/>
          <w:sz w:val="20"/>
          <w:szCs w:val="20"/>
          <w:highlight w:val="none"/>
        </w:rPr>
        <w:t>（2）根据《财政部发展改革委生态环境部市场监管总局关于调整优化节能产品、环境标</w:t>
      </w:r>
      <w:r>
        <w:rPr>
          <w:color w:val="auto"/>
          <w:spacing w:val="9"/>
          <w:sz w:val="20"/>
          <w:szCs w:val="20"/>
          <w:highlight w:val="none"/>
        </w:rPr>
        <w:t>志产品政府采购执行机制的通知》（财库〔2019〕9</w:t>
      </w:r>
      <w:r>
        <w:rPr>
          <w:color w:val="auto"/>
          <w:spacing w:val="-36"/>
          <w:sz w:val="20"/>
          <w:szCs w:val="20"/>
          <w:highlight w:val="none"/>
        </w:rPr>
        <w:t xml:space="preserve"> </w:t>
      </w:r>
      <w:r>
        <w:rPr>
          <w:color w:val="auto"/>
          <w:spacing w:val="9"/>
          <w:sz w:val="20"/>
          <w:szCs w:val="20"/>
          <w:highlight w:val="none"/>
        </w:rPr>
        <w:t>号）和《关于印发节能产品政</w:t>
      </w:r>
      <w:r>
        <w:rPr>
          <w:color w:val="auto"/>
          <w:spacing w:val="8"/>
          <w:sz w:val="20"/>
          <w:szCs w:val="20"/>
          <w:highlight w:val="none"/>
        </w:rPr>
        <w:t>府采购品目清</w:t>
      </w:r>
      <w:r>
        <w:rPr>
          <w:color w:val="auto"/>
          <w:spacing w:val="7"/>
          <w:sz w:val="20"/>
          <w:szCs w:val="20"/>
          <w:highlight w:val="none"/>
        </w:rPr>
        <w:t>单的通知》（财库〔2019〕19</w:t>
      </w:r>
      <w:r>
        <w:rPr>
          <w:color w:val="auto"/>
          <w:spacing w:val="-33"/>
          <w:sz w:val="20"/>
          <w:szCs w:val="20"/>
          <w:highlight w:val="none"/>
        </w:rPr>
        <w:t xml:space="preserve"> </w:t>
      </w:r>
      <w:r>
        <w:rPr>
          <w:color w:val="auto"/>
          <w:spacing w:val="7"/>
          <w:sz w:val="20"/>
          <w:szCs w:val="20"/>
          <w:highlight w:val="none"/>
        </w:rPr>
        <w:t>号）的规定，采购需求中的产品属于节能产品政府采</w:t>
      </w:r>
      <w:r>
        <w:rPr>
          <w:color w:val="auto"/>
          <w:spacing w:val="6"/>
          <w:sz w:val="20"/>
          <w:szCs w:val="20"/>
          <w:highlight w:val="none"/>
        </w:rPr>
        <w:t>购品目清单内</w:t>
      </w:r>
      <w:r>
        <w:rPr>
          <w:color w:val="auto"/>
          <w:spacing w:val="8"/>
          <w:sz w:val="20"/>
          <w:szCs w:val="20"/>
          <w:highlight w:val="none"/>
        </w:rPr>
        <w:t>标注“★</w:t>
      </w:r>
      <w:r>
        <w:rPr>
          <w:color w:val="auto"/>
          <w:spacing w:val="-72"/>
          <w:sz w:val="20"/>
          <w:szCs w:val="20"/>
          <w:highlight w:val="none"/>
        </w:rPr>
        <w:t xml:space="preserve"> </w:t>
      </w:r>
      <w:r>
        <w:rPr>
          <w:color w:val="auto"/>
          <w:spacing w:val="8"/>
          <w:sz w:val="20"/>
          <w:szCs w:val="20"/>
          <w:highlight w:val="none"/>
        </w:rPr>
        <w:t>”的（详见本章后附的节能产品政府采购品目清单</w:t>
      </w:r>
      <w:r>
        <w:rPr>
          <w:color w:val="auto"/>
          <w:spacing w:val="14"/>
          <w:sz w:val="20"/>
          <w:szCs w:val="20"/>
          <w:highlight w:val="none"/>
        </w:rPr>
        <w:t>），</w:t>
      </w:r>
      <w:r>
        <w:rPr>
          <w:color w:val="auto"/>
          <w:spacing w:val="8"/>
          <w:sz w:val="20"/>
          <w:szCs w:val="20"/>
          <w:highlight w:val="none"/>
        </w:rPr>
        <w:t>投标人的投标货物必须使用政府</w:t>
      </w:r>
      <w:r>
        <w:rPr>
          <w:color w:val="auto"/>
          <w:spacing w:val="9"/>
          <w:sz w:val="20"/>
          <w:szCs w:val="20"/>
          <w:highlight w:val="none"/>
        </w:rPr>
        <w:t>强制采购的节能产品，投标人必须在投标文件中提供所投标产品的节能产品认证证书复印件</w:t>
      </w:r>
      <w:r>
        <w:rPr>
          <w:color w:val="auto"/>
          <w:spacing w:val="8"/>
          <w:sz w:val="20"/>
          <w:szCs w:val="20"/>
          <w:highlight w:val="none"/>
        </w:rPr>
        <w:t>（加</w:t>
      </w:r>
      <w:r>
        <w:rPr>
          <w:color w:val="auto"/>
          <w:spacing w:val="11"/>
          <w:sz w:val="20"/>
          <w:szCs w:val="20"/>
          <w:highlight w:val="none"/>
        </w:rPr>
        <w:t>盖投标人电子签章</w:t>
      </w:r>
      <w:r>
        <w:rPr>
          <w:color w:val="auto"/>
          <w:spacing w:val="18"/>
          <w:sz w:val="20"/>
          <w:szCs w:val="20"/>
          <w:highlight w:val="none"/>
        </w:rPr>
        <w:t>），</w:t>
      </w:r>
      <w:r>
        <w:rPr>
          <w:b/>
          <w:bCs/>
          <w:color w:val="auto"/>
          <w:spacing w:val="11"/>
          <w:sz w:val="20"/>
          <w:szCs w:val="20"/>
          <w:highlight w:val="none"/>
        </w:rPr>
        <w:t>否则按无效投标处理</w:t>
      </w:r>
      <w:r>
        <w:rPr>
          <w:color w:val="auto"/>
          <w:spacing w:val="11"/>
          <w:sz w:val="20"/>
          <w:szCs w:val="20"/>
          <w:highlight w:val="none"/>
        </w:rPr>
        <w:t>。如本项目包含的货物属于</w:t>
      </w:r>
      <w:r>
        <w:rPr>
          <w:color w:val="auto"/>
          <w:spacing w:val="10"/>
          <w:sz w:val="20"/>
          <w:szCs w:val="20"/>
          <w:highlight w:val="none"/>
        </w:rPr>
        <w:t>品目清单内非标注“★</w:t>
      </w:r>
      <w:r>
        <w:rPr>
          <w:color w:val="auto"/>
          <w:spacing w:val="-69"/>
          <w:sz w:val="20"/>
          <w:szCs w:val="20"/>
          <w:highlight w:val="none"/>
        </w:rPr>
        <w:t xml:space="preserve"> </w:t>
      </w:r>
      <w:r>
        <w:rPr>
          <w:color w:val="auto"/>
          <w:spacing w:val="10"/>
          <w:sz w:val="20"/>
          <w:szCs w:val="20"/>
          <w:highlight w:val="none"/>
        </w:rPr>
        <w:t>”</w:t>
      </w:r>
      <w:r>
        <w:rPr>
          <w:color w:val="auto"/>
          <w:spacing w:val="9"/>
          <w:sz w:val="20"/>
          <w:szCs w:val="20"/>
          <w:highlight w:val="none"/>
        </w:rPr>
        <w:t>的产品时，应优先采购，具体详见“第四章 评标方法及评标标准</w:t>
      </w:r>
      <w:r>
        <w:rPr>
          <w:color w:val="auto"/>
          <w:spacing w:val="-66"/>
          <w:sz w:val="20"/>
          <w:szCs w:val="20"/>
          <w:highlight w:val="none"/>
        </w:rPr>
        <w:t xml:space="preserve"> </w:t>
      </w:r>
      <w:r>
        <w:rPr>
          <w:color w:val="auto"/>
          <w:spacing w:val="9"/>
          <w:sz w:val="20"/>
          <w:szCs w:val="20"/>
          <w:highlight w:val="none"/>
        </w:rPr>
        <w:t>”。</w:t>
      </w:r>
    </w:p>
    <w:p w14:paraId="42FA3C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03" w:firstLine="435"/>
        <w:textAlignment w:val="baseline"/>
        <w:rPr>
          <w:color w:val="auto"/>
          <w:sz w:val="20"/>
          <w:szCs w:val="20"/>
          <w:highlight w:val="none"/>
        </w:rPr>
      </w:pPr>
      <w:r>
        <w:rPr>
          <w:color w:val="auto"/>
          <w:spacing w:val="10"/>
          <w:sz w:val="20"/>
          <w:szCs w:val="20"/>
          <w:highlight w:val="none"/>
        </w:rPr>
        <w:t>（3）根据《关于调整网络安全专用产品安全管理有</w:t>
      </w:r>
      <w:r>
        <w:rPr>
          <w:color w:val="auto"/>
          <w:spacing w:val="9"/>
          <w:sz w:val="20"/>
          <w:szCs w:val="20"/>
          <w:highlight w:val="none"/>
        </w:rPr>
        <w:t>关事项的公告》（</w:t>
      </w:r>
      <w:r>
        <w:rPr>
          <w:rFonts w:ascii="Times New Roman" w:hAnsi="Times New Roman" w:eastAsia="Times New Roman" w:cs="Times New Roman"/>
          <w:color w:val="auto"/>
          <w:spacing w:val="9"/>
          <w:sz w:val="20"/>
          <w:szCs w:val="20"/>
          <w:highlight w:val="none"/>
        </w:rPr>
        <w:t>2023</w:t>
      </w:r>
      <w:r>
        <w:rPr>
          <w:color w:val="auto"/>
          <w:spacing w:val="9"/>
          <w:sz w:val="20"/>
          <w:szCs w:val="20"/>
          <w:highlight w:val="none"/>
        </w:rPr>
        <w:t>年</w:t>
      </w:r>
      <w:r>
        <w:rPr>
          <w:color w:val="auto"/>
          <w:spacing w:val="-21"/>
          <w:sz w:val="20"/>
          <w:szCs w:val="20"/>
          <w:highlight w:val="none"/>
        </w:rPr>
        <w:t xml:space="preserve"> </w:t>
      </w:r>
      <w:r>
        <w:rPr>
          <w:rFonts w:ascii="Times New Roman" w:hAnsi="Times New Roman" w:eastAsia="Times New Roman" w:cs="Times New Roman"/>
          <w:color w:val="auto"/>
          <w:spacing w:val="9"/>
          <w:sz w:val="20"/>
          <w:szCs w:val="20"/>
          <w:highlight w:val="none"/>
        </w:rPr>
        <w:t xml:space="preserve">1 </w:t>
      </w:r>
      <w:r>
        <w:rPr>
          <w:color w:val="auto"/>
          <w:spacing w:val="9"/>
          <w:sz w:val="20"/>
          <w:szCs w:val="20"/>
          <w:highlight w:val="none"/>
        </w:rPr>
        <w:t>号）规定，</w:t>
      </w:r>
      <w:r>
        <w:rPr>
          <w:color w:val="auto"/>
          <w:sz w:val="20"/>
          <w:szCs w:val="20"/>
          <w:highlight w:val="none"/>
        </w:rPr>
        <w:t xml:space="preserve"> </w:t>
      </w:r>
      <w:r>
        <w:rPr>
          <w:color w:val="auto"/>
          <w:spacing w:val="9"/>
          <w:sz w:val="20"/>
          <w:szCs w:val="20"/>
          <w:highlight w:val="none"/>
        </w:rPr>
        <w:t>本项目采购需求中的产品如果包括《网络关键设备和网络安全专用产品目录》的网络安全专用产</w:t>
      </w:r>
      <w:r>
        <w:rPr>
          <w:color w:val="auto"/>
          <w:sz w:val="20"/>
          <w:szCs w:val="20"/>
          <w:highlight w:val="none"/>
        </w:rPr>
        <w:t xml:space="preserve"> </w:t>
      </w:r>
      <w:r>
        <w:rPr>
          <w:color w:val="auto"/>
          <w:spacing w:val="9"/>
          <w:sz w:val="20"/>
          <w:szCs w:val="20"/>
          <w:highlight w:val="none"/>
        </w:rPr>
        <w:t>品，投标人在投标文件中应主动列明供货范围中属于网络安全专用产品的投标产品，并在投标文</w:t>
      </w:r>
      <w:r>
        <w:rPr>
          <w:color w:val="auto"/>
          <w:sz w:val="20"/>
          <w:szCs w:val="20"/>
          <w:highlight w:val="none"/>
        </w:rPr>
        <w:t xml:space="preserve"> </w:t>
      </w:r>
      <w:r>
        <w:rPr>
          <w:color w:val="auto"/>
          <w:spacing w:val="8"/>
          <w:sz w:val="20"/>
          <w:szCs w:val="20"/>
          <w:highlight w:val="none"/>
        </w:rPr>
        <w:t>件（商务及技术文件）中提供由中国网信网（</w:t>
      </w:r>
      <w:r>
        <w:rPr>
          <w:color w:val="auto"/>
          <w:highlight w:val="none"/>
        </w:rPr>
        <w:fldChar w:fldCharType="begin"/>
      </w:r>
      <w:r>
        <w:rPr>
          <w:color w:val="auto"/>
          <w:highlight w:val="none"/>
        </w:rPr>
        <w:instrText xml:space="preserve"> HYPERLINK "http://www.cac.gov.cn/index.htm" </w:instrText>
      </w:r>
      <w:r>
        <w:rPr>
          <w:color w:val="auto"/>
          <w:highlight w:val="none"/>
        </w:rPr>
        <w:fldChar w:fldCharType="separate"/>
      </w:r>
      <w:r>
        <w:rPr>
          <w:rFonts w:ascii="Times New Roman" w:hAnsi="Times New Roman" w:eastAsia="Times New Roman" w:cs="Times New Roman"/>
          <w:color w:val="auto"/>
          <w:sz w:val="20"/>
          <w:szCs w:val="20"/>
          <w:highlight w:val="none"/>
        </w:rPr>
        <w:t>http</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cac</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index</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htm</w:t>
      </w:r>
      <w:r>
        <w:rPr>
          <w:rFonts w:ascii="Times New Roman" w:hAnsi="Times New Roman" w:eastAsia="Times New Roman" w:cs="Times New Roman"/>
          <w:color w:val="auto"/>
          <w:sz w:val="20"/>
          <w:szCs w:val="20"/>
          <w:highlight w:val="none"/>
        </w:rPr>
        <w:fldChar w:fldCharType="end"/>
      </w:r>
      <w:r>
        <w:rPr>
          <w:color w:val="auto"/>
          <w:spacing w:val="8"/>
          <w:sz w:val="20"/>
          <w:szCs w:val="20"/>
          <w:highlight w:val="none"/>
        </w:rPr>
        <w:t>）最新发布的《网络</w:t>
      </w:r>
      <w:r>
        <w:rPr>
          <w:color w:val="auto"/>
          <w:spacing w:val="5"/>
          <w:sz w:val="20"/>
          <w:szCs w:val="20"/>
          <w:highlight w:val="none"/>
        </w:rPr>
        <w:t xml:space="preserve"> </w:t>
      </w:r>
      <w:r>
        <w:rPr>
          <w:color w:val="auto"/>
          <w:spacing w:val="9"/>
          <w:sz w:val="20"/>
          <w:szCs w:val="20"/>
          <w:highlight w:val="none"/>
        </w:rPr>
        <w:t>关键设备和网络安全专用产品安全认证和安全检</w:t>
      </w:r>
      <w:r>
        <w:rPr>
          <w:color w:val="auto"/>
          <w:spacing w:val="8"/>
          <w:sz w:val="20"/>
          <w:szCs w:val="20"/>
          <w:highlight w:val="none"/>
        </w:rPr>
        <w:t>测结果》截图证明材料，</w:t>
      </w:r>
      <w:r>
        <w:rPr>
          <w:b/>
          <w:bCs/>
          <w:color w:val="auto"/>
          <w:spacing w:val="8"/>
          <w:sz w:val="20"/>
          <w:szCs w:val="20"/>
          <w:highlight w:val="none"/>
        </w:rPr>
        <w:t>不在《网络关键设备和</w:t>
      </w:r>
      <w:r>
        <w:rPr>
          <w:color w:val="auto"/>
          <w:sz w:val="20"/>
          <w:szCs w:val="20"/>
          <w:highlight w:val="none"/>
        </w:rPr>
        <w:t xml:space="preserve"> </w:t>
      </w:r>
      <w:r>
        <w:rPr>
          <w:b/>
          <w:bCs/>
          <w:color w:val="auto"/>
          <w:spacing w:val="7"/>
          <w:sz w:val="20"/>
          <w:szCs w:val="20"/>
          <w:highlight w:val="none"/>
        </w:rPr>
        <w:t>网络安全专用产品安全认证和安全检测结果》中或不在有效期内或未提供有效的《计算</w:t>
      </w:r>
      <w:r>
        <w:rPr>
          <w:b/>
          <w:bCs/>
          <w:color w:val="auto"/>
          <w:spacing w:val="6"/>
          <w:sz w:val="20"/>
          <w:szCs w:val="20"/>
          <w:highlight w:val="none"/>
        </w:rPr>
        <w:t>机信息系</w:t>
      </w:r>
      <w:r>
        <w:rPr>
          <w:color w:val="auto"/>
          <w:sz w:val="20"/>
          <w:szCs w:val="20"/>
          <w:highlight w:val="none"/>
        </w:rPr>
        <w:t xml:space="preserve">  </w:t>
      </w:r>
      <w:r>
        <w:rPr>
          <w:b/>
          <w:bCs/>
          <w:color w:val="auto"/>
          <w:spacing w:val="9"/>
          <w:sz w:val="20"/>
          <w:szCs w:val="20"/>
          <w:highlight w:val="none"/>
        </w:rPr>
        <w:t>统安全专用产品销售许可证》的，投标无效</w:t>
      </w:r>
      <w:r>
        <w:rPr>
          <w:color w:val="auto"/>
          <w:spacing w:val="9"/>
          <w:sz w:val="20"/>
          <w:szCs w:val="20"/>
          <w:highlight w:val="none"/>
        </w:rPr>
        <w:t>。如属于《网络关键设备和网络安全专用</w:t>
      </w:r>
      <w:r>
        <w:rPr>
          <w:color w:val="auto"/>
          <w:spacing w:val="8"/>
          <w:sz w:val="20"/>
          <w:szCs w:val="20"/>
          <w:highlight w:val="none"/>
        </w:rPr>
        <w:t>产品目录》</w:t>
      </w:r>
      <w:r>
        <w:rPr>
          <w:color w:val="auto"/>
          <w:sz w:val="20"/>
          <w:szCs w:val="20"/>
          <w:highlight w:val="none"/>
        </w:rPr>
        <w:t xml:space="preserve"> </w:t>
      </w:r>
      <w:r>
        <w:rPr>
          <w:color w:val="auto"/>
          <w:spacing w:val="9"/>
          <w:sz w:val="20"/>
          <w:szCs w:val="20"/>
          <w:highlight w:val="none"/>
        </w:rPr>
        <w:t>中</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二、网络安全专用产品</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内</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产品类别</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中的所描述的产品，但不属于所列</w:t>
      </w:r>
      <w:r>
        <w:rPr>
          <w:rFonts w:ascii="Times New Roman" w:hAnsi="Times New Roman" w:eastAsia="Times New Roman" w:cs="Times New Roman"/>
          <w:color w:val="auto"/>
          <w:spacing w:val="9"/>
          <w:sz w:val="20"/>
          <w:szCs w:val="20"/>
          <w:highlight w:val="none"/>
        </w:rPr>
        <w:t>“</w:t>
      </w:r>
      <w:r>
        <w:rPr>
          <w:color w:val="auto"/>
          <w:spacing w:val="8"/>
          <w:sz w:val="20"/>
          <w:szCs w:val="20"/>
          <w:highlight w:val="none"/>
        </w:rPr>
        <w:t>产品描述</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情形的，</w:t>
      </w:r>
    </w:p>
    <w:p w14:paraId="0B4FA65D">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0"/>
          <w:szCs w:val="20"/>
          <w:highlight w:val="none"/>
        </w:rPr>
      </w:pPr>
      <w:r>
        <w:rPr>
          <w:color w:val="auto"/>
          <w:spacing w:val="8"/>
          <w:sz w:val="20"/>
          <w:szCs w:val="20"/>
          <w:highlight w:val="none"/>
        </w:rPr>
        <w:t>应提供相应的说明及证明材料。</w:t>
      </w:r>
    </w:p>
    <w:p w14:paraId="2CB74999">
      <w:pPr>
        <w:pStyle w:val="3"/>
        <w:spacing w:before="162" w:line="302" w:lineRule="auto"/>
        <w:ind w:left="1" w:right="138" w:firstLine="426"/>
        <w:rPr>
          <w:color w:val="auto"/>
          <w:sz w:val="20"/>
          <w:szCs w:val="20"/>
          <w:highlight w:val="none"/>
        </w:rPr>
      </w:pPr>
      <w:r>
        <w:rPr>
          <w:color w:val="auto"/>
          <w:spacing w:val="8"/>
          <w:sz w:val="20"/>
          <w:szCs w:val="20"/>
          <w:highlight w:val="none"/>
        </w:rPr>
        <w:t>2.“实质性要求</w:t>
      </w:r>
      <w:r>
        <w:rPr>
          <w:color w:val="auto"/>
          <w:spacing w:val="-72"/>
          <w:sz w:val="20"/>
          <w:szCs w:val="20"/>
          <w:highlight w:val="none"/>
        </w:rPr>
        <w:t xml:space="preserve"> </w:t>
      </w:r>
      <w:r>
        <w:rPr>
          <w:color w:val="auto"/>
          <w:spacing w:val="8"/>
          <w:sz w:val="20"/>
          <w:szCs w:val="20"/>
          <w:highlight w:val="none"/>
        </w:rPr>
        <w:t>”是指招标文件中已经指明不满足则投标无效的条款，或者不</w:t>
      </w:r>
      <w:r>
        <w:rPr>
          <w:color w:val="auto"/>
          <w:spacing w:val="7"/>
          <w:sz w:val="20"/>
          <w:szCs w:val="20"/>
          <w:highlight w:val="none"/>
        </w:rPr>
        <w:t>能负偏离的条</w:t>
      </w:r>
      <w:r>
        <w:rPr>
          <w:color w:val="auto"/>
          <w:sz w:val="20"/>
          <w:szCs w:val="20"/>
          <w:highlight w:val="none"/>
        </w:rPr>
        <w:t xml:space="preserve"> </w:t>
      </w:r>
      <w:r>
        <w:rPr>
          <w:color w:val="auto"/>
          <w:spacing w:val="6"/>
          <w:sz w:val="20"/>
          <w:szCs w:val="20"/>
          <w:highlight w:val="none"/>
        </w:rPr>
        <w:t>款，或者采购需求中带“▲</w:t>
      </w:r>
      <w:r>
        <w:rPr>
          <w:color w:val="auto"/>
          <w:spacing w:val="-55"/>
          <w:sz w:val="20"/>
          <w:szCs w:val="20"/>
          <w:highlight w:val="none"/>
        </w:rPr>
        <w:t xml:space="preserve"> </w:t>
      </w:r>
      <w:r>
        <w:rPr>
          <w:color w:val="auto"/>
          <w:spacing w:val="6"/>
          <w:sz w:val="20"/>
          <w:szCs w:val="20"/>
          <w:highlight w:val="none"/>
        </w:rPr>
        <w:t>”的条款。</w:t>
      </w:r>
    </w:p>
    <w:p w14:paraId="7017FFB2">
      <w:pPr>
        <w:pStyle w:val="3"/>
        <w:spacing w:before="162" w:line="327" w:lineRule="auto"/>
        <w:ind w:right="138" w:firstLine="428"/>
        <w:rPr>
          <w:color w:val="auto"/>
          <w:sz w:val="20"/>
          <w:szCs w:val="20"/>
          <w:highlight w:val="none"/>
        </w:rPr>
      </w:pPr>
      <w:r>
        <w:rPr>
          <w:color w:val="auto"/>
          <w:spacing w:val="9"/>
          <w:sz w:val="20"/>
          <w:szCs w:val="20"/>
          <w:highlight w:val="none"/>
        </w:rPr>
        <w:t>3.采购需求中出现的品牌、型号或者生产厂</w:t>
      </w:r>
      <w:r>
        <w:rPr>
          <w:color w:val="auto"/>
          <w:spacing w:val="8"/>
          <w:sz w:val="20"/>
          <w:szCs w:val="20"/>
          <w:highlight w:val="none"/>
        </w:rPr>
        <w:t>家仅起参考作用，不属于指定品牌、型号或者生</w:t>
      </w:r>
      <w:r>
        <w:rPr>
          <w:color w:val="auto"/>
          <w:sz w:val="20"/>
          <w:szCs w:val="20"/>
          <w:highlight w:val="none"/>
        </w:rPr>
        <w:t xml:space="preserve"> </w:t>
      </w:r>
      <w:r>
        <w:rPr>
          <w:color w:val="auto"/>
          <w:spacing w:val="9"/>
          <w:sz w:val="20"/>
          <w:szCs w:val="20"/>
          <w:highlight w:val="none"/>
        </w:rPr>
        <w:t>产厂家的情形。投标人可参照或者选用其他相当的品牌、型号或者生产厂家替代，但选用</w:t>
      </w:r>
      <w:r>
        <w:rPr>
          <w:color w:val="auto"/>
          <w:spacing w:val="8"/>
          <w:sz w:val="20"/>
          <w:szCs w:val="20"/>
          <w:highlight w:val="none"/>
        </w:rPr>
        <w:t>的投标</w:t>
      </w:r>
      <w:r>
        <w:rPr>
          <w:color w:val="auto"/>
          <w:sz w:val="20"/>
          <w:szCs w:val="20"/>
          <w:highlight w:val="none"/>
        </w:rPr>
        <w:t xml:space="preserve"> </w:t>
      </w:r>
      <w:r>
        <w:rPr>
          <w:color w:val="auto"/>
          <w:spacing w:val="8"/>
          <w:sz w:val="20"/>
          <w:szCs w:val="20"/>
          <w:highlight w:val="none"/>
        </w:rPr>
        <w:t>产品参数性能必须满足实质性要求。</w:t>
      </w:r>
    </w:p>
    <w:p w14:paraId="4C6B1254">
      <w:pPr>
        <w:pStyle w:val="3"/>
        <w:spacing w:before="164" w:line="327" w:lineRule="auto"/>
        <w:ind w:left="2" w:right="138" w:firstLine="422"/>
        <w:rPr>
          <w:color w:val="auto"/>
          <w:sz w:val="20"/>
          <w:szCs w:val="20"/>
          <w:highlight w:val="none"/>
        </w:rPr>
      </w:pPr>
      <w:r>
        <w:rPr>
          <w:color w:val="auto"/>
          <w:spacing w:val="9"/>
          <w:sz w:val="20"/>
          <w:szCs w:val="20"/>
          <w:highlight w:val="none"/>
        </w:rPr>
        <w:t>4. 投标人应根据自身实际情况如实响应招标文件，不得仅将招标文件内容简单复制粘贴作</w:t>
      </w:r>
      <w:r>
        <w:rPr>
          <w:color w:val="auto"/>
          <w:spacing w:val="14"/>
          <w:sz w:val="20"/>
          <w:szCs w:val="20"/>
          <w:highlight w:val="none"/>
        </w:rPr>
        <w:t xml:space="preserve"> </w:t>
      </w:r>
      <w:r>
        <w:rPr>
          <w:color w:val="auto"/>
          <w:spacing w:val="9"/>
          <w:sz w:val="20"/>
          <w:szCs w:val="20"/>
          <w:highlight w:val="none"/>
        </w:rPr>
        <w:t>为投标响应，还应当提供相关证明材料。对于重要技术条款或技术参数应当在投标文件中</w:t>
      </w:r>
      <w:r>
        <w:rPr>
          <w:color w:val="auto"/>
          <w:spacing w:val="8"/>
          <w:sz w:val="20"/>
          <w:szCs w:val="20"/>
          <w:highlight w:val="none"/>
        </w:rPr>
        <w:t>提供技</w:t>
      </w:r>
      <w:r>
        <w:rPr>
          <w:color w:val="auto"/>
          <w:sz w:val="20"/>
          <w:szCs w:val="20"/>
          <w:highlight w:val="none"/>
        </w:rPr>
        <w:t xml:space="preserve"> </w:t>
      </w:r>
      <w:r>
        <w:rPr>
          <w:color w:val="auto"/>
          <w:spacing w:val="9"/>
          <w:sz w:val="20"/>
          <w:szCs w:val="20"/>
          <w:highlight w:val="none"/>
        </w:rPr>
        <w:t>术支持资料，技术支持资料以招标文件中规定的形式为准。</w:t>
      </w:r>
    </w:p>
    <w:p w14:paraId="52743F63">
      <w:pPr>
        <w:pStyle w:val="3"/>
        <w:spacing w:before="160" w:line="304" w:lineRule="auto"/>
        <w:ind w:right="313" w:firstLine="429"/>
        <w:rPr>
          <w:color w:val="auto"/>
          <w:sz w:val="20"/>
          <w:szCs w:val="20"/>
          <w:highlight w:val="none"/>
        </w:rPr>
      </w:pPr>
      <w:r>
        <w:rPr>
          <w:color w:val="auto"/>
          <w:spacing w:val="9"/>
          <w:sz w:val="20"/>
          <w:szCs w:val="20"/>
          <w:highlight w:val="none"/>
        </w:rPr>
        <w:t>5.投标人必须自行为其投标产品侵犯他人的知识产权或者专利成果的行为承担相应法律责</w:t>
      </w:r>
      <w:r>
        <w:rPr>
          <w:color w:val="auto"/>
          <w:spacing w:val="12"/>
          <w:sz w:val="20"/>
          <w:szCs w:val="20"/>
          <w:highlight w:val="none"/>
        </w:rPr>
        <w:t xml:space="preserve"> </w:t>
      </w:r>
      <w:r>
        <w:rPr>
          <w:color w:val="auto"/>
          <w:sz w:val="20"/>
          <w:szCs w:val="20"/>
          <w:highlight w:val="none"/>
        </w:rPr>
        <w:t>任。</w:t>
      </w:r>
    </w:p>
    <w:p w14:paraId="0E3372A5">
      <w:pPr>
        <w:spacing w:line="304" w:lineRule="auto"/>
        <w:rPr>
          <w:color w:val="auto"/>
          <w:sz w:val="20"/>
          <w:szCs w:val="20"/>
          <w:highlight w:val="none"/>
        </w:rPr>
        <w:sectPr>
          <w:footerReference r:id="rId5" w:type="default"/>
          <w:pgSz w:w="11906" w:h="16839"/>
          <w:pgMar w:top="1417" w:right="1420" w:bottom="1360" w:left="1567" w:header="0" w:footer="1200" w:gutter="0"/>
          <w:pgNumType w:fmt="decimal" w:start="1"/>
          <w:cols w:space="720" w:num="1"/>
        </w:sectPr>
      </w:pPr>
    </w:p>
    <w:p w14:paraId="6FACFDCF">
      <w:pPr>
        <w:pStyle w:val="2"/>
        <w:numPr>
          <w:ilvl w:val="0"/>
          <w:numId w:val="0"/>
        </w:numPr>
        <w:spacing w:line="360" w:lineRule="auto"/>
        <w:rPr>
          <w:rFonts w:hint="eastAsia" w:eastAsia="仿宋_GB2312"/>
          <w:color w:val="auto"/>
          <w:highlight w:val="none"/>
        </w:rPr>
      </w:pPr>
    </w:p>
    <w:tbl>
      <w:tblPr>
        <w:tblStyle w:val="7"/>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964"/>
        <w:gridCol w:w="266"/>
        <w:gridCol w:w="892"/>
        <w:gridCol w:w="725"/>
        <w:gridCol w:w="5950"/>
      </w:tblGrid>
      <w:tr w14:paraId="4E82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4" w:type="dxa"/>
            <w:noWrap w:val="0"/>
            <w:vAlign w:val="center"/>
          </w:tcPr>
          <w:p w14:paraId="250C5BF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gridSpan w:val="2"/>
            <w:noWrap w:val="0"/>
            <w:vAlign w:val="center"/>
          </w:tcPr>
          <w:p w14:paraId="32EC4CC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92" w:type="dxa"/>
            <w:noWrap w:val="0"/>
            <w:vAlign w:val="center"/>
          </w:tcPr>
          <w:p w14:paraId="37EB5BF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25" w:type="dxa"/>
            <w:tcBorders>
              <w:bottom w:val="single" w:color="000000" w:sz="4" w:space="0"/>
              <w:right w:val="single" w:color="auto" w:sz="4" w:space="0"/>
            </w:tcBorders>
            <w:noWrap w:val="0"/>
            <w:vAlign w:val="center"/>
          </w:tcPr>
          <w:p w14:paraId="3B644213">
            <w:pPr>
              <w:pStyle w:val="11"/>
              <w:spacing w:before="97" w:line="22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中小</w:t>
            </w:r>
          </w:p>
          <w:p w14:paraId="51A8417F">
            <w:pPr>
              <w:pStyle w:val="11"/>
              <w:spacing w:before="22" w:line="23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企业</w:t>
            </w:r>
          </w:p>
          <w:p w14:paraId="2B89FE57">
            <w:pPr>
              <w:pStyle w:val="11"/>
              <w:spacing w:before="15" w:line="22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行业</w:t>
            </w:r>
          </w:p>
          <w:p w14:paraId="3598317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en-US" w:bidi="ar-SA"/>
              </w:rPr>
              <w:t>划分</w:t>
            </w:r>
          </w:p>
        </w:tc>
        <w:tc>
          <w:tcPr>
            <w:tcW w:w="5950" w:type="dxa"/>
            <w:tcBorders>
              <w:left w:val="single" w:color="auto" w:sz="4" w:space="0"/>
              <w:bottom w:val="single" w:color="000000" w:sz="4" w:space="0"/>
            </w:tcBorders>
            <w:noWrap w:val="0"/>
            <w:vAlign w:val="center"/>
          </w:tcPr>
          <w:p w14:paraId="43D38DB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066C7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4" w:type="dxa"/>
            <w:tcBorders>
              <w:bottom w:val="single" w:color="auto" w:sz="4" w:space="0"/>
            </w:tcBorders>
            <w:shd w:val="clear" w:color="auto" w:fill="auto"/>
            <w:noWrap w:val="0"/>
            <w:vAlign w:val="center"/>
          </w:tcPr>
          <w:p w14:paraId="2404844A">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dxa"/>
            <w:gridSpan w:val="2"/>
            <w:tcBorders>
              <w:bottom w:val="single" w:color="auto" w:sz="4" w:space="0"/>
            </w:tcBorders>
            <w:shd w:val="clear" w:color="auto" w:fill="auto"/>
            <w:noWrap w:val="0"/>
            <w:vAlign w:val="center"/>
          </w:tcPr>
          <w:p w14:paraId="670E6BE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3A7A207">
            <w:pPr>
              <w:spacing w:line="400" w:lineRule="atLeast"/>
              <w:jc w:val="center"/>
              <w:rPr>
                <w:rFonts w:hint="eastAsia" w:ascii="宋体" w:hAnsi="宋体" w:eastAsia="宋体" w:cs="宋体"/>
                <w:color w:val="auto"/>
                <w:sz w:val="21"/>
                <w:szCs w:val="21"/>
                <w:highlight w:val="none"/>
                <w:lang w:eastAsia="zh-CN"/>
              </w:rPr>
            </w:pPr>
            <w:r>
              <w:rPr>
                <w:rStyle w:val="10"/>
                <w:rFonts w:hint="eastAsia" w:ascii="宋体" w:hAnsi="宋体" w:eastAsia="宋体" w:cs="宋体"/>
                <w:b w:val="0"/>
                <w:bCs w:val="0"/>
                <w:color w:val="auto"/>
                <w:kern w:val="13569"/>
                <w:sz w:val="21"/>
                <w:szCs w:val="21"/>
                <w:highlight w:val="none"/>
                <w:u w:val="none"/>
                <w:lang w:val="en-US" w:eastAsia="zh-CN"/>
              </w:rPr>
              <w:t>口腔颌面锥形束计算机体层摄影设备</w:t>
            </w:r>
            <w:r>
              <w:rPr>
                <w:rFonts w:hint="eastAsia" w:ascii="宋体" w:hAnsi="宋体" w:eastAsia="宋体" w:cs="宋体"/>
                <w:color w:val="auto"/>
                <w:kern w:val="0"/>
                <w:sz w:val="21"/>
                <w:szCs w:val="21"/>
                <w:highlight w:val="none"/>
                <w:lang w:val="en-US" w:eastAsia="zh-CN"/>
              </w:rPr>
              <w:t xml:space="preserve"> </w:t>
            </w:r>
          </w:p>
          <w:p w14:paraId="2CBDE0FA">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429C3A03">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892" w:type="dxa"/>
            <w:tcBorders>
              <w:bottom w:val="single" w:color="auto" w:sz="4" w:space="0"/>
            </w:tcBorders>
            <w:shd w:val="clear" w:color="auto" w:fill="auto"/>
            <w:noWrap w:val="0"/>
            <w:vAlign w:val="center"/>
          </w:tcPr>
          <w:p w14:paraId="026BF2E2">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台</w:t>
            </w:r>
          </w:p>
        </w:tc>
        <w:tc>
          <w:tcPr>
            <w:tcW w:w="725" w:type="dxa"/>
            <w:tcBorders>
              <w:right w:val="single" w:color="auto" w:sz="4" w:space="0"/>
            </w:tcBorders>
            <w:shd w:val="clear" w:color="auto" w:fill="FFFFFF"/>
            <w:noWrap w:val="0"/>
            <w:vAlign w:val="top"/>
          </w:tcPr>
          <w:p w14:paraId="51B3EAB4">
            <w:pPr>
              <w:pStyle w:val="3"/>
              <w:rPr>
                <w:rFonts w:hint="eastAsia" w:ascii="宋体" w:hAnsi="宋体" w:eastAsia="宋体" w:cs="宋体"/>
                <w:color w:val="auto"/>
                <w:spacing w:val="3"/>
                <w:sz w:val="21"/>
                <w:szCs w:val="21"/>
                <w:highlight w:val="none"/>
              </w:rPr>
            </w:pPr>
          </w:p>
          <w:p w14:paraId="175E219E">
            <w:pPr>
              <w:pStyle w:val="3"/>
              <w:rPr>
                <w:rFonts w:hint="eastAsia" w:ascii="宋体" w:hAnsi="宋体" w:eastAsia="宋体" w:cs="宋体"/>
                <w:color w:val="auto"/>
                <w:spacing w:val="3"/>
                <w:sz w:val="21"/>
                <w:szCs w:val="21"/>
                <w:highlight w:val="none"/>
              </w:rPr>
            </w:pPr>
          </w:p>
          <w:p w14:paraId="6DAA1629">
            <w:pPr>
              <w:pStyle w:val="3"/>
              <w:rPr>
                <w:rFonts w:hint="eastAsia" w:ascii="宋体" w:hAnsi="宋体" w:eastAsia="宋体" w:cs="宋体"/>
                <w:color w:val="auto"/>
                <w:spacing w:val="3"/>
                <w:sz w:val="21"/>
                <w:szCs w:val="21"/>
                <w:highlight w:val="none"/>
              </w:rPr>
            </w:pPr>
          </w:p>
          <w:p w14:paraId="6664B1EC">
            <w:pPr>
              <w:pStyle w:val="3"/>
              <w:rPr>
                <w:rFonts w:hint="eastAsia" w:ascii="宋体" w:hAnsi="宋体" w:eastAsia="宋体" w:cs="宋体"/>
                <w:color w:val="auto"/>
                <w:spacing w:val="3"/>
                <w:sz w:val="21"/>
                <w:szCs w:val="21"/>
                <w:highlight w:val="none"/>
              </w:rPr>
            </w:pPr>
          </w:p>
          <w:p w14:paraId="21119AD2">
            <w:pPr>
              <w:pStyle w:val="3"/>
              <w:rPr>
                <w:rFonts w:hint="eastAsia" w:ascii="宋体" w:hAnsi="宋体" w:eastAsia="宋体" w:cs="宋体"/>
                <w:color w:val="auto"/>
                <w:spacing w:val="3"/>
                <w:sz w:val="21"/>
                <w:szCs w:val="21"/>
                <w:highlight w:val="none"/>
              </w:rPr>
            </w:pPr>
          </w:p>
          <w:p w14:paraId="6EB493AC">
            <w:pPr>
              <w:pStyle w:val="3"/>
              <w:rPr>
                <w:rFonts w:hint="eastAsia" w:ascii="宋体" w:hAnsi="宋体" w:eastAsia="宋体" w:cs="宋体"/>
                <w:color w:val="auto"/>
                <w:spacing w:val="3"/>
                <w:sz w:val="21"/>
                <w:szCs w:val="21"/>
                <w:highlight w:val="none"/>
              </w:rPr>
            </w:pPr>
          </w:p>
          <w:p w14:paraId="336A8447">
            <w:pPr>
              <w:pStyle w:val="3"/>
              <w:rPr>
                <w:rFonts w:hint="eastAsia" w:ascii="宋体" w:hAnsi="宋体" w:eastAsia="宋体" w:cs="宋体"/>
                <w:color w:val="auto"/>
                <w:spacing w:val="3"/>
                <w:sz w:val="21"/>
                <w:szCs w:val="21"/>
                <w:highlight w:val="none"/>
              </w:rPr>
            </w:pPr>
          </w:p>
          <w:p w14:paraId="6394E6D7">
            <w:pPr>
              <w:pStyle w:val="3"/>
              <w:rPr>
                <w:rFonts w:hint="eastAsia" w:ascii="宋体" w:hAnsi="宋体" w:eastAsia="宋体" w:cs="宋体"/>
                <w:color w:val="auto"/>
                <w:spacing w:val="3"/>
                <w:sz w:val="21"/>
                <w:szCs w:val="21"/>
                <w:highlight w:val="none"/>
              </w:rPr>
            </w:pPr>
          </w:p>
          <w:p w14:paraId="36BB682D">
            <w:pPr>
              <w:pStyle w:val="3"/>
              <w:rPr>
                <w:rFonts w:hint="eastAsia" w:ascii="宋体" w:hAnsi="宋体" w:eastAsia="宋体" w:cs="宋体"/>
                <w:color w:val="auto"/>
                <w:spacing w:val="3"/>
                <w:sz w:val="21"/>
                <w:szCs w:val="21"/>
                <w:highlight w:val="none"/>
              </w:rPr>
            </w:pPr>
          </w:p>
          <w:p w14:paraId="75585774">
            <w:pPr>
              <w:pStyle w:val="3"/>
              <w:rPr>
                <w:rFonts w:hint="eastAsia" w:ascii="宋体" w:hAnsi="宋体" w:eastAsia="宋体" w:cs="宋体"/>
                <w:color w:val="auto"/>
                <w:spacing w:val="3"/>
                <w:sz w:val="21"/>
                <w:szCs w:val="21"/>
                <w:highlight w:val="none"/>
              </w:rPr>
            </w:pPr>
          </w:p>
          <w:p w14:paraId="5BAE1D41">
            <w:pPr>
              <w:pStyle w:val="3"/>
              <w:rPr>
                <w:rFonts w:hint="eastAsia" w:ascii="宋体" w:hAnsi="宋体" w:eastAsia="宋体" w:cs="宋体"/>
                <w:color w:val="auto"/>
                <w:spacing w:val="3"/>
                <w:sz w:val="21"/>
                <w:szCs w:val="21"/>
                <w:highlight w:val="none"/>
              </w:rPr>
            </w:pPr>
          </w:p>
          <w:p w14:paraId="48233D16">
            <w:pPr>
              <w:pStyle w:val="3"/>
              <w:rPr>
                <w:rFonts w:hint="eastAsia" w:ascii="宋体" w:hAnsi="宋体" w:eastAsia="宋体" w:cs="宋体"/>
                <w:color w:val="auto"/>
                <w:spacing w:val="3"/>
                <w:sz w:val="21"/>
                <w:szCs w:val="21"/>
                <w:highlight w:val="none"/>
              </w:rPr>
            </w:pPr>
          </w:p>
          <w:p w14:paraId="0AE84D49">
            <w:pPr>
              <w:pStyle w:val="3"/>
              <w:rPr>
                <w:rFonts w:hint="eastAsia" w:ascii="宋体" w:hAnsi="宋体" w:eastAsia="宋体" w:cs="宋体"/>
                <w:color w:val="auto"/>
                <w:spacing w:val="3"/>
                <w:sz w:val="21"/>
                <w:szCs w:val="21"/>
                <w:highlight w:val="none"/>
              </w:rPr>
            </w:pPr>
          </w:p>
          <w:p w14:paraId="1DD5213F">
            <w:pPr>
              <w:pStyle w:val="3"/>
              <w:rPr>
                <w:rFonts w:hint="eastAsia" w:ascii="宋体" w:hAnsi="宋体" w:eastAsia="宋体" w:cs="宋体"/>
                <w:color w:val="auto"/>
                <w:spacing w:val="3"/>
                <w:sz w:val="21"/>
                <w:szCs w:val="21"/>
                <w:highlight w:val="none"/>
              </w:rPr>
            </w:pPr>
          </w:p>
          <w:p w14:paraId="48E449ED">
            <w:pPr>
              <w:pStyle w:val="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4F63B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一、扫描架系统</w:t>
            </w:r>
          </w:p>
          <w:p w14:paraId="533078A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1.CT平板探测器类型：CsI+ TFT；</w:t>
            </w:r>
          </w:p>
          <w:p w14:paraId="064A475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2.探测器有效成像区域≥15.3cm×15.3cm；</w:t>
            </w:r>
          </w:p>
          <w:p w14:paraId="090D25A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3.探测器像素大小≤100um；</w:t>
            </w:r>
          </w:p>
          <w:p w14:paraId="1A8BAB9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4.探测器输出数据灰阶≥16bit；</w:t>
            </w:r>
          </w:p>
          <w:p w14:paraId="7BDDA51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5.最小重建体素≤70um；</w:t>
            </w:r>
          </w:p>
          <w:p w14:paraId="54E312B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6.摆位及扫描：采用侧方开放式摆位，摆位及扫描过程中受检者侧对立柱设计（非面向立柱站立）；</w:t>
            </w:r>
          </w:p>
          <w:p w14:paraId="7013CE6F">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7.机架底座：要求U型底座（非X型）；</w:t>
            </w:r>
          </w:p>
          <w:p w14:paraId="137930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二、.侧位支架系统</w:t>
            </w:r>
          </w:p>
          <w:p w14:paraId="1ECC51C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1.头侧探测器类型：CsI+CMOS；</w:t>
            </w:r>
          </w:p>
          <w:p w14:paraId="655390D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2.最小探测器像素大小：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100um；</w:t>
            </w:r>
          </w:p>
          <w:p w14:paraId="5D8A06BE">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3.探测器输出数据灰阶：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16bit；</w:t>
            </w:r>
          </w:p>
          <w:p w14:paraId="68F90F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三、X射线源组件</w:t>
            </w:r>
          </w:p>
          <w:p w14:paraId="4BDFDC6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1.类型：高频脉冲高压X射线发生器；</w:t>
            </w:r>
          </w:p>
          <w:p w14:paraId="7B36B2E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2.最大球管电流≥10mA；</w:t>
            </w:r>
          </w:p>
          <w:p w14:paraId="66A70FD1">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3.最大球管电压≥100kV；</w:t>
            </w:r>
          </w:p>
          <w:p w14:paraId="16A047D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4.球管焦点≤0.5mm×0.5mm；</w:t>
            </w:r>
          </w:p>
          <w:p w14:paraId="1F4667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四、扫描参数和图像质量</w:t>
            </w:r>
          </w:p>
          <w:p w14:paraId="46044CE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1.CT扫描最大视野≥16cm×11cm；</w:t>
            </w:r>
          </w:p>
          <w:p w14:paraId="3684420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2.CT扫描可选视野≥5档</w:t>
            </w:r>
          </w:p>
          <w:p w14:paraId="1066F3A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3.CT空间分辨率≥2.0lp/mm；</w:t>
            </w:r>
          </w:p>
          <w:p w14:paraId="4B49DAC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4.全景空间分辨率≥3.0lp/mm；</w:t>
            </w:r>
          </w:p>
          <w:p w14:paraId="419CCEE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5.全景最短扫描时间≤9.6s；</w:t>
            </w:r>
          </w:p>
          <w:p w14:paraId="0875321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6.CT最短扫描时间≤8s；</w:t>
            </w:r>
          </w:p>
          <w:p w14:paraId="27A38B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CT图像信噪比≥9.0；</w:t>
            </w:r>
          </w:p>
        </w:tc>
      </w:tr>
      <w:tr w14:paraId="51840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766976B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30" w:type="dxa"/>
            <w:gridSpan w:val="2"/>
            <w:tcBorders>
              <w:top w:val="single" w:color="auto" w:sz="4" w:space="0"/>
              <w:bottom w:val="single" w:color="auto" w:sz="4" w:space="0"/>
            </w:tcBorders>
            <w:shd w:val="clear" w:color="auto" w:fill="auto"/>
            <w:noWrap w:val="0"/>
            <w:vAlign w:val="center"/>
          </w:tcPr>
          <w:p w14:paraId="5897B331">
            <w:pPr>
              <w:spacing w:line="400" w:lineRule="atLeast"/>
              <w:jc w:val="center"/>
              <w:rPr>
                <w:rFonts w:hint="eastAsia" w:ascii="宋体" w:hAnsi="宋体" w:eastAsia="宋体" w:cs="宋体"/>
                <w:color w:val="auto"/>
                <w:sz w:val="21"/>
                <w:szCs w:val="21"/>
                <w:highlight w:val="none"/>
                <w:lang w:eastAsia="zh-CN"/>
              </w:rPr>
            </w:pPr>
            <w:r>
              <w:rPr>
                <w:rStyle w:val="10"/>
                <w:rFonts w:hint="eastAsia" w:ascii="宋体" w:hAnsi="宋体" w:eastAsia="宋体" w:cs="宋体"/>
                <w:b w:val="0"/>
                <w:bCs w:val="0"/>
                <w:color w:val="auto"/>
                <w:kern w:val="13569"/>
                <w:sz w:val="21"/>
                <w:szCs w:val="21"/>
                <w:highlight w:val="none"/>
                <w:u w:val="none"/>
                <w:lang w:val="en-US" w:eastAsia="zh-CN"/>
              </w:rPr>
              <w:t>强脉冲光与激光治疗设备</w:t>
            </w:r>
          </w:p>
        </w:tc>
        <w:tc>
          <w:tcPr>
            <w:tcW w:w="892" w:type="dxa"/>
            <w:tcBorders>
              <w:top w:val="single" w:color="auto" w:sz="4" w:space="0"/>
              <w:bottom w:val="single" w:color="auto" w:sz="4" w:space="0"/>
            </w:tcBorders>
            <w:shd w:val="clear" w:color="auto" w:fill="auto"/>
            <w:noWrap w:val="0"/>
            <w:vAlign w:val="center"/>
          </w:tcPr>
          <w:p w14:paraId="11A5F9D5">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台</w:t>
            </w:r>
            <w:r>
              <w:rPr>
                <w:rFonts w:hint="eastAsia" w:ascii="宋体" w:hAnsi="宋体" w:eastAsia="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0152FF8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1AC041F3">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20DC89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169B2A02">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D14BB95">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EEBF0C2">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611C96F">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1.光源物质：氙灯、光纤；</w:t>
            </w:r>
          </w:p>
          <w:p w14:paraId="6B194CF2">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2.强脉冲光工作波长：400-1200nm；</w:t>
            </w:r>
          </w:p>
          <w:p w14:paraId="6B0B7AD4">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3.外置插拔滤光片技术，可搭配≥7个不同波长的外置实体滤光片；</w:t>
            </w:r>
          </w:p>
          <w:p w14:paraId="21E85BC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4.滤光片支持热插拨技术，并且滤光片有自动读取波长的技术；</w:t>
            </w:r>
          </w:p>
          <w:p w14:paraId="52D23F7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5.光子（IPL）治疗手具要求：所有光子治疗手具的波长覆盖范围必须达到1200nm，且波长不能超过1200nm；</w:t>
            </w:r>
          </w:p>
          <w:p w14:paraId="69549454">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6.能量密度：强脉冲光≥35J/ cm2, 步进增量1J/ cm2调节；</w:t>
            </w:r>
          </w:p>
          <w:p w14:paraId="4F90925E">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7.脉冲宽度：4-20ms，在每0.5ms步进增量调节，连续可调脉冲宽度，非固定脉宽；</w:t>
            </w:r>
          </w:p>
          <w:p w14:paraId="27069105">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8.具备脉冲延迟技术：5-150ms，连续可调；</w:t>
            </w:r>
          </w:p>
          <w:p w14:paraId="4104B46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9.单发脉冲个数：1-3个脉冲可调节，具备完美脉冲模式，单个子脉冲能量可调节；</w:t>
            </w:r>
          </w:p>
          <w:p w14:paraId="1BC66E4F">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10.强脉冲光脉冲重复频率：≥1HZ；</w:t>
            </w:r>
          </w:p>
          <w:p w14:paraId="39A4FE7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11.蓝宝石导光晶体尺寸值：1.2cm²-5.25cm² ，并且具备三种以上</w:t>
            </w:r>
            <w:r>
              <w:rPr>
                <w:rFonts w:hint="eastAsia" w:ascii="宋体" w:hAnsi="宋体" w:cs="宋体"/>
                <w:color w:val="auto"/>
                <w:sz w:val="21"/>
                <w:szCs w:val="21"/>
                <w:highlight w:val="none"/>
                <w:lang w:val="en-US" w:eastAsia="zh-CN"/>
              </w:rPr>
              <w:t>（含三种）</w:t>
            </w:r>
            <w:r>
              <w:rPr>
                <w:rFonts w:hint="eastAsia" w:ascii="宋体" w:hAnsi="宋体" w:eastAsia="宋体" w:cs="宋体"/>
                <w:color w:val="auto"/>
                <w:sz w:val="21"/>
                <w:szCs w:val="21"/>
                <w:highlight w:val="none"/>
                <w:lang w:val="en-US" w:eastAsia="zh-CN"/>
              </w:rPr>
              <w:t>的大小可选择；</w:t>
            </w:r>
          </w:p>
          <w:p w14:paraId="1CE51AC9">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12.激光波长值：1550±15nm；</w:t>
            </w:r>
          </w:p>
          <w:p w14:paraId="26AF2A7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13.冷却方式：具备蓝宝石持续接触式冷却；</w:t>
            </w:r>
          </w:p>
          <w:p w14:paraId="7F2FEE0E">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14.具备开机自检功能；</w:t>
            </w:r>
          </w:p>
          <w:p w14:paraId="6B48DC5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15.具备病例储存功能；</w:t>
            </w:r>
          </w:p>
          <w:p w14:paraId="4D22E2CD">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16.操作系统携带智能触摸操作界面；</w:t>
            </w:r>
          </w:p>
          <w:p w14:paraId="1A482AA7">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17.操作系统携带参数推荐功能；</w:t>
            </w:r>
          </w:p>
        </w:tc>
      </w:tr>
      <w:tr w14:paraId="1072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006C4447">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30" w:type="dxa"/>
            <w:gridSpan w:val="2"/>
            <w:tcBorders>
              <w:top w:val="single" w:color="auto" w:sz="4" w:space="0"/>
              <w:bottom w:val="single" w:color="auto" w:sz="4" w:space="0"/>
            </w:tcBorders>
            <w:shd w:val="clear" w:color="auto" w:fill="auto"/>
            <w:noWrap w:val="0"/>
            <w:vAlign w:val="center"/>
          </w:tcPr>
          <w:p w14:paraId="1DB855D1">
            <w:pPr>
              <w:spacing w:line="400" w:lineRule="atLeast"/>
              <w:jc w:val="center"/>
              <w:rPr>
                <w:rFonts w:hint="eastAsia" w:ascii="宋体" w:hAnsi="宋体" w:eastAsia="宋体" w:cs="宋体"/>
                <w:color w:val="auto"/>
                <w:sz w:val="21"/>
                <w:szCs w:val="21"/>
                <w:highlight w:val="none"/>
                <w:lang w:eastAsia="zh-CN"/>
              </w:rPr>
            </w:pPr>
            <w:r>
              <w:rPr>
                <w:rStyle w:val="10"/>
                <w:rFonts w:hint="eastAsia" w:ascii="宋体" w:hAnsi="宋体" w:eastAsia="宋体" w:cs="宋体"/>
                <w:b w:val="0"/>
                <w:bCs w:val="0"/>
                <w:color w:val="auto"/>
                <w:kern w:val="13569"/>
                <w:sz w:val="21"/>
                <w:szCs w:val="21"/>
                <w:highlight w:val="none"/>
                <w:u w:val="none"/>
                <w:lang w:val="en-US" w:eastAsia="zh-CN"/>
              </w:rPr>
              <w:t>电子注射仪</w:t>
            </w:r>
          </w:p>
        </w:tc>
        <w:tc>
          <w:tcPr>
            <w:tcW w:w="892" w:type="dxa"/>
            <w:tcBorders>
              <w:top w:val="single" w:color="auto" w:sz="4" w:space="0"/>
              <w:bottom w:val="single" w:color="auto" w:sz="4" w:space="0"/>
            </w:tcBorders>
            <w:shd w:val="clear" w:color="auto" w:fill="auto"/>
            <w:noWrap w:val="0"/>
            <w:vAlign w:val="center"/>
          </w:tcPr>
          <w:p w14:paraId="2DDE24AA">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552B4436">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39D961E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0255041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774040A1">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2D37D9E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DA43C2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086FBF19">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7160CB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EDAA87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CD28BA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81D13E8">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28984FB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1.测量参数  </w:t>
            </w:r>
          </w:p>
          <w:p w14:paraId="0AE46DF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抽吸性能： </w:t>
            </w:r>
          </w:p>
          <w:p w14:paraId="79AD0B6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1Lv（最小压力）：200mmHg；误差：-10% </w:t>
            </w:r>
          </w:p>
          <w:p w14:paraId="7B5C378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2Lv（范围）280mmHg～435mmHg </w:t>
            </w:r>
          </w:p>
          <w:p w14:paraId="1E9CD81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3Lv（范围）320mmHg～460mmHg </w:t>
            </w:r>
          </w:p>
          <w:p w14:paraId="03F1398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4Lv（范围）360mmHg～485mmHg </w:t>
            </w:r>
          </w:p>
          <w:p w14:paraId="674D329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5Lv（范围）400mmHg～510mmHg </w:t>
            </w:r>
          </w:p>
          <w:p w14:paraId="0C3FBF9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6Lv（范围）440mmHg～535mmHg </w:t>
            </w:r>
          </w:p>
          <w:p w14:paraId="3422974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7Lv（范围）480mmHg～550mmHg </w:t>
            </w:r>
          </w:p>
          <w:p w14:paraId="53060E0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8Lv（范围）520mmHg～575mmHg </w:t>
            </w:r>
          </w:p>
          <w:p w14:paraId="565B940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9Lv（范围）560mmHg～600mmHg</w:t>
            </w:r>
          </w:p>
          <w:p w14:paraId="7D706D5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10Lv（范围）610mmHg 误差：+10% </w:t>
            </w:r>
          </w:p>
          <w:p w14:paraId="4A184B5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2.计算参数   EISC Studio 3 C 语言 </w:t>
            </w:r>
          </w:p>
          <w:p w14:paraId="5110489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3.测试原理   电子注射器软件通过软件控制实现将注射定量的药物时，能够精确注入。</w:t>
            </w:r>
          </w:p>
          <w:p w14:paraId="0F0B525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4.测试性能   C 程序：Keil </w:t>
            </w:r>
          </w:p>
          <w:p w14:paraId="5AEAEB1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5.操作界面 </w:t>
            </w:r>
          </w:p>
          <w:p w14:paraId="6D9AA813">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Continuous Normal </w:t>
            </w:r>
          </w:p>
          <w:p w14:paraId="55FC6C2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Continuous Slow </w:t>
            </w:r>
          </w:p>
          <w:p w14:paraId="0313D4F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Dose </w:t>
            </w:r>
          </w:p>
          <w:p w14:paraId="325B39D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Auto-Dose </w:t>
            </w:r>
          </w:p>
          <w:p w14:paraId="1C6B116A">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Auto-Sensing </w:t>
            </w:r>
          </w:p>
          <w:p w14:paraId="07E4140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6.操作系统平台 </w:t>
            </w:r>
          </w:p>
          <w:p w14:paraId="14C1EC2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主机 MCU </w:t>
            </w:r>
          </w:p>
          <w:p w14:paraId="156CB40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注射器 MCU </w:t>
            </w:r>
          </w:p>
          <w:p w14:paraId="74BCEF3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7.电源  100-240V </w:t>
            </w:r>
          </w:p>
          <w:p w14:paraId="118E2D4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8.额定输入功率  90VA </w:t>
            </w:r>
          </w:p>
          <w:p w14:paraId="5767F18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9.安装环境温度  +5℃～+40℃ </w:t>
            </w:r>
          </w:p>
          <w:p w14:paraId="434196D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10.相对湿度  20%-90% </w:t>
            </w:r>
          </w:p>
          <w:p w14:paraId="4CE51DF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11.真空压力  610mmHg±10% </w:t>
            </w:r>
          </w:p>
          <w:p w14:paraId="526A253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12.注射器主机重量  ≤2.3kg</w:t>
            </w:r>
          </w:p>
        </w:tc>
      </w:tr>
      <w:tr w14:paraId="3374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64" w:type="dxa"/>
            <w:tcBorders>
              <w:top w:val="single" w:color="auto" w:sz="4" w:space="0"/>
              <w:bottom w:val="single" w:color="auto" w:sz="4" w:space="0"/>
            </w:tcBorders>
            <w:shd w:val="clear" w:color="auto" w:fill="auto"/>
            <w:noWrap w:val="0"/>
            <w:vAlign w:val="center"/>
          </w:tcPr>
          <w:p w14:paraId="77BF12CD">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30" w:type="dxa"/>
            <w:gridSpan w:val="2"/>
            <w:tcBorders>
              <w:top w:val="single" w:color="auto" w:sz="4" w:space="0"/>
              <w:bottom w:val="single" w:color="auto" w:sz="4" w:space="0"/>
            </w:tcBorders>
            <w:shd w:val="clear" w:color="auto" w:fill="auto"/>
            <w:noWrap w:val="0"/>
            <w:vAlign w:val="center"/>
          </w:tcPr>
          <w:p w14:paraId="199A4B42">
            <w:pPr>
              <w:spacing w:line="400" w:lineRule="atLeast"/>
              <w:jc w:val="center"/>
              <w:rPr>
                <w:rFonts w:hint="eastAsia" w:ascii="宋体" w:hAnsi="宋体" w:eastAsia="宋体" w:cs="宋体"/>
                <w:color w:val="auto"/>
                <w:kern w:val="0"/>
                <w:sz w:val="21"/>
                <w:szCs w:val="21"/>
                <w:highlight w:val="none"/>
              </w:rPr>
            </w:pPr>
            <w:r>
              <w:rPr>
                <w:rStyle w:val="10"/>
                <w:rFonts w:hint="eastAsia" w:ascii="宋体" w:hAnsi="宋体" w:eastAsia="宋体" w:cs="宋体"/>
                <w:b w:val="0"/>
                <w:bCs w:val="0"/>
                <w:color w:val="auto"/>
                <w:kern w:val="13569"/>
                <w:sz w:val="21"/>
                <w:szCs w:val="21"/>
                <w:highlight w:val="none"/>
                <w:u w:val="none"/>
                <w:lang w:val="en-US" w:eastAsia="zh-CN"/>
              </w:rPr>
              <w:t>多光谱皮肤镜图像处理工作站</w:t>
            </w:r>
          </w:p>
        </w:tc>
        <w:tc>
          <w:tcPr>
            <w:tcW w:w="892" w:type="dxa"/>
            <w:tcBorders>
              <w:top w:val="single" w:color="auto" w:sz="4" w:space="0"/>
              <w:bottom w:val="single" w:color="auto" w:sz="4" w:space="0"/>
            </w:tcBorders>
            <w:shd w:val="clear" w:color="auto" w:fill="auto"/>
            <w:noWrap w:val="0"/>
            <w:vAlign w:val="center"/>
          </w:tcPr>
          <w:p w14:paraId="353A8321">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1套 </w:t>
            </w:r>
          </w:p>
        </w:tc>
        <w:tc>
          <w:tcPr>
            <w:tcW w:w="725" w:type="dxa"/>
            <w:tcBorders>
              <w:right w:val="single" w:color="auto" w:sz="4" w:space="0"/>
            </w:tcBorders>
            <w:shd w:val="clear" w:color="auto" w:fill="FFFFFF"/>
            <w:noWrap w:val="0"/>
            <w:vAlign w:val="top"/>
          </w:tcPr>
          <w:p w14:paraId="5E7B6398">
            <w:pPr>
              <w:pStyle w:val="5"/>
              <w:bidi w:val="0"/>
              <w:rPr>
                <w:rFonts w:hint="eastAsia" w:ascii="宋体" w:hAnsi="宋体" w:eastAsia="宋体" w:cs="宋体"/>
                <w:color w:val="auto"/>
                <w:spacing w:val="3"/>
                <w:sz w:val="21"/>
                <w:szCs w:val="21"/>
                <w:highlight w:val="none"/>
              </w:rPr>
            </w:pPr>
          </w:p>
          <w:p w14:paraId="6BABC6E0">
            <w:pPr>
              <w:pStyle w:val="5"/>
              <w:bidi w:val="0"/>
              <w:rPr>
                <w:rFonts w:hint="eastAsia" w:ascii="宋体" w:hAnsi="宋体" w:eastAsia="宋体" w:cs="宋体"/>
                <w:color w:val="auto"/>
                <w:spacing w:val="3"/>
                <w:sz w:val="21"/>
                <w:szCs w:val="21"/>
                <w:highlight w:val="none"/>
              </w:rPr>
            </w:pPr>
          </w:p>
          <w:p w14:paraId="78CFFEAE">
            <w:pPr>
              <w:pStyle w:val="5"/>
              <w:bidi w:val="0"/>
              <w:rPr>
                <w:rFonts w:hint="eastAsia" w:ascii="宋体" w:hAnsi="宋体" w:eastAsia="宋体" w:cs="宋体"/>
                <w:color w:val="auto"/>
                <w:spacing w:val="3"/>
                <w:sz w:val="21"/>
                <w:szCs w:val="21"/>
                <w:highlight w:val="none"/>
              </w:rPr>
            </w:pPr>
          </w:p>
          <w:p w14:paraId="518BFFF4">
            <w:pPr>
              <w:pStyle w:val="5"/>
              <w:bidi w:val="0"/>
              <w:rPr>
                <w:rFonts w:hint="eastAsia" w:ascii="宋体" w:hAnsi="宋体" w:eastAsia="宋体" w:cs="宋体"/>
                <w:color w:val="auto"/>
                <w:spacing w:val="3"/>
                <w:sz w:val="21"/>
                <w:szCs w:val="21"/>
                <w:highlight w:val="none"/>
              </w:rPr>
            </w:pPr>
          </w:p>
          <w:p w14:paraId="1079D8A3">
            <w:pPr>
              <w:pStyle w:val="5"/>
              <w:bidi w:val="0"/>
              <w:rPr>
                <w:rFonts w:hint="eastAsia" w:ascii="宋体" w:hAnsi="宋体" w:eastAsia="宋体" w:cs="宋体"/>
                <w:color w:val="auto"/>
                <w:spacing w:val="3"/>
                <w:sz w:val="21"/>
                <w:szCs w:val="21"/>
                <w:highlight w:val="none"/>
              </w:rPr>
            </w:pPr>
          </w:p>
          <w:p w14:paraId="645B42C5">
            <w:pPr>
              <w:pStyle w:val="5"/>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F3B1C9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一、工作站硬件参数</w:t>
            </w:r>
          </w:p>
          <w:p w14:paraId="38A14BC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传感器类型：CCD </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镜头类型：光学放大镜头</w:t>
            </w:r>
          </w:p>
          <w:p w14:paraId="7CE620F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支持4K影像拍摄</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像素≥2400万</w:t>
            </w:r>
          </w:p>
          <w:p w14:paraId="0F72C07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分辨率≥4000*6000</w:t>
            </w:r>
          </w:p>
          <w:p w14:paraId="20DCFB8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照度≥2000lux</w:t>
            </w:r>
          </w:p>
          <w:p w14:paraId="3228B2A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辐照度：≤1000W/m²</w:t>
            </w:r>
          </w:p>
          <w:p w14:paraId="5E1ECBA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成像均匀性：＞95%</w:t>
            </w:r>
          </w:p>
          <w:p w14:paraId="0BA9521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照度均匀性：≥70%</w:t>
            </w:r>
          </w:p>
          <w:p w14:paraId="2F3A681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白光光源峰值波长：448nm，±15nm</w:t>
            </w:r>
            <w:r>
              <w:rPr>
                <w:rFonts w:hint="eastAsia" w:ascii="宋体" w:hAnsi="宋体" w:eastAsia="宋体" w:cs="宋体"/>
                <w:color w:val="auto"/>
                <w:sz w:val="21"/>
                <w:szCs w:val="21"/>
                <w:highlight w:val="none"/>
                <w:lang w:eastAsia="zh-CN"/>
              </w:rPr>
              <w:cr/>
            </w:r>
            <w:r>
              <w:rPr>
                <w:rFonts w:hint="eastAsia" w:ascii="宋体" w:hAnsi="宋体" w:eastAsia="宋体" w:cs="宋体"/>
                <w:color w:val="auto"/>
                <w:sz w:val="21"/>
                <w:szCs w:val="21"/>
                <w:highlight w:val="none"/>
                <w:lang w:eastAsia="zh-CN"/>
              </w:rPr>
              <w:t>11</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UV 光源峰值波长：365nm，±15nm</w:t>
            </w:r>
          </w:p>
          <w:p w14:paraId="266D684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支持连拍</w:t>
            </w:r>
          </w:p>
          <w:p w14:paraId="72CC71D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影像精度：≥300DPI</w:t>
            </w:r>
          </w:p>
          <w:p w14:paraId="71E3345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光源色温≥6600K</w:t>
            </w:r>
          </w:p>
          <w:p w14:paraId="49460C9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支持自动白平衡</w:t>
            </w:r>
          </w:p>
          <w:p w14:paraId="35F1BA5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支持HDMI接口</w:t>
            </w:r>
          </w:p>
          <w:p w14:paraId="4D82BE0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支持镜头防抖功能</w:t>
            </w:r>
          </w:p>
          <w:p w14:paraId="04EFB02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独立台车系统 </w:t>
            </w:r>
          </w:p>
          <w:p w14:paraId="26D94BC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至少包含RGB光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偏振光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UV紫外光三种</w:t>
            </w:r>
          </w:p>
          <w:p w14:paraId="7684ED1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开放式拍照或带有遮光罩两种方式均可</w:t>
            </w:r>
          </w:p>
          <w:p w14:paraId="1EB98C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二、工作站系统参数：</w:t>
            </w:r>
          </w:p>
          <w:p w14:paraId="4F4669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信息管理：患者信息的登记、保存、查找、编辑、删除、图像的采集、导出、导入等功能</w:t>
            </w:r>
            <w:r>
              <w:rPr>
                <w:rFonts w:hint="eastAsia" w:ascii="宋体" w:hAnsi="宋体" w:eastAsia="宋体" w:cs="宋体"/>
                <w:color w:val="auto"/>
                <w:sz w:val="21"/>
                <w:szCs w:val="21"/>
                <w:highlight w:val="none"/>
                <w:lang w:eastAsia="zh-CN"/>
                <w14:ligatures w14:val="none"/>
              </w:rPr>
              <w:t>；</w:t>
            </w:r>
          </w:p>
          <w:p w14:paraId="5B552B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2</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图像管理：图像的采集、保存、删除、导出、导入等。影像对比至少包含镜像对比、双图对比、四图对比、八图对比、三维对比等</w:t>
            </w:r>
            <w:r>
              <w:rPr>
                <w:rFonts w:hint="eastAsia" w:ascii="宋体" w:hAnsi="宋体" w:eastAsia="宋体" w:cs="宋体"/>
                <w:color w:val="auto"/>
                <w:sz w:val="21"/>
                <w:szCs w:val="21"/>
                <w:highlight w:val="none"/>
                <w:lang w:eastAsia="zh-CN"/>
                <w14:ligatures w14:val="none"/>
              </w:rPr>
              <w:t>；</w:t>
            </w:r>
          </w:p>
          <w:p w14:paraId="6D727B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3</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图像处理：锁定目标区域，进行标记、数量统计、画面对比、测量等等，为</w:t>
            </w:r>
            <w:r>
              <w:rPr>
                <w:rFonts w:hint="eastAsia" w:ascii="宋体" w:hAnsi="宋体" w:eastAsia="宋体" w:cs="宋体"/>
                <w:color w:val="auto"/>
                <w:sz w:val="21"/>
                <w:szCs w:val="21"/>
                <w:highlight w:val="none"/>
                <w:lang w:val="en-US" w:eastAsia="zh-CN"/>
                <w14:ligatures w14:val="none"/>
              </w:rPr>
              <w:t>临床</w:t>
            </w:r>
            <w:r>
              <w:rPr>
                <w:rFonts w:hint="eastAsia" w:ascii="宋体" w:hAnsi="宋体" w:eastAsia="宋体" w:cs="宋体"/>
                <w:color w:val="auto"/>
                <w:sz w:val="21"/>
                <w:szCs w:val="21"/>
                <w:highlight w:val="none"/>
                <w14:ligatures w14:val="none"/>
              </w:rPr>
              <w:t>诊断提供可靠的参数</w:t>
            </w:r>
            <w:r>
              <w:rPr>
                <w:rFonts w:hint="eastAsia" w:ascii="宋体" w:hAnsi="宋体" w:eastAsia="宋体" w:cs="宋体"/>
                <w:color w:val="auto"/>
                <w:sz w:val="21"/>
                <w:szCs w:val="21"/>
                <w:highlight w:val="none"/>
                <w:lang w:eastAsia="zh-CN"/>
                <w14:ligatures w14:val="none"/>
              </w:rPr>
              <w:t>；</w:t>
            </w:r>
          </w:p>
          <w:p w14:paraId="5BE7B2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管理系统开放部分功能，</w:t>
            </w:r>
            <w:r>
              <w:rPr>
                <w:rFonts w:hint="eastAsia" w:ascii="宋体" w:hAnsi="宋体" w:eastAsia="宋体" w:cs="宋体"/>
                <w:color w:val="auto"/>
                <w:sz w:val="21"/>
                <w:szCs w:val="21"/>
                <w:highlight w:val="none"/>
                <w:lang w:val="en-US" w:eastAsia="zh-CN"/>
                <w14:ligatures w14:val="none"/>
              </w:rPr>
              <w:t>操作人员</w:t>
            </w:r>
            <w:r>
              <w:rPr>
                <w:rFonts w:hint="eastAsia" w:ascii="宋体" w:hAnsi="宋体" w:eastAsia="宋体" w:cs="宋体"/>
                <w:color w:val="auto"/>
                <w:sz w:val="21"/>
                <w:szCs w:val="21"/>
                <w:highlight w:val="none"/>
                <w14:ligatures w14:val="none"/>
              </w:rPr>
              <w:t>可以收集，整理，编辑、上传、下载临床病例图片。</w:t>
            </w:r>
          </w:p>
          <w:p w14:paraId="62BFB5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5</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通过系统数据分析，对皮肤问题进行分型定级，辅助</w:t>
            </w:r>
            <w:r>
              <w:rPr>
                <w:rFonts w:hint="eastAsia" w:ascii="宋体" w:hAnsi="宋体" w:eastAsia="宋体" w:cs="宋体"/>
                <w:color w:val="auto"/>
                <w:sz w:val="21"/>
                <w:szCs w:val="21"/>
                <w:highlight w:val="none"/>
                <w:lang w:val="en-US" w:eastAsia="zh-CN"/>
                <w14:ligatures w14:val="none"/>
              </w:rPr>
              <w:t>操作人员</w:t>
            </w:r>
            <w:r>
              <w:rPr>
                <w:rFonts w:hint="eastAsia" w:ascii="宋体" w:hAnsi="宋体" w:eastAsia="宋体" w:cs="宋体"/>
                <w:color w:val="auto"/>
                <w:sz w:val="21"/>
                <w:szCs w:val="21"/>
                <w:highlight w:val="none"/>
                <w14:ligatures w14:val="none"/>
              </w:rPr>
              <w:t>对患者皮肤问题做诊断，设计治疗方案，进行精准治疗</w:t>
            </w:r>
            <w:r>
              <w:rPr>
                <w:rFonts w:hint="eastAsia" w:ascii="宋体" w:hAnsi="宋体" w:eastAsia="宋体" w:cs="宋体"/>
                <w:color w:val="auto"/>
                <w:sz w:val="21"/>
                <w:szCs w:val="21"/>
                <w:highlight w:val="none"/>
                <w:lang w:eastAsia="zh-CN"/>
                <w14:ligatures w14:val="none"/>
              </w:rPr>
              <w:t>；</w:t>
            </w:r>
          </w:p>
          <w:p w14:paraId="6FB130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6</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提供3种图文报告模板，便捷的图文报告编辑、打印、保存、另存、删除功能。影像报告功能至少包含报告的自由编辑、电子输出、水印定制、打印或PDF导出功能</w:t>
            </w:r>
            <w:r>
              <w:rPr>
                <w:rFonts w:hint="eastAsia" w:ascii="宋体" w:hAnsi="宋体" w:eastAsia="宋体" w:cs="宋体"/>
                <w:color w:val="auto"/>
                <w:sz w:val="21"/>
                <w:szCs w:val="21"/>
                <w:highlight w:val="none"/>
                <w:lang w:eastAsia="zh-CN"/>
                <w14:ligatures w14:val="none"/>
              </w:rPr>
              <w:t>；</w:t>
            </w:r>
          </w:p>
          <w:p w14:paraId="7B9824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7</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成像及图像处理模式：至少包含白光模式成像、偏振光模式成像、毛细血管模式成像、炎性特征模式成像、棕色模式成像、UV 光卟啉模式成像、UV 光色素模式成像、绿色模式成像等</w:t>
            </w:r>
            <w:r>
              <w:rPr>
                <w:rFonts w:hint="eastAsia" w:ascii="宋体" w:hAnsi="宋体" w:eastAsia="宋体" w:cs="宋体"/>
                <w:color w:val="auto"/>
                <w:sz w:val="21"/>
                <w:szCs w:val="21"/>
                <w:highlight w:val="none"/>
                <w:lang w:eastAsia="zh-CN"/>
                <w14:ligatures w14:val="none"/>
              </w:rPr>
              <w:t>；</w:t>
            </w:r>
          </w:p>
          <w:p w14:paraId="16BE9F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8</w:t>
            </w:r>
            <w:r>
              <w:rPr>
                <w:rFonts w:hint="eastAsia" w:ascii="宋体" w:hAnsi="宋体" w:eastAsia="宋体" w:cs="宋体"/>
                <w:color w:val="auto"/>
                <w:sz w:val="21"/>
                <w:szCs w:val="21"/>
                <w:highlight w:val="none"/>
                <w:lang w:val="en-US" w:eastAsia="zh-CN"/>
                <w14:ligatures w14:val="none"/>
              </w:rPr>
              <w:t>.</w:t>
            </w:r>
            <w:r>
              <w:rPr>
                <w:rFonts w:hint="eastAsia" w:ascii="宋体" w:hAnsi="宋体" w:eastAsia="宋体" w:cs="宋体"/>
                <w:color w:val="auto"/>
                <w:sz w:val="21"/>
                <w:szCs w:val="21"/>
                <w:highlight w:val="none"/>
                <w14:ligatures w14:val="none"/>
              </w:rPr>
              <w:t>系统功能：可分析深层和浅层的色素斑、皮肤的炎症、皱纹、平滑度、毛孔、卟啉数量等，具备绝对数值分析（比如色斑的具体面积mm²）和相对数据（比如炎症浓度占比%）双重评估标准（可提供软件界面截图证明）</w:t>
            </w:r>
            <w:r>
              <w:rPr>
                <w:rFonts w:hint="eastAsia" w:ascii="宋体" w:hAnsi="宋体" w:eastAsia="宋体" w:cs="宋体"/>
                <w:color w:val="auto"/>
                <w:sz w:val="21"/>
                <w:szCs w:val="21"/>
                <w:highlight w:val="none"/>
                <w:lang w:eastAsia="zh-CN"/>
                <w14:ligatures w14:val="none"/>
              </w:rPr>
              <w:t>；</w:t>
            </w:r>
          </w:p>
          <w:p w14:paraId="29EB2B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9</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智能坐标对比：可实现前后坐标对比，更好的反映系统客户治疗前后的差异</w:t>
            </w:r>
            <w:r>
              <w:rPr>
                <w:rFonts w:hint="eastAsia" w:ascii="宋体" w:hAnsi="宋体" w:eastAsia="宋体" w:cs="宋体"/>
                <w:color w:val="auto"/>
                <w:sz w:val="21"/>
                <w:szCs w:val="21"/>
                <w:highlight w:val="none"/>
                <w:lang w:eastAsia="zh-CN"/>
                <w14:ligatures w14:val="none"/>
              </w:rPr>
              <w:t>；</w:t>
            </w:r>
          </w:p>
          <w:p w14:paraId="3DFB17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10</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特征凸显（三维观察）:可分别对松弛度，皮肤色斑凸显，皮肤皱纹凸显</w:t>
            </w:r>
            <w:r>
              <w:rPr>
                <w:rFonts w:hint="eastAsia" w:ascii="宋体" w:hAnsi="宋体" w:eastAsia="宋体" w:cs="宋体"/>
                <w:color w:val="auto"/>
                <w:sz w:val="21"/>
                <w:szCs w:val="21"/>
                <w:highlight w:val="none"/>
                <w:lang w:eastAsia="zh-CN"/>
                <w14:ligatures w14:val="none"/>
              </w:rPr>
              <w:t>；</w:t>
            </w:r>
          </w:p>
          <w:p w14:paraId="64C761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11</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多光谱影像同步放大功能：1-8张均可</w:t>
            </w:r>
            <w:r>
              <w:rPr>
                <w:rFonts w:hint="eastAsia" w:ascii="宋体" w:hAnsi="宋体" w:eastAsia="宋体" w:cs="宋体"/>
                <w:color w:val="auto"/>
                <w:sz w:val="21"/>
                <w:szCs w:val="21"/>
                <w:highlight w:val="none"/>
                <w:lang w:eastAsia="zh-CN"/>
                <w14:ligatures w14:val="none"/>
              </w:rPr>
              <w:t>；</w:t>
            </w:r>
          </w:p>
          <w:p w14:paraId="500279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12</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支持拍摄画面预览</w:t>
            </w:r>
            <w:r>
              <w:rPr>
                <w:rFonts w:hint="eastAsia" w:ascii="宋体" w:hAnsi="宋体" w:eastAsia="宋体" w:cs="宋体"/>
                <w:color w:val="auto"/>
                <w:sz w:val="21"/>
                <w:szCs w:val="21"/>
                <w:highlight w:val="none"/>
                <w:lang w:eastAsia="zh-CN"/>
                <w14:ligatures w14:val="none"/>
              </w:rPr>
              <w:t>；</w:t>
            </w:r>
          </w:p>
          <w:p w14:paraId="0A0307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13</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患者信息脱敏功能，患者隐私保护功能</w:t>
            </w:r>
            <w:r>
              <w:rPr>
                <w:rFonts w:hint="eastAsia" w:ascii="宋体" w:hAnsi="宋体" w:eastAsia="宋体" w:cs="宋体"/>
                <w:color w:val="auto"/>
                <w:sz w:val="21"/>
                <w:szCs w:val="21"/>
                <w:highlight w:val="none"/>
                <w:lang w:eastAsia="zh-CN"/>
                <w14:ligatures w14:val="none"/>
              </w:rPr>
              <w:t>；</w:t>
            </w:r>
          </w:p>
          <w:p w14:paraId="31555C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14</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瘦脸抗衰评估，可模拟出未来的皮肤衰老状况</w:t>
            </w:r>
            <w:r>
              <w:rPr>
                <w:rFonts w:hint="eastAsia" w:ascii="宋体" w:hAnsi="宋体" w:eastAsia="宋体" w:cs="宋体"/>
                <w:color w:val="auto"/>
                <w:sz w:val="21"/>
                <w:szCs w:val="21"/>
                <w:highlight w:val="none"/>
                <w:lang w:eastAsia="zh-CN"/>
                <w14:ligatures w14:val="none"/>
              </w:rPr>
              <w:t>；</w:t>
            </w:r>
          </w:p>
          <w:p w14:paraId="32DBEE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15</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配置台车：电动升降≥3档自动设定，桌面到地面高度700mm（允许偏差±10mm）～1080mm（允许偏差±5mm）可调；</w:t>
            </w:r>
          </w:p>
          <w:p w14:paraId="3A6354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16</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整显示屏角度可调整，悬空一体式显示屏键鼠支架，可左右和上下调；</w:t>
            </w:r>
          </w:p>
          <w:p w14:paraId="0FABC7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17</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设备配套的医</w:t>
            </w:r>
            <w:r>
              <w:rPr>
                <w:rFonts w:hint="eastAsia" w:ascii="宋体" w:hAnsi="宋体" w:eastAsia="宋体" w:cs="宋体"/>
                <w:color w:val="auto"/>
                <w:sz w:val="21"/>
                <w:szCs w:val="21"/>
                <w:highlight w:val="none"/>
                <w:lang w:val="en-US" w:eastAsia="zh-CN"/>
                <w14:ligatures w14:val="none"/>
              </w:rPr>
              <w:t>疗</w:t>
            </w:r>
            <w:r>
              <w:rPr>
                <w:rFonts w:hint="eastAsia" w:ascii="宋体" w:hAnsi="宋体" w:eastAsia="宋体" w:cs="宋体"/>
                <w:color w:val="auto"/>
                <w:sz w:val="21"/>
                <w:szCs w:val="21"/>
                <w:highlight w:val="none"/>
                <w14:ligatures w14:val="none"/>
              </w:rPr>
              <w:t>器械注册软件界面横屏阅读模式（提供软件界面截图）</w:t>
            </w:r>
            <w:r>
              <w:rPr>
                <w:rFonts w:hint="eastAsia" w:ascii="宋体" w:hAnsi="宋体" w:eastAsia="宋体" w:cs="宋体"/>
                <w:color w:val="auto"/>
                <w:sz w:val="21"/>
                <w:szCs w:val="21"/>
                <w:highlight w:val="none"/>
                <w:lang w:eastAsia="zh-CN"/>
                <w14:ligatures w14:val="none"/>
              </w:rPr>
              <w:t>；</w:t>
            </w:r>
          </w:p>
          <w:p w14:paraId="4BFF05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18</w:t>
            </w:r>
            <w:r>
              <w:rPr>
                <w:rFonts w:hint="eastAsia" w:ascii="宋体" w:hAnsi="宋体" w:eastAsia="宋体" w:cs="宋体"/>
                <w:color w:val="auto"/>
                <w:sz w:val="21"/>
                <w:szCs w:val="21"/>
                <w:highlight w:val="none"/>
                <w:lang w:val="en-US" w:eastAsia="zh-CN"/>
                <w14:ligatures w14:val="none"/>
              </w:rPr>
              <w:t>.</w:t>
            </w:r>
            <w:r>
              <w:rPr>
                <w:rFonts w:hint="eastAsia" w:ascii="宋体" w:hAnsi="宋体" w:eastAsia="宋体" w:cs="宋体"/>
                <w:color w:val="auto"/>
                <w:sz w:val="21"/>
                <w:szCs w:val="21"/>
                <w:highlight w:val="none"/>
                <w14:ligatures w14:val="none"/>
              </w:rPr>
              <w:t>支持透镜功能：支持在一张原图上对同一皮损进行不同光谱影像对比，无需切换整张光谱图片</w:t>
            </w:r>
            <w:r>
              <w:rPr>
                <w:rFonts w:hint="eastAsia" w:ascii="宋体" w:hAnsi="宋体" w:eastAsia="宋体" w:cs="宋体"/>
                <w:color w:val="auto"/>
                <w:sz w:val="21"/>
                <w:szCs w:val="21"/>
                <w:highlight w:val="none"/>
                <w:lang w:eastAsia="zh-CN"/>
                <w14:ligatures w14:val="none"/>
              </w:rPr>
              <w:t>；</w:t>
            </w:r>
          </w:p>
          <w:p w14:paraId="086A86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lang w:val="en-US" w:eastAsia="zh-CN"/>
                <w14:ligatures w14:val="none"/>
              </w:rPr>
              <w:t>19</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电脑工作站：</w:t>
            </w:r>
          </w:p>
          <w:p w14:paraId="79B91C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图像处理模块：</w:t>
            </w:r>
          </w:p>
          <w:p w14:paraId="4D7F95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（1）设备的内存：≥16G；</w:t>
            </w:r>
          </w:p>
          <w:p w14:paraId="690CE4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14:ligatures w14:val="none"/>
              </w:rPr>
              <w:t>（2）设备的储存空间：≥2TB；</w:t>
            </w:r>
          </w:p>
        </w:tc>
      </w:tr>
      <w:tr w14:paraId="79D3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164C320A">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30" w:type="dxa"/>
            <w:gridSpan w:val="2"/>
            <w:tcBorders>
              <w:top w:val="single" w:color="auto" w:sz="4" w:space="0"/>
              <w:bottom w:val="single" w:color="auto" w:sz="4" w:space="0"/>
            </w:tcBorders>
            <w:shd w:val="clear" w:color="auto" w:fill="auto"/>
            <w:noWrap w:val="0"/>
            <w:vAlign w:val="center"/>
          </w:tcPr>
          <w:p w14:paraId="14BEBE01">
            <w:pPr>
              <w:spacing w:line="400" w:lineRule="atLeast"/>
              <w:jc w:val="center"/>
              <w:rPr>
                <w:rFonts w:hint="eastAsia" w:ascii="宋体" w:hAnsi="宋体" w:eastAsia="宋体" w:cs="宋体"/>
                <w:color w:val="auto"/>
                <w:kern w:val="0"/>
                <w:sz w:val="21"/>
                <w:szCs w:val="21"/>
                <w:highlight w:val="none"/>
              </w:rPr>
            </w:pPr>
            <w:r>
              <w:rPr>
                <w:rStyle w:val="10"/>
                <w:rFonts w:hint="eastAsia" w:ascii="宋体" w:hAnsi="宋体" w:eastAsia="宋体" w:cs="宋体"/>
                <w:b w:val="0"/>
                <w:bCs w:val="0"/>
                <w:color w:val="auto"/>
                <w:kern w:val="13569"/>
                <w:sz w:val="21"/>
                <w:szCs w:val="21"/>
                <w:highlight w:val="none"/>
                <w:u w:val="none"/>
                <w:lang w:val="en-US" w:eastAsia="zh-CN"/>
              </w:rPr>
              <w:t>高频胸壁震荡排痰机</w:t>
            </w:r>
          </w:p>
        </w:tc>
        <w:tc>
          <w:tcPr>
            <w:tcW w:w="892" w:type="dxa"/>
            <w:tcBorders>
              <w:top w:val="single" w:color="auto" w:sz="4" w:space="0"/>
            </w:tcBorders>
            <w:shd w:val="clear" w:color="auto" w:fill="auto"/>
            <w:noWrap w:val="0"/>
            <w:vAlign w:val="center"/>
          </w:tcPr>
          <w:p w14:paraId="21A3B6A8">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537D4C45">
            <w:pPr>
              <w:pStyle w:val="12"/>
              <w:rPr>
                <w:rFonts w:hint="eastAsia" w:ascii="宋体" w:hAnsi="宋体" w:eastAsia="宋体" w:cs="宋体"/>
                <w:color w:val="auto"/>
                <w:spacing w:val="3"/>
                <w:sz w:val="21"/>
                <w:szCs w:val="21"/>
                <w:highlight w:val="none"/>
              </w:rPr>
            </w:pPr>
          </w:p>
          <w:p w14:paraId="6E6E1052">
            <w:pPr>
              <w:pStyle w:val="12"/>
              <w:rPr>
                <w:rFonts w:hint="eastAsia" w:ascii="宋体" w:hAnsi="宋体" w:eastAsia="宋体" w:cs="宋体"/>
                <w:color w:val="auto"/>
                <w:spacing w:val="3"/>
                <w:sz w:val="21"/>
                <w:szCs w:val="21"/>
                <w:highlight w:val="none"/>
              </w:rPr>
            </w:pPr>
          </w:p>
          <w:p w14:paraId="45D20325">
            <w:pPr>
              <w:pStyle w:val="12"/>
              <w:rPr>
                <w:rFonts w:hint="eastAsia" w:ascii="宋体" w:hAnsi="宋体" w:eastAsia="宋体" w:cs="宋体"/>
                <w:color w:val="auto"/>
                <w:spacing w:val="3"/>
                <w:sz w:val="21"/>
                <w:szCs w:val="21"/>
                <w:highlight w:val="none"/>
              </w:rPr>
            </w:pPr>
          </w:p>
          <w:p w14:paraId="144B5CF2">
            <w:pPr>
              <w:pStyle w:val="12"/>
              <w:rPr>
                <w:rFonts w:hint="eastAsia" w:ascii="宋体" w:hAnsi="宋体" w:eastAsia="宋体" w:cs="宋体"/>
                <w:color w:val="auto"/>
                <w:spacing w:val="3"/>
                <w:sz w:val="21"/>
                <w:szCs w:val="21"/>
                <w:highlight w:val="none"/>
              </w:rPr>
            </w:pPr>
          </w:p>
          <w:p w14:paraId="0A7C11E7">
            <w:pPr>
              <w:pStyle w:val="12"/>
              <w:rPr>
                <w:rFonts w:hint="eastAsia" w:ascii="宋体" w:hAnsi="宋体" w:eastAsia="宋体" w:cs="宋体"/>
                <w:color w:val="auto"/>
                <w:spacing w:val="3"/>
                <w:sz w:val="21"/>
                <w:szCs w:val="21"/>
                <w:highlight w:val="none"/>
              </w:rPr>
            </w:pPr>
          </w:p>
          <w:p w14:paraId="5B1BD170">
            <w:pPr>
              <w:pStyle w:val="12"/>
              <w:rPr>
                <w:rFonts w:hint="eastAsia" w:ascii="宋体" w:hAnsi="宋体" w:eastAsia="宋体" w:cs="宋体"/>
                <w:color w:val="auto"/>
                <w:spacing w:val="3"/>
                <w:sz w:val="21"/>
                <w:szCs w:val="21"/>
                <w:highlight w:val="none"/>
              </w:rPr>
            </w:pPr>
          </w:p>
          <w:p w14:paraId="58C5ABC0">
            <w:pPr>
              <w:pStyle w:val="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4324683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1.供电电源：100-240V~，50/60Hz；</w:t>
            </w:r>
          </w:p>
          <w:p w14:paraId="7C77020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2.振动频率：≤13Hz，控制精度±15%，调节步长1Hz，长按可以连续调节；</w:t>
            </w:r>
          </w:p>
          <w:p w14:paraId="63A73C0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3.振动压力：0-5kPa以内，1-10级可调，调节步长1级，长按可以连续调节；</w:t>
            </w:r>
          </w:p>
          <w:p w14:paraId="1150786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4.定时时间：1-60分钟可调，调节步长1分钟，长按可以连续调节；</w:t>
            </w:r>
          </w:p>
          <w:p w14:paraId="7780E3D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5.人机交互界面：≥10.7寸操作界面，内嵌≥4.3寸单色高清LCD显示，中文导航式操作指引，多参数显示及可调（频率、压力、时间等）；</w:t>
            </w:r>
          </w:p>
          <w:p w14:paraId="443A5CE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6.患者紧急停止保护：通过手持开关实现患者自主的紧急停止保护；</w:t>
            </w:r>
          </w:p>
          <w:p w14:paraId="6FC3F16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7.充气背心：全胸充气背心采用倒V式设计，在确保患者有效咳嗽、咳痰时，避免对胃脘部的振荡；背心气囊可拆卸式设计，外层可干洗和机洗，洗后可与内层气囊重新组装；</w:t>
            </w:r>
          </w:p>
          <w:p w14:paraId="7F03C2B9">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8.患者治疗信息存储：采用SD卡装置，可无限量存储患者处方等信息，方便日常治疗管理和开展科研项目；</w:t>
            </w:r>
          </w:p>
          <w:p w14:paraId="7D798403">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9.主机尺寸和质量：≤15Kg，主机尺寸（长×宽×高）：约350mm×240mm×240mm；</w:t>
            </w:r>
          </w:p>
        </w:tc>
      </w:tr>
      <w:tr w14:paraId="3C95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6C7F6F8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rPr>
              <w:t>第二部分</w:t>
            </w:r>
            <w:r>
              <w:rPr>
                <w:rFonts w:hint="eastAsia" w:ascii="宋体" w:hAnsi="宋体" w:eastAsia="宋体" w:cs="宋体"/>
                <w:color w:val="auto"/>
                <w:spacing w:val="8"/>
                <w:sz w:val="21"/>
                <w:szCs w:val="21"/>
                <w:highlight w:val="none"/>
              </w:rPr>
              <w:t xml:space="preserve">  </w:t>
            </w:r>
            <w:r>
              <w:rPr>
                <w:rFonts w:hint="eastAsia" w:ascii="宋体" w:hAnsi="宋体" w:eastAsia="宋体" w:cs="宋体"/>
                <w:b/>
                <w:bCs/>
                <w:color w:val="auto"/>
                <w:spacing w:val="8"/>
                <w:sz w:val="21"/>
                <w:szCs w:val="21"/>
                <w:highlight w:val="none"/>
              </w:rPr>
              <w:t>商务要求（商务响应承诺与售后服务承诺同一内容不一致的以</w:t>
            </w:r>
            <w:r>
              <w:rPr>
                <w:rFonts w:hint="eastAsia" w:ascii="宋体" w:hAnsi="宋体" w:eastAsia="宋体" w:cs="宋体"/>
                <w:b/>
                <w:bCs/>
                <w:color w:val="auto"/>
                <w:spacing w:val="7"/>
                <w:sz w:val="21"/>
                <w:szCs w:val="21"/>
                <w:highlight w:val="none"/>
              </w:rPr>
              <w:t>最优为准</w:t>
            </w:r>
            <w:r>
              <w:rPr>
                <w:rFonts w:hint="eastAsia" w:ascii="宋体" w:hAnsi="宋体" w:eastAsia="宋体" w:cs="宋体"/>
                <w:color w:val="auto"/>
                <w:spacing w:val="7"/>
                <w:sz w:val="21"/>
                <w:szCs w:val="21"/>
                <w:highlight w:val="none"/>
              </w:rPr>
              <w:t>）</w:t>
            </w:r>
          </w:p>
        </w:tc>
      </w:tr>
      <w:tr w14:paraId="17237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296A594C">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7833" w:type="dxa"/>
            <w:gridSpan w:val="4"/>
            <w:tcBorders>
              <w:left w:val="single" w:color="auto" w:sz="4" w:space="0"/>
            </w:tcBorders>
            <w:noWrap w:val="0"/>
            <w:vAlign w:val="center"/>
          </w:tcPr>
          <w:p w14:paraId="059BD298">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投标报价是履行合同的最终价格，包括：</w:t>
            </w:r>
          </w:p>
          <w:p w14:paraId="733DAEAD">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（1）货物及标准附件、备品备件、专用工具的价格；</w:t>
            </w:r>
          </w:p>
          <w:p w14:paraId="75D298EF">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right="174"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（2）运输、装卸、安装调试、培训（含材料费、场地租用费）、技术支持、售后</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7"/>
                <w:sz w:val="21"/>
                <w:szCs w:val="21"/>
                <w:highlight w:val="none"/>
              </w:rPr>
              <w:t>服务、验收等费用；</w:t>
            </w:r>
          </w:p>
          <w:p w14:paraId="464D9368">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（3）必要的保险费用和各项税费；</w:t>
            </w:r>
          </w:p>
          <w:p w14:paraId="59C5C04A">
            <w:pPr>
              <w:pStyle w:val="11"/>
              <w:keepNext w:val="0"/>
              <w:keepLines w:val="0"/>
              <w:pageBreakBefore w:val="0"/>
              <w:widowControl/>
              <w:kinsoku w:val="0"/>
              <w:wordWrap/>
              <w:overflowPunct/>
              <w:topLinePunct w:val="0"/>
              <w:autoSpaceDE w:val="0"/>
              <w:autoSpaceDN w:val="0"/>
              <w:bidi w:val="0"/>
              <w:adjustRightInd w:val="0"/>
              <w:snapToGrid w:val="0"/>
              <w:spacing w:before="111"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（4）安装费用、安装后的现场垃圾清理；</w:t>
            </w:r>
          </w:p>
          <w:p w14:paraId="7BA0EF3D">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（5）仪器设备按规定需要第三方检测公司检测的费用（如有</w:t>
            </w:r>
            <w:r>
              <w:rPr>
                <w:rFonts w:hint="eastAsia" w:ascii="宋体" w:hAnsi="宋体" w:eastAsia="宋体" w:cs="宋体"/>
                <w:color w:val="auto"/>
                <w:sz w:val="21"/>
                <w:szCs w:val="21"/>
                <w:highlight w:val="none"/>
              </w:rPr>
              <w:t>）；</w:t>
            </w:r>
          </w:p>
          <w:p w14:paraId="362A0F2C">
            <w:pPr>
              <w:pStyle w:val="13"/>
              <w:keepNext w:val="0"/>
              <w:keepLines w:val="0"/>
              <w:pageBreakBefore w:val="0"/>
              <w:widowControl w:val="0"/>
              <w:kinsoku/>
              <w:wordWrap/>
              <w:overflowPunct/>
              <w:topLinePunct w:val="0"/>
              <w:autoSpaceDE/>
              <w:autoSpaceDN/>
              <w:bidi w:val="0"/>
              <w:adjustRightInd/>
              <w:snapToGrid/>
              <w:spacing w:line="360" w:lineRule="auto"/>
              <w:ind w:left="42" w:leftChars="20"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（6）接入医院的信息系统产生的所有费用（如有）。</w:t>
            </w:r>
          </w:p>
        </w:tc>
      </w:tr>
      <w:tr w14:paraId="3555B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8" w:type="dxa"/>
            <w:gridSpan w:val="2"/>
            <w:tcBorders>
              <w:right w:val="single" w:color="auto" w:sz="4" w:space="0"/>
            </w:tcBorders>
            <w:noWrap w:val="0"/>
            <w:vAlign w:val="top"/>
          </w:tcPr>
          <w:p w14:paraId="28F84D7F">
            <w:pPr>
              <w:spacing w:line="338" w:lineRule="auto"/>
              <w:rPr>
                <w:rFonts w:hint="eastAsia" w:ascii="宋体" w:hAnsi="宋体" w:eastAsia="宋体" w:cs="宋体"/>
                <w:color w:val="auto"/>
                <w:sz w:val="21"/>
                <w:szCs w:val="21"/>
                <w:highlight w:val="none"/>
              </w:rPr>
            </w:pPr>
          </w:p>
          <w:p w14:paraId="203139FF">
            <w:pPr>
              <w:spacing w:line="338" w:lineRule="auto"/>
              <w:rPr>
                <w:rFonts w:hint="eastAsia" w:ascii="宋体" w:hAnsi="宋体" w:eastAsia="宋体" w:cs="宋体"/>
                <w:color w:val="auto"/>
                <w:sz w:val="21"/>
                <w:szCs w:val="21"/>
                <w:highlight w:val="none"/>
              </w:rPr>
            </w:pPr>
          </w:p>
          <w:p w14:paraId="65789D81">
            <w:pPr>
              <w:pStyle w:val="11"/>
              <w:spacing w:before="65" w:line="229" w:lineRule="auto"/>
              <w:ind w:left="394"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质保期</w:t>
            </w:r>
          </w:p>
        </w:tc>
        <w:tc>
          <w:tcPr>
            <w:tcW w:w="7833" w:type="dxa"/>
            <w:gridSpan w:val="4"/>
            <w:tcBorders>
              <w:left w:val="single" w:color="auto" w:sz="4" w:space="0"/>
            </w:tcBorders>
            <w:noWrap w:val="0"/>
            <w:vAlign w:val="top"/>
          </w:tcPr>
          <w:p w14:paraId="61FE7D25">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Style w:val="14"/>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质保期从设备安装完成并验收合格之日起开始计算，除“技术参数及性能（配置）要求 ”中有特别要求的，</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口腔颌面锥形束计算机体层摄影设备</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高频胸壁震荡排痰机</w:t>
            </w:r>
            <w:r>
              <w:rPr>
                <w:rFonts w:hint="eastAsia" w:ascii="宋体" w:hAnsi="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整机质保期不少于</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年原厂全保</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强脉冲光与激光治疗设备</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电子注射仪</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多光谱皮肤镜图像处理工作站</w:t>
            </w:r>
            <w:r>
              <w:rPr>
                <w:rFonts w:hint="eastAsia" w:ascii="宋体" w:hAnsi="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整机质保期不少于</w:t>
            </w:r>
            <w:r>
              <w:rPr>
                <w:rFonts w:hint="eastAsia"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年原厂全保，质保期内产品实行三包，无条件上门维修、更换全新零配件。质保期满后，以优惠价格提供终生维修和备件更换（质保期从设备安装完成并</w:t>
            </w:r>
            <w:r>
              <w:rPr>
                <w:rFonts w:hint="eastAsia" w:ascii="宋体" w:hAnsi="宋体" w:eastAsia="宋体" w:cs="宋体"/>
                <w:color w:val="auto"/>
                <w:spacing w:val="9"/>
                <w:sz w:val="21"/>
                <w:szCs w:val="21"/>
                <w:highlight w:val="none"/>
              </w:rPr>
              <w:t>验收合格之日起开始</w:t>
            </w:r>
            <w:r>
              <w:rPr>
                <w:rFonts w:hint="eastAsia" w:ascii="宋体" w:hAnsi="宋体" w:eastAsia="宋体" w:cs="宋体"/>
                <w:color w:val="auto"/>
                <w:spacing w:val="8"/>
                <w:sz w:val="21"/>
                <w:szCs w:val="21"/>
                <w:highlight w:val="none"/>
              </w:rPr>
              <w:t>）。</w:t>
            </w:r>
          </w:p>
        </w:tc>
      </w:tr>
      <w:tr w14:paraId="69D1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3D751FAA">
            <w:pPr>
              <w:pStyle w:val="11"/>
              <w:spacing w:before="110" w:line="279" w:lineRule="auto"/>
              <w:ind w:left="394" w:leftChars="0" w:right="177" w:rightChars="0" w:hanging="207"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交付的时间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和地点</w:t>
            </w:r>
          </w:p>
        </w:tc>
        <w:tc>
          <w:tcPr>
            <w:tcW w:w="7833" w:type="dxa"/>
            <w:gridSpan w:val="4"/>
            <w:tcBorders>
              <w:left w:val="single" w:color="auto" w:sz="4" w:space="0"/>
            </w:tcBorders>
            <w:noWrap w:val="0"/>
            <w:vAlign w:val="top"/>
          </w:tcPr>
          <w:p w14:paraId="4475EDAB">
            <w:pPr>
              <w:pStyle w:val="11"/>
              <w:keepNext w:val="0"/>
              <w:keepLines w:val="0"/>
              <w:pageBreakBefore w:val="0"/>
              <w:wordWrap/>
              <w:overflowPunct/>
              <w:topLinePunct w:val="0"/>
              <w:bidi w:val="0"/>
              <w:spacing w:before="110" w:line="360"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 交付时间：自签订合同之日起</w:t>
            </w:r>
            <w:r>
              <w:rPr>
                <w:rFonts w:hint="eastAsia" w:ascii="宋体" w:hAnsi="宋体" w:eastAsia="宋体" w:cs="宋体"/>
                <w:color w:val="auto"/>
                <w:spacing w:val="5"/>
                <w:sz w:val="21"/>
                <w:szCs w:val="21"/>
                <w:highlight w:val="none"/>
                <w:lang w:val="en-US" w:eastAsia="zh-CN"/>
              </w:rPr>
              <w:t>30</w:t>
            </w:r>
            <w:r>
              <w:rPr>
                <w:rFonts w:hint="eastAsia" w:ascii="宋体" w:hAnsi="宋体" w:eastAsia="宋体" w:cs="宋体"/>
                <w:color w:val="auto"/>
                <w:spacing w:val="5"/>
                <w:sz w:val="21"/>
                <w:szCs w:val="21"/>
                <w:highlight w:val="none"/>
              </w:rPr>
              <w:t>日内交货安装</w:t>
            </w:r>
            <w:r>
              <w:rPr>
                <w:rFonts w:hint="eastAsia" w:ascii="宋体" w:hAnsi="宋体" w:eastAsia="宋体" w:cs="宋体"/>
                <w:color w:val="auto"/>
                <w:spacing w:val="4"/>
                <w:sz w:val="21"/>
                <w:szCs w:val="21"/>
                <w:highlight w:val="none"/>
              </w:rPr>
              <w:t>调试完毕并交付使用。</w:t>
            </w:r>
          </w:p>
          <w:p w14:paraId="66E57F83">
            <w:pPr>
              <w:pStyle w:val="11"/>
              <w:keepNext w:val="0"/>
              <w:keepLines w:val="0"/>
              <w:pageBreakBefore w:val="0"/>
              <w:wordWrap/>
              <w:overflowPunct/>
              <w:topLinePunct w:val="0"/>
              <w:bidi w:val="0"/>
              <w:spacing w:before="112" w:line="360"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 交付地点：</w:t>
            </w:r>
            <w:r>
              <w:rPr>
                <w:rFonts w:hint="eastAsia" w:ascii="宋体" w:hAnsi="宋体" w:eastAsia="宋体" w:cs="宋体"/>
                <w:color w:val="auto"/>
                <w:spacing w:val="7"/>
                <w:w w:val="95"/>
                <w:sz w:val="21"/>
                <w:szCs w:val="21"/>
                <w:highlight w:val="none"/>
              </w:rPr>
              <w:t>防城港市防城区妇幼保健院（防城港市防城区慈爱路117号）。</w:t>
            </w:r>
          </w:p>
        </w:tc>
      </w:tr>
      <w:tr w14:paraId="3A16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88E7DAD">
            <w:pPr>
              <w:pStyle w:val="11"/>
              <w:spacing w:before="109" w:line="231" w:lineRule="auto"/>
              <w:ind w:left="18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合同签订时</w:t>
            </w:r>
          </w:p>
          <w:p w14:paraId="033807D0">
            <w:pPr>
              <w:pStyle w:val="11"/>
              <w:spacing w:before="110" w:line="226" w:lineRule="auto"/>
              <w:ind w:left="61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w:t>
            </w:r>
          </w:p>
        </w:tc>
        <w:tc>
          <w:tcPr>
            <w:tcW w:w="7833" w:type="dxa"/>
            <w:gridSpan w:val="4"/>
            <w:tcBorders>
              <w:left w:val="single" w:color="auto" w:sz="4" w:space="0"/>
            </w:tcBorders>
            <w:noWrap w:val="0"/>
            <w:vAlign w:val="top"/>
          </w:tcPr>
          <w:p w14:paraId="58288534">
            <w:pPr>
              <w:pStyle w:val="11"/>
              <w:keepNext w:val="0"/>
              <w:keepLines w:val="0"/>
              <w:pageBreakBefore w:val="0"/>
              <w:wordWrap/>
              <w:overflowPunct/>
              <w:topLinePunct w:val="0"/>
              <w:bidi w:val="0"/>
              <w:spacing w:before="289" w:line="360" w:lineRule="auto"/>
              <w:ind w:left="145"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自中标通知书发出之日起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25日内。</w:t>
            </w:r>
          </w:p>
        </w:tc>
      </w:tr>
      <w:tr w14:paraId="572C9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500B1067">
            <w:pPr>
              <w:spacing w:line="290" w:lineRule="auto"/>
              <w:rPr>
                <w:rFonts w:hint="eastAsia" w:ascii="宋体" w:hAnsi="宋体" w:eastAsia="宋体" w:cs="宋体"/>
                <w:color w:val="auto"/>
                <w:sz w:val="21"/>
                <w:szCs w:val="21"/>
                <w:highlight w:val="none"/>
              </w:rPr>
            </w:pPr>
          </w:p>
          <w:p w14:paraId="08E9562E">
            <w:pPr>
              <w:spacing w:line="291" w:lineRule="auto"/>
              <w:rPr>
                <w:rFonts w:hint="eastAsia" w:ascii="宋体" w:hAnsi="宋体" w:eastAsia="宋体" w:cs="宋体"/>
                <w:color w:val="auto"/>
                <w:sz w:val="21"/>
                <w:szCs w:val="21"/>
                <w:highlight w:val="none"/>
              </w:rPr>
            </w:pPr>
          </w:p>
          <w:p w14:paraId="4F12B4C8">
            <w:pPr>
              <w:pStyle w:val="11"/>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付款条件</w:t>
            </w:r>
          </w:p>
        </w:tc>
        <w:tc>
          <w:tcPr>
            <w:tcW w:w="7833" w:type="dxa"/>
            <w:gridSpan w:val="4"/>
            <w:tcBorders>
              <w:left w:val="single" w:color="auto" w:sz="4" w:space="0"/>
            </w:tcBorders>
            <w:noWrap w:val="0"/>
            <w:vAlign w:val="top"/>
          </w:tcPr>
          <w:p w14:paraId="4F1923C1">
            <w:pPr>
              <w:pStyle w:val="11"/>
              <w:keepNext w:val="0"/>
              <w:keepLines w:val="0"/>
              <w:pageBreakBefore w:val="0"/>
              <w:numPr>
                <w:ilvl w:val="0"/>
                <w:numId w:val="2"/>
              </w:numPr>
              <w:wordWrap/>
              <w:overflowPunct/>
              <w:topLinePunct w:val="0"/>
              <w:bidi w:val="0"/>
              <w:spacing w:before="108" w:line="360" w:lineRule="auto"/>
              <w:ind w:left="112" w:leftChars="0" w:right="109" w:rightChars="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本项目采用分期付款方式，采购人自合同签订之日起且向财政部门申请的资金到位</w:t>
            </w:r>
            <w:r>
              <w:rPr>
                <w:rFonts w:hint="eastAsia" w:ascii="宋体" w:hAnsi="宋体" w:eastAsia="宋体" w:cs="宋体"/>
                <w:color w:val="auto"/>
                <w:spacing w:val="5"/>
                <w:sz w:val="21"/>
                <w:szCs w:val="21"/>
                <w:highlight w:val="none"/>
              </w:rPr>
              <w:t>后10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个工作日内，采购人支付合同款的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30%；自设备安装验收合格之日起且向财政</w:t>
            </w:r>
            <w:r>
              <w:rPr>
                <w:rFonts w:hint="eastAsia" w:ascii="宋体" w:hAnsi="宋体" w:eastAsia="宋体" w:cs="宋体"/>
                <w:color w:val="auto"/>
                <w:spacing w:val="8"/>
                <w:sz w:val="21"/>
                <w:szCs w:val="21"/>
                <w:highlight w:val="none"/>
              </w:rPr>
              <w:t>部门申请的资金到位后一年内支付剩余的合同金额给中标人（不计利息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8"/>
                <w:sz w:val="21"/>
                <w:szCs w:val="21"/>
                <w:highlight w:val="none"/>
              </w:rPr>
              <w:t>中标人按支付进度开具相应额度的合法发票给采购人。</w:t>
            </w:r>
          </w:p>
          <w:p w14:paraId="7E7871A7">
            <w:pPr>
              <w:pStyle w:val="11"/>
              <w:keepNext w:val="0"/>
              <w:keepLines w:val="0"/>
              <w:pageBreakBefore w:val="0"/>
              <w:widowControl/>
              <w:kinsoku w:val="0"/>
              <w:wordWrap/>
              <w:overflowPunct/>
              <w:topLinePunct w:val="0"/>
              <w:autoSpaceDE w:val="0"/>
              <w:autoSpaceDN w:val="0"/>
              <w:bidi w:val="0"/>
              <w:adjustRightInd w:val="0"/>
              <w:snapToGrid w:val="0"/>
              <w:spacing w:before="108" w:line="360" w:lineRule="auto"/>
              <w:ind w:right="108" w:rightChars="0"/>
              <w:jc w:val="both"/>
              <w:textAlignment w:val="baseline"/>
              <w:rPr>
                <w:rStyle w:val="14"/>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中标人</w:t>
            </w:r>
            <w:r>
              <w:rPr>
                <w:rFonts w:hint="eastAsia" w:cs="宋体"/>
                <w:color w:val="auto"/>
                <w:spacing w:val="8"/>
                <w:sz w:val="21"/>
                <w:szCs w:val="21"/>
                <w:highlight w:val="none"/>
                <w:lang w:val="en-US" w:eastAsia="zh-CN"/>
              </w:rPr>
              <w:t>每次申请付款时，须向采购人开具相应额度的符合国家规定的合法发票，否则采购人有权拒绝付款。</w:t>
            </w:r>
          </w:p>
        </w:tc>
      </w:tr>
      <w:tr w14:paraId="2DEB0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24E78C8">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33" w:type="dxa"/>
            <w:gridSpan w:val="4"/>
            <w:tcBorders>
              <w:left w:val="single" w:color="auto" w:sz="4" w:space="0"/>
            </w:tcBorders>
            <w:noWrap w:val="0"/>
            <w:vAlign w:val="top"/>
          </w:tcPr>
          <w:p w14:paraId="4559E49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设备中的“</w:t>
            </w:r>
            <w:r>
              <w:rPr>
                <w:rStyle w:val="10"/>
                <w:rFonts w:hint="eastAsia" w:ascii="宋体" w:hAnsi="宋体" w:eastAsia="宋体" w:cs="宋体"/>
                <w:b w:val="0"/>
                <w:bCs w:val="0"/>
                <w:color w:val="auto"/>
                <w:kern w:val="13569"/>
                <w:sz w:val="21"/>
                <w:szCs w:val="21"/>
                <w:highlight w:val="none"/>
                <w:u w:val="single"/>
                <w:lang w:val="en-US" w:eastAsia="zh-CN"/>
              </w:rPr>
              <w:t>多光谱皮肤镜图像处理工作站</w:t>
            </w:r>
            <w:r>
              <w:rPr>
                <w:rFonts w:hint="eastAsia" w:ascii="宋体" w:hAnsi="宋体" w:eastAsia="宋体" w:cs="宋体"/>
                <w:bCs/>
                <w:color w:val="auto"/>
                <w:sz w:val="21"/>
                <w:szCs w:val="21"/>
                <w:highlight w:val="none"/>
              </w:rPr>
              <w:t>”为核心产品（核心产品品牌相同的，视为提供同品牌产品）</w:t>
            </w:r>
          </w:p>
          <w:p w14:paraId="6B73B86E">
            <w:pPr>
              <w:keepNext w:val="0"/>
              <w:keepLines w:val="0"/>
              <w:pageBreakBefore w:val="0"/>
              <w:kinsoku/>
              <w:wordWrap/>
              <w:overflowPunct/>
              <w:topLinePunct w:val="0"/>
              <w:autoSpaceDE/>
              <w:autoSpaceDN/>
              <w:bidi w:val="0"/>
              <w:spacing w:line="360" w:lineRule="auto"/>
              <w:ind w:firstLine="113" w:firstLineChars="0"/>
              <w:textAlignment w:val="auto"/>
              <w:rPr>
                <w:rStyle w:val="14"/>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以投标报价由低到高顺序排列；得分相同且投标报价相同的，按技术指标优劣顺序排列</w:t>
            </w:r>
            <w:r>
              <w:rPr>
                <w:rFonts w:hint="eastAsia" w:ascii="宋体" w:hAnsi="宋体" w:eastAsia="宋体" w:cs="宋体"/>
                <w:bCs/>
                <w:color w:val="auto"/>
                <w:sz w:val="21"/>
                <w:szCs w:val="21"/>
                <w:highlight w:val="none"/>
              </w:rPr>
              <w:t>），其他同品牌投标人不作为中标候选人。</w:t>
            </w:r>
          </w:p>
        </w:tc>
      </w:tr>
      <w:tr w14:paraId="4232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C20F704">
            <w:pPr>
              <w:spacing w:line="256" w:lineRule="auto"/>
              <w:rPr>
                <w:rFonts w:hint="eastAsia" w:ascii="宋体" w:hAnsi="宋体" w:eastAsia="宋体" w:cs="宋体"/>
                <w:color w:val="auto"/>
                <w:sz w:val="21"/>
                <w:szCs w:val="21"/>
                <w:highlight w:val="none"/>
              </w:rPr>
            </w:pPr>
          </w:p>
          <w:p w14:paraId="271C200D">
            <w:pPr>
              <w:spacing w:line="256" w:lineRule="auto"/>
              <w:rPr>
                <w:rFonts w:hint="eastAsia" w:ascii="宋体" w:hAnsi="宋体" w:eastAsia="宋体" w:cs="宋体"/>
                <w:color w:val="auto"/>
                <w:sz w:val="21"/>
                <w:szCs w:val="21"/>
                <w:highlight w:val="none"/>
              </w:rPr>
            </w:pPr>
          </w:p>
          <w:p w14:paraId="30086167">
            <w:pPr>
              <w:spacing w:line="256" w:lineRule="auto"/>
              <w:rPr>
                <w:rFonts w:hint="eastAsia" w:ascii="宋体" w:hAnsi="宋体" w:eastAsia="宋体" w:cs="宋体"/>
                <w:color w:val="auto"/>
                <w:sz w:val="21"/>
                <w:szCs w:val="21"/>
                <w:highlight w:val="none"/>
              </w:rPr>
            </w:pPr>
          </w:p>
          <w:p w14:paraId="496B6C05">
            <w:pPr>
              <w:spacing w:line="256" w:lineRule="auto"/>
              <w:rPr>
                <w:rFonts w:hint="eastAsia" w:ascii="宋体" w:hAnsi="宋体" w:eastAsia="宋体" w:cs="宋体"/>
                <w:color w:val="auto"/>
                <w:sz w:val="21"/>
                <w:szCs w:val="21"/>
                <w:highlight w:val="none"/>
              </w:rPr>
            </w:pPr>
          </w:p>
          <w:p w14:paraId="4DE4A288">
            <w:pPr>
              <w:spacing w:line="256" w:lineRule="auto"/>
              <w:rPr>
                <w:rFonts w:hint="eastAsia" w:ascii="宋体" w:hAnsi="宋体" w:eastAsia="宋体" w:cs="宋体"/>
                <w:color w:val="auto"/>
                <w:sz w:val="21"/>
                <w:szCs w:val="21"/>
                <w:highlight w:val="none"/>
              </w:rPr>
            </w:pPr>
          </w:p>
          <w:p w14:paraId="1B5335AD">
            <w:pPr>
              <w:spacing w:line="256" w:lineRule="auto"/>
              <w:rPr>
                <w:rFonts w:hint="eastAsia" w:ascii="宋体" w:hAnsi="宋体" w:eastAsia="宋体" w:cs="宋体"/>
                <w:color w:val="auto"/>
                <w:sz w:val="21"/>
                <w:szCs w:val="21"/>
                <w:highlight w:val="none"/>
              </w:rPr>
            </w:pPr>
          </w:p>
          <w:p w14:paraId="6C0B0FBD">
            <w:pPr>
              <w:spacing w:line="256" w:lineRule="auto"/>
              <w:rPr>
                <w:rFonts w:hint="eastAsia" w:ascii="宋体" w:hAnsi="宋体" w:eastAsia="宋体" w:cs="宋体"/>
                <w:color w:val="auto"/>
                <w:sz w:val="21"/>
                <w:szCs w:val="21"/>
                <w:highlight w:val="none"/>
              </w:rPr>
            </w:pPr>
          </w:p>
          <w:p w14:paraId="3D4EA7EE">
            <w:pPr>
              <w:spacing w:line="256" w:lineRule="auto"/>
              <w:rPr>
                <w:rFonts w:hint="eastAsia" w:ascii="宋体" w:hAnsi="宋体" w:eastAsia="宋体" w:cs="宋体"/>
                <w:color w:val="auto"/>
                <w:sz w:val="21"/>
                <w:szCs w:val="21"/>
                <w:highlight w:val="none"/>
              </w:rPr>
            </w:pPr>
          </w:p>
          <w:p w14:paraId="1CFE8129">
            <w:pPr>
              <w:spacing w:line="256" w:lineRule="auto"/>
              <w:rPr>
                <w:rFonts w:hint="eastAsia" w:ascii="宋体" w:hAnsi="宋体" w:eastAsia="宋体" w:cs="宋体"/>
                <w:color w:val="auto"/>
                <w:sz w:val="21"/>
                <w:szCs w:val="21"/>
                <w:highlight w:val="none"/>
              </w:rPr>
            </w:pPr>
          </w:p>
          <w:p w14:paraId="42F3D578">
            <w:pPr>
              <w:pStyle w:val="11"/>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售后服务</w:t>
            </w:r>
          </w:p>
        </w:tc>
        <w:tc>
          <w:tcPr>
            <w:tcW w:w="7833" w:type="dxa"/>
            <w:gridSpan w:val="4"/>
            <w:tcBorders>
              <w:left w:val="single" w:color="auto" w:sz="4" w:space="0"/>
            </w:tcBorders>
            <w:noWrap w:val="0"/>
            <w:vAlign w:val="top"/>
          </w:tcPr>
          <w:p w14:paraId="301D072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在质保期内因货物质量、安装而造成货物损坏，其全部费用由</w:t>
            </w:r>
            <w:r>
              <w:rPr>
                <w:rFonts w:hint="eastAsia" w:ascii="宋体" w:hAnsi="宋体" w:eastAsia="宋体" w:cs="宋体"/>
                <w:color w:val="auto"/>
                <w:spacing w:val="8"/>
                <w:sz w:val="21"/>
                <w:szCs w:val="21"/>
                <w:highlight w:val="none"/>
              </w:rPr>
              <w:t>中标人负责；</w:t>
            </w:r>
          </w:p>
          <w:p w14:paraId="51E192F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售后服务费用包含在报价中，售后服务</w:t>
            </w:r>
            <w:r>
              <w:rPr>
                <w:rFonts w:hint="eastAsia" w:ascii="宋体" w:hAnsi="宋体" w:eastAsia="宋体" w:cs="宋体"/>
                <w:color w:val="auto"/>
                <w:spacing w:val="8"/>
                <w:sz w:val="21"/>
                <w:szCs w:val="21"/>
                <w:highlight w:val="none"/>
              </w:rPr>
              <w:t>内容如下：</w:t>
            </w:r>
          </w:p>
          <w:p w14:paraId="31155FC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（1）负责送货到用户现场，在用户要求的时间内负责安装调试合格，对设备操作</w:t>
            </w:r>
            <w:r>
              <w:rPr>
                <w:rFonts w:hint="eastAsia" w:ascii="宋体" w:hAnsi="宋体" w:eastAsia="宋体" w:cs="宋体"/>
                <w:color w:val="auto"/>
                <w:spacing w:val="9"/>
                <w:sz w:val="21"/>
                <w:szCs w:val="21"/>
                <w:highlight w:val="none"/>
              </w:rPr>
              <w:t>及维修人员进行操作及维修培训，直至技术人员熟练</w:t>
            </w:r>
            <w:r>
              <w:rPr>
                <w:rFonts w:hint="eastAsia" w:ascii="宋体" w:hAnsi="宋体" w:eastAsia="宋体" w:cs="宋体"/>
                <w:color w:val="auto"/>
                <w:spacing w:val="8"/>
                <w:sz w:val="21"/>
                <w:szCs w:val="21"/>
                <w:highlight w:val="none"/>
              </w:rPr>
              <w:t>掌握使用及维修技能为止，提</w:t>
            </w:r>
            <w:r>
              <w:rPr>
                <w:rFonts w:hint="eastAsia" w:ascii="宋体" w:hAnsi="宋体" w:eastAsia="宋体" w:cs="宋体"/>
                <w:color w:val="auto"/>
                <w:spacing w:val="9"/>
                <w:sz w:val="21"/>
                <w:szCs w:val="21"/>
                <w:highlight w:val="none"/>
              </w:rPr>
              <w:t>供完善的产品使用手册、操作培训手册、维护手册、详细培训计划。</w:t>
            </w:r>
          </w:p>
          <w:p w14:paraId="305D275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9"/>
                <w:sz w:val="21"/>
                <w:szCs w:val="21"/>
                <w:highlight w:val="none"/>
                <w:lang w:eastAsia="zh-CN"/>
              </w:rPr>
            </w:pPr>
            <w:r>
              <w:rPr>
                <w:rFonts w:hint="eastAsia" w:cs="宋体"/>
                <w:color w:val="auto"/>
                <w:spacing w:val="9"/>
                <w:sz w:val="21"/>
                <w:szCs w:val="21"/>
                <w:highlight w:val="none"/>
                <w:lang w:eastAsia="zh-CN"/>
              </w:rPr>
              <w:t>（</w:t>
            </w:r>
            <w:r>
              <w:rPr>
                <w:rFonts w:hint="eastAsia" w:cs="宋体"/>
                <w:color w:val="auto"/>
                <w:spacing w:val="9"/>
                <w:sz w:val="21"/>
                <w:szCs w:val="21"/>
                <w:highlight w:val="none"/>
                <w:lang w:val="en-US" w:eastAsia="zh-CN"/>
              </w:rPr>
              <w:t>2</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提供全部设备必须是具备厂家合法销售渠道的全新合格正品，产品符合国家有关认证标准及安全规定。所有设备必须满足采购文件所述性能配置要求，若产品在运输过程中损坏或擦伤须无偿调换相同产品。</w:t>
            </w:r>
          </w:p>
          <w:p w14:paraId="6E9A268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2"/>
              <w:jc w:val="both"/>
              <w:textAlignment w:val="baseline"/>
              <w:rPr>
                <w:rFonts w:hint="default"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w:t>
            </w: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w:t>
            </w:r>
            <w:r>
              <w:rPr>
                <w:rFonts w:hint="eastAsia" w:cs="宋体"/>
                <w:color w:val="auto"/>
                <w:spacing w:val="3"/>
                <w:sz w:val="21"/>
                <w:szCs w:val="21"/>
                <w:highlight w:val="none"/>
                <w:lang w:val="en-US" w:eastAsia="zh-CN"/>
              </w:rPr>
              <w:t>进口产品维修售后时间：</w:t>
            </w:r>
            <w:r>
              <w:rPr>
                <w:rFonts w:hint="eastAsia" w:ascii="宋体" w:hAnsi="宋体" w:eastAsia="宋体" w:cs="宋体"/>
                <w:color w:val="auto"/>
                <w:spacing w:val="3"/>
                <w:sz w:val="21"/>
                <w:szCs w:val="21"/>
                <w:highlight w:val="none"/>
              </w:rPr>
              <w:t>维修响应时间不超过</w:t>
            </w:r>
            <w:r>
              <w:rPr>
                <w:rFonts w:hint="eastAsia"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cs="宋体"/>
                <w:color w:val="auto"/>
                <w:spacing w:val="3"/>
                <w:sz w:val="21"/>
                <w:szCs w:val="21"/>
                <w:highlight w:val="none"/>
                <w:lang w:val="en-US" w:eastAsia="zh-CN"/>
              </w:rPr>
              <w:t>48</w:t>
            </w:r>
            <w:r>
              <w:rPr>
                <w:rFonts w:hint="eastAsia" w:ascii="宋体" w:hAnsi="宋体" w:eastAsia="宋体" w:cs="宋体"/>
                <w:color w:val="auto"/>
                <w:spacing w:val="2"/>
                <w:sz w:val="21"/>
                <w:szCs w:val="21"/>
                <w:highlight w:val="none"/>
              </w:rPr>
              <w:t>小时内到达现场；</w:t>
            </w:r>
            <w:r>
              <w:rPr>
                <w:rFonts w:hint="eastAsia" w:cs="宋体"/>
                <w:color w:val="auto"/>
                <w:spacing w:val="8"/>
                <w:sz w:val="21"/>
                <w:szCs w:val="21"/>
                <w:highlight w:val="none"/>
                <w:lang w:val="en-US" w:eastAsia="zh-CN"/>
              </w:rPr>
              <w:t>72</w:t>
            </w:r>
            <w:r>
              <w:rPr>
                <w:rFonts w:hint="eastAsia" w:ascii="宋体" w:hAnsi="宋体" w:eastAsia="宋体" w:cs="宋体"/>
                <w:color w:val="auto"/>
                <w:spacing w:val="8"/>
                <w:sz w:val="21"/>
                <w:szCs w:val="21"/>
                <w:highlight w:val="none"/>
              </w:rPr>
              <w:t>小时内解决问题；</w:t>
            </w:r>
            <w:r>
              <w:rPr>
                <w:rFonts w:hint="eastAsia" w:cs="宋体"/>
                <w:color w:val="auto"/>
                <w:spacing w:val="2"/>
                <w:sz w:val="21"/>
                <w:szCs w:val="21"/>
                <w:highlight w:val="none"/>
                <w:lang w:val="en-US" w:eastAsia="zh-CN"/>
              </w:rPr>
              <w:t>且维修时间预计超过72小时的</w:t>
            </w:r>
            <w:r>
              <w:rPr>
                <w:rFonts w:hint="eastAsia" w:cs="宋体"/>
                <w:color w:val="auto"/>
                <w:spacing w:val="7"/>
                <w:sz w:val="21"/>
                <w:szCs w:val="21"/>
                <w:highlight w:val="none"/>
                <w:lang w:val="en-US" w:eastAsia="zh-CN"/>
              </w:rPr>
              <w:t>需提供备选应急方案。</w:t>
            </w:r>
          </w:p>
          <w:p w14:paraId="6307815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（4）国产产品维修售后时间：</w:t>
            </w:r>
            <w:r>
              <w:rPr>
                <w:rFonts w:hint="eastAsia" w:ascii="宋体" w:hAnsi="宋体" w:eastAsia="宋体" w:cs="宋体"/>
                <w:color w:val="auto"/>
                <w:spacing w:val="3"/>
                <w:sz w:val="21"/>
                <w:szCs w:val="21"/>
                <w:highlight w:val="none"/>
              </w:rPr>
              <w:t>维修响应时间不超过</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小时内到达现场；</w:t>
            </w:r>
            <w:r>
              <w:rPr>
                <w:rFonts w:hint="eastAsia" w:ascii="宋体" w:hAnsi="宋体" w:eastAsia="宋体" w:cs="宋体"/>
                <w:color w:val="auto"/>
                <w:spacing w:val="8"/>
                <w:sz w:val="21"/>
                <w:szCs w:val="21"/>
                <w:highlight w:val="none"/>
              </w:rPr>
              <w:t>24小时内解决问题；且维修时间预计超过</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72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小时的需要提供备用机。</w:t>
            </w:r>
          </w:p>
          <w:p w14:paraId="427460C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right="107" w:rightChars="0" w:firstLine="10" w:firstLineChars="0"/>
              <w:jc w:val="both"/>
              <w:textAlignment w:val="baseline"/>
              <w:rPr>
                <w:rFonts w:hint="eastAsia" w:cs="宋体"/>
                <w:color w:val="auto"/>
                <w:spacing w:val="9"/>
                <w:sz w:val="21"/>
                <w:szCs w:val="21"/>
                <w:highlight w:val="none"/>
                <w:lang w:eastAsia="zh-CN"/>
              </w:rPr>
            </w:pPr>
            <w:r>
              <w:rPr>
                <w:rFonts w:hint="eastAsia" w:ascii="宋体" w:hAnsi="宋体" w:eastAsia="宋体" w:cs="宋体"/>
                <w:color w:val="auto"/>
                <w:spacing w:val="11"/>
                <w:sz w:val="21"/>
                <w:szCs w:val="21"/>
                <w:highlight w:val="none"/>
              </w:rPr>
              <w:t>（</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）质保期内对设备进行定期维护和修理，从验收合格交付使用起，在规定的质</w:t>
            </w:r>
            <w:r>
              <w:rPr>
                <w:rFonts w:hint="eastAsia" w:ascii="宋体" w:hAnsi="宋体" w:eastAsia="宋体" w:cs="宋体"/>
                <w:color w:val="auto"/>
                <w:spacing w:val="7"/>
                <w:sz w:val="21"/>
                <w:szCs w:val="21"/>
                <w:highlight w:val="none"/>
              </w:rPr>
              <w:t>保期内，任何由制造设计原理引起的非正常损坏，由中标人负责修理。质保期外，</w:t>
            </w:r>
            <w:r>
              <w:rPr>
                <w:rFonts w:hint="eastAsia" w:ascii="宋体" w:hAnsi="宋体" w:eastAsia="宋体" w:cs="宋体"/>
                <w:color w:val="auto"/>
                <w:spacing w:val="9"/>
                <w:sz w:val="21"/>
                <w:szCs w:val="21"/>
                <w:highlight w:val="none"/>
              </w:rPr>
              <w:t>产生的损坏或故障，维修优先确保使用，再支付相关费用，不得影响正常工作。</w:t>
            </w:r>
          </w:p>
        </w:tc>
      </w:tr>
      <w:tr w14:paraId="7DF4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2538B53">
            <w:pPr>
              <w:spacing w:line="267" w:lineRule="auto"/>
              <w:rPr>
                <w:rFonts w:hint="eastAsia" w:ascii="宋体" w:hAnsi="宋体" w:eastAsia="宋体" w:cs="宋体"/>
                <w:color w:val="auto"/>
                <w:sz w:val="21"/>
                <w:szCs w:val="21"/>
                <w:highlight w:val="none"/>
              </w:rPr>
            </w:pPr>
          </w:p>
          <w:p w14:paraId="7288EC5E">
            <w:pPr>
              <w:pStyle w:val="11"/>
              <w:spacing w:before="65" w:line="228" w:lineRule="auto"/>
              <w:ind w:left="182"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包装和运输</w:t>
            </w:r>
          </w:p>
        </w:tc>
        <w:tc>
          <w:tcPr>
            <w:tcW w:w="7833" w:type="dxa"/>
            <w:gridSpan w:val="4"/>
            <w:tcBorders>
              <w:left w:val="single" w:color="auto" w:sz="4" w:space="0"/>
            </w:tcBorders>
            <w:noWrap w:val="0"/>
            <w:vAlign w:val="top"/>
          </w:tcPr>
          <w:p w14:paraId="7BA83A86">
            <w:pPr>
              <w:pStyle w:val="11"/>
              <w:keepNext w:val="0"/>
              <w:keepLines w:val="0"/>
              <w:pageBreakBefore w:val="0"/>
              <w:wordWrap/>
              <w:overflowPunct/>
              <w:topLinePunct w:val="0"/>
              <w:bidi w:val="0"/>
              <w:spacing w:before="153" w:line="360" w:lineRule="auto"/>
              <w:ind w:left="112" w:leftChars="0" w:right="107" w:rightChars="0" w:firstLine="4" w:firstLineChars="0"/>
              <w:rPr>
                <w:rStyle w:val="14"/>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货物必须按照出厂原包装，并附加货物运输必要外包装，运输过程采用公路专用物</w:t>
            </w:r>
            <w:r>
              <w:rPr>
                <w:rFonts w:hint="eastAsia" w:ascii="宋体" w:hAnsi="宋体" w:eastAsia="宋体" w:cs="宋体"/>
                <w:color w:val="auto"/>
                <w:spacing w:val="6"/>
                <w:sz w:val="21"/>
                <w:szCs w:val="21"/>
                <w:highlight w:val="none"/>
              </w:rPr>
              <w:t>流车辆运输。</w:t>
            </w:r>
          </w:p>
        </w:tc>
      </w:tr>
      <w:tr w14:paraId="6FEBF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5FFD879B">
            <w:pPr>
              <w:spacing w:line="407" w:lineRule="auto"/>
              <w:rPr>
                <w:rFonts w:hint="eastAsia" w:ascii="宋体" w:hAnsi="宋体" w:eastAsia="宋体" w:cs="宋体"/>
                <w:color w:val="auto"/>
                <w:sz w:val="21"/>
                <w:szCs w:val="21"/>
                <w:highlight w:val="none"/>
              </w:rPr>
            </w:pPr>
          </w:p>
          <w:p w14:paraId="7D168F53">
            <w:pPr>
              <w:pStyle w:val="11"/>
              <w:spacing w:before="65" w:line="228" w:lineRule="auto"/>
              <w:ind w:left="287"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验收标准</w:t>
            </w:r>
          </w:p>
        </w:tc>
        <w:tc>
          <w:tcPr>
            <w:tcW w:w="7833" w:type="dxa"/>
            <w:gridSpan w:val="4"/>
            <w:tcBorders>
              <w:left w:val="single" w:color="auto" w:sz="4" w:space="0"/>
            </w:tcBorders>
            <w:noWrap w:val="0"/>
            <w:vAlign w:val="top"/>
          </w:tcPr>
          <w:p w14:paraId="5B126CD5">
            <w:pPr>
              <w:pStyle w:val="11"/>
              <w:keepNext w:val="0"/>
              <w:keepLines w:val="0"/>
              <w:pageBreakBefore w:val="0"/>
              <w:wordWrap/>
              <w:overflowPunct/>
              <w:topLinePunct w:val="0"/>
              <w:bidi w:val="0"/>
              <w:spacing w:before="113"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1.所有货物必须是近一年全新产品</w:t>
            </w:r>
            <w:r>
              <w:rPr>
                <w:rFonts w:hint="eastAsia" w:cs="宋体"/>
                <w:color w:val="auto"/>
                <w:spacing w:val="8"/>
                <w:sz w:val="21"/>
                <w:szCs w:val="21"/>
                <w:highlight w:val="none"/>
                <w:lang w:eastAsia="zh-CN"/>
              </w:rPr>
              <w:t>（</w:t>
            </w:r>
            <w:r>
              <w:rPr>
                <w:rFonts w:hint="eastAsia" w:cs="宋体"/>
                <w:color w:val="auto"/>
                <w:spacing w:val="8"/>
                <w:sz w:val="21"/>
                <w:szCs w:val="21"/>
                <w:highlight w:val="none"/>
                <w:lang w:val="en-US" w:eastAsia="zh-CN"/>
              </w:rPr>
              <w:t>除进口货物外</w:t>
            </w:r>
            <w:r>
              <w:rPr>
                <w:rFonts w:hint="eastAsia"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。交货前不允许提前开箱、调试；货物</w:t>
            </w:r>
            <w:r>
              <w:rPr>
                <w:rFonts w:hint="eastAsia" w:ascii="宋体" w:hAnsi="宋体" w:eastAsia="宋体" w:cs="宋体"/>
                <w:color w:val="auto"/>
                <w:spacing w:val="7"/>
                <w:sz w:val="21"/>
                <w:szCs w:val="21"/>
                <w:highlight w:val="none"/>
              </w:rPr>
              <w:t>安装调试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完毕后通知采购人对货物进行清点、核实、验</w:t>
            </w:r>
            <w:r>
              <w:rPr>
                <w:rFonts w:hint="eastAsia" w:ascii="宋体" w:hAnsi="宋体" w:eastAsia="宋体" w:cs="宋体"/>
                <w:color w:val="auto"/>
                <w:spacing w:val="8"/>
                <w:sz w:val="21"/>
                <w:szCs w:val="21"/>
                <w:highlight w:val="none"/>
              </w:rPr>
              <w:t>收，双方代表签字。如供货时出现有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设备停产的情况，须提供具备与原设备技术参数要求相同或高于原设备技术参数要求的替代产品，并经采购人确认后方可更换。</w:t>
            </w:r>
          </w:p>
          <w:p w14:paraId="659E2BC6">
            <w:pPr>
              <w:pStyle w:val="11"/>
              <w:keepNext w:val="0"/>
              <w:keepLines w:val="0"/>
              <w:pageBreakBefore w:val="0"/>
              <w:wordWrap/>
              <w:overflowPunct/>
              <w:topLinePunct w:val="0"/>
              <w:bidi w:val="0"/>
              <w:spacing w:before="112" w:line="360" w:lineRule="auto"/>
              <w:ind w:left="111" w:right="109" w:firstLine="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2.交货时，所有产品均严格按招标文件上的技术规格要求、中标人响应和承诺的技</w:t>
            </w:r>
            <w:r>
              <w:rPr>
                <w:rFonts w:hint="eastAsia" w:ascii="宋体" w:hAnsi="宋体" w:eastAsia="宋体" w:cs="宋体"/>
                <w:color w:val="auto"/>
                <w:spacing w:val="14"/>
                <w:sz w:val="21"/>
                <w:szCs w:val="21"/>
                <w:highlight w:val="none"/>
              </w:rPr>
              <w:t>术参数及性能和国家有关标准进行验收，达不到实质性要求的视为产品验收不合</w:t>
            </w:r>
            <w:r>
              <w:rPr>
                <w:rFonts w:hint="eastAsia" w:ascii="宋体" w:hAnsi="宋体" w:eastAsia="宋体" w:cs="宋体"/>
                <w:color w:val="auto"/>
                <w:spacing w:val="8"/>
                <w:sz w:val="21"/>
                <w:szCs w:val="21"/>
                <w:highlight w:val="none"/>
              </w:rPr>
              <w:t>格，并按相关规定处理、处罚。</w:t>
            </w:r>
          </w:p>
          <w:p w14:paraId="56F0A0A8">
            <w:pPr>
              <w:pStyle w:val="11"/>
              <w:keepNext w:val="0"/>
              <w:keepLines w:val="0"/>
              <w:pageBreakBefore w:val="0"/>
              <w:wordWrap/>
              <w:overflowPunct/>
              <w:topLinePunct w:val="0"/>
              <w:bidi w:val="0"/>
              <w:spacing w:before="114" w:line="360" w:lineRule="auto"/>
              <w:ind w:left="111" w:right="107" w:firstLine="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3.中标人承诺所提供的产品（包括硬件、配套软件）为符合国家知识产权法律法规</w:t>
            </w:r>
            <w:r>
              <w:rPr>
                <w:rFonts w:hint="eastAsia" w:ascii="宋体" w:hAnsi="宋体" w:eastAsia="宋体" w:cs="宋体"/>
                <w:color w:val="auto"/>
                <w:spacing w:val="9"/>
                <w:sz w:val="21"/>
                <w:szCs w:val="21"/>
                <w:highlight w:val="none"/>
              </w:rPr>
              <w:t>要求的正规正版产品，不属于假冒伪劣商品</w:t>
            </w:r>
            <w:r>
              <w:rPr>
                <w:rFonts w:hint="eastAsia" w:ascii="宋体" w:hAnsi="宋体" w:eastAsia="宋体" w:cs="宋体"/>
                <w:color w:val="auto"/>
                <w:spacing w:val="8"/>
                <w:sz w:val="21"/>
                <w:szCs w:val="21"/>
                <w:highlight w:val="none"/>
              </w:rPr>
              <w:t>；中标人还应保证采购人不受到第三方</w:t>
            </w:r>
            <w:r>
              <w:rPr>
                <w:rFonts w:hint="eastAsia" w:ascii="宋体" w:hAnsi="宋体" w:eastAsia="宋体" w:cs="宋体"/>
                <w:color w:val="auto"/>
                <w:spacing w:val="9"/>
                <w:sz w:val="21"/>
                <w:szCs w:val="21"/>
                <w:highlight w:val="none"/>
              </w:rPr>
              <w:t>关于侵犯知识产权以及专利权、商标权或工</w:t>
            </w:r>
            <w:r>
              <w:rPr>
                <w:rFonts w:hint="eastAsia" w:ascii="宋体" w:hAnsi="宋体" w:eastAsia="宋体" w:cs="宋体"/>
                <w:color w:val="auto"/>
                <w:spacing w:val="8"/>
                <w:sz w:val="21"/>
                <w:szCs w:val="21"/>
                <w:highlight w:val="none"/>
              </w:rPr>
              <w:t>业设计权等知识产权方面的指控，任何</w:t>
            </w:r>
            <w:r>
              <w:rPr>
                <w:rFonts w:hint="eastAsia" w:ascii="宋体" w:hAnsi="宋体" w:eastAsia="宋体" w:cs="宋体"/>
                <w:color w:val="auto"/>
                <w:spacing w:val="9"/>
                <w:sz w:val="21"/>
                <w:szCs w:val="21"/>
                <w:highlight w:val="none"/>
              </w:rPr>
              <w:t>第三方如果提出此方面指控均与采购人无关，中标</w:t>
            </w:r>
            <w:r>
              <w:rPr>
                <w:rFonts w:hint="eastAsia" w:ascii="宋体" w:hAnsi="宋体" w:eastAsia="宋体" w:cs="宋体"/>
                <w:color w:val="auto"/>
                <w:spacing w:val="8"/>
                <w:sz w:val="21"/>
                <w:szCs w:val="21"/>
                <w:highlight w:val="none"/>
              </w:rPr>
              <w:t>人应与第三方交涉，并承担可能</w:t>
            </w:r>
            <w:r>
              <w:rPr>
                <w:rFonts w:hint="eastAsia" w:ascii="宋体" w:hAnsi="宋体" w:eastAsia="宋体" w:cs="宋体"/>
                <w:color w:val="auto"/>
                <w:spacing w:val="9"/>
                <w:sz w:val="21"/>
                <w:szCs w:val="21"/>
                <w:highlight w:val="none"/>
              </w:rPr>
              <w:t>发生的一切法律责任、费用和后果；若采购人因此</w:t>
            </w:r>
            <w:r>
              <w:rPr>
                <w:rFonts w:hint="eastAsia" w:ascii="宋体" w:hAnsi="宋体" w:eastAsia="宋体" w:cs="宋体"/>
                <w:color w:val="auto"/>
                <w:spacing w:val="8"/>
                <w:sz w:val="21"/>
                <w:szCs w:val="21"/>
                <w:highlight w:val="none"/>
              </w:rPr>
              <w:t>而遭致损失的，中标人须赔偿该</w:t>
            </w:r>
            <w:r>
              <w:rPr>
                <w:rFonts w:hint="eastAsia" w:ascii="宋体" w:hAnsi="宋体" w:eastAsia="宋体" w:cs="宋体"/>
                <w:color w:val="auto"/>
                <w:spacing w:val="3"/>
                <w:sz w:val="21"/>
                <w:szCs w:val="21"/>
                <w:highlight w:val="none"/>
              </w:rPr>
              <w:t>损失。</w:t>
            </w:r>
          </w:p>
          <w:p w14:paraId="643D2807">
            <w:pPr>
              <w:pStyle w:val="11"/>
              <w:keepNext w:val="0"/>
              <w:keepLines w:val="0"/>
              <w:pageBreakBefore w:val="0"/>
              <w:wordWrap/>
              <w:overflowPunct/>
              <w:topLinePunct w:val="0"/>
              <w:bidi w:val="0"/>
              <w:spacing w:before="111" w:line="360" w:lineRule="auto"/>
              <w:ind w:left="111" w:right="109"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4.本项目验收时，中标人须出具中标货物生产厂家的售后服务承诺，否则验收不通</w:t>
            </w:r>
            <w:r>
              <w:rPr>
                <w:rFonts w:hint="eastAsia" w:ascii="宋体" w:hAnsi="宋体" w:eastAsia="宋体" w:cs="宋体"/>
                <w:color w:val="auto"/>
                <w:sz w:val="21"/>
                <w:szCs w:val="21"/>
                <w:highlight w:val="none"/>
              </w:rPr>
              <w:t>过。</w:t>
            </w:r>
          </w:p>
          <w:p w14:paraId="239BFCFC">
            <w:pPr>
              <w:pStyle w:val="11"/>
              <w:keepNext w:val="0"/>
              <w:keepLines w:val="0"/>
              <w:pageBreakBefore w:val="0"/>
              <w:wordWrap/>
              <w:overflowPunct/>
              <w:topLinePunct w:val="0"/>
              <w:bidi w:val="0"/>
              <w:spacing w:before="114" w:line="360" w:lineRule="auto"/>
              <w:ind w:left="113" w:leftChars="0" w:right="107" w:rightChars="0" w:firstLine="13" w:firstLineChars="0"/>
              <w:jc w:val="both"/>
              <w:rPr>
                <w:rStyle w:val="14"/>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5.其他未尽事宜应严格按照《关于印发广西壮族自治区政府采购项目履约验收管理</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办法的通知》[桂财采〔2015〕22</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号]以及《财政部关于进一步加强政府采购需求和履约验收管理的指导意见》</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6"/>
                <w:sz w:val="21"/>
                <w:szCs w:val="21"/>
                <w:highlight w:val="none"/>
              </w:rPr>
              <w:t>[财库〔2016</w:t>
            </w:r>
            <w:r>
              <w:rPr>
                <w:rFonts w:hint="eastAsia" w:ascii="宋体" w:hAnsi="宋体" w:eastAsia="宋体" w:cs="宋体"/>
                <w:color w:val="auto"/>
                <w:spacing w:val="5"/>
                <w:sz w:val="21"/>
                <w:szCs w:val="21"/>
                <w:highlight w:val="none"/>
              </w:rPr>
              <w:t>〕205</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号]规定执行。</w:t>
            </w:r>
          </w:p>
        </w:tc>
      </w:tr>
      <w:tr w14:paraId="0F65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24EDECE2">
            <w:pPr>
              <w:spacing w:line="243" w:lineRule="auto"/>
              <w:rPr>
                <w:rFonts w:hint="eastAsia" w:ascii="宋体" w:hAnsi="宋体" w:eastAsia="宋体" w:cs="宋体"/>
                <w:color w:val="auto"/>
                <w:sz w:val="21"/>
                <w:szCs w:val="21"/>
                <w:highlight w:val="none"/>
              </w:rPr>
            </w:pPr>
          </w:p>
          <w:p w14:paraId="4629BEEF">
            <w:pPr>
              <w:spacing w:line="243" w:lineRule="auto"/>
              <w:rPr>
                <w:rFonts w:hint="eastAsia" w:ascii="宋体" w:hAnsi="宋体" w:eastAsia="宋体" w:cs="宋体"/>
                <w:color w:val="auto"/>
                <w:sz w:val="21"/>
                <w:szCs w:val="21"/>
                <w:highlight w:val="none"/>
              </w:rPr>
            </w:pPr>
          </w:p>
          <w:p w14:paraId="6E1B91EF">
            <w:pPr>
              <w:spacing w:line="243" w:lineRule="auto"/>
              <w:rPr>
                <w:rFonts w:hint="eastAsia" w:ascii="宋体" w:hAnsi="宋体" w:eastAsia="宋体" w:cs="宋体"/>
                <w:color w:val="auto"/>
                <w:sz w:val="21"/>
                <w:szCs w:val="21"/>
                <w:highlight w:val="none"/>
              </w:rPr>
            </w:pPr>
          </w:p>
          <w:p w14:paraId="134AECF8">
            <w:pPr>
              <w:pStyle w:val="11"/>
              <w:spacing w:before="65"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其他要求</w:t>
            </w:r>
          </w:p>
        </w:tc>
        <w:tc>
          <w:tcPr>
            <w:tcW w:w="7833" w:type="dxa"/>
            <w:gridSpan w:val="4"/>
            <w:tcBorders>
              <w:left w:val="single" w:color="auto" w:sz="4" w:space="0"/>
            </w:tcBorders>
            <w:noWrap w:val="0"/>
            <w:vAlign w:val="top"/>
          </w:tcPr>
          <w:p w14:paraId="2D79C57D">
            <w:pPr>
              <w:pStyle w:val="11"/>
              <w:keepNext w:val="0"/>
              <w:keepLines w:val="0"/>
              <w:pageBreakBefore w:val="0"/>
              <w:wordWrap/>
              <w:overflowPunct/>
              <w:topLinePunct w:val="0"/>
              <w:bidi w:val="0"/>
              <w:spacing w:before="110" w:line="360" w:lineRule="auto"/>
              <w:ind w:left="99" w:right="74" w:firstLine="27"/>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1.以上“项目需求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b/>
                <w:bCs/>
                <w:color w:val="auto"/>
                <w:spacing w:val="4"/>
                <w:sz w:val="21"/>
                <w:szCs w:val="21"/>
                <w:highlight w:val="none"/>
              </w:rPr>
              <w:t>”中带“▲</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4"/>
                <w:sz w:val="21"/>
                <w:szCs w:val="21"/>
                <w:highlight w:val="none"/>
              </w:rPr>
              <w:t>”标注的技术参数及要求有任意一项负偏离的，投标</w:t>
            </w:r>
            <w:r>
              <w:rPr>
                <w:rFonts w:hint="eastAsia" w:ascii="宋体" w:hAnsi="宋体" w:eastAsia="宋体" w:cs="宋体"/>
                <w:b/>
                <w:bCs/>
                <w:color w:val="auto"/>
                <w:spacing w:val="5"/>
                <w:sz w:val="21"/>
                <w:szCs w:val="21"/>
                <w:highlight w:val="none"/>
              </w:rPr>
              <w:t>无效；不带“▲</w:t>
            </w:r>
            <w:r>
              <w:rPr>
                <w:rFonts w:hint="eastAsia" w:ascii="宋体" w:hAnsi="宋体" w:eastAsia="宋体" w:cs="宋体"/>
                <w:color w:val="auto"/>
                <w:spacing w:val="-54"/>
                <w:sz w:val="21"/>
                <w:szCs w:val="21"/>
                <w:highlight w:val="none"/>
              </w:rPr>
              <w:t xml:space="preserve"> </w:t>
            </w:r>
            <w:r>
              <w:rPr>
                <w:rFonts w:hint="eastAsia" w:ascii="宋体" w:hAnsi="宋体" w:eastAsia="宋体" w:cs="宋体"/>
                <w:b/>
                <w:bCs/>
                <w:color w:val="auto"/>
                <w:spacing w:val="5"/>
                <w:sz w:val="21"/>
                <w:szCs w:val="21"/>
                <w:highlight w:val="none"/>
              </w:rPr>
              <w:t>”标注的技术参数有</w:t>
            </w:r>
            <w:r>
              <w:rPr>
                <w:rFonts w:hint="eastAsia" w:cs="宋体"/>
                <w:color w:val="auto"/>
                <w:spacing w:val="-40"/>
                <w:sz w:val="21"/>
                <w:szCs w:val="21"/>
                <w:highlight w:val="none"/>
                <w:lang w:val="en-US" w:eastAsia="zh-CN"/>
              </w:rPr>
              <w:t>4</w:t>
            </w:r>
            <w:r>
              <w:rPr>
                <w:rFonts w:hint="eastAsia" w:ascii="宋体" w:hAnsi="宋体" w:eastAsia="宋体" w:cs="宋体"/>
                <w:b/>
                <w:bCs/>
                <w:color w:val="auto"/>
                <w:spacing w:val="5"/>
                <w:sz w:val="21"/>
                <w:szCs w:val="21"/>
                <w:highlight w:val="none"/>
              </w:rPr>
              <w:t>项（含</w:t>
            </w:r>
            <w:r>
              <w:rPr>
                <w:rFonts w:hint="eastAsia" w:cs="宋体"/>
                <w:b/>
                <w:bCs/>
                <w:color w:val="auto"/>
                <w:spacing w:val="5"/>
                <w:sz w:val="21"/>
                <w:szCs w:val="21"/>
                <w:highlight w:val="none"/>
                <w:lang w:val="en-US" w:eastAsia="zh-CN"/>
              </w:rPr>
              <w:t>4</w:t>
            </w:r>
            <w:r>
              <w:rPr>
                <w:rFonts w:hint="eastAsia" w:ascii="宋体" w:hAnsi="宋体" w:eastAsia="宋体" w:cs="宋体"/>
                <w:b/>
                <w:bCs/>
                <w:color w:val="auto"/>
                <w:spacing w:val="5"/>
                <w:sz w:val="21"/>
                <w:szCs w:val="21"/>
                <w:highlight w:val="none"/>
              </w:rPr>
              <w:t>项）及以上负偏离的，投标无效。</w:t>
            </w:r>
            <w:r>
              <w:rPr>
                <w:rFonts w:hint="eastAsia" w:ascii="宋体" w:hAnsi="宋体" w:eastAsia="宋体" w:cs="宋体"/>
                <w:b/>
                <w:bCs/>
                <w:color w:val="auto"/>
                <w:spacing w:val="4"/>
                <w:sz w:val="21"/>
                <w:szCs w:val="21"/>
                <w:highlight w:val="none"/>
              </w:rPr>
              <w:t>“商务条款</w:t>
            </w:r>
            <w:r>
              <w:rPr>
                <w:rFonts w:hint="eastAsia" w:ascii="宋体" w:hAnsi="宋体" w:eastAsia="宋体" w:cs="宋体"/>
                <w:color w:val="auto"/>
                <w:spacing w:val="-71"/>
                <w:sz w:val="21"/>
                <w:szCs w:val="21"/>
                <w:highlight w:val="none"/>
              </w:rPr>
              <w:t xml:space="preserve"> </w:t>
            </w:r>
            <w:r>
              <w:rPr>
                <w:rFonts w:hint="eastAsia" w:ascii="宋体" w:hAnsi="宋体" w:eastAsia="宋体" w:cs="宋体"/>
                <w:b/>
                <w:bCs/>
                <w:color w:val="auto"/>
                <w:spacing w:val="4"/>
                <w:sz w:val="21"/>
                <w:szCs w:val="21"/>
                <w:highlight w:val="none"/>
              </w:rPr>
              <w:t>”有</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项以上（含</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项）负偏离的，则投标无效。</w:t>
            </w:r>
          </w:p>
          <w:p w14:paraId="27B49555">
            <w:pPr>
              <w:pStyle w:val="11"/>
              <w:keepNext w:val="0"/>
              <w:keepLines w:val="0"/>
              <w:pageBreakBefore w:val="0"/>
              <w:wordWrap/>
              <w:overflowPunct/>
              <w:topLinePunct w:val="0"/>
              <w:bidi w:val="0"/>
              <w:spacing w:before="114" w:line="360" w:lineRule="auto"/>
              <w:ind w:left="112" w:right="107" w:firstLine="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.投标产品属于医疗器械管理范围的产品，投标人必须在投标文件中提供相应投标货物的《医疗器械产品注册证》或《医疗器械产品备案证》复印件并加盖投标人电</w:t>
            </w:r>
            <w:r>
              <w:rPr>
                <w:rFonts w:hint="eastAsia" w:ascii="宋体" w:hAnsi="宋体" w:eastAsia="宋体" w:cs="宋体"/>
                <w:color w:val="auto"/>
                <w:spacing w:val="7"/>
                <w:sz w:val="21"/>
                <w:szCs w:val="21"/>
                <w:highlight w:val="none"/>
              </w:rPr>
              <w:t>子签章，</w:t>
            </w:r>
            <w:r>
              <w:rPr>
                <w:rFonts w:hint="eastAsia" w:ascii="宋体" w:hAnsi="宋体" w:eastAsia="宋体" w:cs="宋体"/>
                <w:b/>
                <w:bCs/>
                <w:color w:val="auto"/>
                <w:spacing w:val="7"/>
                <w:sz w:val="21"/>
                <w:szCs w:val="21"/>
                <w:highlight w:val="none"/>
              </w:rPr>
              <w:t>否则投标无效。</w:t>
            </w:r>
          </w:p>
          <w:p w14:paraId="2BFD8855">
            <w:pPr>
              <w:pStyle w:val="11"/>
              <w:keepNext w:val="0"/>
              <w:keepLines w:val="0"/>
              <w:pageBreakBefore w:val="0"/>
              <w:wordWrap/>
              <w:overflowPunct/>
              <w:topLinePunct w:val="0"/>
              <w:bidi w:val="0"/>
              <w:spacing w:before="112" w:line="360" w:lineRule="auto"/>
              <w:ind w:left="111" w:leftChars="0" w:right="109" w:rightChars="0" w:hanging="1" w:firstLineChars="0"/>
              <w:rPr>
                <w:rStyle w:val="14"/>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.投标人须在投标文件中提供服务方案以供评审，服务方案内容详见第四章 评标</w:t>
            </w:r>
            <w:r>
              <w:rPr>
                <w:rFonts w:hint="eastAsia" w:ascii="宋体" w:hAnsi="宋体" w:eastAsia="宋体" w:cs="宋体"/>
                <w:color w:val="auto"/>
                <w:spacing w:val="7"/>
                <w:sz w:val="21"/>
                <w:szCs w:val="21"/>
                <w:highlight w:val="none"/>
              </w:rPr>
              <w:t>方法及评标标准。</w:t>
            </w:r>
          </w:p>
        </w:tc>
      </w:tr>
      <w:tr w14:paraId="3772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1528" w:type="dxa"/>
            <w:gridSpan w:val="2"/>
            <w:tcBorders>
              <w:right w:val="single" w:color="auto" w:sz="4" w:space="0"/>
            </w:tcBorders>
            <w:noWrap w:val="0"/>
            <w:vAlign w:val="top"/>
          </w:tcPr>
          <w:p w14:paraId="40F3E15F">
            <w:pPr>
              <w:spacing w:line="40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采购预算</w:t>
            </w:r>
          </w:p>
        </w:tc>
        <w:tc>
          <w:tcPr>
            <w:tcW w:w="7833" w:type="dxa"/>
            <w:gridSpan w:val="4"/>
            <w:tcBorders>
              <w:left w:val="single" w:color="auto" w:sz="4" w:space="0"/>
            </w:tcBorders>
            <w:noWrap w:val="0"/>
            <w:vAlign w:val="top"/>
          </w:tcPr>
          <w:p w14:paraId="6419A839">
            <w:pPr>
              <w:keepNext w:val="0"/>
              <w:keepLines w:val="0"/>
              <w:pageBreakBefore w:val="0"/>
              <w:kinsoku/>
              <w:wordWrap/>
              <w:overflowPunct/>
              <w:topLinePunct w:val="0"/>
              <w:autoSpaceDE/>
              <w:autoSpaceDN/>
              <w:bidi w:val="0"/>
              <w:spacing w:line="420" w:lineRule="exact"/>
              <w:ind w:firstLine="113"/>
              <w:textAlignment w:val="auto"/>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本标项采购预算为</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7"/>
                <w:sz w:val="21"/>
                <w:szCs w:val="21"/>
                <w:highlight w:val="none"/>
                <w:lang w:val="en-US" w:eastAsia="zh-CN"/>
              </w:rPr>
              <w:t>3398100.00</w:t>
            </w:r>
            <w:r>
              <w:rPr>
                <w:rFonts w:hint="eastAsia" w:ascii="宋体" w:hAnsi="宋体" w:eastAsia="宋体" w:cs="宋体"/>
                <w:color w:val="auto"/>
                <w:spacing w:val="7"/>
                <w:sz w:val="21"/>
                <w:szCs w:val="21"/>
                <w:highlight w:val="none"/>
              </w:rPr>
              <w:t>元，各个标的采购预算详见下</w:t>
            </w:r>
            <w:r>
              <w:rPr>
                <w:rFonts w:hint="eastAsia" w:ascii="宋体" w:hAnsi="宋体" w:eastAsia="宋体" w:cs="宋体"/>
                <w:color w:val="auto"/>
                <w:spacing w:val="6"/>
                <w:sz w:val="21"/>
                <w:szCs w:val="21"/>
                <w:highlight w:val="none"/>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093"/>
              <w:gridCol w:w="682"/>
              <w:gridCol w:w="2450"/>
            </w:tblGrid>
            <w:tr w14:paraId="4D83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89B13E4">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序号</w:t>
                  </w:r>
                </w:p>
              </w:tc>
              <w:tc>
                <w:tcPr>
                  <w:tcW w:w="3093" w:type="dxa"/>
                </w:tcPr>
                <w:p w14:paraId="3BFEC039">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各个标的名称</w:t>
                  </w:r>
                </w:p>
              </w:tc>
              <w:tc>
                <w:tcPr>
                  <w:tcW w:w="682" w:type="dxa"/>
                </w:tcPr>
                <w:p w14:paraId="6C5E3CDC">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数量</w:t>
                  </w:r>
                </w:p>
              </w:tc>
              <w:tc>
                <w:tcPr>
                  <w:tcW w:w="2450" w:type="dxa"/>
                </w:tcPr>
                <w:p w14:paraId="38C508FF">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各分项采购预算（元）</w:t>
                  </w:r>
                </w:p>
              </w:tc>
            </w:tr>
            <w:tr w14:paraId="4148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9D752BA">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1 </w:t>
                  </w:r>
                </w:p>
              </w:tc>
              <w:tc>
                <w:tcPr>
                  <w:tcW w:w="3093" w:type="dxa"/>
                  <w:vAlign w:val="bottom"/>
                </w:tcPr>
                <w:p w14:paraId="2F2B54F6">
                  <w:pPr>
                    <w:keepNext w:val="0"/>
                    <w:keepLines w:val="0"/>
                    <w:widowControl/>
                    <w:suppressLineNumbers w:val="0"/>
                    <w:jc w:val="both"/>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口腔颌面锥形束计算机体层摄影设备</w:t>
                  </w:r>
                </w:p>
              </w:tc>
              <w:tc>
                <w:tcPr>
                  <w:tcW w:w="682" w:type="dxa"/>
                  <w:vAlign w:val="center"/>
                </w:tcPr>
                <w:p w14:paraId="6EDEE3A3">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7B70C961">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480,000.00</w:t>
                  </w:r>
                </w:p>
              </w:tc>
            </w:tr>
            <w:tr w14:paraId="45A5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19C4D42">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2 </w:t>
                  </w:r>
                </w:p>
              </w:tc>
              <w:tc>
                <w:tcPr>
                  <w:tcW w:w="3093" w:type="dxa"/>
                  <w:vAlign w:val="center"/>
                </w:tcPr>
                <w:p w14:paraId="6D0CAEEE">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强脉冲光与激光治疗设备</w:t>
                  </w:r>
                </w:p>
              </w:tc>
              <w:tc>
                <w:tcPr>
                  <w:tcW w:w="682" w:type="dxa"/>
                  <w:vAlign w:val="center"/>
                </w:tcPr>
                <w:p w14:paraId="56721B33">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2E2B53FF">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2,278,000.00</w:t>
                  </w:r>
                </w:p>
              </w:tc>
            </w:tr>
            <w:tr w14:paraId="6EA7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7263E94">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3 </w:t>
                  </w:r>
                </w:p>
              </w:tc>
              <w:tc>
                <w:tcPr>
                  <w:tcW w:w="3093" w:type="dxa"/>
                  <w:vAlign w:val="bottom"/>
                </w:tcPr>
                <w:p w14:paraId="7ED8481D">
                  <w:pPr>
                    <w:keepNext w:val="0"/>
                    <w:keepLines w:val="0"/>
                    <w:widowControl/>
                    <w:suppressLineNumbers w:val="0"/>
                    <w:jc w:val="left"/>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电子注射仪</w:t>
                  </w:r>
                </w:p>
              </w:tc>
              <w:tc>
                <w:tcPr>
                  <w:tcW w:w="682" w:type="dxa"/>
                  <w:vAlign w:val="center"/>
                </w:tcPr>
                <w:p w14:paraId="5106EE2A">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4C662CF9">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170,000.00</w:t>
                  </w:r>
                </w:p>
              </w:tc>
            </w:tr>
            <w:tr w14:paraId="6F30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129EB2A">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4 </w:t>
                  </w:r>
                </w:p>
              </w:tc>
              <w:tc>
                <w:tcPr>
                  <w:tcW w:w="3093" w:type="dxa"/>
                  <w:vAlign w:val="bottom"/>
                </w:tcPr>
                <w:p w14:paraId="46168F6C">
                  <w:pPr>
                    <w:keepNext w:val="0"/>
                    <w:keepLines w:val="0"/>
                    <w:widowControl/>
                    <w:suppressLineNumbers w:val="0"/>
                    <w:jc w:val="both"/>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多光谱皮肤镜图像处理工作站</w:t>
                  </w:r>
                </w:p>
              </w:tc>
              <w:tc>
                <w:tcPr>
                  <w:tcW w:w="682" w:type="dxa"/>
                  <w:vAlign w:val="center"/>
                </w:tcPr>
                <w:p w14:paraId="4C3EADAB">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623F472F">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430,000.00</w:t>
                  </w:r>
                </w:p>
              </w:tc>
            </w:tr>
            <w:tr w14:paraId="034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44E9D11">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5 </w:t>
                  </w:r>
                </w:p>
              </w:tc>
              <w:tc>
                <w:tcPr>
                  <w:tcW w:w="3093" w:type="dxa"/>
                  <w:vAlign w:val="center"/>
                </w:tcPr>
                <w:p w14:paraId="103A8CB4">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高频胸壁震荡排痰机</w:t>
                  </w:r>
                </w:p>
              </w:tc>
              <w:tc>
                <w:tcPr>
                  <w:tcW w:w="682" w:type="dxa"/>
                  <w:vAlign w:val="center"/>
                </w:tcPr>
                <w:p w14:paraId="7435E8A9">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5C8BCBDA">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40,100.00</w:t>
                  </w:r>
                </w:p>
              </w:tc>
            </w:tr>
          </w:tbl>
          <w:p w14:paraId="0D65C161">
            <w:pPr>
              <w:pStyle w:val="3"/>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rPr>
              <w:t>供应商的</w:t>
            </w:r>
            <w:r>
              <w:rPr>
                <w:rFonts w:hint="eastAsia" w:cs="宋体"/>
                <w:b/>
                <w:bCs/>
                <w:color w:val="auto"/>
                <w:spacing w:val="6"/>
                <w:sz w:val="21"/>
                <w:szCs w:val="21"/>
                <w:highlight w:val="none"/>
                <w:lang w:val="en-US" w:eastAsia="zh-CN"/>
              </w:rPr>
              <w:t>投</w:t>
            </w:r>
            <w:r>
              <w:rPr>
                <w:rFonts w:hint="eastAsia" w:ascii="宋体" w:hAnsi="宋体" w:eastAsia="宋体" w:cs="宋体"/>
                <w:b/>
                <w:bCs/>
                <w:color w:val="auto"/>
                <w:spacing w:val="6"/>
                <w:sz w:val="21"/>
                <w:szCs w:val="21"/>
                <w:highlight w:val="none"/>
              </w:rPr>
              <w:t>标报价超过采购预算的，报价无效；供应</w:t>
            </w:r>
            <w:r>
              <w:rPr>
                <w:rFonts w:hint="eastAsia" w:ascii="宋体" w:hAnsi="宋体" w:eastAsia="宋体" w:cs="宋体"/>
                <w:b/>
                <w:bCs/>
                <w:color w:val="auto"/>
                <w:spacing w:val="3"/>
                <w:sz w:val="21"/>
                <w:szCs w:val="21"/>
                <w:highlight w:val="none"/>
              </w:rPr>
              <w:t>商的各分项</w:t>
            </w:r>
            <w:r>
              <w:rPr>
                <w:rFonts w:hint="eastAsia" w:cs="宋体"/>
                <w:b/>
                <w:bCs/>
                <w:color w:val="auto"/>
                <w:spacing w:val="3"/>
                <w:sz w:val="21"/>
                <w:szCs w:val="21"/>
                <w:highlight w:val="none"/>
                <w:lang w:val="en-US" w:eastAsia="zh-CN"/>
              </w:rPr>
              <w:t>投</w:t>
            </w:r>
            <w:r>
              <w:rPr>
                <w:rFonts w:hint="eastAsia" w:ascii="宋体" w:hAnsi="宋体" w:eastAsia="宋体" w:cs="宋体"/>
                <w:b/>
                <w:bCs/>
                <w:color w:val="auto"/>
                <w:spacing w:val="3"/>
                <w:sz w:val="21"/>
                <w:szCs w:val="21"/>
                <w:highlight w:val="none"/>
              </w:rPr>
              <w:t>标报价超过分项采</w:t>
            </w:r>
            <w:r>
              <w:rPr>
                <w:rFonts w:hint="eastAsia" w:ascii="宋体" w:hAnsi="宋体" w:eastAsia="宋体" w:cs="宋体"/>
                <w:b/>
                <w:bCs/>
                <w:color w:val="auto"/>
                <w:spacing w:val="2"/>
                <w:sz w:val="21"/>
                <w:szCs w:val="21"/>
                <w:highlight w:val="none"/>
              </w:rPr>
              <w:t>购预算的，报价无效。</w:t>
            </w:r>
          </w:p>
        </w:tc>
      </w:tr>
      <w:tr w14:paraId="4DDC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5E3B9395">
            <w:pPr>
              <w:pStyle w:val="3"/>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7"/>
                <w:sz w:val="21"/>
                <w:szCs w:val="21"/>
                <w:highlight w:val="none"/>
              </w:rPr>
              <w:t>第三部分</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与实现项目目标相关的其他要求</w:t>
            </w:r>
          </w:p>
        </w:tc>
      </w:tr>
      <w:tr w14:paraId="69A6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64D7A602">
            <w:pPr>
              <w:pStyle w:val="3"/>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（一）投标人的履约能力要求</w:t>
            </w:r>
          </w:p>
        </w:tc>
      </w:tr>
      <w:tr w14:paraId="47B4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4E1AA27A">
            <w:pPr>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管理体系、技</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5"/>
                <w:sz w:val="21"/>
                <w:szCs w:val="21"/>
                <w:highlight w:val="none"/>
              </w:rPr>
              <w:t>术证明材料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要求</w:t>
            </w:r>
          </w:p>
        </w:tc>
        <w:tc>
          <w:tcPr>
            <w:tcW w:w="7833" w:type="dxa"/>
            <w:gridSpan w:val="4"/>
            <w:tcBorders>
              <w:left w:val="single" w:color="auto" w:sz="4" w:space="0"/>
            </w:tcBorders>
            <w:noWrap w:val="0"/>
            <w:vAlign w:val="top"/>
          </w:tcPr>
          <w:p w14:paraId="1DFB2086">
            <w:pPr>
              <w:keepNext w:val="0"/>
              <w:keepLines w:val="0"/>
              <w:pageBreakBefore w:val="0"/>
              <w:kinsoku/>
              <w:wordWrap/>
              <w:overflowPunct/>
              <w:topLinePunct w:val="0"/>
              <w:autoSpaceDE/>
              <w:autoSpaceDN/>
              <w:bidi w:val="0"/>
              <w:spacing w:line="420" w:lineRule="exact"/>
              <w:ind w:firstLine="345" w:firstLineChars="15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1B26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0EDE79BE">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color w:val="auto"/>
                <w:spacing w:val="7"/>
                <w:sz w:val="21"/>
                <w:szCs w:val="21"/>
                <w:highlight w:val="none"/>
              </w:rPr>
              <w:t>业绩要求</w:t>
            </w:r>
          </w:p>
        </w:tc>
        <w:tc>
          <w:tcPr>
            <w:tcW w:w="7833" w:type="dxa"/>
            <w:gridSpan w:val="4"/>
            <w:tcBorders>
              <w:left w:val="single" w:color="auto" w:sz="4" w:space="0"/>
            </w:tcBorders>
            <w:noWrap w:val="0"/>
            <w:vAlign w:val="top"/>
          </w:tcPr>
          <w:p w14:paraId="12533C90">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44BC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361" w:type="dxa"/>
            <w:gridSpan w:val="6"/>
            <w:noWrap w:val="0"/>
            <w:vAlign w:val="top"/>
          </w:tcPr>
          <w:p w14:paraId="24D63CE9">
            <w:pPr>
              <w:spacing w:line="400" w:lineRule="atLeast"/>
              <w:ind w:firstLine="113"/>
              <w:rPr>
                <w:rFonts w:hint="eastAsia" w:ascii="宋体" w:hAnsi="宋体" w:eastAsia="宋体" w:cs="宋体"/>
                <w:color w:val="auto"/>
                <w:spacing w:val="8"/>
                <w:sz w:val="21"/>
                <w:szCs w:val="21"/>
                <w:highlight w:val="none"/>
              </w:rPr>
            </w:pPr>
            <w:r>
              <w:rPr>
                <w:rFonts w:hint="eastAsia" w:ascii="宋体" w:hAnsi="宋体" w:eastAsia="宋体" w:cs="宋体"/>
                <w:b/>
                <w:bCs/>
                <w:color w:val="auto"/>
                <w:spacing w:val="6"/>
                <w:sz w:val="21"/>
                <w:szCs w:val="21"/>
                <w:highlight w:val="none"/>
              </w:rPr>
              <w:t>（二）政策性加分条件</w:t>
            </w:r>
          </w:p>
        </w:tc>
      </w:tr>
      <w:tr w14:paraId="55B5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7F1A8E63">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b/>
                <w:bCs/>
                <w:color w:val="auto"/>
                <w:spacing w:val="6"/>
                <w:sz w:val="21"/>
                <w:szCs w:val="21"/>
                <w:highlight w:val="none"/>
              </w:rPr>
              <w:t>政策性加分</w:t>
            </w:r>
          </w:p>
        </w:tc>
        <w:tc>
          <w:tcPr>
            <w:tcW w:w="7833" w:type="dxa"/>
            <w:gridSpan w:val="4"/>
            <w:tcBorders>
              <w:left w:val="single" w:color="auto" w:sz="4" w:space="0"/>
            </w:tcBorders>
            <w:noWrap w:val="0"/>
            <w:vAlign w:val="top"/>
          </w:tcPr>
          <w:p w14:paraId="0A7C01A6">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1D22B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2909D9A2">
            <w:pPr>
              <w:pStyle w:val="15"/>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（三）进口产品说明</w:t>
            </w:r>
          </w:p>
        </w:tc>
      </w:tr>
      <w:tr w14:paraId="1182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0F97ED5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35"/>
                <w:sz w:val="21"/>
                <w:szCs w:val="21"/>
                <w:highlight w:val="none"/>
              </w:rPr>
              <w:t>进口产品说</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明</w:t>
            </w:r>
          </w:p>
        </w:tc>
        <w:tc>
          <w:tcPr>
            <w:tcW w:w="7833" w:type="dxa"/>
            <w:gridSpan w:val="4"/>
            <w:tcBorders>
              <w:left w:val="single" w:color="auto" w:sz="4" w:space="0"/>
            </w:tcBorders>
            <w:noWrap w:val="0"/>
            <w:vAlign w:val="center"/>
          </w:tcPr>
          <w:p w14:paraId="0E218370">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p>
          <w:p w14:paraId="696A9CD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□否，本项目所有采购货物均不接受进口产品。</w:t>
            </w:r>
          </w:p>
          <w:p w14:paraId="16CBA913">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☑是，本项目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强脉冲光与激光治疗设备、电子注射仪</w:t>
            </w:r>
            <w:r>
              <w:rPr>
                <w:rFonts w:hint="eastAsia" w:ascii="宋体" w:hAnsi="宋体" w:eastAsia="宋体" w:cs="宋体"/>
                <w:color w:val="auto"/>
                <w:sz w:val="21"/>
                <w:szCs w:val="21"/>
                <w:highlight w:val="none"/>
              </w:rPr>
              <w:t>货物接受进口产品，其余货物不接受进口产品。</w:t>
            </w:r>
          </w:p>
          <w:p w14:paraId="1963865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□是，本项目所有采购货物均接受进口产品。</w:t>
            </w:r>
          </w:p>
          <w:p w14:paraId="19CB218F">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F16E53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1.以上所述不接受进口产品的，投标人不得选用进口产品参与投标，否则投标按无效处理；允许接受进口产品的，投标人可以选用进口产品参与投标，但不排斥国内产品。</w:t>
            </w:r>
          </w:p>
          <w:p w14:paraId="3AD6FD38">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本项目接受进口产品，进口产品采购审核手续已按规定办妥；如投标人选择提供进口产品，则提供的必须为全套全新原装进口产品，报价中应包括关税等所有进口环节费用并由中标人办理进口相关手续，投标人报价中应自行考虑海关关税政策变化带来的风险，采购人不承担该政策变化所造成的费用增加。</w:t>
            </w:r>
          </w:p>
          <w:p w14:paraId="7853CA4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3.进口产品是指通过中国海关报关验放进入中国境内且产自关境外的产品。即所谓进口产品是指制造过程均在国外，如果产品在国内组装，其中的零部件（包括核心部件）是进口产品，则应当视为非进口产品。</w:t>
            </w:r>
          </w:p>
          <w:p w14:paraId="10E74AED">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4.采用“接受进口”的产品优先采购向我国企业转让技术、与我国企业签订消化吸收再创新方案的投标人的进口产品。</w:t>
            </w:r>
          </w:p>
          <w:p w14:paraId="35B1B752">
            <w:pPr>
              <w:pStyle w:val="15"/>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5.其余内容以《政府采购进口产品管理办法》（财库〔2007〕119 号）和《关于政府采购进口产品管理有关问题的通知财办库》（财库[2008]248号）的相关规定为准。</w:t>
            </w:r>
          </w:p>
        </w:tc>
      </w:tr>
    </w:tbl>
    <w:p w14:paraId="0E3225E9">
      <w:pPr>
        <w:spacing w:line="393" w:lineRule="auto"/>
        <w:rPr>
          <w:rFonts w:ascii="Arial"/>
          <w:color w:val="auto"/>
          <w:sz w:val="21"/>
          <w:szCs w:val="21"/>
          <w:highlight w:val="none"/>
        </w:rPr>
      </w:pPr>
    </w:p>
    <w:p w14:paraId="3886F4A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335A">
    <w:pPr>
      <w:spacing w:line="173"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C1CC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7C1CC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1BBA2"/>
    <w:multiLevelType w:val="singleLevel"/>
    <w:tmpl w:val="07B1BBA2"/>
    <w:lvl w:ilvl="0" w:tentative="0">
      <w:start w:val="1"/>
      <w:numFmt w:val="decimal"/>
      <w:lvlText w:val="%1."/>
      <w:lvlJc w:val="left"/>
      <w:pPr>
        <w:tabs>
          <w:tab w:val="left" w:pos="312"/>
        </w:tabs>
      </w:pPr>
    </w:lvl>
  </w:abstractNum>
  <w:abstractNum w:abstractNumId="1">
    <w:nsid w:val="2640F8C7"/>
    <w:multiLevelType w:val="singleLevel"/>
    <w:tmpl w:val="2640F8C7"/>
    <w:lvl w:ilvl="0" w:tentative="0">
      <w:start w:val="1"/>
      <w:numFmt w:val="decimal"/>
      <w:pStyle w:val="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F4B0C"/>
    <w:rsid w:val="679F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kern w:val="0"/>
      <w:sz w:val="21"/>
      <w:szCs w:val="21"/>
      <w:lang w:val="en-US" w:eastAsia="en-US"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Body Text"/>
    <w:basedOn w:val="1"/>
    <w:next w:val="4"/>
    <w:semiHidden/>
    <w:qFormat/>
    <w:uiPriority w:val="0"/>
    <w:rPr>
      <w:rFonts w:ascii="宋体" w:hAnsi="宋体" w:eastAsia="宋体" w:cs="宋体"/>
      <w:sz w:val="31"/>
      <w:szCs w:val="31"/>
      <w:lang w:val="en-US" w:eastAsia="en-US" w:bidi="ar-SA"/>
    </w:rPr>
  </w:style>
  <w:style w:type="paragraph" w:customStyle="1" w:styleId="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paragraph" w:customStyle="1" w:styleId="12">
    <w:name w:val="表格文字"/>
    <w:basedOn w:val="1"/>
    <w:next w:val="3"/>
    <w:qFormat/>
    <w:uiPriority w:val="0"/>
    <w:pPr>
      <w:adjustRightInd w:val="0"/>
      <w:spacing w:line="420" w:lineRule="atLeast"/>
      <w:jc w:val="left"/>
      <w:textAlignment w:val="baseline"/>
    </w:pPr>
    <w:rPr>
      <w:kern w:val="0"/>
    </w:rPr>
  </w:style>
  <w:style w:type="paragraph" w:customStyle="1" w:styleId="13">
    <w:name w:val="List Paragraph"/>
    <w:basedOn w:val="1"/>
    <w:qFormat/>
    <w:uiPriority w:val="0"/>
    <w:pPr>
      <w:ind w:firstLine="420" w:firstLineChars="200"/>
    </w:pPr>
    <w:rPr>
      <w:rFonts w:ascii="Calibri" w:hAnsi="Calibri"/>
      <w:szCs w:val="22"/>
    </w:rPr>
  </w:style>
  <w:style w:type="character" w:customStyle="1" w:styleId="14">
    <w:name w:val="NormalCharacter"/>
    <w:qFormat/>
    <w:uiPriority w:val="0"/>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2025-09-01T02:08:00Z</dcterms:created>
  <dc:creator>。</dc:creator>
  <cp:lastModifiedBy>。</cp:lastModifiedBy>
  <dcterms:modified xsi:type="dcterms:W3CDTF">2025-09-01T02:08:57Z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BBCCA85B13E444B08E221FF8CA6B28CA_11</vt:lpwstr>
  </property>
  <property fmtid="{D5CDD505-2E9C-101B-9397-08002B2CF9AE}" pid="4" name="KSOTemplateDocerSaveRecord">
    <vt:lpwstr>eyJoZGlkIjoiYThmNTRmMmUyZmE0MTBlYjk0YmIzOGYyZTI0M2EwNGQiLCJ1c2VySWQiOiI2ODY5NzgwODcifQ==</vt:lpwstr>
  </property>
</Properties>
</file>