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4CC36">
      <w:pPr>
        <w:spacing w:before="71" w:line="225" w:lineRule="auto"/>
        <w:ind w:left="3500"/>
        <w:outlineLvl w:val="0"/>
        <w:rPr>
          <w:rFonts w:ascii="宋体" w:hAnsi="宋体" w:eastAsia="宋体" w:cs="宋体"/>
          <w:color w:val="auto"/>
          <w:sz w:val="35"/>
          <w:szCs w:val="35"/>
          <w:highlight w:val="none"/>
        </w:rPr>
      </w:pPr>
      <w:bookmarkStart w:id="12" w:name="_GoBack"/>
      <w:bookmarkStart w:id="0" w:name="_Toc13912"/>
      <w:bookmarkStart w:id="1" w:name="_Toc15697"/>
      <w:bookmarkStart w:id="2" w:name="_Toc3283"/>
      <w:bookmarkStart w:id="3" w:name="_Toc12593"/>
      <w:r>
        <w:rPr>
          <w:rFonts w:ascii="宋体" w:hAnsi="宋体" w:eastAsia="宋体" w:cs="宋体"/>
          <w:color w:val="auto"/>
          <w:spacing w:val="5"/>
          <w:sz w:val="35"/>
          <w:szCs w:val="35"/>
          <w:highlight w:val="none"/>
        </w:rPr>
        <w:t xml:space="preserve"> </w:t>
      </w:r>
      <w:r>
        <w:rPr>
          <w:rFonts w:ascii="宋体" w:hAnsi="宋体" w:eastAsia="宋体" w:cs="宋体"/>
          <w:b/>
          <w:bCs/>
          <w:color w:val="auto"/>
          <w:spacing w:val="5"/>
          <w:sz w:val="35"/>
          <w:szCs w:val="35"/>
          <w:highlight w:val="none"/>
        </w:rPr>
        <w:t>采购需求</w:t>
      </w:r>
      <w:bookmarkEnd w:id="0"/>
      <w:bookmarkEnd w:id="1"/>
      <w:bookmarkEnd w:id="2"/>
      <w:bookmarkEnd w:id="3"/>
    </w:p>
    <w:bookmarkEnd w:id="12"/>
    <w:p w14:paraId="67DEB5D6">
      <w:pPr>
        <w:spacing w:line="271" w:lineRule="auto"/>
        <w:rPr>
          <w:rFonts w:ascii="Arial"/>
          <w:color w:val="auto"/>
          <w:sz w:val="21"/>
          <w:highlight w:val="none"/>
        </w:rPr>
      </w:pPr>
    </w:p>
    <w:p w14:paraId="5B06F174">
      <w:pPr>
        <w:spacing w:line="272" w:lineRule="auto"/>
        <w:rPr>
          <w:rFonts w:ascii="Arial"/>
          <w:color w:val="auto"/>
          <w:sz w:val="21"/>
          <w:highlight w:val="none"/>
        </w:rPr>
      </w:pPr>
    </w:p>
    <w:p w14:paraId="40D1B284">
      <w:pPr>
        <w:spacing w:before="65" w:line="228" w:lineRule="auto"/>
        <w:ind w:left="12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4D36A6A5">
      <w:pPr>
        <w:spacing w:before="161" w:line="303" w:lineRule="auto"/>
        <w:ind w:left="123" w:right="90"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为落实政府采购政策需满足的要求：本招标文件所称中小企业必须符合《政府采购促进中小企业</w:t>
      </w:r>
      <w:r>
        <w:rPr>
          <w:rFonts w:ascii="宋体" w:hAnsi="宋体" w:eastAsia="宋体" w:cs="宋体"/>
          <w:color w:val="auto"/>
          <w:spacing w:val="4"/>
          <w:sz w:val="20"/>
          <w:szCs w:val="20"/>
          <w:highlight w:val="none"/>
        </w:rPr>
        <w:t xml:space="preserve"> </w:t>
      </w:r>
      <w:r>
        <w:rPr>
          <w:rFonts w:ascii="宋体" w:hAnsi="宋体" w:eastAsia="宋体" w:cs="宋体"/>
          <w:color w:val="auto"/>
          <w:spacing w:val="7"/>
          <w:sz w:val="20"/>
          <w:szCs w:val="20"/>
          <w:highlight w:val="none"/>
        </w:rPr>
        <w:t>发展管理办法》（财库〔2020〕46</w:t>
      </w:r>
      <w:r>
        <w:rPr>
          <w:rFonts w:ascii="宋体" w:hAnsi="宋体" w:eastAsia="宋体" w:cs="宋体"/>
          <w:color w:val="auto"/>
          <w:spacing w:val="-28"/>
          <w:sz w:val="20"/>
          <w:szCs w:val="20"/>
          <w:highlight w:val="none"/>
        </w:rPr>
        <w:t xml:space="preserve"> </w:t>
      </w:r>
      <w:r>
        <w:rPr>
          <w:rFonts w:ascii="宋体" w:hAnsi="宋体" w:eastAsia="宋体" w:cs="宋体"/>
          <w:color w:val="auto"/>
          <w:spacing w:val="7"/>
          <w:sz w:val="20"/>
          <w:szCs w:val="20"/>
          <w:highlight w:val="none"/>
        </w:rPr>
        <w:t>号）的规定。</w:t>
      </w:r>
    </w:p>
    <w:p w14:paraId="61FE97F9">
      <w:pPr>
        <w:spacing w:before="159" w:line="328" w:lineRule="auto"/>
        <w:ind w:left="123" w:right="6"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2.如投标人投标产品存在侵犯他人的知识产权或者专利成果行为的，应承担相应法律责</w:t>
      </w:r>
      <w:r>
        <w:rPr>
          <w:rFonts w:ascii="宋体" w:hAnsi="宋体" w:eastAsia="宋体" w:cs="宋体"/>
          <w:color w:val="auto"/>
          <w:spacing w:val="8"/>
          <w:sz w:val="20"/>
          <w:szCs w:val="20"/>
          <w:highlight w:val="none"/>
        </w:rPr>
        <w:t>任。投标人必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须对投标文件中提供的证明材料和资质文件真实性负责，如出现虚假应标情况，投标人除了应接受有关部</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门的处罚外，还应依据《中华人民共和国民法典》的相关条款来进行赔偿。</w:t>
      </w:r>
    </w:p>
    <w:p w14:paraId="1B2CEBE3">
      <w:pPr>
        <w:spacing w:before="161" w:line="302" w:lineRule="auto"/>
        <w:ind w:left="118" w:right="8" w:firstLine="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3.“实质性要求</w:t>
      </w:r>
      <w:r>
        <w:rPr>
          <w:rFonts w:ascii="宋体" w:hAnsi="宋体" w:eastAsia="宋体" w:cs="宋体"/>
          <w:color w:val="auto"/>
          <w:spacing w:val="-62"/>
          <w:sz w:val="20"/>
          <w:szCs w:val="20"/>
          <w:highlight w:val="none"/>
        </w:rPr>
        <w:t xml:space="preserve"> </w:t>
      </w:r>
      <w:r>
        <w:rPr>
          <w:rFonts w:ascii="宋体" w:hAnsi="宋体" w:eastAsia="宋体" w:cs="宋体"/>
          <w:color w:val="auto"/>
          <w:spacing w:val="8"/>
          <w:sz w:val="20"/>
          <w:szCs w:val="20"/>
          <w:highlight w:val="none"/>
        </w:rPr>
        <w:t>”是指招标文件中已经指明不满足则投标无效的条款，或者不能负偏离的条款，或者</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采购需求中带“▲</w:t>
      </w:r>
      <w:r>
        <w:rPr>
          <w:rFonts w:ascii="宋体" w:hAnsi="宋体" w:eastAsia="宋体" w:cs="宋体"/>
          <w:color w:val="auto"/>
          <w:spacing w:val="-67"/>
          <w:sz w:val="20"/>
          <w:szCs w:val="20"/>
          <w:highlight w:val="none"/>
        </w:rPr>
        <w:t xml:space="preserve"> </w:t>
      </w:r>
      <w:r>
        <w:rPr>
          <w:rFonts w:ascii="宋体" w:hAnsi="宋体" w:eastAsia="宋体" w:cs="宋体"/>
          <w:color w:val="auto"/>
          <w:spacing w:val="6"/>
          <w:sz w:val="20"/>
          <w:szCs w:val="20"/>
          <w:highlight w:val="none"/>
        </w:rPr>
        <w:t>”的条款。</w:t>
      </w:r>
    </w:p>
    <w:p w14:paraId="46AD81A4">
      <w:pPr>
        <w:spacing w:before="162" w:line="303" w:lineRule="auto"/>
        <w:ind w:left="119" w:right="8"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4.投标人应根据自身实际情况如实响应招标文件。对于重要技术条款或技术参数应当在投标文</w:t>
      </w:r>
      <w:r>
        <w:rPr>
          <w:rFonts w:ascii="宋体" w:hAnsi="宋体" w:eastAsia="宋体" w:cs="宋体"/>
          <w:color w:val="auto"/>
          <w:spacing w:val="8"/>
          <w:sz w:val="20"/>
          <w:szCs w:val="20"/>
          <w:highlight w:val="none"/>
        </w:rPr>
        <w:t>件中提</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供技术支持资料，技术支持资料以招标文件中规</w:t>
      </w:r>
      <w:r>
        <w:rPr>
          <w:rFonts w:ascii="宋体" w:hAnsi="宋体" w:eastAsia="宋体" w:cs="宋体"/>
          <w:color w:val="auto"/>
          <w:spacing w:val="9"/>
          <w:sz w:val="20"/>
          <w:szCs w:val="20"/>
          <w:highlight w:val="none"/>
        </w:rPr>
        <w:t>定的形式为准，否则将视为无效技术支持资料。</w:t>
      </w:r>
    </w:p>
    <w:p w14:paraId="5284CD52">
      <w:pPr>
        <w:spacing w:before="161" w:line="327" w:lineRule="auto"/>
        <w:ind w:left="121" w:right="8" w:firstLine="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5.评标委员会认为供应商的报价明显低于其他通过符合性审查供应商的报价，有可</w:t>
      </w:r>
      <w:r>
        <w:rPr>
          <w:rFonts w:ascii="宋体" w:hAnsi="宋体" w:eastAsia="宋体" w:cs="宋体"/>
          <w:color w:val="auto"/>
          <w:spacing w:val="8"/>
          <w:sz w:val="20"/>
          <w:szCs w:val="20"/>
          <w:highlight w:val="none"/>
        </w:rPr>
        <w:t>能影响产品质量或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者不能诚信履约的，应当要求其在评标现场合理的时间内提供书面说明，必要时提交相关证明材料；供应</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商不能证明其报价合理性的，评标委员会应当将其作为无效投标处理。</w:t>
      </w:r>
    </w:p>
    <w:p w14:paraId="5347322E">
      <w:pPr>
        <w:spacing w:before="161" w:line="228" w:lineRule="auto"/>
        <w:ind w:left="546"/>
        <w:rPr>
          <w:rFonts w:ascii="宋体" w:hAnsi="宋体" w:eastAsia="宋体" w:cs="宋体"/>
          <w:b/>
          <w:bCs/>
          <w:color w:val="auto"/>
          <w:spacing w:val="6"/>
          <w:sz w:val="20"/>
          <w:szCs w:val="20"/>
          <w:highlight w:val="none"/>
        </w:rPr>
      </w:pPr>
      <w:r>
        <w:rPr>
          <w:rFonts w:ascii="宋体" w:hAnsi="宋体" w:eastAsia="宋体" w:cs="宋体"/>
          <w:color w:val="auto"/>
          <w:spacing w:val="6"/>
          <w:sz w:val="20"/>
          <w:szCs w:val="20"/>
          <w:highlight w:val="none"/>
        </w:rPr>
        <w:t>6.</w:t>
      </w:r>
      <w:r>
        <w:rPr>
          <w:rFonts w:ascii="宋体" w:hAnsi="宋体" w:eastAsia="宋体" w:cs="宋体"/>
          <w:b/>
          <w:bCs/>
          <w:color w:val="auto"/>
          <w:spacing w:val="6"/>
          <w:sz w:val="20"/>
          <w:szCs w:val="20"/>
          <w:highlight w:val="none"/>
        </w:rPr>
        <w:t>本项目采购所属行业为餐饮业。</w:t>
      </w:r>
    </w:p>
    <w:p w14:paraId="5B81984F">
      <w:pPr>
        <w:spacing w:before="161" w:line="228" w:lineRule="auto"/>
        <w:ind w:left="546"/>
        <w:rPr>
          <w:rFonts w:ascii="宋体" w:hAnsi="宋体" w:eastAsia="宋体" w:cs="宋体"/>
          <w:b/>
          <w:bCs/>
          <w:color w:val="auto"/>
          <w:spacing w:val="6"/>
          <w:sz w:val="20"/>
          <w:szCs w:val="20"/>
          <w:highlight w:val="none"/>
        </w:rPr>
      </w:pPr>
      <w:r>
        <w:rPr>
          <w:rFonts w:hint="eastAsia" w:ascii="宋体" w:hAnsi="宋体" w:eastAsia="宋体" w:cs="宋体"/>
          <w:color w:val="auto"/>
          <w:spacing w:val="6"/>
          <w:sz w:val="20"/>
          <w:szCs w:val="20"/>
          <w:highlight w:val="none"/>
          <w:lang w:val="en-US" w:eastAsia="zh-CN"/>
        </w:rPr>
        <w:t>7</w:t>
      </w:r>
      <w:r>
        <w:rPr>
          <w:rFonts w:ascii="宋体" w:hAnsi="宋体" w:eastAsia="宋体" w:cs="宋体"/>
          <w:b/>
          <w:bCs/>
          <w:color w:val="auto"/>
          <w:spacing w:val="6"/>
          <w:sz w:val="20"/>
          <w:szCs w:val="20"/>
          <w:highlight w:val="none"/>
        </w:rPr>
        <w:t>.</w:t>
      </w:r>
      <w:r>
        <w:rPr>
          <w:rFonts w:hint="eastAsia" w:ascii="宋体" w:hAnsi="宋体" w:eastAsia="宋体" w:cs="宋体"/>
          <w:b/>
          <w:bCs/>
          <w:color w:val="auto"/>
          <w:spacing w:val="6"/>
          <w:sz w:val="20"/>
          <w:szCs w:val="20"/>
          <w:highlight w:val="none"/>
        </w:rPr>
        <w:t>上限控制价：</w:t>
      </w:r>
      <w:r>
        <w:rPr>
          <w:rFonts w:hint="eastAsia" w:ascii="宋体" w:hAnsi="宋体" w:eastAsia="宋体" w:cs="宋体"/>
          <w:b/>
          <w:bCs/>
          <w:color w:val="auto"/>
          <w:spacing w:val="6"/>
          <w:sz w:val="20"/>
          <w:szCs w:val="20"/>
          <w:highlight w:val="none"/>
          <w:lang w:val="en-US" w:eastAsia="zh-CN"/>
        </w:rPr>
        <w:t>三年上限</w:t>
      </w:r>
      <w:r>
        <w:rPr>
          <w:rFonts w:hint="eastAsia" w:ascii="宋体" w:hAnsi="宋体" w:eastAsia="宋体" w:cs="宋体"/>
          <w:b/>
          <w:bCs/>
          <w:color w:val="auto"/>
          <w:spacing w:val="6"/>
          <w:sz w:val="20"/>
          <w:szCs w:val="20"/>
          <w:highlight w:val="none"/>
        </w:rPr>
        <w:t>总价5718546.84 元，</w:t>
      </w:r>
      <w:r>
        <w:rPr>
          <w:rFonts w:hint="eastAsia" w:ascii="宋体" w:hAnsi="宋体" w:eastAsia="宋体" w:cs="宋体"/>
          <w:b/>
          <w:bCs/>
          <w:color w:val="auto"/>
          <w:spacing w:val="6"/>
          <w:sz w:val="20"/>
          <w:szCs w:val="20"/>
          <w:highlight w:val="none"/>
          <w:lang w:val="en-US" w:eastAsia="zh-CN"/>
        </w:rPr>
        <w:t>年度上限总价</w:t>
      </w:r>
      <w:r>
        <w:rPr>
          <w:rFonts w:hint="eastAsia" w:ascii="宋体" w:hAnsi="宋体" w:eastAsia="宋体" w:cs="宋体"/>
          <w:b/>
          <w:bCs/>
          <w:color w:val="auto"/>
          <w:spacing w:val="6"/>
          <w:sz w:val="20"/>
          <w:szCs w:val="20"/>
          <w:highlight w:val="none"/>
        </w:rPr>
        <w:t>1906182.28元。</w:t>
      </w:r>
    </w:p>
    <w:p w14:paraId="7C4FDEC3">
      <w:pPr>
        <w:pStyle w:val="2"/>
        <w:rPr>
          <w:color w:val="auto"/>
          <w:highlight w:val="none"/>
        </w:rPr>
      </w:pPr>
    </w:p>
    <w:p w14:paraId="680B13EF">
      <w:pPr>
        <w:spacing w:line="132" w:lineRule="exact"/>
        <w:rPr>
          <w:color w:val="auto"/>
          <w:highlight w:val="none"/>
        </w:rPr>
      </w:pPr>
    </w:p>
    <w:tbl>
      <w:tblPr>
        <w:tblStyle w:val="6"/>
        <w:tblW w:w="98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181"/>
        <w:gridCol w:w="380"/>
        <w:gridCol w:w="930"/>
        <w:gridCol w:w="6582"/>
      </w:tblGrid>
      <w:tr w14:paraId="0CD78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747" w:type="dxa"/>
            <w:gridSpan w:val="5"/>
            <w:tcBorders>
              <w:top w:val="single" w:color="auto" w:sz="4" w:space="0"/>
              <w:left w:val="single" w:color="auto" w:sz="4" w:space="0"/>
              <w:bottom w:val="single" w:color="auto" w:sz="4" w:space="0"/>
              <w:right w:val="single" w:color="auto" w:sz="4" w:space="0"/>
            </w:tcBorders>
            <w:noWrap w:val="0"/>
            <w:vAlign w:val="center"/>
          </w:tcPr>
          <w:p w14:paraId="33FAD0C1">
            <w:pPr>
              <w:pStyle w:val="8"/>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一、</w:t>
            </w:r>
            <w:r>
              <w:rPr>
                <w:b/>
                <w:bCs/>
                <w:color w:val="auto"/>
                <w:spacing w:val="7"/>
                <w:highlight w:val="none"/>
              </w:rPr>
              <w:t>投标服务技术需求表</w:t>
            </w:r>
          </w:p>
        </w:tc>
      </w:tr>
      <w:tr w14:paraId="14670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A0F3616">
            <w:pPr>
              <w:pStyle w:val="8"/>
              <w:spacing w:line="360" w:lineRule="exact"/>
              <w:rPr>
                <w:rFonts w:ascii="宋体" w:hAnsi="宋体" w:cs="宋体"/>
                <w:b/>
                <w:color w:val="auto"/>
                <w:szCs w:val="21"/>
                <w:highlight w:val="none"/>
              </w:rPr>
            </w:pPr>
            <w:r>
              <w:rPr>
                <w:rFonts w:hint="eastAsia" w:ascii="宋体" w:hAnsi="宋体" w:cs="宋体"/>
                <w:b/>
                <w:color w:val="auto"/>
                <w:szCs w:val="21"/>
                <w:highlight w:val="none"/>
              </w:rPr>
              <w:t>项号</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4248BC7C">
            <w:pPr>
              <w:pStyle w:val="8"/>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4B22FDF">
            <w:pPr>
              <w:pStyle w:val="8"/>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单位及数量</w:t>
            </w:r>
          </w:p>
        </w:tc>
        <w:tc>
          <w:tcPr>
            <w:tcW w:w="6582" w:type="dxa"/>
            <w:tcBorders>
              <w:top w:val="single" w:color="auto" w:sz="4" w:space="0"/>
              <w:left w:val="single" w:color="auto" w:sz="4" w:space="0"/>
              <w:bottom w:val="single" w:color="auto" w:sz="4" w:space="0"/>
              <w:right w:val="single" w:color="auto" w:sz="4" w:space="0"/>
            </w:tcBorders>
            <w:noWrap w:val="0"/>
            <w:vAlign w:val="center"/>
          </w:tcPr>
          <w:p w14:paraId="65A281F9">
            <w:pPr>
              <w:pStyle w:val="8"/>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技术（服务）要求</w:t>
            </w:r>
          </w:p>
        </w:tc>
      </w:tr>
      <w:tr w14:paraId="1CAA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57469B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14:paraId="1F2EB3FC">
            <w:pPr>
              <w:widowControl/>
              <w:spacing w:line="360" w:lineRule="exact"/>
              <w:jc w:val="center"/>
              <w:rPr>
                <w:rFonts w:ascii="宋体" w:hAnsi="宋体" w:cs="宋体"/>
                <w:color w:val="auto"/>
                <w:kern w:val="0"/>
                <w:szCs w:val="21"/>
                <w:highlight w:val="none"/>
              </w:rPr>
            </w:pPr>
            <w:r>
              <w:rPr>
                <w:rFonts w:hint="eastAsia"/>
                <w:color w:val="auto"/>
                <w:highlight w:val="none"/>
                <w:lang w:eastAsia="zh-CN"/>
              </w:rPr>
              <w:t>自治区纪委监委机关后勤管理服务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A1FA8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582" w:type="dxa"/>
            <w:tcBorders>
              <w:top w:val="single" w:color="auto" w:sz="4" w:space="0"/>
              <w:left w:val="single" w:color="auto" w:sz="4" w:space="0"/>
              <w:bottom w:val="single" w:color="auto" w:sz="4" w:space="0"/>
              <w:right w:val="single" w:color="auto" w:sz="4" w:space="0"/>
            </w:tcBorders>
            <w:noWrap w:val="0"/>
            <w:vAlign w:val="top"/>
          </w:tcPr>
          <w:p w14:paraId="21AC110D">
            <w:pPr>
              <w:widowControl/>
              <w:spacing w:line="360" w:lineRule="exact"/>
              <w:rPr>
                <w:rFonts w:hint="eastAsia" w:ascii="宋体" w:hAnsi="宋体"/>
                <w:b/>
                <w:color w:val="auto"/>
                <w:szCs w:val="21"/>
                <w:highlight w:val="none"/>
              </w:rPr>
            </w:pPr>
            <w:r>
              <w:rPr>
                <w:rFonts w:hint="eastAsia" w:ascii="宋体" w:hAnsi="宋体"/>
                <w:b/>
                <w:color w:val="auto"/>
                <w:szCs w:val="21"/>
                <w:highlight w:val="none"/>
              </w:rPr>
              <w:t>一、项目概述</w:t>
            </w:r>
          </w:p>
          <w:p w14:paraId="1101EFA1">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中国共产党广西壮族自治区纪律检查委员会（以下简称“广西区纪委”）</w:t>
            </w:r>
            <w:r>
              <w:rPr>
                <w:rFonts w:hint="eastAsia" w:ascii="宋体" w:hAnsi="宋体"/>
                <w:strike w:val="0"/>
                <w:dstrike w:val="0"/>
                <w:color w:val="auto"/>
                <w:szCs w:val="21"/>
                <w:highlight w:val="none"/>
                <w:lang w:eastAsia="zh-CN"/>
              </w:rPr>
              <w:t>食堂</w:t>
            </w:r>
            <w:r>
              <w:rPr>
                <w:rFonts w:hint="eastAsia" w:ascii="宋体" w:hAnsi="宋体"/>
                <w:color w:val="auto"/>
                <w:szCs w:val="21"/>
                <w:highlight w:val="none"/>
              </w:rPr>
              <w:t>服务共两个，分别位于广西南宁市锦春路3号和锦春路20号，每日平均就餐人数（不含节假日）约</w:t>
            </w:r>
            <w:r>
              <w:rPr>
                <w:rFonts w:hint="eastAsia" w:ascii="宋体" w:hAnsi="宋体"/>
                <w:color w:val="auto"/>
                <w:szCs w:val="21"/>
                <w:highlight w:val="none"/>
                <w:u w:val="single"/>
              </w:rPr>
              <w:t>450</w:t>
            </w:r>
            <w:r>
              <w:rPr>
                <w:rFonts w:hint="eastAsia" w:ascii="宋体" w:hAnsi="宋体"/>
                <w:color w:val="auto"/>
                <w:szCs w:val="21"/>
                <w:highlight w:val="none"/>
              </w:rPr>
              <w:t>人次，</w:t>
            </w:r>
            <w:r>
              <w:rPr>
                <w:rFonts w:hint="default" w:ascii="宋体" w:hAnsi="宋体"/>
                <w:color w:val="auto"/>
                <w:szCs w:val="21"/>
                <w:highlight w:val="none"/>
                <w:lang w:val="en"/>
              </w:rPr>
              <w:t>机关食堂</w:t>
            </w:r>
            <w:r>
              <w:rPr>
                <w:rFonts w:hint="eastAsia" w:ascii="宋体" w:hAnsi="宋体"/>
                <w:color w:val="auto"/>
                <w:szCs w:val="21"/>
                <w:highlight w:val="none"/>
              </w:rPr>
              <w:t>设施、监控系统、消防系统等各类设施设备配套齐全。</w:t>
            </w:r>
          </w:p>
          <w:p w14:paraId="200DF759">
            <w:pPr>
              <w:widowControl/>
              <w:spacing w:line="360" w:lineRule="exac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二、委托服务方式</w:t>
            </w:r>
          </w:p>
          <w:p w14:paraId="7CA3F7ED">
            <w:pPr>
              <w:widowControl/>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由采购人广西区纪委负责提供</w:t>
            </w:r>
            <w:r>
              <w:rPr>
                <w:rFonts w:hint="default" w:ascii="宋体" w:hAnsi="宋体"/>
                <w:color w:val="auto"/>
                <w:szCs w:val="21"/>
                <w:highlight w:val="none"/>
                <w:lang w:val="en"/>
              </w:rPr>
              <w:t>机关食堂</w:t>
            </w:r>
            <w:r>
              <w:rPr>
                <w:rFonts w:hint="eastAsia" w:ascii="宋体" w:hAnsi="宋体"/>
                <w:color w:val="auto"/>
                <w:szCs w:val="21"/>
                <w:highlight w:val="none"/>
              </w:rPr>
              <w:t>场地、设备设施，承担水电、燃气费用，由通过招标选定的</w:t>
            </w:r>
            <w:r>
              <w:rPr>
                <w:rFonts w:hint="eastAsia" w:ascii="宋体" w:hAnsi="宋体"/>
                <w:color w:val="auto"/>
                <w:szCs w:val="21"/>
                <w:highlight w:val="none"/>
                <w:lang w:eastAsia="zh-CN"/>
              </w:rPr>
              <w:t>投标人（服务方）</w:t>
            </w:r>
            <w:r>
              <w:rPr>
                <w:rFonts w:hint="eastAsia" w:ascii="宋体" w:hAnsi="宋体"/>
                <w:color w:val="auto"/>
                <w:szCs w:val="21"/>
                <w:highlight w:val="none"/>
              </w:rPr>
              <w:t>提供食材加工和售卖（含食材集采、净菜配送、物资代购代售）、餐饮服务、</w:t>
            </w:r>
            <w:r>
              <w:rPr>
                <w:rFonts w:hint="default" w:ascii="宋体" w:hAnsi="宋体"/>
                <w:color w:val="auto"/>
                <w:szCs w:val="21"/>
                <w:highlight w:val="none"/>
                <w:lang w:val="en"/>
              </w:rPr>
              <w:t>机关食堂</w:t>
            </w:r>
            <w:r>
              <w:rPr>
                <w:rFonts w:hint="eastAsia" w:ascii="宋体" w:hAnsi="宋体"/>
                <w:color w:val="auto"/>
                <w:szCs w:val="21"/>
                <w:highlight w:val="none"/>
              </w:rPr>
              <w:t>经营管理以及其他涉及</w:t>
            </w:r>
            <w:r>
              <w:rPr>
                <w:rFonts w:hint="default" w:ascii="宋体" w:hAnsi="宋体"/>
                <w:color w:val="auto"/>
                <w:szCs w:val="21"/>
                <w:highlight w:val="none"/>
                <w:lang w:val="en"/>
              </w:rPr>
              <w:t>机关食堂</w:t>
            </w:r>
            <w:r>
              <w:rPr>
                <w:rFonts w:hint="eastAsia" w:ascii="宋体" w:hAnsi="宋体"/>
                <w:color w:val="auto"/>
                <w:szCs w:val="21"/>
                <w:highlight w:val="none"/>
              </w:rPr>
              <w:t>管理的服务，提供专业的人员负责出品及服务，并自行规范内部人员管理、食品安全、环境卫生等管理要求及食品间各项操作流程。水电、燃气费用按实际计量结算，</w:t>
            </w:r>
            <w:r>
              <w:rPr>
                <w:rFonts w:hint="eastAsia" w:ascii="宋体" w:hAnsi="宋体"/>
                <w:color w:val="auto"/>
                <w:szCs w:val="21"/>
                <w:highlight w:val="none"/>
                <w:lang w:eastAsia="zh-CN"/>
              </w:rPr>
              <w:t>采购人</w:t>
            </w:r>
            <w:r>
              <w:rPr>
                <w:rFonts w:hint="eastAsia" w:ascii="宋体" w:hAnsi="宋体"/>
                <w:color w:val="auto"/>
                <w:szCs w:val="21"/>
                <w:highlight w:val="none"/>
              </w:rPr>
              <w:t>承担</w:t>
            </w:r>
            <w:r>
              <w:rPr>
                <w:rFonts w:hint="eastAsia" w:ascii="宋体" w:hAnsi="宋体"/>
                <w:color w:val="auto"/>
                <w:szCs w:val="21"/>
                <w:highlight w:val="none"/>
                <w:lang w:eastAsia="zh-CN"/>
              </w:rPr>
              <w:t>投标人（服务方）</w:t>
            </w:r>
            <w:r>
              <w:rPr>
                <w:rFonts w:hint="eastAsia" w:ascii="宋体" w:hAnsi="宋体"/>
                <w:color w:val="auto"/>
                <w:szCs w:val="21"/>
                <w:highlight w:val="none"/>
              </w:rPr>
              <w:t>正常运营范围内的合理费用；因</w:t>
            </w:r>
            <w:r>
              <w:rPr>
                <w:rFonts w:hint="eastAsia" w:ascii="宋体" w:hAnsi="宋体"/>
                <w:color w:val="auto"/>
                <w:szCs w:val="21"/>
                <w:highlight w:val="none"/>
                <w:lang w:eastAsia="zh-CN"/>
              </w:rPr>
              <w:t>投标人（服务方）</w:t>
            </w:r>
            <w:r>
              <w:rPr>
                <w:rFonts w:hint="eastAsia" w:ascii="宋体" w:hAnsi="宋体"/>
                <w:color w:val="auto"/>
                <w:szCs w:val="21"/>
                <w:highlight w:val="none"/>
              </w:rPr>
              <w:t>管理不善（如设备未及时关闭、浪费）导致的超额费用，由</w:t>
            </w:r>
            <w:r>
              <w:rPr>
                <w:rFonts w:hint="eastAsia" w:ascii="宋体" w:hAnsi="宋体"/>
                <w:color w:val="auto"/>
                <w:szCs w:val="21"/>
                <w:highlight w:val="none"/>
                <w:lang w:eastAsia="zh-CN"/>
              </w:rPr>
              <w:t>投标人（服务方）</w:t>
            </w:r>
            <w:r>
              <w:rPr>
                <w:rFonts w:hint="eastAsia" w:ascii="宋体" w:hAnsi="宋体"/>
                <w:color w:val="auto"/>
                <w:szCs w:val="21"/>
                <w:highlight w:val="none"/>
              </w:rPr>
              <w:t>承担，</w:t>
            </w:r>
            <w:r>
              <w:rPr>
                <w:rFonts w:hint="eastAsia" w:ascii="宋体" w:hAnsi="宋体"/>
                <w:color w:val="auto"/>
                <w:szCs w:val="21"/>
                <w:highlight w:val="none"/>
                <w:lang w:eastAsia="zh-CN"/>
              </w:rPr>
              <w:t>采购人</w:t>
            </w:r>
            <w:r>
              <w:rPr>
                <w:rFonts w:hint="eastAsia" w:ascii="宋体" w:hAnsi="宋体"/>
                <w:color w:val="auto"/>
                <w:szCs w:val="21"/>
                <w:highlight w:val="none"/>
              </w:rPr>
              <w:t>有权从服务费中直接扣除</w:t>
            </w:r>
            <w:r>
              <w:rPr>
                <w:rFonts w:hint="eastAsia" w:ascii="宋体" w:hAnsi="宋体"/>
                <w:color w:val="auto"/>
                <w:szCs w:val="21"/>
                <w:highlight w:val="none"/>
                <w:lang w:eastAsia="zh-CN"/>
              </w:rPr>
              <w:t>。</w:t>
            </w:r>
          </w:p>
          <w:p w14:paraId="4C330446">
            <w:pPr>
              <w:widowControl/>
              <w:spacing w:line="360" w:lineRule="exact"/>
              <w:rPr>
                <w:rFonts w:ascii="宋体" w:hAnsi="宋体"/>
                <w:color w:val="auto"/>
                <w:szCs w:val="21"/>
                <w:highlight w:val="none"/>
              </w:rPr>
            </w:pPr>
            <w:r>
              <w:rPr>
                <w:rFonts w:hint="eastAsia" w:ascii="宋体" w:hAnsi="宋体"/>
                <w:b/>
                <w:color w:val="auto"/>
                <w:szCs w:val="21"/>
                <w:highlight w:val="none"/>
              </w:rPr>
              <w:t>三、供餐时间</w:t>
            </w:r>
          </w:p>
          <w:p w14:paraId="21837D57">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1、锦春路3号和锦春路20号</w:t>
            </w:r>
            <w:r>
              <w:rPr>
                <w:rFonts w:hint="default" w:ascii="宋体" w:hAnsi="宋体"/>
                <w:color w:val="auto"/>
                <w:szCs w:val="21"/>
                <w:highlight w:val="none"/>
                <w:lang w:val="en"/>
              </w:rPr>
              <w:t>机关食堂</w:t>
            </w:r>
            <w:r>
              <w:rPr>
                <w:rFonts w:hint="eastAsia" w:ascii="宋体" w:hAnsi="宋体"/>
                <w:color w:val="auto"/>
                <w:szCs w:val="21"/>
                <w:highlight w:val="none"/>
              </w:rPr>
              <w:t>开餐时间：早上</w:t>
            </w:r>
            <w:r>
              <w:rPr>
                <w:rFonts w:ascii="宋体" w:hAnsi="宋体"/>
                <w:color w:val="auto"/>
                <w:szCs w:val="21"/>
                <w:highlight w:val="none"/>
              </w:rPr>
              <w:t>7:</w:t>
            </w:r>
            <w:r>
              <w:rPr>
                <w:rFonts w:hint="eastAsia" w:ascii="宋体" w:hAnsi="宋体"/>
                <w:color w:val="auto"/>
                <w:szCs w:val="21"/>
                <w:highlight w:val="none"/>
              </w:rPr>
              <w:t>0</w:t>
            </w:r>
            <w:r>
              <w:rPr>
                <w:rFonts w:ascii="宋体" w:hAnsi="宋体"/>
                <w:color w:val="auto"/>
                <w:szCs w:val="21"/>
                <w:highlight w:val="none"/>
              </w:rPr>
              <w:t>0-8:</w:t>
            </w:r>
            <w:r>
              <w:rPr>
                <w:rFonts w:hint="eastAsia" w:ascii="宋体" w:hAnsi="宋体"/>
                <w:color w:val="auto"/>
                <w:szCs w:val="21"/>
                <w:highlight w:val="none"/>
              </w:rPr>
              <w:t>0</w:t>
            </w:r>
            <w:r>
              <w:rPr>
                <w:rFonts w:ascii="宋体" w:hAnsi="宋体"/>
                <w:color w:val="auto"/>
                <w:szCs w:val="21"/>
                <w:highlight w:val="none"/>
              </w:rPr>
              <w:t>0</w:t>
            </w:r>
            <w:r>
              <w:rPr>
                <w:rFonts w:hint="eastAsia" w:ascii="宋体" w:hAnsi="宋体"/>
                <w:color w:val="auto"/>
                <w:szCs w:val="21"/>
                <w:highlight w:val="none"/>
              </w:rPr>
              <w:t>，中午12</w:t>
            </w:r>
            <w:r>
              <w:rPr>
                <w:rFonts w:ascii="宋体" w:hAnsi="宋体"/>
                <w:color w:val="auto"/>
                <w:szCs w:val="21"/>
                <w:highlight w:val="none"/>
              </w:rPr>
              <w:t>:</w:t>
            </w:r>
            <w:r>
              <w:rPr>
                <w:rFonts w:hint="eastAsia" w:ascii="宋体" w:hAnsi="宋体"/>
                <w:color w:val="auto"/>
                <w:szCs w:val="21"/>
                <w:highlight w:val="none"/>
              </w:rPr>
              <w:t>0</w:t>
            </w:r>
            <w:r>
              <w:rPr>
                <w:rFonts w:ascii="宋体" w:hAnsi="宋体"/>
                <w:color w:val="auto"/>
                <w:szCs w:val="21"/>
                <w:highlight w:val="none"/>
              </w:rPr>
              <w:t>0-13:</w:t>
            </w:r>
            <w:r>
              <w:rPr>
                <w:rFonts w:hint="eastAsia" w:ascii="宋体" w:hAnsi="宋体"/>
                <w:color w:val="auto"/>
                <w:szCs w:val="21"/>
                <w:highlight w:val="none"/>
              </w:rPr>
              <w:t>3</w:t>
            </w:r>
            <w:r>
              <w:rPr>
                <w:rFonts w:ascii="宋体" w:hAnsi="宋体"/>
                <w:color w:val="auto"/>
                <w:szCs w:val="21"/>
                <w:highlight w:val="none"/>
              </w:rPr>
              <w:t>0</w:t>
            </w:r>
            <w:r>
              <w:rPr>
                <w:rFonts w:hint="eastAsia" w:ascii="宋体" w:hAnsi="宋体"/>
                <w:color w:val="auto"/>
                <w:szCs w:val="21"/>
                <w:highlight w:val="none"/>
              </w:rPr>
              <w:t>，晚餐18:00-19:00（采购人可根据工作需要进行调整），接待餐时间另行安排。</w:t>
            </w:r>
          </w:p>
          <w:p w14:paraId="76F8EB0D">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2、因工作需要临时安排用餐的，中标人须提供用餐保障。</w:t>
            </w:r>
          </w:p>
          <w:p w14:paraId="67C79414">
            <w:pPr>
              <w:widowControl/>
              <w:spacing w:line="360" w:lineRule="exac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四、主要服务内容</w:t>
            </w:r>
          </w:p>
          <w:p w14:paraId="60456CDE">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1、负责食材加工和售卖（含食材集采、净菜配送、物资代购代售）。</w:t>
            </w:r>
          </w:p>
          <w:p w14:paraId="5A80AE49">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2、负责列出每周菜谱，报食堂管理员审核。</w:t>
            </w:r>
          </w:p>
          <w:p w14:paraId="34091705">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3、负责每日菜品出品和餐厅工作，保证每日正常供餐。</w:t>
            </w:r>
          </w:p>
          <w:p w14:paraId="04CD671C">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4、负责</w:t>
            </w:r>
            <w:r>
              <w:rPr>
                <w:rFonts w:hint="default" w:ascii="宋体" w:hAnsi="宋体"/>
                <w:color w:val="auto"/>
                <w:szCs w:val="21"/>
                <w:highlight w:val="none"/>
                <w:lang w:val="en"/>
              </w:rPr>
              <w:t>机关食堂</w:t>
            </w:r>
            <w:r>
              <w:rPr>
                <w:rFonts w:hint="eastAsia" w:ascii="宋体" w:hAnsi="宋体"/>
                <w:color w:val="auto"/>
                <w:szCs w:val="21"/>
                <w:highlight w:val="none"/>
              </w:rPr>
              <w:t>所有的公务接待和会议用餐的供餐及服务。</w:t>
            </w:r>
          </w:p>
          <w:p w14:paraId="5F9DBCDB">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5、负责做好日常食材采购、检测、留样工作。</w:t>
            </w:r>
          </w:p>
          <w:p w14:paraId="6436A835">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6、负责做好菜品定价、成本核算等工作。</w:t>
            </w:r>
          </w:p>
          <w:p w14:paraId="65AB3943">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7、负责</w:t>
            </w:r>
            <w:r>
              <w:rPr>
                <w:rFonts w:hint="default" w:ascii="宋体" w:hAnsi="宋体"/>
                <w:color w:val="auto"/>
                <w:szCs w:val="21"/>
                <w:highlight w:val="none"/>
                <w:lang w:val="en"/>
              </w:rPr>
              <w:t>机关食堂</w:t>
            </w:r>
            <w:r>
              <w:rPr>
                <w:rFonts w:hint="eastAsia" w:ascii="宋体" w:hAnsi="宋体"/>
                <w:color w:val="auto"/>
                <w:szCs w:val="21"/>
                <w:highlight w:val="none"/>
              </w:rPr>
              <w:t>内卫生保洁工作，确保食品卫生安全及环境整洁。</w:t>
            </w:r>
          </w:p>
          <w:p w14:paraId="3592BF9B">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8、负责食品及物料的接收、清理、分类和入库；餐具的清洗消毒。</w:t>
            </w:r>
          </w:p>
          <w:p w14:paraId="6B46CDC7">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日常出品标准及要求：服务方根据《中华人民共和国食品安全法》要求执行，本着：安全、营养、卫生、味好的经营理念，为干部职工提供出品服务。配备高级厨师掌厨，根据季节供应各式菜肴，营养合理搭配，重点推出绿色健康食品，让干部职工吃得放心、舒心。</w:t>
            </w:r>
          </w:p>
          <w:p w14:paraId="6CEA0199">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）早餐：每天12-</w:t>
            </w:r>
            <w:r>
              <w:rPr>
                <w:rFonts w:ascii="宋体" w:hAnsi="宋体"/>
                <w:color w:val="auto"/>
                <w:szCs w:val="21"/>
                <w:highlight w:val="none"/>
              </w:rPr>
              <w:t>15</w:t>
            </w:r>
            <w:r>
              <w:rPr>
                <w:rFonts w:hint="eastAsia" w:ascii="宋体" w:hAnsi="宋体"/>
                <w:color w:val="auto"/>
                <w:szCs w:val="21"/>
                <w:highlight w:val="none"/>
              </w:rPr>
              <w:t>个品种，包含饮品类、蛋类、蔬菜类、面点类（中、西式）、粉类、粥类、甜品、杂粮等。</w:t>
            </w:r>
          </w:p>
          <w:p w14:paraId="330151FA">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）中餐：每天不少于1</w:t>
            </w:r>
            <w:r>
              <w:rPr>
                <w:rFonts w:hint="eastAsia" w:ascii="宋体" w:hAnsi="宋体"/>
                <w:color w:val="auto"/>
                <w:szCs w:val="21"/>
                <w:highlight w:val="none"/>
                <w:lang w:val="en-US" w:eastAsia="zh-CN"/>
              </w:rPr>
              <w:t>7</w:t>
            </w:r>
            <w:r>
              <w:rPr>
                <w:rFonts w:hint="eastAsia" w:ascii="宋体" w:hAnsi="宋体"/>
                <w:color w:val="auto"/>
                <w:szCs w:val="21"/>
                <w:highlight w:val="none"/>
              </w:rPr>
              <w:t>个品种，含荤菜3个、半荤菜4个、素菜2个、汤</w:t>
            </w:r>
            <w:r>
              <w:rPr>
                <w:rFonts w:hint="eastAsia" w:ascii="宋体" w:hAnsi="宋体"/>
                <w:color w:val="auto"/>
                <w:szCs w:val="21"/>
                <w:highlight w:val="none"/>
                <w:lang w:val="en-US" w:eastAsia="zh-CN"/>
              </w:rPr>
              <w:t>2</w:t>
            </w:r>
            <w:r>
              <w:rPr>
                <w:rFonts w:hint="eastAsia" w:ascii="宋体" w:hAnsi="宋体"/>
                <w:color w:val="auto"/>
                <w:szCs w:val="21"/>
                <w:highlight w:val="none"/>
              </w:rPr>
              <w:t>个、小菜</w:t>
            </w:r>
            <w:r>
              <w:rPr>
                <w:rFonts w:ascii="宋体" w:hAnsi="宋体"/>
                <w:color w:val="auto"/>
                <w:szCs w:val="21"/>
                <w:highlight w:val="none"/>
              </w:rPr>
              <w:t>2</w:t>
            </w:r>
            <w:r>
              <w:rPr>
                <w:rFonts w:hint="eastAsia" w:ascii="宋体" w:hAnsi="宋体"/>
                <w:color w:val="auto"/>
                <w:szCs w:val="21"/>
                <w:highlight w:val="none"/>
              </w:rPr>
              <w:t>个、主食</w:t>
            </w:r>
            <w:r>
              <w:rPr>
                <w:rFonts w:ascii="宋体" w:hAnsi="宋体"/>
                <w:color w:val="auto"/>
                <w:szCs w:val="21"/>
                <w:highlight w:val="none"/>
              </w:rPr>
              <w:t>2</w:t>
            </w:r>
            <w:r>
              <w:rPr>
                <w:rFonts w:hint="eastAsia" w:ascii="宋体" w:hAnsi="宋体"/>
                <w:color w:val="auto"/>
                <w:szCs w:val="21"/>
                <w:highlight w:val="none"/>
              </w:rPr>
              <w:t>个（米饭、粉或面食等）、水果1种</w:t>
            </w:r>
            <w:r>
              <w:rPr>
                <w:rFonts w:hint="eastAsia" w:ascii="宋体" w:hAnsi="宋体"/>
                <w:color w:val="auto"/>
                <w:szCs w:val="21"/>
                <w:highlight w:val="none"/>
                <w:lang w:eastAsia="zh-CN"/>
              </w:rPr>
              <w:t>、桂林原味恭城油茶</w:t>
            </w:r>
            <w:r>
              <w:rPr>
                <w:rFonts w:hint="eastAsia" w:ascii="宋体" w:hAnsi="宋体"/>
                <w:color w:val="auto"/>
                <w:szCs w:val="21"/>
                <w:highlight w:val="none"/>
                <w:lang w:val="en-US" w:eastAsia="zh-CN"/>
              </w:rPr>
              <w:t>1个（每周不少于2次）</w:t>
            </w:r>
            <w:r>
              <w:rPr>
                <w:rFonts w:hint="eastAsia" w:ascii="宋体" w:hAnsi="宋体"/>
                <w:color w:val="auto"/>
                <w:szCs w:val="21"/>
                <w:highlight w:val="none"/>
              </w:rPr>
              <w:t>。</w:t>
            </w:r>
          </w:p>
          <w:p w14:paraId="212EDD65">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（3）晚餐：具体菜式的配置由采购人根据工作需要与中标人商定。</w:t>
            </w:r>
          </w:p>
          <w:p w14:paraId="2B580C40">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）公务接待餐：根据就餐人数提前半天制定菜单，做好接待服务。</w:t>
            </w:r>
          </w:p>
          <w:p w14:paraId="63F6FA26">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10、制订维护保养计划，负责定期对排风机、排油烟系统和管道等各种厨房设施设备进行安全检查和维护保养，确保完好、有效。</w:t>
            </w:r>
          </w:p>
          <w:p w14:paraId="458F35FC">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11、与本项目有关的其他服务工作。</w:t>
            </w:r>
          </w:p>
          <w:p w14:paraId="722620E9">
            <w:pPr>
              <w:widowControl/>
              <w:spacing w:line="360" w:lineRule="exact"/>
              <w:rPr>
                <w:rFonts w:ascii="宋体" w:hAnsi="宋体"/>
                <w:b/>
                <w:color w:val="auto"/>
                <w:szCs w:val="21"/>
                <w:highlight w:val="none"/>
              </w:rPr>
            </w:pPr>
            <w:r>
              <w:rPr>
                <w:rFonts w:hint="eastAsia" w:ascii="宋体" w:hAnsi="宋体"/>
                <w:b/>
                <w:color w:val="auto"/>
                <w:szCs w:val="21"/>
                <w:highlight w:val="none"/>
              </w:rPr>
              <w:t>五、人员配置及要求</w:t>
            </w:r>
          </w:p>
          <w:p w14:paraId="66BE180D">
            <w:pPr>
              <w:widowControl/>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▲（一）合同约定配置人员总数</w:t>
            </w:r>
            <w:r>
              <w:rPr>
                <w:rFonts w:hint="eastAsia" w:ascii="宋体" w:hAnsi="宋体"/>
                <w:color w:val="auto"/>
                <w:szCs w:val="21"/>
                <w:highlight w:val="none"/>
                <w:lang w:eastAsia="zh-CN"/>
              </w:rPr>
              <w:t>不少于</w:t>
            </w:r>
            <w:r>
              <w:rPr>
                <w:rFonts w:hint="eastAsia" w:ascii="宋体" w:hAnsi="宋体" w:eastAsia="宋体"/>
                <w:color w:val="auto"/>
                <w:szCs w:val="21"/>
                <w:highlight w:val="none"/>
                <w:lang w:val="en-US" w:eastAsia="zh-CN"/>
              </w:rPr>
              <w:t>28</w:t>
            </w:r>
            <w:r>
              <w:rPr>
                <w:rFonts w:hint="eastAsia" w:ascii="宋体" w:hAnsi="宋体"/>
                <w:color w:val="auto"/>
                <w:szCs w:val="21"/>
                <w:highlight w:val="none"/>
              </w:rPr>
              <w:t>人：</w:t>
            </w:r>
            <w:r>
              <w:rPr>
                <w:rFonts w:hint="eastAsia" w:ascii="宋体" w:hAnsi="宋体"/>
                <w:color w:val="auto"/>
                <w:szCs w:val="21"/>
                <w:highlight w:val="none"/>
                <w:lang w:eastAsia="zh-CN"/>
              </w:rPr>
              <w:t>含</w:t>
            </w:r>
            <w:r>
              <w:rPr>
                <w:rFonts w:hint="eastAsia" w:ascii="宋体" w:hAnsi="宋体"/>
                <w:color w:val="auto"/>
                <w:szCs w:val="21"/>
                <w:highlight w:val="none"/>
              </w:rPr>
              <w:t>大厨</w:t>
            </w:r>
            <w:r>
              <w:rPr>
                <w:rFonts w:ascii="宋体" w:hAnsi="宋体"/>
                <w:color w:val="auto"/>
                <w:szCs w:val="21"/>
                <w:highlight w:val="none"/>
              </w:rPr>
              <w:t>1</w:t>
            </w:r>
            <w:r>
              <w:rPr>
                <w:rFonts w:hint="eastAsia" w:ascii="宋体" w:hAnsi="宋体"/>
                <w:color w:val="auto"/>
                <w:szCs w:val="21"/>
                <w:highlight w:val="none"/>
              </w:rPr>
              <w:t>人、厨师2人、二厨2人、厨工2人、切配</w:t>
            </w:r>
            <w:r>
              <w:rPr>
                <w:rFonts w:hint="eastAsia" w:ascii="宋体" w:hAnsi="宋体"/>
                <w:color w:val="auto"/>
                <w:szCs w:val="21"/>
                <w:highlight w:val="none"/>
                <w:lang w:val="en-US" w:eastAsia="zh-CN"/>
              </w:rPr>
              <w:t>5</w:t>
            </w:r>
            <w:r>
              <w:rPr>
                <w:rFonts w:hint="eastAsia" w:ascii="宋体" w:hAnsi="宋体"/>
                <w:color w:val="auto"/>
                <w:szCs w:val="21"/>
                <w:highlight w:val="none"/>
              </w:rPr>
              <w:t>人、面点2人、后勤服务人</w:t>
            </w:r>
            <w:r>
              <w:rPr>
                <w:rFonts w:hint="eastAsia" w:ascii="宋体" w:hAnsi="宋体"/>
                <w:color w:val="auto"/>
                <w:szCs w:val="21"/>
                <w:highlight w:val="none"/>
                <w:lang w:val="en-US" w:eastAsia="zh-CN"/>
              </w:rPr>
              <w:t xml:space="preserve"> 14 </w:t>
            </w:r>
            <w:r>
              <w:rPr>
                <w:rFonts w:hint="eastAsia" w:ascii="宋体" w:hAnsi="宋体"/>
                <w:color w:val="auto"/>
                <w:szCs w:val="21"/>
                <w:highlight w:val="none"/>
              </w:rPr>
              <w:t>（主管</w:t>
            </w:r>
            <w:r>
              <w:rPr>
                <w:rFonts w:ascii="宋体" w:hAnsi="宋体"/>
                <w:color w:val="auto"/>
                <w:szCs w:val="21"/>
                <w:highlight w:val="none"/>
              </w:rPr>
              <w:t>1</w:t>
            </w:r>
            <w:r>
              <w:rPr>
                <w:rFonts w:hint="eastAsia" w:ascii="宋体" w:hAnsi="宋体"/>
                <w:color w:val="auto"/>
                <w:szCs w:val="21"/>
                <w:highlight w:val="none"/>
              </w:rPr>
              <w:t>人、服务员</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人）</w:t>
            </w:r>
            <w:r>
              <w:rPr>
                <w:rFonts w:hint="eastAsia" w:ascii="宋体" w:hAnsi="宋体"/>
                <w:color w:val="auto"/>
                <w:szCs w:val="21"/>
                <w:highlight w:val="none"/>
                <w:lang w:eastAsia="zh-CN"/>
              </w:rPr>
              <w:t>；如投标人（服务方）借助人工智能设备实现智能化管理，经采购人同意后，可合理优化人员配置，缩减人力投入。</w:t>
            </w:r>
          </w:p>
          <w:p w14:paraId="43E0AAB5">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（二）配置人员要求：</w:t>
            </w:r>
          </w:p>
          <w:p w14:paraId="0C789F77">
            <w:pPr>
              <w:widowControl/>
              <w:spacing w:line="36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、服务员：女性，年龄在</w:t>
            </w:r>
            <w:r>
              <w:rPr>
                <w:rFonts w:hint="eastAsia" w:ascii="宋体" w:hAnsi="宋体"/>
                <w:strike w:val="0"/>
                <w:dstrike w:val="0"/>
                <w:color w:val="auto"/>
                <w:szCs w:val="21"/>
                <w:highlight w:val="none"/>
                <w:lang w:val="en-US" w:eastAsia="zh-CN"/>
              </w:rPr>
              <w:t xml:space="preserve">50 </w:t>
            </w:r>
            <w:r>
              <w:rPr>
                <w:rFonts w:hint="eastAsia" w:ascii="宋体" w:hAnsi="宋体"/>
                <w:color w:val="auto"/>
                <w:szCs w:val="21"/>
                <w:highlight w:val="none"/>
              </w:rPr>
              <w:t>岁以下，熟练掌握酒店餐饮服务全部流程、礼仪规范、五官端正、气质佳。</w:t>
            </w:r>
            <w:r>
              <w:rPr>
                <w:rFonts w:hint="eastAsia" w:ascii="宋体" w:hAnsi="宋体"/>
                <w:color w:val="auto"/>
                <w:szCs w:val="21"/>
                <w:highlight w:val="none"/>
                <w:lang w:eastAsia="zh-CN"/>
              </w:rPr>
              <w:t>其中</w:t>
            </w:r>
            <w:r>
              <w:rPr>
                <w:rFonts w:hint="eastAsia" w:ascii="宋体" w:hAnsi="宋体"/>
                <w:color w:val="auto"/>
                <w:szCs w:val="21"/>
                <w:highlight w:val="none"/>
                <w:lang w:val="en-US" w:eastAsia="zh-CN"/>
              </w:rPr>
              <w:t>3名35岁以下，大专以上学历，具备基本的电脑操作技能，熟练掌握Excel、WPS常用功能。</w:t>
            </w:r>
          </w:p>
          <w:p w14:paraId="7959183A">
            <w:pPr>
              <w:widowControl/>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、洗涤洗菜工</w:t>
            </w:r>
            <w:r>
              <w:rPr>
                <w:rFonts w:hint="eastAsia" w:ascii="宋体" w:hAnsi="宋体"/>
                <w:color w:val="auto"/>
                <w:szCs w:val="21"/>
                <w:highlight w:val="none"/>
                <w:lang w:val="en-US" w:eastAsia="zh-CN"/>
              </w:rPr>
              <w:t>60</w:t>
            </w:r>
            <w:r>
              <w:rPr>
                <w:rFonts w:hint="eastAsia" w:ascii="宋体" w:hAnsi="宋体"/>
                <w:color w:val="auto"/>
                <w:szCs w:val="21"/>
                <w:highlight w:val="none"/>
              </w:rPr>
              <w:t>岁以下。</w:t>
            </w:r>
          </w:p>
          <w:p w14:paraId="16390A4C">
            <w:pPr>
              <w:widowControl/>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、大厨50岁以下，其他师傅45岁以下。</w:t>
            </w:r>
          </w:p>
          <w:p w14:paraId="5D212349">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（三）所有从业人员持证上岗（如健康合格证、食品安全培训合格证），品行端正，职业素质好。</w:t>
            </w:r>
          </w:p>
          <w:p w14:paraId="49DADB7F">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（四）所有厨师及面点师除持有双证（健康合格证、食品安全培训合格证）外，还要持有相应等级的厨师证、面点师证书。</w:t>
            </w:r>
          </w:p>
          <w:p w14:paraId="5DE766EE">
            <w:pPr>
              <w:widowControl/>
              <w:spacing w:line="360" w:lineRule="exact"/>
              <w:rPr>
                <w:rFonts w:ascii="宋体" w:hAnsi="宋体"/>
                <w:b/>
                <w:color w:val="auto"/>
                <w:szCs w:val="21"/>
                <w:highlight w:val="none"/>
              </w:rPr>
            </w:pPr>
            <w:r>
              <w:rPr>
                <w:rFonts w:hint="eastAsia" w:ascii="宋体" w:hAnsi="宋体"/>
                <w:b/>
                <w:color w:val="auto"/>
                <w:szCs w:val="21"/>
                <w:highlight w:val="none"/>
              </w:rPr>
              <w:t>六、设备或设施要求</w:t>
            </w:r>
          </w:p>
          <w:p w14:paraId="36EAB541">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default" w:ascii="宋体" w:hAnsi="宋体"/>
                <w:color w:val="auto"/>
                <w:szCs w:val="21"/>
                <w:highlight w:val="none"/>
                <w:lang w:val="en"/>
              </w:rPr>
              <w:t>机关食堂</w:t>
            </w:r>
            <w:r>
              <w:rPr>
                <w:rFonts w:hint="eastAsia" w:ascii="宋体" w:hAnsi="宋体"/>
                <w:color w:val="auto"/>
                <w:szCs w:val="21"/>
                <w:highlight w:val="none"/>
              </w:rPr>
              <w:t>设备、管理和移交。</w:t>
            </w:r>
            <w:r>
              <w:rPr>
                <w:rFonts w:hint="default" w:ascii="宋体" w:hAnsi="宋体"/>
                <w:color w:val="auto"/>
                <w:szCs w:val="21"/>
                <w:highlight w:val="none"/>
                <w:lang w:val="en"/>
              </w:rPr>
              <w:t>机关食堂</w:t>
            </w:r>
            <w:r>
              <w:rPr>
                <w:rFonts w:hint="eastAsia" w:ascii="宋体" w:hAnsi="宋体"/>
                <w:color w:val="auto"/>
                <w:szCs w:val="21"/>
                <w:highlight w:val="none"/>
              </w:rPr>
              <w:t>由采购人提供厨房设备、餐桌椅、餐具、清洁器具、消防和空调等设施设备，中标人进驻经营。中标人使用厨房、</w:t>
            </w:r>
            <w:r>
              <w:rPr>
                <w:rFonts w:hint="default" w:ascii="宋体" w:hAnsi="宋体"/>
                <w:color w:val="auto"/>
                <w:szCs w:val="21"/>
                <w:highlight w:val="none"/>
                <w:lang w:val="en"/>
              </w:rPr>
              <w:t>机关食堂</w:t>
            </w:r>
            <w:r>
              <w:rPr>
                <w:rFonts w:hint="eastAsia" w:ascii="宋体" w:hAnsi="宋体"/>
                <w:color w:val="auto"/>
                <w:szCs w:val="21"/>
                <w:highlight w:val="none"/>
              </w:rPr>
              <w:t>的设备，应按</w:t>
            </w:r>
            <w:r>
              <w:rPr>
                <w:rFonts w:hint="default" w:ascii="宋体" w:hAnsi="宋体"/>
                <w:color w:val="auto"/>
                <w:szCs w:val="21"/>
                <w:highlight w:val="none"/>
                <w:lang w:val="en"/>
              </w:rPr>
              <w:t>机关食堂</w:t>
            </w:r>
            <w:r>
              <w:rPr>
                <w:rFonts w:hint="eastAsia" w:ascii="宋体" w:hAnsi="宋体"/>
                <w:color w:val="auto"/>
                <w:szCs w:val="21"/>
                <w:highlight w:val="none"/>
              </w:rPr>
              <w:t>固定资产明细表所列物品逐件核收、确认，并承担设备的日常</w:t>
            </w:r>
            <w:r>
              <w:rPr>
                <w:rFonts w:hint="eastAsia" w:ascii="宋体" w:hAnsi="宋体"/>
                <w:strike w:val="0"/>
                <w:dstrike w:val="0"/>
                <w:color w:val="auto"/>
                <w:szCs w:val="21"/>
                <w:highlight w:val="none"/>
                <w:lang w:eastAsia="zh-CN"/>
              </w:rPr>
              <w:t>维修维护</w:t>
            </w:r>
            <w:r>
              <w:rPr>
                <w:rFonts w:hint="eastAsia" w:ascii="宋体" w:hAnsi="宋体"/>
                <w:color w:val="auto"/>
                <w:szCs w:val="21"/>
                <w:highlight w:val="none"/>
              </w:rPr>
              <w:t>责任。合作期满，管理方对设备进行清点移交，发现遗失或中标人损坏的，由中标人负责赔偿。</w:t>
            </w:r>
          </w:p>
          <w:p w14:paraId="69F2D622">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2、采购人提供现有厨房及</w:t>
            </w:r>
            <w:r>
              <w:rPr>
                <w:rFonts w:hint="default" w:ascii="宋体" w:hAnsi="宋体"/>
                <w:color w:val="auto"/>
                <w:szCs w:val="21"/>
                <w:highlight w:val="none"/>
                <w:lang w:val="en"/>
              </w:rPr>
              <w:t>机关食堂</w:t>
            </w:r>
            <w:r>
              <w:rPr>
                <w:rFonts w:hint="eastAsia" w:ascii="宋体" w:hAnsi="宋体"/>
                <w:color w:val="auto"/>
                <w:szCs w:val="21"/>
                <w:highlight w:val="none"/>
              </w:rPr>
              <w:t>的设施设备、器具，如因工作需要增加采购新的设施设备、器具，由服务方根据经营需要申请采购人审核后自行采购。</w:t>
            </w:r>
          </w:p>
          <w:p w14:paraId="48E07773">
            <w:pPr>
              <w:widowControl/>
              <w:spacing w:line="360" w:lineRule="exact"/>
              <w:rPr>
                <w:rFonts w:ascii="宋体" w:hAnsi="宋体"/>
                <w:b/>
                <w:color w:val="auto"/>
                <w:szCs w:val="21"/>
                <w:highlight w:val="none"/>
              </w:rPr>
            </w:pPr>
            <w:r>
              <w:rPr>
                <w:rFonts w:hint="eastAsia" w:ascii="宋体" w:hAnsi="宋体"/>
                <w:b/>
                <w:color w:val="auto"/>
                <w:szCs w:val="21"/>
                <w:highlight w:val="none"/>
              </w:rPr>
              <w:t>七、服务质量及卫生标准</w:t>
            </w:r>
          </w:p>
          <w:p w14:paraId="47AFDE4E">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投标人（服务方）</w:t>
            </w:r>
            <w:r>
              <w:rPr>
                <w:rFonts w:hint="eastAsia" w:ascii="宋体" w:hAnsi="宋体"/>
                <w:color w:val="auto"/>
                <w:szCs w:val="21"/>
                <w:highlight w:val="none"/>
              </w:rPr>
              <w:t>按国家</w:t>
            </w:r>
            <w:r>
              <w:rPr>
                <w:rFonts w:hint="default" w:ascii="宋体" w:hAnsi="宋体"/>
                <w:color w:val="auto"/>
                <w:szCs w:val="21"/>
                <w:highlight w:val="none"/>
                <w:lang w:val="en"/>
              </w:rPr>
              <w:t>机关食堂</w:t>
            </w:r>
            <w:r>
              <w:rPr>
                <w:rFonts w:hint="eastAsia" w:ascii="宋体" w:hAnsi="宋体"/>
                <w:color w:val="auto"/>
                <w:szCs w:val="21"/>
                <w:highlight w:val="none"/>
              </w:rPr>
              <w:t>和饮食行业的有关规定，依照《食品安全法》、《餐饮行业管理规范》的要求和标准进行管理。</w:t>
            </w:r>
          </w:p>
          <w:p w14:paraId="3B6B6A45">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2、严格遵照相关食品安全和其他法律法规等要求规范操作，杜绝食品安全事故；严禁违规使用燃料，确保安全用电，杜绝火灾事故；积极做好</w:t>
            </w:r>
            <w:r>
              <w:rPr>
                <w:rFonts w:hint="default" w:ascii="宋体" w:hAnsi="宋体"/>
                <w:color w:val="auto"/>
                <w:szCs w:val="21"/>
                <w:highlight w:val="none"/>
                <w:lang w:val="en"/>
              </w:rPr>
              <w:t>机关食堂</w:t>
            </w:r>
            <w:r>
              <w:rPr>
                <w:rFonts w:hint="eastAsia" w:ascii="宋体" w:hAnsi="宋体"/>
                <w:color w:val="auto"/>
                <w:szCs w:val="21"/>
                <w:highlight w:val="none"/>
              </w:rPr>
              <w:t>日常卫生保洁工作，有效的做好防“四害”工作，确保</w:t>
            </w:r>
            <w:r>
              <w:rPr>
                <w:rFonts w:hint="default" w:ascii="宋体" w:hAnsi="宋体"/>
                <w:color w:val="auto"/>
                <w:szCs w:val="21"/>
                <w:highlight w:val="none"/>
                <w:lang w:val="en"/>
              </w:rPr>
              <w:t>机关食堂</w:t>
            </w:r>
            <w:r>
              <w:rPr>
                <w:rFonts w:hint="eastAsia" w:ascii="宋体" w:hAnsi="宋体"/>
                <w:color w:val="auto"/>
                <w:szCs w:val="21"/>
                <w:highlight w:val="none"/>
              </w:rPr>
              <w:t>环境卫生。因</w:t>
            </w:r>
            <w:r>
              <w:rPr>
                <w:rFonts w:hint="eastAsia" w:ascii="宋体" w:hAnsi="宋体"/>
                <w:color w:val="auto"/>
                <w:szCs w:val="21"/>
                <w:highlight w:val="none"/>
                <w:lang w:eastAsia="zh-CN"/>
              </w:rPr>
              <w:t>投标人（服务方）</w:t>
            </w:r>
            <w:r>
              <w:rPr>
                <w:rFonts w:hint="eastAsia" w:ascii="宋体" w:hAnsi="宋体"/>
                <w:color w:val="auto"/>
                <w:szCs w:val="21"/>
                <w:highlight w:val="none"/>
              </w:rPr>
              <w:t>管理不善造成人员食物中毒或火灾等安全事故，受到工商管理部门或卫生防疫等部门处罚及其法律处罚的，由</w:t>
            </w:r>
            <w:r>
              <w:rPr>
                <w:rFonts w:hint="eastAsia" w:ascii="宋体" w:hAnsi="宋体"/>
                <w:color w:val="auto"/>
                <w:szCs w:val="21"/>
                <w:highlight w:val="none"/>
                <w:lang w:eastAsia="zh-CN"/>
              </w:rPr>
              <w:t>投标人（服务方）</w:t>
            </w:r>
            <w:r>
              <w:rPr>
                <w:rFonts w:hint="eastAsia" w:ascii="宋体" w:hAnsi="宋体"/>
                <w:color w:val="auto"/>
                <w:szCs w:val="21"/>
                <w:highlight w:val="none"/>
              </w:rPr>
              <w:t>承担一切责任。</w:t>
            </w:r>
          </w:p>
          <w:p w14:paraId="75E3C021">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投标人（服务方）</w:t>
            </w:r>
            <w:r>
              <w:rPr>
                <w:rFonts w:hint="eastAsia" w:ascii="宋体" w:hAnsi="宋体"/>
                <w:color w:val="auto"/>
                <w:szCs w:val="21"/>
                <w:highlight w:val="none"/>
              </w:rPr>
              <w:t>所出品的食品应符合国家卫生安全标准，做到每一餐足量（每份饭菜数量足量、满足用餐总人数的需求）、质优（质量保证）、味美（色香味俱全）、品种多样化（每天列出供应品种，每周列出下周菜谱，每个月要有新菜品出品）、食材新鲜（新鲜食材当天采购，不售卖隔夜菜）、保质保温。</w:t>
            </w:r>
          </w:p>
          <w:p w14:paraId="6A3835CE">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4、服务质量及卫生标准的具体考核细则由采购人另行制定。</w:t>
            </w:r>
          </w:p>
          <w:p w14:paraId="0FBCDAF2">
            <w:pPr>
              <w:widowControl/>
              <w:spacing w:line="360" w:lineRule="exact"/>
              <w:rPr>
                <w:rFonts w:hint="eastAsia" w:ascii="宋体" w:hAnsi="宋体"/>
                <w:b/>
                <w:color w:val="auto"/>
                <w:szCs w:val="21"/>
                <w:highlight w:val="none"/>
              </w:rPr>
            </w:pPr>
            <w:r>
              <w:rPr>
                <w:rFonts w:hint="eastAsia" w:ascii="宋体" w:hAnsi="宋体"/>
                <w:b/>
                <w:color w:val="auto"/>
                <w:szCs w:val="21"/>
                <w:highlight w:val="none"/>
              </w:rPr>
              <w:t>八、食材采购及质量要求</w:t>
            </w:r>
          </w:p>
          <w:p w14:paraId="60C5A665">
            <w:pPr>
              <w:widowControl/>
              <w:spacing w:line="360" w:lineRule="exact"/>
              <w:ind w:firstLine="420" w:firstLineChars="200"/>
              <w:rPr>
                <w:rFonts w:hint="eastAsia" w:ascii="宋体" w:hAnsi="宋体"/>
                <w:color w:val="auto"/>
                <w:szCs w:val="21"/>
                <w:highlight w:val="none"/>
              </w:rPr>
            </w:pPr>
            <w:r>
              <w:rPr>
                <w:rFonts w:hint="eastAsia" w:ascii="宋体" w:hAnsi="宋体"/>
                <w:b/>
                <w:color w:val="auto"/>
                <w:szCs w:val="21"/>
                <w:highlight w:val="none"/>
              </w:rPr>
              <w:t>（一）配送地点：</w:t>
            </w:r>
            <w:r>
              <w:rPr>
                <w:rFonts w:hint="eastAsia" w:ascii="宋体" w:hAnsi="宋体"/>
                <w:color w:val="auto"/>
                <w:szCs w:val="21"/>
                <w:highlight w:val="none"/>
              </w:rPr>
              <w:t>广西南宁市锦春路3号和锦春路20号采购人指定地点；</w:t>
            </w:r>
          </w:p>
          <w:p w14:paraId="1CD5AFCA">
            <w:pPr>
              <w:widowControl/>
              <w:spacing w:line="360" w:lineRule="exact"/>
              <w:ind w:firstLine="420" w:firstLineChars="200"/>
              <w:rPr>
                <w:rFonts w:hint="eastAsia" w:ascii="宋体" w:hAnsi="宋体"/>
                <w:color w:val="auto"/>
                <w:szCs w:val="21"/>
                <w:highlight w:val="none"/>
              </w:rPr>
            </w:pPr>
            <w:r>
              <w:rPr>
                <w:rFonts w:hint="eastAsia" w:ascii="宋体" w:hAnsi="宋体"/>
                <w:b/>
                <w:color w:val="auto"/>
                <w:szCs w:val="21"/>
                <w:highlight w:val="none"/>
              </w:rPr>
              <w:t>（二）供应货品：</w:t>
            </w:r>
            <w:r>
              <w:rPr>
                <w:rFonts w:hint="eastAsia" w:ascii="宋体" w:hAnsi="宋体"/>
                <w:color w:val="auto"/>
                <w:szCs w:val="21"/>
                <w:highlight w:val="none"/>
              </w:rPr>
              <w:t>肉类、家禽类、冰鲜类、鱼类、蔬菜瓜果类、熟食、蛋类、粮油类、干货、调味品类等；</w:t>
            </w:r>
          </w:p>
          <w:p w14:paraId="1F482D44">
            <w:pPr>
              <w:widowControl/>
              <w:spacing w:line="360" w:lineRule="exact"/>
              <w:ind w:firstLine="420" w:firstLineChars="200"/>
              <w:rPr>
                <w:rFonts w:hint="eastAsia" w:ascii="宋体" w:hAnsi="宋体"/>
                <w:color w:val="auto"/>
                <w:szCs w:val="21"/>
                <w:highlight w:val="none"/>
              </w:rPr>
            </w:pPr>
            <w:r>
              <w:rPr>
                <w:rFonts w:hint="eastAsia" w:ascii="宋体" w:hAnsi="宋体"/>
                <w:b/>
                <w:color w:val="auto"/>
                <w:szCs w:val="21"/>
                <w:highlight w:val="none"/>
              </w:rPr>
              <w:t>（三）供货数量：</w:t>
            </w:r>
            <w:r>
              <w:rPr>
                <w:rFonts w:hint="eastAsia" w:ascii="宋体" w:hAnsi="宋体"/>
                <w:color w:val="auto"/>
                <w:szCs w:val="21"/>
                <w:highlight w:val="none"/>
              </w:rPr>
              <w:t>以采购人订单为准。</w:t>
            </w:r>
          </w:p>
          <w:p w14:paraId="28F4CC7A">
            <w:pPr>
              <w:widowControl/>
              <w:spacing w:line="36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（四）结算方式：</w:t>
            </w:r>
          </w:p>
          <w:p w14:paraId="24C98606">
            <w:pPr>
              <w:widowControl/>
              <w:spacing w:line="360" w:lineRule="exact"/>
              <w:ind w:firstLine="420" w:firstLineChars="200"/>
              <w:rPr>
                <w:rFonts w:ascii="宋体" w:hAnsi="宋体" w:cs="Arial"/>
                <w:color w:val="auto"/>
                <w:szCs w:val="21"/>
                <w:highlight w:val="none"/>
              </w:rPr>
            </w:pPr>
            <w:r>
              <w:rPr>
                <w:rFonts w:hint="eastAsia" w:ascii="宋体" w:hAnsi="宋体"/>
                <w:color w:val="auto"/>
                <w:szCs w:val="21"/>
                <w:highlight w:val="none"/>
              </w:rPr>
              <w:t>服务费按季度支付，食材</w:t>
            </w:r>
            <w:r>
              <w:rPr>
                <w:rFonts w:hint="eastAsia" w:ascii="宋体" w:hAnsi="宋体"/>
                <w:color w:val="auto"/>
                <w:szCs w:val="21"/>
                <w:highlight w:val="none"/>
                <w:lang w:eastAsia="zh-CN"/>
              </w:rPr>
              <w:t>费用</w:t>
            </w:r>
            <w:r>
              <w:rPr>
                <w:rFonts w:hint="eastAsia" w:ascii="宋体" w:hAnsi="宋体"/>
                <w:color w:val="auto"/>
                <w:szCs w:val="21"/>
                <w:highlight w:val="none"/>
              </w:rPr>
              <w:t>按月支付。付款前，中标人向采购人</w:t>
            </w:r>
            <w:r>
              <w:rPr>
                <w:rFonts w:ascii="宋体" w:hAnsi="宋体" w:cs="Arial"/>
                <w:color w:val="auto"/>
                <w:szCs w:val="21"/>
                <w:highlight w:val="none"/>
              </w:rPr>
              <w:t>提供等额的正规行业增值税专用发票。</w:t>
            </w:r>
            <w:r>
              <w:rPr>
                <w:rFonts w:hint="eastAsia" w:ascii="宋体" w:hAnsi="宋体" w:cs="Arial"/>
                <w:color w:val="auto"/>
                <w:szCs w:val="21"/>
                <w:highlight w:val="none"/>
              </w:rPr>
              <w:t>采购人</w:t>
            </w:r>
            <w:r>
              <w:rPr>
                <w:rFonts w:ascii="宋体" w:hAnsi="宋体" w:cs="Arial"/>
                <w:color w:val="auto"/>
                <w:szCs w:val="21"/>
                <w:highlight w:val="none"/>
              </w:rPr>
              <w:t>收到</w:t>
            </w:r>
            <w:r>
              <w:rPr>
                <w:rFonts w:hint="eastAsia" w:ascii="宋体" w:hAnsi="宋体" w:cs="Arial"/>
                <w:color w:val="auto"/>
                <w:szCs w:val="21"/>
                <w:highlight w:val="none"/>
              </w:rPr>
              <w:t>中标人</w:t>
            </w:r>
            <w:r>
              <w:rPr>
                <w:rFonts w:ascii="宋体" w:hAnsi="宋体" w:cs="Arial"/>
                <w:color w:val="auto"/>
                <w:szCs w:val="21"/>
                <w:highlight w:val="none"/>
              </w:rPr>
              <w:t>发票</w:t>
            </w:r>
            <w:r>
              <w:rPr>
                <w:rFonts w:hint="eastAsia" w:ascii="宋体" w:hAnsi="宋体" w:cs="Arial"/>
                <w:color w:val="auto"/>
                <w:szCs w:val="21"/>
                <w:highlight w:val="none"/>
              </w:rPr>
              <w:t>15</w:t>
            </w:r>
            <w:r>
              <w:rPr>
                <w:rFonts w:ascii="宋体" w:hAnsi="宋体" w:cs="Arial"/>
                <w:color w:val="auto"/>
                <w:szCs w:val="21"/>
                <w:highlight w:val="none"/>
              </w:rPr>
              <w:t>个工作日内，支付</w:t>
            </w:r>
            <w:r>
              <w:rPr>
                <w:rFonts w:hint="eastAsia" w:ascii="宋体" w:hAnsi="宋体" w:cs="Arial"/>
                <w:color w:val="auto"/>
                <w:szCs w:val="21"/>
                <w:highlight w:val="none"/>
              </w:rPr>
              <w:t>中标人</w:t>
            </w:r>
            <w:r>
              <w:rPr>
                <w:rFonts w:ascii="宋体" w:hAnsi="宋体" w:cs="Arial"/>
                <w:color w:val="auto"/>
                <w:szCs w:val="21"/>
                <w:highlight w:val="none"/>
              </w:rPr>
              <w:t>服务费</w:t>
            </w:r>
            <w:r>
              <w:rPr>
                <w:rFonts w:hint="eastAsia" w:ascii="宋体" w:hAnsi="宋体" w:cs="Arial"/>
                <w:color w:val="auto"/>
                <w:szCs w:val="21"/>
                <w:highlight w:val="none"/>
              </w:rPr>
              <w:t>和</w:t>
            </w:r>
            <w:r>
              <w:rPr>
                <w:rFonts w:hint="eastAsia" w:ascii="宋体" w:hAnsi="宋体" w:cs="Arial"/>
                <w:color w:val="auto"/>
                <w:szCs w:val="21"/>
                <w:highlight w:val="none"/>
                <w:lang w:eastAsia="zh-CN"/>
              </w:rPr>
              <w:t>食材费用</w:t>
            </w:r>
            <w:r>
              <w:rPr>
                <w:rFonts w:ascii="宋体" w:hAnsi="宋体" w:cs="Arial"/>
                <w:color w:val="auto"/>
                <w:szCs w:val="21"/>
                <w:highlight w:val="none"/>
              </w:rPr>
              <w:t>。</w:t>
            </w:r>
          </w:p>
          <w:p w14:paraId="5FF4801B">
            <w:pPr>
              <w:spacing w:line="360" w:lineRule="exact"/>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 xml:space="preserve"> (五)总体要求</w:t>
            </w:r>
          </w:p>
          <w:p w14:paraId="2AA89A42">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1、投标人应充分理解并认真遵循本招标文件的要求，所提供的物品必须是满足招标文件要求，必须符合《中华人民共和国食品卫生法》、《中华人民共和国食品安全法》要求。</w:t>
            </w:r>
          </w:p>
          <w:p w14:paraId="7046DF69">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2、所提供的物品必须符合国家行业生产及经营标准，货真价实，均能提供相应批次的合格检验证明。</w:t>
            </w:r>
          </w:p>
          <w:p w14:paraId="0D4AD16E">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3、所提供的物品必须各项技术指标完全符合国家有关质量检测、环保标准及产品出厂标准。</w:t>
            </w:r>
          </w:p>
          <w:p w14:paraId="7C957F83">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4、所有货物指标要符合国家强制性标准要求。</w:t>
            </w:r>
          </w:p>
          <w:p w14:paraId="1C317B33">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5、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14:paraId="3D021D3D">
            <w:pPr>
              <w:spacing w:line="360" w:lineRule="exact"/>
              <w:ind w:firstLine="420" w:firstLineChars="200"/>
              <w:rPr>
                <w:rFonts w:hint="eastAsia" w:ascii="宋体" w:hAnsi="宋体" w:cs="Arial"/>
                <w:b/>
                <w:bCs/>
                <w:color w:val="auto"/>
                <w:szCs w:val="21"/>
                <w:highlight w:val="none"/>
              </w:rPr>
            </w:pPr>
            <w:r>
              <w:rPr>
                <w:rFonts w:hint="eastAsia" w:ascii="宋体" w:hAnsi="宋体" w:cs="Arial"/>
                <w:b/>
                <w:bCs/>
                <w:color w:val="auto"/>
                <w:szCs w:val="21"/>
                <w:highlight w:val="none"/>
              </w:rPr>
              <w:t xml:space="preserve"> (六)服务要求：</w:t>
            </w:r>
          </w:p>
          <w:p w14:paraId="6123600F">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1、中标人负责货物的运输、质量检测等工作。所供货物随机检测，每年4次。所产生的费用由中标人负责。</w:t>
            </w:r>
          </w:p>
          <w:p w14:paraId="2D1685D1">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2、由于采购人工作的特殊性，中标人应做好本单位工作人员的教育工作，遵守采购人各项规定。</w:t>
            </w:r>
          </w:p>
          <w:p w14:paraId="58A9E991">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3、采购人按合同对商品进行认真验收，对不符合规格要求的商品，无条件退货。采购人发现商品出现损坏（包括表面损坏），或出现串味、受潮等导致货物性质改变的，中标人必须无条件退货或更换商品。</w:t>
            </w:r>
          </w:p>
          <w:p w14:paraId="5A9C4FE4">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4、采购人发现新购货物不能正常使用的，中标人应无条件退换。中标人所供商品在保质期出现损坏的，中标人应承诺提供替换服务，因替换货物产生的费用由中标人负责。如物品非因采购人人为而出现质量问题由中标人包换或包退，所造成的经济损失由中标人负责。</w:t>
            </w:r>
          </w:p>
          <w:p w14:paraId="43CDEFE7">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5、中标人应保证所提供的货物绝对质量可靠，如出现食物食品安全事故，送卫生、检疫部门鉴定属于中标人责任的，一切责任由中标人承担，采购人有权无条件终止合同。</w:t>
            </w:r>
          </w:p>
          <w:p w14:paraId="5B5C20DF">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6、对不符合采购要求的食品由验收人员提出清退，退货前应实行留板备案，如双方对质量争议可送国家质监部门检测。对缺斤短两（或含水量超标）的应按实际重量扣减。</w:t>
            </w:r>
          </w:p>
          <w:p w14:paraId="44A7919D">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7、中标人在实施货物供货期间，不得将供货的实际数量及供货地点泄露给其他企业或者个人，中标人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p w14:paraId="7D6A3A09">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8、在项目实施期间，若相关部门有统一的政策要求，如签订的合同内容与最新的政策要求有违背的，则合同终止，中标人应无条件服从并积极配合采购人。</w:t>
            </w:r>
          </w:p>
          <w:p w14:paraId="31B8C5BB">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9、每天所提供物品留样保存，样本保留期不少于48小时。</w:t>
            </w:r>
          </w:p>
          <w:p w14:paraId="37E73052">
            <w:pPr>
              <w:spacing w:line="360" w:lineRule="exact"/>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（七）货品质量要求</w:t>
            </w:r>
          </w:p>
          <w:p w14:paraId="72448E77">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中标人所采购的货品质量应符合国家行业相关标准和规范，达到质量合格标准。具体要求详见《附件1》。</w:t>
            </w:r>
          </w:p>
          <w:p w14:paraId="4EC29E67">
            <w:pPr>
              <w:spacing w:line="360" w:lineRule="exact"/>
              <w:ind w:firstLine="420" w:firstLineChars="200"/>
              <w:rPr>
                <w:rFonts w:ascii="宋体" w:hAnsi="宋体" w:cs="Arial"/>
                <w:b/>
                <w:bCs/>
                <w:color w:val="auto"/>
                <w:szCs w:val="21"/>
                <w:highlight w:val="none"/>
              </w:rPr>
            </w:pPr>
            <w:r>
              <w:rPr>
                <w:rFonts w:hint="eastAsia" w:ascii="宋体" w:hAnsi="宋体" w:cs="Arial"/>
                <w:b/>
                <w:bCs/>
                <w:color w:val="auto"/>
                <w:szCs w:val="21"/>
                <w:highlight w:val="none"/>
                <w:lang w:val="en-US" w:eastAsia="zh-CN"/>
              </w:rPr>
              <w:t xml:space="preserve"> </w:t>
            </w:r>
            <w:r>
              <w:rPr>
                <w:rFonts w:hint="eastAsia" w:ascii="宋体" w:hAnsi="宋体" w:cs="Arial"/>
                <w:b/>
                <w:bCs/>
                <w:color w:val="auto"/>
                <w:szCs w:val="21"/>
                <w:highlight w:val="none"/>
              </w:rPr>
              <w:t>(六)配送要求</w:t>
            </w:r>
          </w:p>
          <w:p w14:paraId="4F0EACEF">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（1）中标人须负责所订货物的运输、搬运等工作，所产生的费用由中标人负责。</w:t>
            </w:r>
          </w:p>
          <w:p w14:paraId="7F1D51DF">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（2）中标人的送货单须详细注明商品的品牌、型号、单价、数量,送货单不得涂改。标记不清的，采购人将拒绝签收。结算期末中标人还应提供送货清单供采购人结算。</w:t>
            </w:r>
          </w:p>
          <w:p w14:paraId="192ED44A">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（3）中标人指定的送货专员须穿着便于辨认的工衣和配戴胸卡，送货专员在办公区活动必须严格遵守采购人各项规章制度，不得做出有损采购人形象和利益的事情。</w:t>
            </w:r>
          </w:p>
          <w:p w14:paraId="2369CF7A">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（4）数量方面要求：保证配送品种斤两的准确性，以采购人的验货数量为准，中标人每次随货送上一式两份的送货清单，供双方验货后签字确认，双方各持一份，作为送、收货的凭证。</w:t>
            </w:r>
          </w:p>
          <w:p w14:paraId="7602C4DC">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5）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46284793">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6）送货车辆实行一小时配送圈运作，目的地在一小时内的用保温车配送，一小时以外的用制冷车配送，保证冷冻肉中心温度控制在-18℃左右，保证运输过程冷链不中断。商品到达目的地时外包装箱干爽，无软化现象。</w:t>
            </w:r>
          </w:p>
          <w:p w14:paraId="434BD5D5">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（7）送货车辆应保持清洁；食品堆放科学合理，避免造成食品的交叉污染；如对温度有要求的食品应确定食品的温度，记录送货车辆温度，并记录存档。</w:t>
            </w:r>
          </w:p>
          <w:p w14:paraId="3C0D9206">
            <w:pPr>
              <w:spacing w:line="360" w:lineRule="exact"/>
              <w:ind w:firstLine="420" w:firstLineChars="200"/>
              <w:rPr>
                <w:rFonts w:hint="eastAsia" w:ascii="宋体" w:hAnsi="宋体"/>
                <w:b/>
                <w:color w:val="auto"/>
                <w:szCs w:val="21"/>
                <w:highlight w:val="none"/>
              </w:rPr>
            </w:pPr>
            <w:r>
              <w:rPr>
                <w:rFonts w:hint="eastAsia" w:ascii="宋体" w:hAnsi="宋体" w:cs="Arial"/>
                <w:color w:val="auto"/>
                <w:szCs w:val="21"/>
                <w:highlight w:val="none"/>
              </w:rPr>
              <w:t>（8）在配送卸货环节中应保证冷藏食品脱离冷链时间不得超过20分钟，冷冻食品脱离冷链时间不得超过30分钟。</w:t>
            </w:r>
          </w:p>
          <w:p w14:paraId="775E7823">
            <w:pPr>
              <w:widowControl/>
              <w:spacing w:line="360" w:lineRule="exac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九、人员工资待遇要求</w:t>
            </w:r>
          </w:p>
          <w:p w14:paraId="6AACED9B">
            <w:pPr>
              <w:widowControl/>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人员工资待遇：工资待遇要求不低于服务驻地的基本市场信息价格，必须按国家规定的标准为员工购买养老保险、医疗保险、失业保险、工伤保险、生育保险等社会保障资金（待遇标准应符合国家相关规定，具体标准由投标人在投标文件中先承诺，在确定为中标人后经采购人确认）。</w:t>
            </w:r>
          </w:p>
          <w:p w14:paraId="4B6068BF">
            <w:pPr>
              <w:widowControl/>
              <w:spacing w:line="360" w:lineRule="exact"/>
              <w:rPr>
                <w:rFonts w:ascii="宋体" w:hAnsi="宋体"/>
                <w:b/>
                <w:color w:val="auto"/>
                <w:szCs w:val="21"/>
                <w:highlight w:val="none"/>
              </w:rPr>
            </w:pPr>
            <w:r>
              <w:rPr>
                <w:rFonts w:hint="eastAsia" w:ascii="宋体" w:hAnsi="宋体"/>
                <w:b/>
                <w:color w:val="auto"/>
                <w:szCs w:val="21"/>
                <w:highlight w:val="none"/>
              </w:rPr>
              <w:t>十、其他要求</w:t>
            </w:r>
          </w:p>
          <w:p w14:paraId="3E4B07D6">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1、投标人应建立节能、节约方面的工作制度，</w:t>
            </w:r>
            <w:r>
              <w:rPr>
                <w:rFonts w:hint="eastAsia" w:ascii="宋体" w:hAnsi="宋体"/>
                <w:color w:val="auto"/>
                <w:szCs w:val="21"/>
                <w:highlight w:val="none"/>
                <w:lang w:eastAsia="zh-CN"/>
              </w:rPr>
              <w:t>投标人（服务方）</w:t>
            </w:r>
            <w:r>
              <w:rPr>
                <w:rFonts w:hint="eastAsia" w:ascii="宋体" w:hAnsi="宋体"/>
                <w:color w:val="auto"/>
                <w:szCs w:val="21"/>
                <w:highlight w:val="none"/>
              </w:rPr>
              <w:t>要教育员工做好节能工作，不能浪费水、电、燃气等能源；在工作过程中，须爱护设施设备，对食材及餐厨用品要合理安排、节约使用、杜绝浪费。</w:t>
            </w:r>
          </w:p>
          <w:p w14:paraId="1E19B912">
            <w:pPr>
              <w:widowControl/>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2、投标人应具有专业的服务团队，具有从事餐饮管理服务经验。</w:t>
            </w:r>
          </w:p>
          <w:p w14:paraId="17349236">
            <w:pPr>
              <w:widowControl/>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3、投标人具有劳务服务方案及相关制度，如出品控制流程、食品安全及环境卫生管理方案、食品的制作流程管理、楼面服务管理方案、</w:t>
            </w:r>
            <w:r>
              <w:rPr>
                <w:rFonts w:hint="default" w:ascii="宋体" w:hAnsi="宋体"/>
                <w:color w:val="auto"/>
                <w:szCs w:val="21"/>
                <w:highlight w:val="none"/>
                <w:lang w:val="en"/>
              </w:rPr>
              <w:t>机关食堂</w:t>
            </w:r>
            <w:r>
              <w:rPr>
                <w:rFonts w:hint="eastAsia" w:ascii="宋体" w:hAnsi="宋体"/>
                <w:color w:val="auto"/>
                <w:szCs w:val="21"/>
                <w:highlight w:val="none"/>
              </w:rPr>
              <w:t>人员职责管理方案、紧急预案管理（食品安全、</w:t>
            </w:r>
            <w:r>
              <w:rPr>
                <w:rFonts w:hint="default" w:ascii="宋体" w:hAnsi="宋体"/>
                <w:color w:val="auto"/>
                <w:szCs w:val="21"/>
                <w:highlight w:val="none"/>
                <w:lang w:val="en"/>
              </w:rPr>
              <w:t>机关食堂</w:t>
            </w:r>
            <w:r>
              <w:rPr>
                <w:rFonts w:hint="eastAsia" w:ascii="宋体" w:hAnsi="宋体"/>
                <w:color w:val="auto"/>
                <w:szCs w:val="21"/>
                <w:highlight w:val="none"/>
              </w:rPr>
              <w:t>火灾、</w:t>
            </w:r>
            <w:r>
              <w:rPr>
                <w:rFonts w:hint="default" w:ascii="宋体" w:hAnsi="宋体"/>
                <w:color w:val="auto"/>
                <w:szCs w:val="21"/>
                <w:highlight w:val="none"/>
                <w:lang w:val="en"/>
              </w:rPr>
              <w:t>机关食堂</w:t>
            </w:r>
            <w:r>
              <w:rPr>
                <w:rFonts w:hint="eastAsia" w:ascii="宋体" w:hAnsi="宋体"/>
                <w:color w:val="auto"/>
                <w:szCs w:val="21"/>
                <w:highlight w:val="none"/>
              </w:rPr>
              <w:t>停水、停电、停气应急处置预案）、日常工作质量检查制度等。</w:t>
            </w:r>
          </w:p>
          <w:p w14:paraId="0BBE91D9">
            <w:pPr>
              <w:widowControl/>
              <w:spacing w:line="36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4.投标人通过智能分析，对食堂的烹饪过程进行实时监督，保证食品加工符合卫生标准。</w:t>
            </w:r>
          </w:p>
          <w:p w14:paraId="58E62A86">
            <w:pPr>
              <w:widowControl/>
              <w:spacing w:line="36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5.在满足本单位用餐需求的基础上，投标人应视情况为本单位及社会公众提供外卖服务，积极响应机关饭堂向社会开放的相关鼓励政策。</w:t>
            </w:r>
          </w:p>
        </w:tc>
      </w:tr>
      <w:tr w14:paraId="772E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747" w:type="dxa"/>
            <w:gridSpan w:val="5"/>
            <w:noWrap w:val="0"/>
            <w:vAlign w:val="center"/>
          </w:tcPr>
          <w:p w14:paraId="39A46F93">
            <w:pPr>
              <w:pStyle w:val="4"/>
              <w:snapToGrid w:val="0"/>
              <w:spacing w:line="360" w:lineRule="exact"/>
              <w:jc w:val="left"/>
              <w:outlineLvl w:val="0"/>
              <w:rPr>
                <w:rFonts w:hAnsi="宋体" w:cs="宋体"/>
                <w:b/>
                <w:color w:val="auto"/>
                <w:highlight w:val="none"/>
              </w:rPr>
            </w:pPr>
            <w:bookmarkStart w:id="4" w:name="_Toc30221"/>
            <w:bookmarkStart w:id="5" w:name="_Toc20599"/>
            <w:bookmarkStart w:id="6" w:name="_Toc508006598"/>
            <w:bookmarkStart w:id="7" w:name="_Toc525749822"/>
            <w:bookmarkStart w:id="8" w:name="_Toc18757"/>
            <w:bookmarkStart w:id="9" w:name="_Toc508006263"/>
            <w:bookmarkStart w:id="10" w:name="_Toc511591971"/>
            <w:bookmarkStart w:id="11" w:name="_Toc9604"/>
            <w:r>
              <w:rPr>
                <w:rFonts w:hint="eastAsia" w:hAnsi="宋体" w:cs="宋体"/>
                <w:b/>
                <w:color w:val="auto"/>
                <w:highlight w:val="none"/>
              </w:rPr>
              <w:t>二、商务要求表</w:t>
            </w:r>
            <w:bookmarkEnd w:id="4"/>
            <w:bookmarkEnd w:id="5"/>
            <w:bookmarkEnd w:id="6"/>
            <w:bookmarkEnd w:id="7"/>
            <w:bookmarkEnd w:id="8"/>
            <w:bookmarkEnd w:id="9"/>
            <w:bookmarkEnd w:id="10"/>
            <w:bookmarkEnd w:id="11"/>
          </w:p>
        </w:tc>
      </w:tr>
      <w:tr w14:paraId="2463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noWrap w:val="0"/>
            <w:vAlign w:val="center"/>
          </w:tcPr>
          <w:p w14:paraId="632550B0">
            <w:pPr>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投标报价要求</w:t>
            </w:r>
          </w:p>
        </w:tc>
        <w:tc>
          <w:tcPr>
            <w:tcW w:w="7892" w:type="dxa"/>
            <w:gridSpan w:val="3"/>
            <w:noWrap w:val="0"/>
            <w:vAlign w:val="center"/>
          </w:tcPr>
          <w:p w14:paraId="2E873A29">
            <w:pPr>
              <w:spacing w:line="360" w:lineRule="exact"/>
              <w:rPr>
                <w:rFonts w:ascii="宋体" w:hAnsi="宋体"/>
                <w:color w:val="auto"/>
                <w:szCs w:val="21"/>
                <w:highlight w:val="none"/>
              </w:rPr>
            </w:pPr>
            <w:r>
              <w:rPr>
                <w:rFonts w:hint="eastAsia" w:ascii="宋体" w:hAnsi="宋体"/>
                <w:color w:val="auto"/>
                <w:szCs w:val="21"/>
                <w:highlight w:val="none"/>
              </w:rPr>
              <w:t>本项目实行总承包报价</w:t>
            </w:r>
            <w:r>
              <w:rPr>
                <w:rFonts w:hint="eastAsia" w:ascii="宋体" w:hAnsi="宋体" w:eastAsia="宋体"/>
                <w:color w:val="auto"/>
                <w:szCs w:val="21"/>
                <w:highlight w:val="none"/>
                <w:lang w:eastAsia="zh-CN"/>
              </w:rPr>
              <w:t>（不含</w:t>
            </w:r>
            <w:r>
              <w:rPr>
                <w:rFonts w:hint="eastAsia" w:ascii="宋体" w:hAnsi="宋体" w:eastAsia="宋体"/>
                <w:color w:val="auto"/>
                <w:szCs w:val="21"/>
                <w:highlight w:val="none"/>
                <w:lang w:val="en-US" w:eastAsia="zh-CN"/>
              </w:rPr>
              <w:t>食材</w:t>
            </w:r>
            <w:r>
              <w:rPr>
                <w:rFonts w:hint="eastAsia" w:ascii="宋体" w:hAnsi="宋体" w:eastAsia="宋体"/>
                <w:color w:val="auto"/>
                <w:szCs w:val="21"/>
                <w:highlight w:val="none"/>
                <w:lang w:eastAsia="zh-CN"/>
              </w:rPr>
              <w:t>采购费用）</w:t>
            </w:r>
            <w:r>
              <w:rPr>
                <w:rFonts w:hint="eastAsia" w:ascii="宋体" w:hAnsi="宋体"/>
                <w:color w:val="auto"/>
                <w:szCs w:val="21"/>
                <w:highlight w:val="none"/>
              </w:rPr>
              <w:t>，投标报价包含但不限于以下部分：</w:t>
            </w:r>
          </w:p>
          <w:p w14:paraId="4987FE35">
            <w:pPr>
              <w:spacing w:line="360" w:lineRule="exact"/>
              <w:rPr>
                <w:rFonts w:ascii="宋体" w:hAnsi="宋体"/>
                <w:color w:val="auto"/>
                <w:szCs w:val="21"/>
                <w:highlight w:val="none"/>
              </w:rPr>
            </w:pPr>
            <w:r>
              <w:rPr>
                <w:rFonts w:hint="eastAsia" w:ascii="宋体" w:hAnsi="宋体"/>
                <w:color w:val="auto"/>
                <w:szCs w:val="21"/>
                <w:highlight w:val="none"/>
              </w:rPr>
              <w:t>1、服务的价格；</w:t>
            </w:r>
          </w:p>
          <w:p w14:paraId="57F56B59">
            <w:pPr>
              <w:spacing w:line="360" w:lineRule="exact"/>
              <w:rPr>
                <w:rFonts w:ascii="宋体" w:hAnsi="宋体"/>
                <w:color w:val="auto"/>
                <w:szCs w:val="21"/>
                <w:highlight w:val="none"/>
              </w:rPr>
            </w:pPr>
            <w:r>
              <w:rPr>
                <w:rFonts w:hint="eastAsia" w:ascii="宋体" w:hAnsi="宋体"/>
                <w:color w:val="auto"/>
                <w:szCs w:val="21"/>
                <w:highlight w:val="none"/>
              </w:rPr>
              <w:t>2、必要的保险费用和各项税金；</w:t>
            </w:r>
          </w:p>
          <w:p w14:paraId="29563135">
            <w:pPr>
              <w:spacing w:line="360" w:lineRule="exact"/>
              <w:rPr>
                <w:rFonts w:ascii="宋体" w:hAnsi="宋体"/>
                <w:color w:val="auto"/>
                <w:szCs w:val="21"/>
                <w:highlight w:val="none"/>
              </w:rPr>
            </w:pPr>
            <w:r>
              <w:rPr>
                <w:rFonts w:hint="eastAsia" w:ascii="宋体" w:hAnsi="宋体"/>
                <w:color w:val="auto"/>
                <w:szCs w:val="21"/>
                <w:highlight w:val="none"/>
              </w:rPr>
              <w:t>3、服务团队的工资、各项保险、培训费、体检费、服装费、劳保费、税费、管理费、餐厨垃圾处理等一切服务成本费用的总和；</w:t>
            </w:r>
          </w:p>
          <w:p w14:paraId="777FA834">
            <w:pPr>
              <w:spacing w:line="360" w:lineRule="exact"/>
              <w:rPr>
                <w:rFonts w:ascii="宋体" w:hAnsi="宋体"/>
                <w:color w:val="auto"/>
                <w:szCs w:val="21"/>
                <w:highlight w:val="none"/>
              </w:rPr>
            </w:pPr>
            <w:r>
              <w:rPr>
                <w:rFonts w:hint="eastAsia" w:ascii="宋体" w:hAnsi="宋体"/>
                <w:color w:val="auto"/>
                <w:szCs w:val="21"/>
                <w:highlight w:val="none"/>
              </w:rPr>
              <w:t>4、除餐厅所需的纸巾、牙签、打包袋(盒)等低值易耗品由采购人负责外，提供本</w:t>
            </w:r>
            <w:r>
              <w:rPr>
                <w:rFonts w:ascii="宋体" w:hAnsi="宋体"/>
                <w:color w:val="auto"/>
                <w:szCs w:val="21"/>
                <w:highlight w:val="none"/>
              </w:rPr>
              <w:t>项目全程服务过程中所发生的一切费用</w:t>
            </w:r>
            <w:r>
              <w:rPr>
                <w:rFonts w:hint="eastAsia" w:ascii="宋体" w:hAnsi="宋体"/>
                <w:color w:val="auto"/>
                <w:szCs w:val="21"/>
                <w:highlight w:val="none"/>
              </w:rPr>
              <w:t>；</w:t>
            </w:r>
          </w:p>
          <w:p w14:paraId="22878B0B">
            <w:pPr>
              <w:spacing w:line="360" w:lineRule="exact"/>
              <w:rPr>
                <w:rFonts w:ascii="宋体" w:hAnsi="宋体"/>
                <w:color w:val="auto"/>
                <w:szCs w:val="21"/>
                <w:highlight w:val="none"/>
              </w:rPr>
            </w:pPr>
            <w:r>
              <w:rPr>
                <w:rFonts w:hint="eastAsia" w:ascii="宋体" w:hAnsi="宋体"/>
                <w:color w:val="auto"/>
                <w:szCs w:val="21"/>
                <w:highlight w:val="none"/>
              </w:rPr>
              <w:t>在本项目实施过程中，投标总价不予调整，采购人不再支付中标价格以外的任何费用。</w:t>
            </w:r>
          </w:p>
        </w:tc>
      </w:tr>
      <w:tr w14:paraId="727D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noWrap w:val="0"/>
            <w:vAlign w:val="center"/>
          </w:tcPr>
          <w:p w14:paraId="1FA9DDAC">
            <w:pPr>
              <w:spacing w:line="36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pacing w:val="-6"/>
                <w:szCs w:val="21"/>
                <w:highlight w:val="none"/>
              </w:rPr>
              <w:t>项目服务期限及服务地点</w:t>
            </w:r>
          </w:p>
        </w:tc>
        <w:tc>
          <w:tcPr>
            <w:tcW w:w="7892" w:type="dxa"/>
            <w:gridSpan w:val="3"/>
            <w:noWrap w:val="0"/>
            <w:vAlign w:val="center"/>
          </w:tcPr>
          <w:p w14:paraId="2E209170">
            <w:pPr>
              <w:numPr>
                <w:ilvl w:val="0"/>
                <w:numId w:val="1"/>
              </w:num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项目服务期限：自合同签订之日起三年，自合同生效之日起计算；乙方服务质量需接受甲方年度满意度测评，若任一自然年度的满意度测评结果低于90%，甲方有权提前通知乙方解除下一年度的服务约定。</w:t>
            </w:r>
          </w:p>
          <w:p w14:paraId="556584AC">
            <w:pPr>
              <w:numPr>
                <w:ilvl w:val="-1"/>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2、服务地点：广西南宁市锦春路3号和锦春路20号。</w:t>
            </w:r>
          </w:p>
        </w:tc>
      </w:tr>
      <w:tr w14:paraId="63F6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55" w:type="dxa"/>
            <w:gridSpan w:val="2"/>
            <w:noWrap w:val="0"/>
            <w:vAlign w:val="center"/>
          </w:tcPr>
          <w:p w14:paraId="4D917DD9">
            <w:pPr>
              <w:spacing w:line="360" w:lineRule="exact"/>
              <w:jc w:val="center"/>
              <w:rPr>
                <w:rFonts w:ascii="宋体" w:hAnsi="宋体"/>
                <w:color w:val="auto"/>
                <w:spacing w:val="-6"/>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付款条件</w:t>
            </w:r>
          </w:p>
        </w:tc>
        <w:tc>
          <w:tcPr>
            <w:tcW w:w="7892" w:type="dxa"/>
            <w:gridSpan w:val="3"/>
            <w:noWrap w:val="0"/>
            <w:vAlign w:val="center"/>
          </w:tcPr>
          <w:p w14:paraId="703F7B66">
            <w:pPr>
              <w:spacing w:line="360" w:lineRule="exact"/>
              <w:ind w:left="2"/>
              <w:jc w:val="left"/>
              <w:rPr>
                <w:rFonts w:hint="eastAsia" w:ascii="宋体" w:hAnsi="宋体"/>
                <w:color w:val="auto"/>
                <w:szCs w:val="21"/>
                <w:highlight w:val="none"/>
              </w:rPr>
            </w:pPr>
            <w:r>
              <w:rPr>
                <w:rFonts w:hint="eastAsia" w:ascii="宋体" w:hAnsi="宋体"/>
                <w:color w:val="auto"/>
                <w:szCs w:val="21"/>
                <w:highlight w:val="none"/>
              </w:rPr>
              <w:t>本项目无预付款，</w:t>
            </w:r>
            <w:r>
              <w:rPr>
                <w:rFonts w:hint="default" w:ascii="宋体" w:hAnsi="宋体"/>
                <w:color w:val="auto"/>
                <w:szCs w:val="21"/>
                <w:highlight w:val="none"/>
                <w:lang w:val="en"/>
              </w:rPr>
              <w:t>机关食堂</w:t>
            </w:r>
            <w:r>
              <w:rPr>
                <w:rFonts w:hint="eastAsia" w:ascii="宋体" w:hAnsi="宋体"/>
                <w:color w:val="auto"/>
                <w:szCs w:val="21"/>
                <w:highlight w:val="none"/>
              </w:rPr>
              <w:t>服务方的服务费</w:t>
            </w:r>
            <w:r>
              <w:rPr>
                <w:rFonts w:hint="eastAsia" w:ascii="宋体" w:hAnsi="宋体"/>
                <w:color w:val="auto"/>
                <w:szCs w:val="21"/>
                <w:highlight w:val="none"/>
                <w:lang w:eastAsia="zh-CN"/>
              </w:rPr>
              <w:t>每季度支付一次，食材费用</w:t>
            </w:r>
            <w:r>
              <w:rPr>
                <w:rFonts w:hint="eastAsia" w:ascii="宋体" w:hAnsi="宋体"/>
                <w:color w:val="auto"/>
                <w:szCs w:val="21"/>
                <w:highlight w:val="none"/>
              </w:rPr>
              <w:t>每月支付一次（服务费具体金额由双方商定，食材费</w:t>
            </w:r>
            <w:r>
              <w:rPr>
                <w:rFonts w:hint="eastAsia" w:ascii="宋体" w:hAnsi="宋体"/>
                <w:color w:val="auto"/>
                <w:szCs w:val="21"/>
                <w:highlight w:val="none"/>
                <w:lang w:eastAsia="zh-CN"/>
              </w:rPr>
              <w:t>用</w:t>
            </w:r>
            <w:r>
              <w:rPr>
                <w:rFonts w:hint="eastAsia" w:ascii="宋体" w:hAnsi="宋体"/>
                <w:color w:val="auto"/>
                <w:szCs w:val="21"/>
                <w:highlight w:val="none"/>
              </w:rPr>
              <w:t>按采购人订单支付）。具体结算要求如下：</w:t>
            </w:r>
          </w:p>
          <w:p w14:paraId="1B20E0E6">
            <w:pPr>
              <w:spacing w:line="36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实行按季度付款方式支付服务费和按月付款方式支付食材费用。即在中标人提供满一个季度的服务后，次月的15个工作日内由中标人提交付款申请，并提供中标人指派人员出勤情况，报采购人审核。采购人在收到申请后15个工作日内审核完毕，在扣除相关费用的基础上（含罚款、赔偿、扣减服务费、违约金等各种款项），支付上季度的服务费。食材费用于次月的15个工作日内由中标人提交付款申请，并提供送货清单等相关凭证。</w:t>
            </w:r>
          </w:p>
          <w:p w14:paraId="2DD2DE39">
            <w:pPr>
              <w:spacing w:line="360" w:lineRule="exact"/>
              <w:jc w:val="left"/>
              <w:rPr>
                <w:rFonts w:ascii="宋体" w:hAnsi="宋体" w:cs="Arial"/>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付款前，中标人向采购人</w:t>
            </w:r>
            <w:r>
              <w:rPr>
                <w:rFonts w:ascii="宋体" w:hAnsi="宋体" w:cs="Arial"/>
                <w:color w:val="auto"/>
                <w:szCs w:val="21"/>
                <w:highlight w:val="none"/>
              </w:rPr>
              <w:t>提供等额的正规行业发票。</w:t>
            </w:r>
            <w:r>
              <w:rPr>
                <w:rFonts w:hint="eastAsia" w:ascii="宋体" w:hAnsi="宋体" w:cs="Arial"/>
                <w:color w:val="auto"/>
                <w:szCs w:val="21"/>
                <w:highlight w:val="none"/>
              </w:rPr>
              <w:t>采购人</w:t>
            </w:r>
            <w:r>
              <w:rPr>
                <w:rFonts w:ascii="宋体" w:hAnsi="宋体" w:cs="Arial"/>
                <w:color w:val="auto"/>
                <w:szCs w:val="21"/>
                <w:highlight w:val="none"/>
              </w:rPr>
              <w:t>收到</w:t>
            </w:r>
            <w:r>
              <w:rPr>
                <w:rFonts w:hint="eastAsia" w:ascii="宋体" w:hAnsi="宋体" w:cs="Arial"/>
                <w:color w:val="auto"/>
                <w:szCs w:val="21"/>
                <w:highlight w:val="none"/>
              </w:rPr>
              <w:t>中标人</w:t>
            </w:r>
            <w:r>
              <w:rPr>
                <w:rFonts w:ascii="宋体" w:hAnsi="宋体" w:cs="Arial"/>
                <w:color w:val="auto"/>
                <w:szCs w:val="21"/>
                <w:highlight w:val="none"/>
              </w:rPr>
              <w:t>发票</w:t>
            </w:r>
            <w:r>
              <w:rPr>
                <w:rFonts w:hint="eastAsia" w:ascii="宋体" w:hAnsi="宋体" w:cs="Arial"/>
                <w:color w:val="auto"/>
                <w:szCs w:val="21"/>
                <w:highlight w:val="none"/>
              </w:rPr>
              <w:t>15</w:t>
            </w:r>
            <w:r>
              <w:rPr>
                <w:rFonts w:ascii="宋体" w:hAnsi="宋体" w:cs="Arial"/>
                <w:color w:val="auto"/>
                <w:szCs w:val="21"/>
                <w:highlight w:val="none"/>
              </w:rPr>
              <w:t>个工作日内，支付</w:t>
            </w:r>
            <w:r>
              <w:rPr>
                <w:rFonts w:hint="eastAsia" w:ascii="宋体" w:hAnsi="宋体" w:cs="Arial"/>
                <w:color w:val="auto"/>
                <w:szCs w:val="21"/>
                <w:highlight w:val="none"/>
              </w:rPr>
              <w:t>中标人</w:t>
            </w:r>
            <w:r>
              <w:rPr>
                <w:rFonts w:ascii="宋体" w:hAnsi="宋体" w:cs="Arial"/>
                <w:color w:val="auto"/>
                <w:szCs w:val="21"/>
                <w:highlight w:val="none"/>
              </w:rPr>
              <w:t>服务费</w:t>
            </w:r>
            <w:r>
              <w:rPr>
                <w:rFonts w:hint="eastAsia" w:ascii="宋体" w:hAnsi="宋体" w:cs="Arial"/>
                <w:color w:val="auto"/>
                <w:szCs w:val="21"/>
                <w:highlight w:val="none"/>
              </w:rPr>
              <w:t>和</w:t>
            </w:r>
            <w:r>
              <w:rPr>
                <w:rFonts w:hint="eastAsia" w:ascii="宋体" w:hAnsi="宋体" w:cs="Arial"/>
                <w:color w:val="auto"/>
                <w:szCs w:val="21"/>
                <w:highlight w:val="none"/>
                <w:lang w:eastAsia="zh-CN"/>
              </w:rPr>
              <w:t>食材费用</w:t>
            </w:r>
            <w:r>
              <w:rPr>
                <w:rFonts w:ascii="宋体" w:hAnsi="宋体" w:cs="Arial"/>
                <w:color w:val="auto"/>
                <w:szCs w:val="21"/>
                <w:highlight w:val="none"/>
              </w:rPr>
              <w:t>。若</w:t>
            </w:r>
            <w:r>
              <w:rPr>
                <w:rFonts w:hint="eastAsia" w:ascii="宋体" w:hAnsi="宋体" w:cs="Arial"/>
                <w:color w:val="auto"/>
                <w:szCs w:val="21"/>
                <w:highlight w:val="none"/>
              </w:rPr>
              <w:t>中标人</w:t>
            </w:r>
            <w:r>
              <w:rPr>
                <w:rFonts w:ascii="宋体" w:hAnsi="宋体" w:cs="Arial"/>
                <w:color w:val="auto"/>
                <w:szCs w:val="21"/>
                <w:highlight w:val="none"/>
              </w:rPr>
              <w:t>未按要求提供约定发票，</w:t>
            </w:r>
            <w:r>
              <w:rPr>
                <w:rFonts w:hint="eastAsia" w:ascii="宋体" w:hAnsi="宋体" w:cs="Arial"/>
                <w:color w:val="auto"/>
                <w:szCs w:val="21"/>
                <w:highlight w:val="none"/>
              </w:rPr>
              <w:t>采购人</w:t>
            </w:r>
            <w:r>
              <w:rPr>
                <w:rFonts w:ascii="宋体" w:hAnsi="宋体" w:cs="Arial"/>
                <w:color w:val="auto"/>
                <w:szCs w:val="21"/>
                <w:highlight w:val="none"/>
              </w:rPr>
              <w:t>有权拒付应付款项，但</w:t>
            </w:r>
            <w:r>
              <w:rPr>
                <w:rFonts w:hint="eastAsia" w:ascii="宋体" w:hAnsi="宋体" w:cs="Arial"/>
                <w:color w:val="auto"/>
                <w:szCs w:val="21"/>
                <w:highlight w:val="none"/>
              </w:rPr>
              <w:t>中标人应</w:t>
            </w:r>
            <w:r>
              <w:rPr>
                <w:rFonts w:ascii="宋体" w:hAnsi="宋体" w:cs="Arial"/>
                <w:color w:val="auto"/>
                <w:szCs w:val="21"/>
                <w:highlight w:val="none"/>
              </w:rPr>
              <w:t>按合同约定继续履行服务义务，确保</w:t>
            </w:r>
            <w:r>
              <w:rPr>
                <w:rFonts w:hint="eastAsia" w:ascii="宋体" w:hAnsi="宋体" w:cs="Arial"/>
                <w:color w:val="auto"/>
                <w:szCs w:val="21"/>
                <w:highlight w:val="none"/>
              </w:rPr>
              <w:t>采购人</w:t>
            </w:r>
            <w:r>
              <w:rPr>
                <w:rFonts w:ascii="宋体" w:hAnsi="宋体" w:cs="Arial"/>
                <w:color w:val="auto"/>
                <w:szCs w:val="21"/>
                <w:highlight w:val="none"/>
              </w:rPr>
              <w:t>正常运营。当发生此等情况时，</w:t>
            </w:r>
            <w:r>
              <w:rPr>
                <w:rFonts w:hint="eastAsia" w:ascii="宋体" w:hAnsi="宋体" w:cs="Arial"/>
                <w:color w:val="auto"/>
                <w:szCs w:val="21"/>
                <w:highlight w:val="none"/>
              </w:rPr>
              <w:t>中标人</w:t>
            </w:r>
            <w:r>
              <w:rPr>
                <w:rFonts w:ascii="宋体" w:hAnsi="宋体" w:cs="Arial"/>
                <w:color w:val="auto"/>
                <w:szCs w:val="21"/>
                <w:highlight w:val="none"/>
              </w:rPr>
              <w:t>有义务自行先向所派员工支付各种相关费用。</w:t>
            </w:r>
          </w:p>
        </w:tc>
      </w:tr>
      <w:tr w14:paraId="27E8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55" w:type="dxa"/>
            <w:gridSpan w:val="2"/>
            <w:noWrap w:val="0"/>
            <w:vAlign w:val="center"/>
          </w:tcPr>
          <w:p w14:paraId="26F47EB2">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履约保证金和质量保证金</w:t>
            </w:r>
          </w:p>
        </w:tc>
        <w:tc>
          <w:tcPr>
            <w:tcW w:w="7892" w:type="dxa"/>
            <w:gridSpan w:val="3"/>
            <w:noWrap w:val="0"/>
            <w:vAlign w:val="center"/>
          </w:tcPr>
          <w:p w14:paraId="6C53742F">
            <w:pPr>
              <w:spacing w:line="360" w:lineRule="exact"/>
              <w:ind w:left="2"/>
              <w:jc w:val="left"/>
              <w:rPr>
                <w:rFonts w:hint="eastAsia" w:ascii="宋体" w:hAnsi="宋体"/>
                <w:color w:val="auto"/>
                <w:szCs w:val="21"/>
                <w:highlight w:val="none"/>
              </w:rPr>
            </w:pPr>
            <w:r>
              <w:rPr>
                <w:rFonts w:hint="eastAsia" w:ascii="宋体" w:hAnsi="宋体"/>
                <w:color w:val="auto"/>
                <w:szCs w:val="21"/>
                <w:highlight w:val="none"/>
              </w:rPr>
              <w:t>中标人在签订采购合同前必须在采购人指定账户上交纳合同总金额的</w:t>
            </w:r>
            <w:r>
              <w:rPr>
                <w:rFonts w:hint="eastAsia" w:ascii="宋体" w:hAnsi="宋体" w:eastAsia="宋体"/>
                <w:color w:val="auto"/>
                <w:szCs w:val="21"/>
                <w:highlight w:val="none"/>
                <w:lang w:val="en-US" w:eastAsia="zh-CN"/>
              </w:rPr>
              <w:t xml:space="preserve"> 2 </w:t>
            </w:r>
            <w:r>
              <w:rPr>
                <w:rFonts w:hint="eastAsia" w:ascii="宋体" w:hAnsi="宋体"/>
                <w:color w:val="auto"/>
                <w:szCs w:val="21"/>
                <w:highlight w:val="none"/>
              </w:rPr>
              <w:t>%作为履约保证金，履约保证金自项目验收合格之日起，经甲方考核（依据服务质量考核细则）无重大质量问题且无未结清债务的，15 个工作日内无息退还；若存在质量问题，甲方有权扣除相应保证金用于赔偿，不足部分另行追偿。</w:t>
            </w:r>
          </w:p>
        </w:tc>
      </w:tr>
      <w:tr w14:paraId="34AE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noWrap w:val="0"/>
            <w:vAlign w:val="center"/>
          </w:tcPr>
          <w:p w14:paraId="615C1276">
            <w:pPr>
              <w:spacing w:line="36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服务要求</w:t>
            </w:r>
          </w:p>
        </w:tc>
        <w:tc>
          <w:tcPr>
            <w:tcW w:w="7892" w:type="dxa"/>
            <w:gridSpan w:val="3"/>
            <w:noWrap w:val="0"/>
            <w:vAlign w:val="center"/>
          </w:tcPr>
          <w:p w14:paraId="68909515">
            <w:pPr>
              <w:widowControl/>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投标人（服务方）</w:t>
            </w:r>
            <w:r>
              <w:rPr>
                <w:rFonts w:hint="eastAsia" w:ascii="宋体" w:hAnsi="宋体"/>
                <w:color w:val="auto"/>
                <w:szCs w:val="21"/>
                <w:highlight w:val="none"/>
              </w:rPr>
              <w:t>负责服务团队日常服务工作的管理，包括人员招聘及管理、服务工作管理、环境卫生管理、作业安全管理等管理工作。因作业不当或管理不善，发生事件、事故的，由</w:t>
            </w:r>
            <w:r>
              <w:rPr>
                <w:rFonts w:hint="eastAsia" w:ascii="宋体" w:hAnsi="宋体"/>
                <w:color w:val="auto"/>
                <w:szCs w:val="21"/>
                <w:highlight w:val="none"/>
                <w:lang w:eastAsia="zh-CN"/>
              </w:rPr>
              <w:t>投标人（服务方）</w:t>
            </w:r>
            <w:r>
              <w:rPr>
                <w:rFonts w:hint="eastAsia" w:ascii="宋体" w:hAnsi="宋体"/>
                <w:color w:val="auto"/>
                <w:szCs w:val="21"/>
                <w:highlight w:val="none"/>
              </w:rPr>
              <w:t>承担全部责任。</w:t>
            </w:r>
          </w:p>
          <w:p w14:paraId="51263CB7">
            <w:pPr>
              <w:widowControl/>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投标人（服务方）</w:t>
            </w:r>
            <w:r>
              <w:rPr>
                <w:rFonts w:hint="eastAsia" w:ascii="宋体" w:hAnsi="宋体"/>
                <w:color w:val="auto"/>
                <w:szCs w:val="21"/>
                <w:highlight w:val="none"/>
              </w:rPr>
              <w:t>自行承担所聘用团队人员的工资、福利、体检、培训等管理费用，以及工作服、工作帽、工作鞋、袖套等劳保用品费用以及与其国家或地方法规所要求征收的税金、保险等其它费用，承诺与</w:t>
            </w:r>
            <w:r>
              <w:rPr>
                <w:rFonts w:hint="default" w:ascii="宋体" w:hAnsi="宋体"/>
                <w:color w:val="auto"/>
                <w:szCs w:val="21"/>
                <w:highlight w:val="none"/>
                <w:lang w:val="en"/>
              </w:rPr>
              <w:t>机关食堂</w:t>
            </w:r>
            <w:r>
              <w:rPr>
                <w:rFonts w:hint="eastAsia" w:ascii="宋体" w:hAnsi="宋体"/>
                <w:color w:val="auto"/>
                <w:szCs w:val="21"/>
                <w:highlight w:val="none"/>
              </w:rPr>
              <w:t>员工签订《劳动用工合同》，交纳相关保险。</w:t>
            </w:r>
          </w:p>
          <w:p w14:paraId="2AEB9D6A">
            <w:pPr>
              <w:widowControl/>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投标人（服务方）</w:t>
            </w:r>
            <w:r>
              <w:rPr>
                <w:rFonts w:hint="eastAsia" w:ascii="宋体" w:hAnsi="宋体"/>
                <w:color w:val="auto"/>
                <w:szCs w:val="21"/>
                <w:highlight w:val="none"/>
              </w:rPr>
              <w:t>要接受采购人的监督管理和考核，对采购人提出的不符合项要及时整改和完善。</w:t>
            </w:r>
          </w:p>
          <w:p w14:paraId="55BA4B5B">
            <w:pPr>
              <w:widowControl/>
              <w:spacing w:line="360" w:lineRule="exac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投标人（服务方）</w:t>
            </w:r>
            <w:r>
              <w:rPr>
                <w:rFonts w:hint="eastAsia" w:ascii="宋体" w:hAnsi="宋体"/>
                <w:color w:val="auto"/>
                <w:szCs w:val="21"/>
                <w:highlight w:val="none"/>
              </w:rPr>
              <w:t>在服务期间应遵守采购人相关管理制度、规定，并遵守国家相关法律法规，合法经营，如有员工违法行为按相关规定处理。</w:t>
            </w:r>
          </w:p>
          <w:p w14:paraId="0FAB6710">
            <w:pPr>
              <w:widowControl/>
              <w:spacing w:line="360" w:lineRule="exac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、为加强采购人</w:t>
            </w:r>
            <w:r>
              <w:rPr>
                <w:rFonts w:hint="default" w:ascii="宋体" w:hAnsi="宋体"/>
                <w:color w:val="auto"/>
                <w:szCs w:val="21"/>
                <w:highlight w:val="none"/>
                <w:lang w:val="en"/>
              </w:rPr>
              <w:t>机关食堂</w:t>
            </w:r>
            <w:r>
              <w:rPr>
                <w:rFonts w:hint="eastAsia" w:ascii="宋体" w:hAnsi="宋体"/>
                <w:color w:val="auto"/>
                <w:szCs w:val="21"/>
                <w:highlight w:val="none"/>
              </w:rPr>
              <w:t>经营的监督管理工作，采购人可以设置专职食品安全管理员进行每日的监督检查管理，</w:t>
            </w:r>
            <w:r>
              <w:rPr>
                <w:rFonts w:hint="eastAsia" w:ascii="宋体" w:hAnsi="宋体"/>
                <w:color w:val="auto"/>
                <w:szCs w:val="21"/>
                <w:highlight w:val="none"/>
                <w:lang w:eastAsia="zh-CN"/>
              </w:rPr>
              <w:t>投标人（服务方）</w:t>
            </w:r>
            <w:r>
              <w:rPr>
                <w:rFonts w:hint="eastAsia" w:ascii="宋体" w:hAnsi="宋体"/>
                <w:color w:val="auto"/>
                <w:szCs w:val="21"/>
                <w:highlight w:val="none"/>
              </w:rPr>
              <w:t>要认真配合检查，确保检查考核工作的到位和</w:t>
            </w:r>
            <w:r>
              <w:rPr>
                <w:rFonts w:hint="default" w:ascii="宋体" w:hAnsi="宋体"/>
                <w:color w:val="auto"/>
                <w:szCs w:val="21"/>
                <w:highlight w:val="none"/>
                <w:lang w:val="en"/>
              </w:rPr>
              <w:t>机关食堂</w:t>
            </w:r>
            <w:r>
              <w:rPr>
                <w:rFonts w:hint="eastAsia" w:ascii="宋体" w:hAnsi="宋体"/>
                <w:color w:val="auto"/>
                <w:szCs w:val="21"/>
                <w:highlight w:val="none"/>
              </w:rPr>
              <w:t>供餐工作的稳定。</w:t>
            </w:r>
          </w:p>
          <w:p w14:paraId="67EA2DAF">
            <w:pPr>
              <w:widowControl/>
              <w:spacing w:line="360" w:lineRule="exac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eastAsia="zh-CN"/>
              </w:rPr>
              <w:t>投标人（服务方）</w:t>
            </w:r>
            <w:r>
              <w:rPr>
                <w:rFonts w:hint="eastAsia" w:ascii="宋体" w:hAnsi="宋体"/>
                <w:color w:val="auto"/>
                <w:szCs w:val="21"/>
                <w:highlight w:val="none"/>
              </w:rPr>
              <w:t>必须自行提供团队服务，不得将承接的服务进行任何方式的分包、转包。</w:t>
            </w:r>
          </w:p>
          <w:p w14:paraId="48E4483D">
            <w:pPr>
              <w:widowControl/>
              <w:spacing w:line="360" w:lineRule="exac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rPr>
              <w:tab/>
            </w:r>
            <w:r>
              <w:rPr>
                <w:rFonts w:hint="eastAsia" w:ascii="宋体" w:hAnsi="宋体"/>
                <w:color w:val="auto"/>
                <w:szCs w:val="21"/>
                <w:highlight w:val="none"/>
              </w:rPr>
              <w:t>投标人必须承诺自行提供本项目所有服务内容，不得转让或转包。</w:t>
            </w:r>
          </w:p>
          <w:p w14:paraId="0BCDB7C7">
            <w:pPr>
              <w:widowControl/>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、投标人提供的服务应符合</w:t>
            </w:r>
            <w:r>
              <w:rPr>
                <w:rFonts w:ascii="宋体" w:hAnsi="宋体"/>
                <w:color w:val="auto"/>
                <w:szCs w:val="21"/>
                <w:highlight w:val="none"/>
              </w:rPr>
              <w:t>国家标准、行业标准、地方标准或者其他标准、规范</w:t>
            </w:r>
            <w:r>
              <w:rPr>
                <w:rFonts w:hint="eastAsia" w:ascii="宋体" w:hAnsi="宋体"/>
                <w:color w:val="auto"/>
                <w:szCs w:val="21"/>
                <w:highlight w:val="none"/>
              </w:rPr>
              <w:t>。</w:t>
            </w:r>
          </w:p>
          <w:p w14:paraId="7C97D88D">
            <w:pPr>
              <w:widowControl/>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、中标人应保持</w:t>
            </w:r>
            <w:r>
              <w:rPr>
                <w:rFonts w:hint="eastAsia" w:ascii="宋体" w:hAnsi="宋体"/>
                <w:color w:val="auto"/>
                <w:szCs w:val="21"/>
                <w:highlight w:val="none"/>
                <w:lang w:eastAsia="zh-CN"/>
              </w:rPr>
              <w:t>采购人</w:t>
            </w:r>
            <w:r>
              <w:rPr>
                <w:rFonts w:hint="default" w:ascii="宋体" w:hAnsi="宋体"/>
                <w:color w:val="auto"/>
                <w:szCs w:val="21"/>
                <w:highlight w:val="none"/>
                <w:lang w:val="en"/>
              </w:rPr>
              <w:t>机关食堂</w:t>
            </w:r>
            <w:r>
              <w:rPr>
                <w:rFonts w:hint="eastAsia" w:ascii="宋体" w:hAnsi="宋体"/>
                <w:color w:val="auto"/>
                <w:szCs w:val="21"/>
                <w:highlight w:val="none"/>
              </w:rPr>
              <w:t>环境卫生，从业人员要讲究个人卫生，并依</w:t>
            </w:r>
            <w:r>
              <w:rPr>
                <w:rFonts w:hint="eastAsia" w:ascii="宋体" w:hAnsi="宋体"/>
                <w:color w:val="auto"/>
                <w:szCs w:val="21"/>
                <w:highlight w:val="none"/>
                <w:lang w:eastAsia="zh-CN"/>
              </w:rPr>
              <w:t>采购人</w:t>
            </w:r>
            <w:r>
              <w:rPr>
                <w:rFonts w:hint="eastAsia" w:ascii="宋体" w:hAnsi="宋体"/>
                <w:color w:val="auto"/>
                <w:szCs w:val="21"/>
                <w:highlight w:val="none"/>
              </w:rPr>
              <w:t>要求，定期进行从业人员体检；工作时间要穿戴整齐（例如，穿厨房的工作服、戴帽、口罩等），保持整洁。</w:t>
            </w:r>
          </w:p>
          <w:p w14:paraId="77B760EF">
            <w:pPr>
              <w:widowControl/>
              <w:spacing w:line="360" w:lineRule="exact"/>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、中标人提供的服务不满足招标文件要求验收不合格的，采购人有权解除合同并追究中标人的法律责任。</w:t>
            </w:r>
          </w:p>
        </w:tc>
      </w:tr>
      <w:tr w14:paraId="30D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noWrap w:val="0"/>
            <w:vAlign w:val="center"/>
          </w:tcPr>
          <w:p w14:paraId="7643E2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采购标的的验收标准</w:t>
            </w:r>
          </w:p>
        </w:tc>
        <w:tc>
          <w:tcPr>
            <w:tcW w:w="7892" w:type="dxa"/>
            <w:gridSpan w:val="3"/>
            <w:noWrap w:val="0"/>
            <w:vAlign w:val="center"/>
          </w:tcPr>
          <w:p w14:paraId="58F21F2A">
            <w:pPr>
              <w:spacing w:line="360" w:lineRule="exact"/>
              <w:rPr>
                <w:rFonts w:ascii="宋体" w:hAnsi="宋体" w:cs="宋体"/>
                <w:color w:val="auto"/>
                <w:szCs w:val="21"/>
                <w:highlight w:val="none"/>
              </w:rPr>
            </w:pPr>
            <w:r>
              <w:rPr>
                <w:rFonts w:hint="eastAsia" w:ascii="宋体" w:hAnsi="宋体" w:cs="宋体"/>
                <w:color w:val="auto"/>
                <w:szCs w:val="21"/>
                <w:highlight w:val="none"/>
              </w:rPr>
              <w:t>按国家相关标准、规范和采购需求进行验收。</w:t>
            </w:r>
          </w:p>
        </w:tc>
      </w:tr>
      <w:tr w14:paraId="1D9E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55" w:type="dxa"/>
            <w:gridSpan w:val="2"/>
            <w:noWrap w:val="0"/>
            <w:vAlign w:val="center"/>
          </w:tcPr>
          <w:p w14:paraId="027D130F">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892" w:type="dxa"/>
            <w:gridSpan w:val="3"/>
            <w:noWrap w:val="0"/>
            <w:vAlign w:val="center"/>
          </w:tcPr>
          <w:p w14:paraId="5276C065">
            <w:pPr>
              <w:spacing w:line="360" w:lineRule="exact"/>
              <w:rPr>
                <w:rFonts w:ascii="宋体" w:hAnsi="宋体"/>
                <w:color w:val="auto"/>
                <w:szCs w:val="21"/>
                <w:highlight w:val="none"/>
              </w:rPr>
            </w:pPr>
            <w:r>
              <w:rPr>
                <w:rFonts w:hint="eastAsia" w:ascii="宋体" w:hAnsi="宋体"/>
                <w:color w:val="auto"/>
                <w:szCs w:val="21"/>
                <w:highlight w:val="none"/>
              </w:rPr>
              <w:t>1、供应商请在投标文件中提供针对本项目制定的服务实施方案。</w:t>
            </w:r>
          </w:p>
          <w:p w14:paraId="3BD2019F">
            <w:pPr>
              <w:spacing w:line="360" w:lineRule="exact"/>
              <w:rPr>
                <w:rFonts w:ascii="宋体" w:hAnsi="宋体"/>
                <w:color w:val="auto"/>
                <w:szCs w:val="21"/>
                <w:highlight w:val="none"/>
              </w:rPr>
            </w:pPr>
            <w:r>
              <w:rPr>
                <w:rFonts w:hint="eastAsia" w:ascii="宋体" w:hAnsi="宋体"/>
                <w:color w:val="auto"/>
                <w:szCs w:val="21"/>
                <w:highlight w:val="none"/>
              </w:rPr>
              <w:t>2、中标人自行承担在提供服务过程中因侵犯他人知识产权或自身原因产生的法律纠纷和责任并妥善处理，采购人不承担任何责任。</w:t>
            </w:r>
          </w:p>
          <w:p w14:paraId="39D9A6CE">
            <w:pPr>
              <w:spacing w:line="360" w:lineRule="exact"/>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3、保密要求：中标人对中国共产党广西壮族自治区纪律检查委员会及其下属单位所提供的技术及数据资料应严格保密，不得扩散。</w:t>
            </w:r>
          </w:p>
          <w:p w14:paraId="75DE60E7">
            <w:pPr>
              <w:spacing w:line="360" w:lineRule="exact"/>
              <w:jc w:val="left"/>
              <w:rPr>
                <w:rFonts w:ascii="宋体"/>
                <w:color w:val="auto"/>
                <w:szCs w:val="21"/>
                <w:highlight w:val="none"/>
              </w:rPr>
            </w:pPr>
            <w:r>
              <w:rPr>
                <w:rFonts w:hint="eastAsia" w:ascii="宋体" w:hAnsi="宋体" w:cs="宋体"/>
                <w:color w:val="auto"/>
                <w:szCs w:val="21"/>
                <w:highlight w:val="none"/>
              </w:rPr>
              <w:t>▲4、投标人对招标文件的项目要求应完全响应，如果存在虚假响应或者是虚假承诺，由此造成的一切后果由投标人承担。</w:t>
            </w:r>
          </w:p>
        </w:tc>
      </w:tr>
    </w:tbl>
    <w:p w14:paraId="6A02E3AE">
      <w:pPr>
        <w:spacing w:line="240" w:lineRule="auto"/>
        <w:rPr>
          <w:rFonts w:hint="eastAsia" w:ascii="方正黑体_GBK" w:hAnsi="方正黑体_GBK" w:eastAsia="方正黑体_GBK" w:cs="方正黑体_GBK"/>
          <w:b/>
          <w:bCs/>
          <w:color w:val="auto"/>
          <w:sz w:val="32"/>
          <w:szCs w:val="32"/>
          <w:highlight w:val="none"/>
        </w:rPr>
      </w:pPr>
      <w:r>
        <w:rPr>
          <w:rFonts w:ascii="Arial"/>
          <w:color w:val="auto"/>
          <w:sz w:val="15"/>
          <w:highlight w:val="none"/>
        </w:rPr>
        <w:br w:type="page"/>
      </w:r>
    </w:p>
    <w:p w14:paraId="16BE4B63">
      <w:pPr>
        <w:spacing w:before="63" w:line="225" w:lineRule="auto"/>
        <w:ind w:left="185"/>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附件</w:t>
      </w:r>
      <w:r>
        <w:rPr>
          <w:rFonts w:ascii="宋体" w:hAnsi="宋体" w:eastAsia="宋体" w:cs="宋体"/>
          <w:color w:val="auto"/>
          <w:spacing w:val="-37"/>
          <w:sz w:val="31"/>
          <w:szCs w:val="31"/>
          <w:highlight w:val="none"/>
        </w:rPr>
        <w:t xml:space="preserve"> </w:t>
      </w:r>
      <w:r>
        <w:rPr>
          <w:rFonts w:ascii="宋体" w:hAnsi="宋体" w:eastAsia="宋体" w:cs="宋体"/>
          <w:color w:val="auto"/>
          <w:spacing w:val="-13"/>
          <w:sz w:val="31"/>
          <w:szCs w:val="31"/>
          <w:highlight w:val="none"/>
        </w:rPr>
        <w:t>1：</w:t>
      </w:r>
    </w:p>
    <w:p w14:paraId="6EB62B68">
      <w:pPr>
        <w:spacing w:line="360" w:lineRule="auto"/>
        <w:ind w:firstLine="560" w:firstLineChars="200"/>
        <w:jc w:val="center"/>
        <w:rPr>
          <w:rFonts w:hint="eastAsia" w:ascii="宋体" w:hAnsi="宋体" w:cs="Arial"/>
          <w:b/>
          <w:bCs/>
          <w:color w:val="auto"/>
          <w:sz w:val="28"/>
          <w:szCs w:val="28"/>
          <w:highlight w:val="none"/>
        </w:rPr>
      </w:pPr>
      <w:r>
        <w:rPr>
          <w:rFonts w:hint="default" w:ascii="宋体" w:hAnsi="宋体" w:cs="Arial"/>
          <w:b/>
          <w:bCs/>
          <w:color w:val="auto"/>
          <w:sz w:val="28"/>
          <w:szCs w:val="28"/>
          <w:highlight w:val="none"/>
          <w:lang w:val="en"/>
        </w:rPr>
        <w:t>机关食堂</w:t>
      </w:r>
      <w:r>
        <w:rPr>
          <w:rFonts w:hint="eastAsia" w:ascii="宋体" w:hAnsi="宋体" w:cs="Arial"/>
          <w:b/>
          <w:bCs/>
          <w:color w:val="auto"/>
          <w:sz w:val="28"/>
          <w:szCs w:val="28"/>
          <w:highlight w:val="none"/>
        </w:rPr>
        <w:t>货品质量要求</w:t>
      </w:r>
    </w:p>
    <w:p w14:paraId="12941A78">
      <w:pPr>
        <w:spacing w:line="360" w:lineRule="auto"/>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（一）蔬菜类要求</w:t>
      </w:r>
    </w:p>
    <w:p w14:paraId="733B9FE3">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属季节问题，若出现品种不能满足采购人需求的情况，可与采购人协商调换相应类别的品种（按叶菜、瓜菜等进行分类）。</w:t>
      </w:r>
    </w:p>
    <w:p w14:paraId="64B686D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蔬菜类应保持较好的色泽和新鲜度,利用率达到95%。严禁采购有害、有毒、腐烂变质、酸败、霉变、生虫、污垢不洁、混有异物或其他感官性状异常的食品。蔬菜应无损伤、腐烂现象，无寄生虫或已受虫害现象。禁止采购超过保质期限的食品。（附《蔬菜感官质量要求》）</w:t>
      </w:r>
    </w:p>
    <w:p w14:paraId="2E897499">
      <w:pPr>
        <w:spacing w:line="360" w:lineRule="auto"/>
        <w:ind w:firstLine="420" w:firstLineChars="200"/>
        <w:jc w:val="center"/>
        <w:rPr>
          <w:rFonts w:hint="eastAsia" w:ascii="宋体" w:hAnsi="宋体" w:cs="Arial"/>
          <w:color w:val="auto"/>
          <w:szCs w:val="21"/>
          <w:highlight w:val="none"/>
        </w:rPr>
      </w:pPr>
    </w:p>
    <w:p w14:paraId="1CAD651B">
      <w:pPr>
        <w:spacing w:line="360" w:lineRule="auto"/>
        <w:ind w:firstLine="420" w:firstLineChars="200"/>
        <w:jc w:val="center"/>
        <w:rPr>
          <w:rFonts w:ascii="宋体" w:hAnsi="宋体" w:cs="Arial"/>
          <w:color w:val="auto"/>
          <w:szCs w:val="21"/>
          <w:highlight w:val="none"/>
        </w:rPr>
      </w:pPr>
      <w:r>
        <w:rPr>
          <w:rFonts w:hint="eastAsia" w:ascii="宋体" w:hAnsi="宋体" w:cs="Arial"/>
          <w:color w:val="auto"/>
          <w:szCs w:val="21"/>
          <w:highlight w:val="none"/>
        </w:rPr>
        <w:t>《蔬菜感官质量要求》</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58"/>
        <w:gridCol w:w="3042"/>
        <w:gridCol w:w="4769"/>
      </w:tblGrid>
      <w:tr w14:paraId="5498B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06E66633">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类别</w:t>
            </w:r>
          </w:p>
        </w:tc>
        <w:tc>
          <w:tcPr>
            <w:tcW w:w="3042" w:type="dxa"/>
            <w:noWrap w:val="0"/>
            <w:vAlign w:val="center"/>
          </w:tcPr>
          <w:p w14:paraId="54AB6268">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包含品种</w:t>
            </w:r>
          </w:p>
        </w:tc>
        <w:tc>
          <w:tcPr>
            <w:tcW w:w="4769" w:type="dxa"/>
            <w:noWrap w:val="0"/>
            <w:vAlign w:val="center"/>
          </w:tcPr>
          <w:p w14:paraId="176294EC">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质量要求</w:t>
            </w:r>
          </w:p>
        </w:tc>
      </w:tr>
      <w:tr w14:paraId="4E3ED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730CC070">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叶菜类</w:t>
            </w:r>
          </w:p>
        </w:tc>
        <w:tc>
          <w:tcPr>
            <w:tcW w:w="3042" w:type="dxa"/>
            <w:noWrap w:val="0"/>
            <w:vAlign w:val="center"/>
          </w:tcPr>
          <w:p w14:paraId="4F07A276">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白菜类、甘蓝类和绿叶菜类的各种蔬菜</w:t>
            </w:r>
          </w:p>
        </w:tc>
        <w:tc>
          <w:tcPr>
            <w:tcW w:w="4769" w:type="dxa"/>
            <w:noWrap w:val="0"/>
            <w:vAlign w:val="center"/>
          </w:tcPr>
          <w:p w14:paraId="0922D95A">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肉质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tc>
      </w:tr>
      <w:tr w14:paraId="3FF34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0E9F310A">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茄果类</w:t>
            </w:r>
          </w:p>
        </w:tc>
        <w:tc>
          <w:tcPr>
            <w:tcW w:w="3042" w:type="dxa"/>
            <w:noWrap w:val="0"/>
            <w:vAlign w:val="center"/>
          </w:tcPr>
          <w:p w14:paraId="3268432D">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番茄、茄子、甜椒、辣椒等</w:t>
            </w:r>
          </w:p>
        </w:tc>
        <w:tc>
          <w:tcPr>
            <w:tcW w:w="4769" w:type="dxa"/>
            <w:noWrap w:val="0"/>
            <w:vAlign w:val="center"/>
          </w:tcPr>
          <w:p w14:paraId="5F40F748">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色鲜，果实圆整、光洁，成熟度适中，整齐，无烂果、异味、病虫害和明显机械损伤。</w:t>
            </w:r>
          </w:p>
        </w:tc>
      </w:tr>
      <w:tr w14:paraId="4AD0D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278677B1">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瓜类</w:t>
            </w:r>
          </w:p>
        </w:tc>
        <w:tc>
          <w:tcPr>
            <w:tcW w:w="3042" w:type="dxa"/>
            <w:noWrap w:val="0"/>
            <w:vAlign w:val="center"/>
          </w:tcPr>
          <w:p w14:paraId="07B7BEDC">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黄瓜、瓠瓜、越瓜、丝瓜、苦瓜、冬瓜、毛节瓜、南瓜、佛手瓜等</w:t>
            </w:r>
          </w:p>
        </w:tc>
        <w:tc>
          <w:tcPr>
            <w:tcW w:w="4769" w:type="dxa"/>
            <w:noWrap w:val="0"/>
            <w:vAlign w:val="center"/>
          </w:tcPr>
          <w:p w14:paraId="59FDF77D">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形状、色泽一致，瓜条均匀，无疤点，无断裂，不带泥土，无畸形瓜、病虫害瓜、烂瓜，无明显机械伤。</w:t>
            </w:r>
          </w:p>
        </w:tc>
      </w:tr>
      <w:tr w14:paraId="486E1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12390F16">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根菜类</w:t>
            </w:r>
          </w:p>
        </w:tc>
        <w:tc>
          <w:tcPr>
            <w:tcW w:w="3042" w:type="dxa"/>
            <w:noWrap w:val="0"/>
            <w:vAlign w:val="center"/>
          </w:tcPr>
          <w:p w14:paraId="2C73CED8">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萝卜、胡萝卜、大头菜、芜菁甘蓝等</w:t>
            </w:r>
          </w:p>
        </w:tc>
        <w:tc>
          <w:tcPr>
            <w:tcW w:w="4769" w:type="dxa"/>
            <w:noWrap w:val="0"/>
            <w:vAlign w:val="center"/>
          </w:tcPr>
          <w:p w14:paraId="03A61FC0">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皮细光滑，色泽良好，大小均匀，肉质脆嫩致密。新鲜，无畸形、裂痕、糠心、病虫害斑，不带泥沙，不带茎叶、须根。</w:t>
            </w:r>
          </w:p>
        </w:tc>
      </w:tr>
      <w:tr w14:paraId="18E9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3085C8A9">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薯芋类</w:t>
            </w:r>
          </w:p>
        </w:tc>
        <w:tc>
          <w:tcPr>
            <w:tcW w:w="3042" w:type="dxa"/>
            <w:noWrap w:val="0"/>
            <w:vAlign w:val="center"/>
          </w:tcPr>
          <w:p w14:paraId="6D9462B2">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马铃薯、薯蓣、芋、姜、豆薯等</w:t>
            </w:r>
          </w:p>
        </w:tc>
        <w:tc>
          <w:tcPr>
            <w:tcW w:w="4769" w:type="dxa"/>
            <w:noWrap w:val="0"/>
            <w:vAlign w:val="center"/>
          </w:tcPr>
          <w:p w14:paraId="67BFDB96">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色泽一致，不带泥沙，不带茎叶、须根，无机械和病虫害斑，无腐烂、干瘪。马铃薯皮不能变绿色。</w:t>
            </w:r>
          </w:p>
        </w:tc>
      </w:tr>
      <w:tr w14:paraId="75FDA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1A8C1364">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葱蒜类</w:t>
            </w:r>
          </w:p>
        </w:tc>
        <w:tc>
          <w:tcPr>
            <w:tcW w:w="3042" w:type="dxa"/>
            <w:noWrap w:val="0"/>
            <w:vAlign w:val="center"/>
          </w:tcPr>
          <w:p w14:paraId="418A3010">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大葱、分葱、四季葱等</w:t>
            </w:r>
          </w:p>
        </w:tc>
        <w:tc>
          <w:tcPr>
            <w:tcW w:w="4769" w:type="dxa"/>
            <w:noWrap w:val="0"/>
            <w:vAlign w:val="center"/>
          </w:tcPr>
          <w:p w14:paraId="78DB682D">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允许葱和大蒜的青蒜保留干净须根，去老叶，韭菜去根去老叶，蒜头、洋葱要去枯叶；可食部分质地细嫩，不带泥沙杂质，无病虫害斑。</w:t>
            </w:r>
          </w:p>
        </w:tc>
      </w:tr>
      <w:tr w14:paraId="00E3F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45E893AF">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豆类</w:t>
            </w:r>
          </w:p>
        </w:tc>
        <w:tc>
          <w:tcPr>
            <w:tcW w:w="3042" w:type="dxa"/>
            <w:noWrap w:val="0"/>
            <w:vAlign w:val="center"/>
          </w:tcPr>
          <w:p w14:paraId="5A06C0BE">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豇豆、菜豆、豌豆、蚕豆、刀豆、毛豆、扁豆等</w:t>
            </w:r>
          </w:p>
        </w:tc>
        <w:tc>
          <w:tcPr>
            <w:tcW w:w="4769" w:type="dxa"/>
            <w:noWrap w:val="0"/>
            <w:vAlign w:val="center"/>
          </w:tcPr>
          <w:p w14:paraId="1ACE2274">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形态完整，成熟度适中，无病虫害斑。食荚类：豆荚新鲜幼嫩，均匀。食豆仁类：籽粒饱满较均匀，无发芽。不带泥土、杂质。</w:t>
            </w:r>
          </w:p>
        </w:tc>
      </w:tr>
      <w:tr w14:paraId="5A815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9" w:hRule="atLeast"/>
          <w:jc w:val="center"/>
        </w:trPr>
        <w:tc>
          <w:tcPr>
            <w:tcW w:w="1358" w:type="dxa"/>
            <w:noWrap w:val="0"/>
            <w:vAlign w:val="center"/>
          </w:tcPr>
          <w:p w14:paraId="15948E14">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水生类</w:t>
            </w:r>
          </w:p>
        </w:tc>
        <w:tc>
          <w:tcPr>
            <w:tcW w:w="3042" w:type="dxa"/>
            <w:noWrap w:val="0"/>
            <w:vAlign w:val="center"/>
          </w:tcPr>
          <w:p w14:paraId="65C8B334">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茭白、藕、荸荠、慈菇、菱角等</w:t>
            </w:r>
          </w:p>
        </w:tc>
        <w:tc>
          <w:tcPr>
            <w:tcW w:w="4769" w:type="dxa"/>
            <w:noWrap w:val="0"/>
            <w:vAlign w:val="center"/>
          </w:tcPr>
          <w:p w14:paraId="42D2ED8F">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属同一品种规格，肉质鲜嫩，成熟度适中，无泥土、杂质、机械伤，不干瘪，不腐烂霉变，茭白不黑心。</w:t>
            </w:r>
          </w:p>
        </w:tc>
      </w:tr>
      <w:tr w14:paraId="1E54F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58" w:type="dxa"/>
            <w:noWrap w:val="0"/>
            <w:vAlign w:val="center"/>
          </w:tcPr>
          <w:p w14:paraId="6B6509F5">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多年生类</w:t>
            </w:r>
          </w:p>
        </w:tc>
        <w:tc>
          <w:tcPr>
            <w:tcW w:w="3042" w:type="dxa"/>
            <w:noWrap w:val="0"/>
            <w:vAlign w:val="center"/>
          </w:tcPr>
          <w:p w14:paraId="357EAD7C">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竹笋、黄花菜、芦笋等</w:t>
            </w:r>
          </w:p>
        </w:tc>
        <w:tc>
          <w:tcPr>
            <w:tcW w:w="4769" w:type="dxa"/>
            <w:noWrap w:val="0"/>
            <w:vAlign w:val="center"/>
          </w:tcPr>
          <w:p w14:paraId="6EFC0ABF">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属同一品种规格，幼嫩，无病虫害斑，无明显机械伤。黄花菜鲜花不能直接煮食。</w:t>
            </w:r>
          </w:p>
        </w:tc>
      </w:tr>
      <w:tr w14:paraId="7AD19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6" w:hRule="atLeast"/>
          <w:jc w:val="center"/>
        </w:trPr>
        <w:tc>
          <w:tcPr>
            <w:tcW w:w="1358" w:type="dxa"/>
            <w:noWrap w:val="0"/>
            <w:vAlign w:val="center"/>
          </w:tcPr>
          <w:p w14:paraId="4FD06EA5">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芽苗类</w:t>
            </w:r>
          </w:p>
        </w:tc>
        <w:tc>
          <w:tcPr>
            <w:tcW w:w="3042" w:type="dxa"/>
            <w:noWrap w:val="0"/>
            <w:vAlign w:val="center"/>
          </w:tcPr>
          <w:p w14:paraId="5DDF865E">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绿豆芽、黄豆芽、豌豆芽、香椿苗等</w:t>
            </w:r>
          </w:p>
        </w:tc>
        <w:tc>
          <w:tcPr>
            <w:tcW w:w="4769" w:type="dxa"/>
            <w:noWrap w:val="0"/>
            <w:vAlign w:val="center"/>
          </w:tcPr>
          <w:p w14:paraId="7398E51C">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芽苗幼嫩，不带豆壳杂质，新鲜，不浸水。</w:t>
            </w:r>
          </w:p>
        </w:tc>
      </w:tr>
    </w:tbl>
    <w:p w14:paraId="150F0970">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eastAsia="zh-CN"/>
        </w:rPr>
        <w:t>、</w:t>
      </w:r>
      <w:r>
        <w:rPr>
          <w:rFonts w:hint="eastAsia" w:ascii="宋体" w:hAnsi="宋体" w:cs="Arial"/>
          <w:color w:val="auto"/>
          <w:szCs w:val="21"/>
          <w:highlight w:val="none"/>
        </w:rPr>
        <w:t>蔬菜包装与标志要求：</w:t>
      </w:r>
    </w:p>
    <w:p w14:paraId="1D841DC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包装：容器(框、箱、袋)要求清洁、干燥、牢固、透气，无污染、无异味、无霉变现象；</w:t>
      </w:r>
    </w:p>
    <w:p w14:paraId="681F9F83">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标志：每件包装必须按《农产品包装和标识管理办法》贴标签，并标明产地、品种、净含量、生产单位及地址和采收日期。</w:t>
      </w:r>
    </w:p>
    <w:p w14:paraId="10EF4FFE">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3</w:t>
      </w:r>
      <w:r>
        <w:rPr>
          <w:rFonts w:hint="eastAsia" w:ascii="宋体" w:hAnsi="宋体" w:cs="Arial"/>
          <w:color w:val="auto"/>
          <w:szCs w:val="21"/>
          <w:highlight w:val="none"/>
          <w:lang w:eastAsia="zh-CN"/>
        </w:rPr>
        <w:t>）</w:t>
      </w:r>
      <w:r>
        <w:rPr>
          <w:rFonts w:hint="eastAsia" w:ascii="宋体" w:hAnsi="宋体" w:cs="Arial"/>
          <w:color w:val="auto"/>
          <w:szCs w:val="21"/>
          <w:highlight w:val="none"/>
        </w:rPr>
        <w:t>食品供应链要求：所有食品的来源必须清晰。蔬菜来源应当于受到地方政府部门监管的自有基地、商品菜基地或蔬菜专业流通市场，严禁收购散户农民的蔬菜供应。</w:t>
      </w:r>
    </w:p>
    <w:p w14:paraId="666709E2">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4</w:t>
      </w:r>
      <w:r>
        <w:rPr>
          <w:rFonts w:hint="eastAsia" w:ascii="宋体" w:hAnsi="宋体" w:cs="Arial"/>
          <w:color w:val="auto"/>
          <w:szCs w:val="21"/>
          <w:highlight w:val="none"/>
          <w:lang w:eastAsia="zh-CN"/>
        </w:rPr>
        <w:t>）</w:t>
      </w:r>
      <w:r>
        <w:rPr>
          <w:rFonts w:hint="eastAsia" w:ascii="宋体" w:hAnsi="宋体" w:cs="Arial"/>
          <w:color w:val="auto"/>
          <w:szCs w:val="21"/>
          <w:highlight w:val="none"/>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3615FB29">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5</w:t>
      </w:r>
      <w:r>
        <w:rPr>
          <w:rFonts w:hint="eastAsia" w:ascii="宋体" w:hAnsi="宋体" w:cs="Arial"/>
          <w:color w:val="auto"/>
          <w:szCs w:val="21"/>
          <w:highlight w:val="none"/>
          <w:lang w:eastAsia="zh-CN"/>
        </w:rPr>
        <w:t>）</w:t>
      </w:r>
      <w:r>
        <w:rPr>
          <w:rFonts w:hint="eastAsia" w:ascii="宋体" w:hAnsi="宋体" w:cs="Arial"/>
          <w:color w:val="auto"/>
          <w:szCs w:val="21"/>
          <w:highlight w:val="none"/>
        </w:rPr>
        <w:t>对蔬菜生产商的管理要求：菜地配有专用的农药喷洒用具及其他农用器具；蔬菜采收后需用清洁、无污染的运输工具运抵加工地点。</w:t>
      </w:r>
    </w:p>
    <w:p w14:paraId="3082C114">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6</w:t>
      </w:r>
      <w:r>
        <w:rPr>
          <w:rFonts w:hint="eastAsia" w:ascii="宋体" w:hAnsi="宋体" w:cs="Arial"/>
          <w:color w:val="auto"/>
          <w:szCs w:val="21"/>
          <w:highlight w:val="none"/>
          <w:lang w:eastAsia="zh-CN"/>
        </w:rPr>
        <w:t>）</w:t>
      </w:r>
      <w:r>
        <w:rPr>
          <w:rFonts w:hint="eastAsia" w:ascii="宋体" w:hAnsi="宋体" w:cs="Arial"/>
          <w:color w:val="auto"/>
          <w:szCs w:val="21"/>
          <w:highlight w:val="none"/>
        </w:rPr>
        <w:t>对蔬菜生产商的环境要求：菜地周围需设有隔离网、隔离带或其他有效的隔离措施，确保不受临近农田施肥和用药污染；菜地周围无养殖场、化工厂、垃圾处理场、医院以及污水排放管道等污染源。</w:t>
      </w:r>
    </w:p>
    <w:p w14:paraId="02EAFB0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7</w:t>
      </w:r>
      <w:r>
        <w:rPr>
          <w:rFonts w:hint="eastAsia" w:ascii="宋体" w:hAnsi="宋体" w:cs="Arial"/>
          <w:color w:val="auto"/>
          <w:szCs w:val="21"/>
          <w:highlight w:val="none"/>
          <w:lang w:eastAsia="zh-CN"/>
        </w:rPr>
        <w:t>）</w:t>
      </w:r>
      <w:r>
        <w:rPr>
          <w:rFonts w:hint="eastAsia" w:ascii="宋体" w:hAnsi="宋体" w:cs="Arial"/>
          <w:color w:val="auto"/>
          <w:szCs w:val="21"/>
          <w:highlight w:val="none"/>
        </w:rPr>
        <w:t>对蔬菜生产商的水源要求：菜地应有清洁无污染的灌溉水源；灌溉水井设有防护设施。灌溉水源需经检测验证符合规定要求，并一年内在蔬菜种植过程对水源进行2次监测。</w:t>
      </w:r>
    </w:p>
    <w:p w14:paraId="21B8763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8</w:t>
      </w:r>
      <w:r>
        <w:rPr>
          <w:rFonts w:hint="eastAsia" w:ascii="宋体" w:hAnsi="宋体" w:cs="Arial"/>
          <w:color w:val="auto"/>
          <w:szCs w:val="21"/>
          <w:highlight w:val="none"/>
          <w:lang w:eastAsia="zh-CN"/>
        </w:rPr>
        <w:t>）</w:t>
      </w:r>
      <w:r>
        <w:rPr>
          <w:rFonts w:hint="eastAsia" w:ascii="宋体" w:hAnsi="宋体" w:cs="Arial"/>
          <w:color w:val="auto"/>
          <w:szCs w:val="21"/>
          <w:highlight w:val="none"/>
        </w:rPr>
        <w:t>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14:paraId="534F970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9</w:t>
      </w:r>
      <w:r>
        <w:rPr>
          <w:rFonts w:hint="eastAsia" w:ascii="宋体" w:hAnsi="宋体" w:cs="Arial"/>
          <w:color w:val="auto"/>
          <w:szCs w:val="21"/>
          <w:highlight w:val="none"/>
          <w:lang w:eastAsia="zh-CN"/>
        </w:rPr>
        <w:t>）</w:t>
      </w:r>
      <w:r>
        <w:rPr>
          <w:rFonts w:hint="eastAsia" w:ascii="宋体" w:hAnsi="宋体" w:cs="Arial"/>
          <w:color w:val="auto"/>
          <w:szCs w:val="21"/>
          <w:highlight w:val="none"/>
        </w:rPr>
        <w:t>蔬菜卫生质量要求：卫生质量指标，应符合我国无公害蔬菜上的卫生指标规定。</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678"/>
        <w:gridCol w:w="4741"/>
      </w:tblGrid>
      <w:tr w14:paraId="054CF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2" w:hRule="atLeast"/>
          <w:jc w:val="center"/>
        </w:trPr>
        <w:tc>
          <w:tcPr>
            <w:tcW w:w="3678" w:type="dxa"/>
            <w:noWrap w:val="0"/>
            <w:vAlign w:val="center"/>
          </w:tcPr>
          <w:p w14:paraId="305FEA3A">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tc>
        <w:tc>
          <w:tcPr>
            <w:tcW w:w="4741" w:type="dxa"/>
            <w:noWrap w:val="0"/>
            <w:vAlign w:val="center"/>
          </w:tcPr>
          <w:p w14:paraId="2DA7C8EC">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指标（</w:t>
            </w:r>
            <w:r>
              <w:rPr>
                <w:rFonts w:hint="eastAsia" w:ascii="宋体" w:hAnsi="宋体" w:cs="宋体"/>
                <w:color w:val="auto"/>
                <w:szCs w:val="21"/>
                <w:highlight w:val="none"/>
              </w:rPr>
              <w:t>mg/kg</w:t>
            </w:r>
            <w:r>
              <w:rPr>
                <w:rFonts w:hint="eastAsia" w:ascii="宋体" w:hAnsi="宋体" w:cs="宋体"/>
                <w:color w:val="auto"/>
                <w:kern w:val="0"/>
                <w:szCs w:val="21"/>
                <w:highlight w:val="none"/>
              </w:rPr>
              <w:t>）</w:t>
            </w:r>
          </w:p>
        </w:tc>
      </w:tr>
      <w:tr w14:paraId="33FD8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72C9A683">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甲胺磷</w:t>
            </w:r>
          </w:p>
        </w:tc>
        <w:tc>
          <w:tcPr>
            <w:tcW w:w="4741" w:type="dxa"/>
            <w:noWrap w:val="0"/>
            <w:vAlign w:val="center"/>
          </w:tcPr>
          <w:p w14:paraId="37D40D66">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不得检出</w:t>
            </w:r>
          </w:p>
        </w:tc>
      </w:tr>
      <w:tr w14:paraId="63315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66B6B452">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甲拌磷</w:t>
            </w:r>
          </w:p>
        </w:tc>
        <w:tc>
          <w:tcPr>
            <w:tcW w:w="4741" w:type="dxa"/>
            <w:noWrap w:val="0"/>
            <w:vAlign w:val="center"/>
          </w:tcPr>
          <w:p w14:paraId="132C1BA4">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不得检出</w:t>
            </w:r>
          </w:p>
        </w:tc>
      </w:tr>
      <w:tr w14:paraId="7E5A9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15B8930D">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氧化乐果</w:t>
            </w:r>
          </w:p>
        </w:tc>
        <w:tc>
          <w:tcPr>
            <w:tcW w:w="4741" w:type="dxa"/>
            <w:noWrap w:val="0"/>
            <w:vAlign w:val="center"/>
          </w:tcPr>
          <w:p w14:paraId="0B8AEF5F">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不得检出</w:t>
            </w:r>
          </w:p>
        </w:tc>
      </w:tr>
      <w:tr w14:paraId="2FBBA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6954F6BE">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甲基对硫磷</w:t>
            </w:r>
          </w:p>
        </w:tc>
        <w:tc>
          <w:tcPr>
            <w:tcW w:w="4741" w:type="dxa"/>
            <w:noWrap w:val="0"/>
            <w:vAlign w:val="center"/>
          </w:tcPr>
          <w:p w14:paraId="074352B1">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不得检出</w:t>
            </w:r>
          </w:p>
        </w:tc>
      </w:tr>
      <w:tr w14:paraId="15B78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0C1DCDE3">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呋喃丹</w:t>
            </w:r>
          </w:p>
        </w:tc>
        <w:tc>
          <w:tcPr>
            <w:tcW w:w="4741" w:type="dxa"/>
            <w:noWrap w:val="0"/>
            <w:vAlign w:val="center"/>
          </w:tcPr>
          <w:p w14:paraId="104C236F">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不得检出</w:t>
            </w:r>
          </w:p>
        </w:tc>
      </w:tr>
      <w:tr w14:paraId="712E5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2B5A68BD">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百菌清</w:t>
            </w:r>
          </w:p>
        </w:tc>
        <w:tc>
          <w:tcPr>
            <w:tcW w:w="4741" w:type="dxa"/>
            <w:noWrap w:val="0"/>
            <w:vAlign w:val="center"/>
          </w:tcPr>
          <w:p w14:paraId="13B57DB2">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≤1.0</w:t>
            </w:r>
          </w:p>
        </w:tc>
      </w:tr>
      <w:tr w14:paraId="007FB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5DC687C8">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多菌灵</w:t>
            </w:r>
          </w:p>
        </w:tc>
        <w:tc>
          <w:tcPr>
            <w:tcW w:w="4741" w:type="dxa"/>
            <w:noWrap w:val="0"/>
            <w:vAlign w:val="center"/>
          </w:tcPr>
          <w:p w14:paraId="5E9DB183">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≤0.5</w:t>
            </w:r>
          </w:p>
        </w:tc>
      </w:tr>
      <w:tr w14:paraId="454C3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13E7D5A5">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汞（以Hg计）</w:t>
            </w:r>
          </w:p>
        </w:tc>
        <w:tc>
          <w:tcPr>
            <w:tcW w:w="4741" w:type="dxa"/>
            <w:noWrap w:val="0"/>
            <w:vAlign w:val="center"/>
          </w:tcPr>
          <w:p w14:paraId="0AFD1FDE">
            <w:pPr>
              <w:widowControl/>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≤0.01</w:t>
            </w:r>
          </w:p>
        </w:tc>
      </w:tr>
      <w:tr w14:paraId="424CA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5746FD16">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铅（以Pb计）</w:t>
            </w:r>
          </w:p>
        </w:tc>
        <w:tc>
          <w:tcPr>
            <w:tcW w:w="4741" w:type="dxa"/>
            <w:noWrap w:val="0"/>
            <w:vAlign w:val="center"/>
          </w:tcPr>
          <w:p w14:paraId="3BEC56E1">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≤0.2</w:t>
            </w:r>
          </w:p>
        </w:tc>
      </w:tr>
      <w:tr w14:paraId="64DDF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4A1FDD79">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砷（以As计）</w:t>
            </w:r>
          </w:p>
        </w:tc>
        <w:tc>
          <w:tcPr>
            <w:tcW w:w="4741" w:type="dxa"/>
            <w:noWrap w:val="0"/>
            <w:vAlign w:val="center"/>
          </w:tcPr>
          <w:p w14:paraId="7096866E">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≤0.5</w:t>
            </w:r>
          </w:p>
        </w:tc>
      </w:tr>
      <w:tr w14:paraId="6B050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694C7B5E">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氟（以F计）</w:t>
            </w:r>
          </w:p>
        </w:tc>
        <w:tc>
          <w:tcPr>
            <w:tcW w:w="4741" w:type="dxa"/>
            <w:noWrap w:val="0"/>
            <w:vAlign w:val="center"/>
          </w:tcPr>
          <w:p w14:paraId="2592E532">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≤0.5</w:t>
            </w:r>
          </w:p>
        </w:tc>
      </w:tr>
      <w:tr w14:paraId="66B08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3678" w:type="dxa"/>
            <w:noWrap w:val="0"/>
            <w:vAlign w:val="center"/>
          </w:tcPr>
          <w:p w14:paraId="177923C7">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硝酸盐（以NaNO</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计）</w:t>
            </w:r>
          </w:p>
        </w:tc>
        <w:tc>
          <w:tcPr>
            <w:tcW w:w="4741" w:type="dxa"/>
            <w:noWrap w:val="0"/>
            <w:vAlign w:val="center"/>
          </w:tcPr>
          <w:p w14:paraId="0425EEC5">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瓜果类≤600；叶菜根茎类≤1200</w:t>
            </w:r>
          </w:p>
        </w:tc>
      </w:tr>
      <w:tr w14:paraId="5D8AE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0" w:hRule="atLeast"/>
          <w:jc w:val="center"/>
        </w:trPr>
        <w:tc>
          <w:tcPr>
            <w:tcW w:w="3678" w:type="dxa"/>
            <w:noWrap w:val="0"/>
            <w:vAlign w:val="center"/>
          </w:tcPr>
          <w:p w14:paraId="3F355CA9">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亚硝酸盐（以NaNO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计）</w:t>
            </w:r>
          </w:p>
        </w:tc>
        <w:tc>
          <w:tcPr>
            <w:tcW w:w="4741" w:type="dxa"/>
            <w:noWrap w:val="0"/>
            <w:vAlign w:val="center"/>
          </w:tcPr>
          <w:p w14:paraId="4B0D92A1">
            <w:pPr>
              <w:widowControl/>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≤4</w:t>
            </w:r>
          </w:p>
        </w:tc>
      </w:tr>
    </w:tbl>
    <w:p w14:paraId="42B53A7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10</w:t>
      </w:r>
      <w:r>
        <w:rPr>
          <w:rFonts w:hint="eastAsia" w:ascii="宋体" w:hAnsi="宋体" w:cs="Arial"/>
          <w:color w:val="auto"/>
          <w:szCs w:val="21"/>
          <w:highlight w:val="none"/>
          <w:lang w:eastAsia="zh-CN"/>
        </w:rPr>
        <w:t>）</w:t>
      </w:r>
      <w:r>
        <w:rPr>
          <w:rFonts w:hint="eastAsia" w:ascii="宋体" w:hAnsi="宋体" w:cs="Arial"/>
          <w:color w:val="auto"/>
          <w:szCs w:val="21"/>
          <w:highlight w:val="none"/>
        </w:rPr>
        <w:t>投标人需承诺所供蔬菜符合上述质量要求及农药残留不超过国家限量标准，若不符合,愿意接受退货处理并承担违约责任。</w:t>
      </w:r>
    </w:p>
    <w:p w14:paraId="259F6ADF">
      <w:pPr>
        <w:spacing w:line="360" w:lineRule="auto"/>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（二）水果类要求</w:t>
      </w:r>
    </w:p>
    <w:p w14:paraId="4E93A9B9">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水果的品种（包括但不仅限于以下品种）：苹果、橙子、柑、石榴、杨桃、香蕉、圣女果、哈密瓜、西瓜、木瓜、提子、水晶梨、香梨、砂糖橘、金桔、沙田柚、奇异果、火龙果等，具体提供的品种顺应季节变化。</w:t>
      </w:r>
    </w:p>
    <w:p w14:paraId="7E37890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质量要求：</w:t>
      </w:r>
    </w:p>
    <w:p w14:paraId="4F49AD4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 xml:space="preserve">水果供应链要求：所有水果的来源必须清晰。 </w:t>
      </w:r>
    </w:p>
    <w:p w14:paraId="18A81CE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所提供的水果应当色泽光鲜、水润饱满、无腐烂，果品表面清洁新鲜，无病虫害和机械损伤，带有芳香味。</w:t>
      </w:r>
    </w:p>
    <w:p w14:paraId="0EF9C37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3</w:t>
      </w:r>
      <w:r>
        <w:rPr>
          <w:rFonts w:hint="eastAsia" w:ascii="宋体" w:hAnsi="宋体" w:cs="Arial"/>
          <w:color w:val="auto"/>
          <w:szCs w:val="21"/>
          <w:highlight w:val="none"/>
          <w:lang w:eastAsia="zh-CN"/>
        </w:rPr>
        <w:t>）</w:t>
      </w:r>
      <w:r>
        <w:rPr>
          <w:rFonts w:hint="eastAsia" w:ascii="宋体" w:hAnsi="宋体" w:cs="Arial"/>
          <w:color w:val="auto"/>
          <w:szCs w:val="21"/>
          <w:highlight w:val="none"/>
        </w:rPr>
        <w:t>中标人所提供的果品应符合国家规定的绿色果品要求。应是优质、洁净，其品质、营养价值和卫生安全指标应严格符合国家的规定及相关食品卫生标准。</w:t>
      </w:r>
    </w:p>
    <w:p w14:paraId="735DEE4E">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eastAsia="zh-CN"/>
        </w:rPr>
        <w:t>、</w:t>
      </w:r>
      <w:r>
        <w:rPr>
          <w:rFonts w:hint="eastAsia" w:ascii="宋体" w:hAnsi="宋体" w:cs="Arial"/>
          <w:color w:val="auto"/>
          <w:szCs w:val="21"/>
          <w:highlight w:val="none"/>
        </w:rPr>
        <w:t>水果检验标准(果品感官鉴别要点)</w:t>
      </w:r>
    </w:p>
    <w:p w14:paraId="4EB0590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西瓜的馊味等，都是很好的例证。口尝不但能感知果品的滋味是否正常，还能感觉到果肉的质地是否良好，它也是很重要的一个感官指标。</w:t>
      </w:r>
    </w:p>
    <w:p w14:paraId="3C514920">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干果品虽然较鲜果的含水量低或是经过了干制，但其感官鉴别的原则与指标都基本上和前述三项大同小异。</w:t>
      </w:r>
    </w:p>
    <w:p w14:paraId="15246691">
      <w:pPr>
        <w:spacing w:line="360" w:lineRule="auto"/>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（三）水产、冰鲜鱼类要求</w:t>
      </w:r>
    </w:p>
    <w:p w14:paraId="7F770F48">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水产类健康，体态匀称，游动活泼，体色鲜明，体表光滑，眼睛亮丽，鳞片鳍条完好。</w:t>
      </w:r>
    </w:p>
    <w:p w14:paraId="65BEA229">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eastAsia="zh-CN"/>
        </w:rPr>
        <w:t>、</w:t>
      </w:r>
      <w:r>
        <w:rPr>
          <w:rFonts w:hint="eastAsia" w:ascii="宋体" w:hAnsi="宋体" w:cs="Arial"/>
          <w:color w:val="auto"/>
          <w:szCs w:val="21"/>
          <w:highlight w:val="none"/>
        </w:rPr>
        <w:t>冰鲜鱼类健康，体态匀称，体色鲜明，体表光滑，鳍条完好。</w:t>
      </w:r>
    </w:p>
    <w:p w14:paraId="690D1EC4">
      <w:pPr>
        <w:spacing w:line="360" w:lineRule="auto"/>
        <w:ind w:firstLine="420" w:firstLineChars="200"/>
        <w:rPr>
          <w:rFonts w:ascii="宋体" w:hAnsi="宋体" w:cs="Arial"/>
          <w:b/>
          <w:bCs/>
          <w:color w:val="auto"/>
          <w:szCs w:val="21"/>
          <w:highlight w:val="none"/>
        </w:rPr>
      </w:pPr>
      <w:r>
        <w:rPr>
          <w:rFonts w:hint="eastAsia" w:ascii="宋体" w:hAnsi="宋体" w:cs="Arial"/>
          <w:b/>
          <w:bCs/>
          <w:color w:val="auto"/>
          <w:szCs w:val="21"/>
          <w:highlight w:val="none"/>
        </w:rPr>
        <w:t>（四）猪肉、牛肉、家禽类</w:t>
      </w:r>
    </w:p>
    <w:p w14:paraId="38523A73">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产品要求</w:t>
      </w:r>
    </w:p>
    <w:p w14:paraId="0BB05C0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（1）鲜肉要求</w:t>
      </w:r>
      <w:r>
        <w:rPr>
          <w:rFonts w:hint="eastAsia" w:ascii="宋体" w:hAnsi="宋体" w:cs="Arial"/>
          <w:color w:val="auto"/>
          <w:szCs w:val="21"/>
          <w:highlight w:val="none"/>
          <w:lang w:eastAsia="zh-CN"/>
        </w:rPr>
        <w:t>。</w:t>
      </w:r>
      <w:r>
        <w:rPr>
          <w:rFonts w:hint="eastAsia" w:ascii="宋体" w:hAnsi="宋体" w:cs="Arial"/>
          <w:color w:val="auto"/>
          <w:szCs w:val="21"/>
          <w:highlight w:val="none"/>
        </w:rPr>
        <w:t xml:space="preserve">每批鲜肉、骨应保持较好的外观和质量等级，符合国家食品部门的有关标准，保证无异味、无腐烂变质，必须是南宁市及周边城市政府指定的肉联厂发出的放心肉并提供放心肉证及当批有效的动物检疫合格证复印件（供货时原件核查），分割的猪肉每次送货时均提供有猪肉分割证，鲜肉确保每日新鲜、无异味，并注明保鲜期。 </w:t>
      </w:r>
    </w:p>
    <w:p w14:paraId="3CE9845E">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（2）腊肉、腊肠要求</w:t>
      </w:r>
      <w:r>
        <w:rPr>
          <w:rFonts w:hint="eastAsia" w:ascii="宋体" w:hAnsi="宋体" w:cs="Arial"/>
          <w:color w:val="auto"/>
          <w:szCs w:val="21"/>
          <w:highlight w:val="none"/>
          <w:lang w:eastAsia="zh-CN"/>
        </w:rPr>
        <w:t>。</w:t>
      </w:r>
      <w:r>
        <w:rPr>
          <w:rFonts w:hint="eastAsia" w:ascii="宋体" w:hAnsi="宋体" w:cs="Arial"/>
          <w:color w:val="auto"/>
          <w:szCs w:val="21"/>
          <w:highlight w:val="none"/>
        </w:rPr>
        <w:t>腊肉：符合国家标准，良质腊肉色泽鲜明，肌肉暗红色，脂肪透明呈乳白色，肉干燥结实，带有固有的腊式香味</w:t>
      </w:r>
      <w:r>
        <w:rPr>
          <w:rFonts w:hint="eastAsia" w:ascii="宋体" w:hAnsi="宋体" w:cs="Arial"/>
          <w:color w:val="auto"/>
          <w:szCs w:val="21"/>
          <w:highlight w:val="none"/>
          <w:lang w:eastAsia="zh-CN"/>
        </w:rPr>
        <w:t>。</w:t>
      </w:r>
      <w:r>
        <w:rPr>
          <w:rFonts w:hint="eastAsia" w:ascii="宋体" w:hAnsi="宋体" w:cs="Arial"/>
          <w:color w:val="auto"/>
          <w:szCs w:val="21"/>
          <w:highlight w:val="none"/>
        </w:rPr>
        <w:t>腊肠：符合国家标准，品质好的腊肠是肠衣干燥，不发霉，无粘液，肠衣与肉馅紧密联在一起，表面紧而有弹性，色泽均匀，肥肉色白，瘦肉色红，无灰色斑点，气味芳香。</w:t>
      </w:r>
    </w:p>
    <w:p w14:paraId="3EF6BAF2">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（3）家禽要求</w:t>
      </w:r>
      <w:r>
        <w:rPr>
          <w:rFonts w:hint="eastAsia" w:ascii="宋体" w:hAnsi="宋体" w:cs="Arial"/>
          <w:color w:val="auto"/>
          <w:szCs w:val="21"/>
          <w:highlight w:val="none"/>
          <w:lang w:eastAsia="zh-CN"/>
        </w:rPr>
        <w:t>。</w:t>
      </w:r>
      <w:r>
        <w:rPr>
          <w:rFonts w:hint="eastAsia" w:ascii="宋体" w:hAnsi="宋体" w:cs="Arial"/>
          <w:color w:val="auto"/>
          <w:szCs w:val="21"/>
          <w:highlight w:val="none"/>
        </w:rPr>
        <w:t>经宰杀去毛以后的鸡、鸭、鹅等禽类</w:t>
      </w:r>
      <w:r>
        <w:rPr>
          <w:rFonts w:hint="eastAsia" w:ascii="宋体" w:hAnsi="宋体" w:cs="Arial"/>
          <w:color w:val="auto"/>
          <w:szCs w:val="21"/>
          <w:highlight w:val="none"/>
          <w:lang w:eastAsia="zh-CN"/>
        </w:rPr>
        <w:t>等</w:t>
      </w:r>
      <w:r>
        <w:rPr>
          <w:rFonts w:hint="eastAsia" w:ascii="宋体" w:hAnsi="宋体" w:cs="Arial"/>
          <w:color w:val="auto"/>
          <w:szCs w:val="21"/>
          <w:highlight w:val="none"/>
        </w:rPr>
        <w:t>新鲜光禽</w:t>
      </w:r>
      <w:r>
        <w:rPr>
          <w:rFonts w:ascii="宋体" w:hAnsi="宋体" w:cs="Arial"/>
          <w:color w:val="auto"/>
          <w:szCs w:val="21"/>
          <w:highlight w:val="none"/>
        </w:rPr>
        <w:t>：</w:t>
      </w:r>
    </w:p>
    <w:p w14:paraId="6385BC36">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Arial"/>
          <w:color w:val="auto"/>
          <w:szCs w:val="21"/>
          <w:highlight w:val="none"/>
        </w:rPr>
        <w:t>喙有光泽、干燥、无粘液；</w:t>
      </w:r>
    </w:p>
    <w:p w14:paraId="1F80FF1D">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hAnsi="宋体" w:cs="Arial"/>
          <w:color w:val="auto"/>
          <w:szCs w:val="21"/>
          <w:highlight w:val="none"/>
        </w:rPr>
        <w:t>口腔：新鲜的光禽口腔粘膜呈淡玫瑰色，有光泽、洁净、无异味；</w:t>
      </w:r>
    </w:p>
    <w:p w14:paraId="0DFC96E3">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③</w:t>
      </w:r>
      <w:r>
        <w:rPr>
          <w:rFonts w:hint="eastAsia" w:ascii="宋体" w:hAnsi="宋体" w:cs="Arial"/>
          <w:color w:val="auto"/>
          <w:szCs w:val="21"/>
          <w:highlight w:val="none"/>
        </w:rPr>
        <w:t>新鲜的光禽眼睛明亮，充满整个眼窝；</w:t>
      </w:r>
    </w:p>
    <w:p w14:paraId="51895FB3">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④</w:t>
      </w:r>
      <w:r>
        <w:rPr>
          <w:rFonts w:hint="eastAsia" w:ascii="宋体" w:hAnsi="宋体" w:cs="Arial"/>
          <w:color w:val="auto"/>
          <w:szCs w:val="21"/>
          <w:highlight w:val="none"/>
        </w:rPr>
        <w:t>皮肤：新鲜的光禽皮肤上毛孔隆起，表面干燥而紧缩，呈乳白色或淡黄色，稍带微红，无异味；</w:t>
      </w:r>
    </w:p>
    <w:p w14:paraId="000C6611">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⑤</w:t>
      </w:r>
      <w:r>
        <w:rPr>
          <w:rFonts w:hint="eastAsia" w:ascii="宋体" w:hAnsi="宋体" w:cs="Arial"/>
          <w:color w:val="auto"/>
          <w:szCs w:val="21"/>
          <w:highlight w:val="none"/>
        </w:rPr>
        <w:t>脂肪：新鲜的光禽脂肪呈淡黄色或黄色，有光泽，无异味；</w:t>
      </w:r>
    </w:p>
    <w:p w14:paraId="62A507F3">
      <w:pPr>
        <w:spacing w:line="360" w:lineRule="auto"/>
        <w:ind w:firstLine="420" w:firstLineChars="200"/>
        <w:rPr>
          <w:rFonts w:hint="eastAsia" w:ascii="宋体" w:hAnsi="宋体" w:cs="Arial"/>
          <w:color w:val="auto"/>
          <w:szCs w:val="21"/>
          <w:highlight w:val="none"/>
          <w:lang w:eastAsia="zh-CN"/>
        </w:rPr>
      </w:pPr>
      <w:r>
        <w:rPr>
          <w:rFonts w:hint="eastAsia" w:ascii="汉仪书宋二S" w:hAnsi="汉仪书宋二S" w:eastAsia="汉仪书宋二S" w:cs="汉仪书宋二S"/>
          <w:color w:val="auto"/>
          <w:szCs w:val="21"/>
          <w:highlight w:val="none"/>
        </w:rPr>
        <w:t>⑥</w:t>
      </w:r>
      <w:r>
        <w:rPr>
          <w:rFonts w:hint="eastAsia" w:ascii="宋体" w:hAnsi="宋体" w:cs="Arial"/>
          <w:color w:val="auto"/>
          <w:szCs w:val="21"/>
          <w:highlight w:val="none"/>
        </w:rPr>
        <w:t>肌肉：新鲜光禽肌肉结实，有弹性，有光泽，颈、腿部肌肉呈玫瑰红色变质的光禽肌肉松驰，湿润发粘，色变暗红，有明显腐败气味</w:t>
      </w:r>
      <w:r>
        <w:rPr>
          <w:rFonts w:hint="eastAsia" w:ascii="宋体" w:hAnsi="宋体" w:cs="Arial"/>
          <w:color w:val="auto"/>
          <w:szCs w:val="21"/>
          <w:highlight w:val="none"/>
          <w:lang w:eastAsia="zh-CN"/>
        </w:rPr>
        <w:t>。</w:t>
      </w:r>
    </w:p>
    <w:p w14:paraId="433C2D8F">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⑦</w:t>
      </w:r>
      <w:r>
        <w:rPr>
          <w:rFonts w:hint="eastAsia" w:ascii="宋体" w:hAnsi="宋体" w:cs="Arial"/>
          <w:color w:val="auto"/>
          <w:szCs w:val="21"/>
          <w:highlight w:val="none"/>
        </w:rPr>
        <w:t>冷冻禽类食品解冻后净重量不少于90%，冷冻肉类食品解冻后净重量不少于92%，冷冻水产类食品解冻后净重量不少于82%，解冻时间为小时以内（室温20℃）。所有冷冻食品要求清晰列出产品品牌、规格、类型、包装方式、包装净重、含冰量等相关参数。</w:t>
      </w:r>
    </w:p>
    <w:p w14:paraId="0F6E9604">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4</w:t>
      </w:r>
      <w:r>
        <w:rPr>
          <w:rFonts w:hint="eastAsia" w:ascii="宋体" w:hAnsi="宋体" w:cs="Arial"/>
          <w:color w:val="auto"/>
          <w:szCs w:val="21"/>
          <w:highlight w:val="none"/>
          <w:lang w:eastAsia="zh-CN"/>
        </w:rPr>
        <w:t>）</w:t>
      </w:r>
      <w:r>
        <w:rPr>
          <w:rFonts w:hint="eastAsia" w:ascii="宋体" w:hAnsi="宋体" w:cs="Arial"/>
          <w:color w:val="auto"/>
          <w:szCs w:val="21"/>
          <w:highlight w:val="none"/>
        </w:rPr>
        <w:t>其他肉类</w:t>
      </w:r>
      <w:r>
        <w:rPr>
          <w:rFonts w:hint="eastAsia" w:ascii="宋体" w:hAnsi="宋体" w:cs="Arial"/>
          <w:color w:val="auto"/>
          <w:szCs w:val="21"/>
          <w:highlight w:val="none"/>
          <w:lang w:eastAsia="zh-CN"/>
        </w:rPr>
        <w:t>。</w:t>
      </w:r>
      <w:r>
        <w:rPr>
          <w:rFonts w:hint="eastAsia" w:ascii="宋体" w:hAnsi="宋体" w:cs="Arial"/>
          <w:color w:val="auto"/>
          <w:szCs w:val="21"/>
          <w:highlight w:val="none"/>
        </w:rPr>
        <w:t>冷冻肉要求肉体冻实而且坚硬，无化冻现象，肉质紧密而有弹性，色泽均匀，不粘手，交货时干净、新鲜、无异味，冷冻鱼类要求鱼眼睛清亮，角膜透明，鳞片色泽明显。冷冻肉类食品解冻后净重量不少于92%，冷冻水产品解冻后净重量不少于85%，解冻时间为4小时以内（室温20度）。所有冷冻食品均清晰列出产品品牌、规格、类型、包装方式、包装净重、含冰量等相关参数，且包装箱上必须贴有QS标志。</w:t>
      </w:r>
    </w:p>
    <w:p w14:paraId="67012D8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（五） 粮油、干货副食品和调味品类</w:t>
      </w:r>
    </w:p>
    <w:p w14:paraId="0438B688">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产品要求</w:t>
      </w:r>
    </w:p>
    <w:p w14:paraId="0A8D174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（1）副食品要求</w:t>
      </w:r>
    </w:p>
    <w:p w14:paraId="31EB1BDE">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Arial"/>
          <w:color w:val="auto"/>
          <w:szCs w:val="21"/>
          <w:highlight w:val="none"/>
        </w:rPr>
        <w:t>副食品的质量基本标准要求符合国家行业标准，干爽、不霉烂、整齐、均匀、完整、无虫蛀、无杂质，保持应有的色泽。确保产品质量稳定，保证营养丰富、绿色安全、海味浓郁、易存放、食用方便，保质期长。从加工、包装、运输、贮存到销售全部符合国家规定标准。采购人可根据实际情况对需要的副食品进行品质抽检，对质量未达到国家标准的副食品采购人有权拒绝接受。</w:t>
      </w:r>
    </w:p>
    <w:p w14:paraId="0EE97D2C">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hAnsi="宋体" w:cs="Arial"/>
          <w:color w:val="auto"/>
          <w:szCs w:val="21"/>
          <w:highlight w:val="none"/>
        </w:rPr>
        <w:t>所有副食品调味料均为正规厂家生产，包装完整，所有产品有“QS”标志，标明商品名称、规格、生产商、产地、生产日期、保质期或保存期。</w:t>
      </w:r>
    </w:p>
    <w:p w14:paraId="31A4D53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（2）大米</w:t>
      </w:r>
    </w:p>
    <w:p w14:paraId="7A534281">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Arial"/>
          <w:color w:val="auto"/>
          <w:szCs w:val="21"/>
          <w:highlight w:val="none"/>
        </w:rPr>
        <w:t>大米品种要求：加工精度为国标三号大米</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2067"/>
        <w:gridCol w:w="2348"/>
        <w:gridCol w:w="3951"/>
      </w:tblGrid>
      <w:tr w14:paraId="39C0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4700E2C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415" w:type="dxa"/>
            <w:gridSpan w:val="2"/>
            <w:noWrap w:val="0"/>
            <w:vAlign w:val="center"/>
          </w:tcPr>
          <w:p w14:paraId="47D2D7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3951" w:type="dxa"/>
            <w:noWrap w:val="0"/>
            <w:vAlign w:val="center"/>
          </w:tcPr>
          <w:p w14:paraId="555FE70C">
            <w:pPr>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质量标准</w:t>
            </w:r>
          </w:p>
        </w:tc>
      </w:tr>
      <w:tr w14:paraId="2EA6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2F4F3C7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15" w:type="dxa"/>
            <w:gridSpan w:val="2"/>
            <w:noWrap w:val="0"/>
            <w:vAlign w:val="center"/>
          </w:tcPr>
          <w:p w14:paraId="740ED68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加工精度</w:t>
            </w:r>
          </w:p>
        </w:tc>
        <w:tc>
          <w:tcPr>
            <w:tcW w:w="3951" w:type="dxa"/>
            <w:noWrap w:val="0"/>
            <w:vAlign w:val="center"/>
          </w:tcPr>
          <w:p w14:paraId="16DD0484">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符合二等品要求</w:t>
            </w:r>
          </w:p>
        </w:tc>
      </w:tr>
      <w:tr w14:paraId="2050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2AAFB01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15" w:type="dxa"/>
            <w:gridSpan w:val="2"/>
            <w:noWrap w:val="0"/>
            <w:vAlign w:val="center"/>
          </w:tcPr>
          <w:p w14:paraId="5133D54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不完善粒%</w:t>
            </w:r>
          </w:p>
        </w:tc>
        <w:tc>
          <w:tcPr>
            <w:tcW w:w="3951" w:type="dxa"/>
            <w:noWrap w:val="0"/>
            <w:vAlign w:val="center"/>
          </w:tcPr>
          <w:p w14:paraId="20F36435">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≤6.0</w:t>
            </w:r>
          </w:p>
        </w:tc>
      </w:tr>
      <w:tr w14:paraId="048F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56A5D45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067" w:type="dxa"/>
            <w:vMerge w:val="restart"/>
            <w:noWrap w:val="0"/>
            <w:vAlign w:val="center"/>
          </w:tcPr>
          <w:p w14:paraId="08265EC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最大限度杂质</w:t>
            </w:r>
          </w:p>
        </w:tc>
        <w:tc>
          <w:tcPr>
            <w:tcW w:w="2348" w:type="dxa"/>
            <w:noWrap w:val="0"/>
            <w:vAlign w:val="center"/>
          </w:tcPr>
          <w:p w14:paraId="2766078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总量%</w:t>
            </w:r>
          </w:p>
        </w:tc>
        <w:tc>
          <w:tcPr>
            <w:tcW w:w="3951" w:type="dxa"/>
            <w:noWrap w:val="0"/>
            <w:vAlign w:val="center"/>
          </w:tcPr>
          <w:p w14:paraId="465CE39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≤0.40</w:t>
            </w:r>
          </w:p>
        </w:tc>
      </w:tr>
      <w:tr w14:paraId="20B8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651C18B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67" w:type="dxa"/>
            <w:vMerge w:val="continue"/>
            <w:noWrap w:val="0"/>
            <w:vAlign w:val="center"/>
          </w:tcPr>
          <w:p w14:paraId="16A63210">
            <w:pPr>
              <w:widowControl/>
              <w:spacing w:line="360" w:lineRule="auto"/>
              <w:jc w:val="center"/>
              <w:rPr>
                <w:rFonts w:ascii="宋体" w:hAnsi="宋体" w:cs="宋体"/>
                <w:color w:val="auto"/>
                <w:kern w:val="0"/>
                <w:szCs w:val="21"/>
                <w:highlight w:val="none"/>
              </w:rPr>
            </w:pPr>
          </w:p>
        </w:tc>
        <w:tc>
          <w:tcPr>
            <w:tcW w:w="2348" w:type="dxa"/>
            <w:noWrap w:val="0"/>
            <w:vAlign w:val="center"/>
          </w:tcPr>
          <w:p w14:paraId="78FAFC2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糠粉%</w:t>
            </w:r>
          </w:p>
        </w:tc>
        <w:tc>
          <w:tcPr>
            <w:tcW w:w="3951" w:type="dxa"/>
            <w:noWrap w:val="0"/>
            <w:vAlign w:val="center"/>
          </w:tcPr>
          <w:p w14:paraId="1D4FD571">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≤0.20</w:t>
            </w:r>
          </w:p>
        </w:tc>
      </w:tr>
      <w:tr w14:paraId="3CA4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19145AA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67" w:type="dxa"/>
            <w:vMerge w:val="continue"/>
            <w:noWrap w:val="0"/>
            <w:vAlign w:val="center"/>
          </w:tcPr>
          <w:p w14:paraId="46D27C56">
            <w:pPr>
              <w:widowControl/>
              <w:spacing w:line="360" w:lineRule="auto"/>
              <w:jc w:val="center"/>
              <w:rPr>
                <w:rFonts w:ascii="宋体" w:hAnsi="宋体" w:cs="宋体"/>
                <w:color w:val="auto"/>
                <w:kern w:val="0"/>
                <w:szCs w:val="21"/>
                <w:highlight w:val="none"/>
              </w:rPr>
            </w:pPr>
          </w:p>
        </w:tc>
        <w:tc>
          <w:tcPr>
            <w:tcW w:w="2348" w:type="dxa"/>
            <w:noWrap w:val="0"/>
            <w:vAlign w:val="center"/>
          </w:tcPr>
          <w:p w14:paraId="0F6AF7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矿物质%</w:t>
            </w:r>
          </w:p>
        </w:tc>
        <w:tc>
          <w:tcPr>
            <w:tcW w:w="3951" w:type="dxa"/>
            <w:noWrap w:val="0"/>
            <w:vAlign w:val="center"/>
          </w:tcPr>
          <w:p w14:paraId="5B5A592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≤0.02</w:t>
            </w:r>
          </w:p>
        </w:tc>
      </w:tr>
      <w:tr w14:paraId="41C4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034B2E8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67" w:type="dxa"/>
            <w:vMerge w:val="continue"/>
            <w:noWrap w:val="0"/>
            <w:vAlign w:val="center"/>
          </w:tcPr>
          <w:p w14:paraId="00DC9295">
            <w:pPr>
              <w:widowControl/>
              <w:spacing w:line="360" w:lineRule="auto"/>
              <w:jc w:val="center"/>
              <w:rPr>
                <w:rFonts w:ascii="宋体" w:hAnsi="宋体" w:cs="宋体"/>
                <w:color w:val="auto"/>
                <w:kern w:val="0"/>
                <w:szCs w:val="21"/>
                <w:highlight w:val="none"/>
              </w:rPr>
            </w:pPr>
          </w:p>
        </w:tc>
        <w:tc>
          <w:tcPr>
            <w:tcW w:w="2348" w:type="dxa"/>
            <w:noWrap w:val="0"/>
            <w:vAlign w:val="center"/>
          </w:tcPr>
          <w:p w14:paraId="1D0BC57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带壳稞  粒/kg</w:t>
            </w:r>
          </w:p>
        </w:tc>
        <w:tc>
          <w:tcPr>
            <w:tcW w:w="3951" w:type="dxa"/>
            <w:noWrap w:val="0"/>
            <w:vAlign w:val="center"/>
          </w:tcPr>
          <w:p w14:paraId="46C2A35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≤70</w:t>
            </w:r>
          </w:p>
        </w:tc>
      </w:tr>
      <w:tr w14:paraId="45A2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4097ED3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67" w:type="dxa"/>
            <w:vMerge w:val="continue"/>
            <w:noWrap w:val="0"/>
            <w:vAlign w:val="center"/>
          </w:tcPr>
          <w:p w14:paraId="437A2FD4">
            <w:pPr>
              <w:widowControl/>
              <w:spacing w:line="360" w:lineRule="auto"/>
              <w:jc w:val="center"/>
              <w:rPr>
                <w:rFonts w:ascii="宋体" w:hAnsi="宋体" w:cs="宋体"/>
                <w:color w:val="auto"/>
                <w:kern w:val="0"/>
                <w:szCs w:val="21"/>
                <w:highlight w:val="none"/>
              </w:rPr>
            </w:pPr>
          </w:p>
        </w:tc>
        <w:tc>
          <w:tcPr>
            <w:tcW w:w="2348" w:type="dxa"/>
            <w:noWrap w:val="0"/>
            <w:vAlign w:val="center"/>
          </w:tcPr>
          <w:p w14:paraId="7C3839F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稻谷粒 粒/kg</w:t>
            </w:r>
          </w:p>
        </w:tc>
        <w:tc>
          <w:tcPr>
            <w:tcW w:w="3951" w:type="dxa"/>
            <w:noWrap w:val="0"/>
            <w:vAlign w:val="center"/>
          </w:tcPr>
          <w:p w14:paraId="56DFF2F8">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≤16</w:t>
            </w:r>
          </w:p>
        </w:tc>
      </w:tr>
      <w:tr w14:paraId="4BAF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50D4F34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415" w:type="dxa"/>
            <w:gridSpan w:val="2"/>
            <w:noWrap w:val="0"/>
            <w:vAlign w:val="center"/>
          </w:tcPr>
          <w:p w14:paraId="36F9812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碎米总量%</w:t>
            </w:r>
          </w:p>
        </w:tc>
        <w:tc>
          <w:tcPr>
            <w:tcW w:w="3951" w:type="dxa"/>
            <w:noWrap w:val="0"/>
            <w:vAlign w:val="center"/>
          </w:tcPr>
          <w:p w14:paraId="2CBB711A">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≤35.0</w:t>
            </w:r>
          </w:p>
        </w:tc>
      </w:tr>
      <w:tr w14:paraId="6F76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4C3E75A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415" w:type="dxa"/>
            <w:gridSpan w:val="2"/>
            <w:noWrap w:val="0"/>
            <w:vAlign w:val="center"/>
          </w:tcPr>
          <w:p w14:paraId="2485B21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小碎米%</w:t>
            </w:r>
          </w:p>
        </w:tc>
        <w:tc>
          <w:tcPr>
            <w:tcW w:w="3951" w:type="dxa"/>
            <w:noWrap w:val="0"/>
            <w:vAlign w:val="center"/>
          </w:tcPr>
          <w:p w14:paraId="65B07E3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≤2.5</w:t>
            </w:r>
          </w:p>
        </w:tc>
      </w:tr>
      <w:tr w14:paraId="7E07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7882D9B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415" w:type="dxa"/>
            <w:gridSpan w:val="2"/>
            <w:noWrap w:val="0"/>
            <w:vAlign w:val="center"/>
          </w:tcPr>
          <w:p w14:paraId="3AFC7A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黄粒米%</w:t>
            </w:r>
          </w:p>
        </w:tc>
        <w:tc>
          <w:tcPr>
            <w:tcW w:w="3951" w:type="dxa"/>
            <w:noWrap w:val="0"/>
            <w:vAlign w:val="center"/>
          </w:tcPr>
          <w:p w14:paraId="09D1A346">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≤2.0</w:t>
            </w:r>
          </w:p>
        </w:tc>
      </w:tr>
      <w:tr w14:paraId="2341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1906937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415" w:type="dxa"/>
            <w:gridSpan w:val="2"/>
            <w:noWrap w:val="0"/>
            <w:vAlign w:val="center"/>
          </w:tcPr>
          <w:p w14:paraId="6AA70B8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水份%</w:t>
            </w:r>
          </w:p>
        </w:tc>
        <w:tc>
          <w:tcPr>
            <w:tcW w:w="3951" w:type="dxa"/>
            <w:noWrap w:val="0"/>
            <w:vAlign w:val="center"/>
          </w:tcPr>
          <w:p w14:paraId="7BECDDC2">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≤14.0</w:t>
            </w:r>
          </w:p>
        </w:tc>
      </w:tr>
      <w:tr w14:paraId="7DB8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42DF690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415" w:type="dxa"/>
            <w:gridSpan w:val="2"/>
            <w:noWrap w:val="0"/>
            <w:vAlign w:val="center"/>
          </w:tcPr>
          <w:p w14:paraId="55370DB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六六六mg/kg</w:t>
            </w:r>
          </w:p>
        </w:tc>
        <w:tc>
          <w:tcPr>
            <w:tcW w:w="3951" w:type="dxa"/>
            <w:noWrap w:val="0"/>
            <w:vAlign w:val="center"/>
          </w:tcPr>
          <w:p w14:paraId="1C8D4453">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DBB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3C114ED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415" w:type="dxa"/>
            <w:gridSpan w:val="2"/>
            <w:noWrap w:val="0"/>
            <w:vAlign w:val="center"/>
          </w:tcPr>
          <w:p w14:paraId="06DA6F7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滴滴涕mg/kg</w:t>
            </w:r>
          </w:p>
        </w:tc>
        <w:tc>
          <w:tcPr>
            <w:tcW w:w="3951" w:type="dxa"/>
            <w:noWrap w:val="0"/>
            <w:vAlign w:val="center"/>
          </w:tcPr>
          <w:p w14:paraId="273FA7B4">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19CD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29C3E9F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415" w:type="dxa"/>
            <w:gridSpan w:val="2"/>
            <w:noWrap w:val="0"/>
            <w:vAlign w:val="center"/>
          </w:tcPr>
          <w:p w14:paraId="00D8348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色泽、气味、口味</w:t>
            </w:r>
          </w:p>
        </w:tc>
        <w:tc>
          <w:tcPr>
            <w:tcW w:w="3951" w:type="dxa"/>
            <w:noWrap w:val="0"/>
            <w:vAlign w:val="center"/>
          </w:tcPr>
          <w:p w14:paraId="19E7ADF6">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正常</w:t>
            </w:r>
          </w:p>
        </w:tc>
      </w:tr>
      <w:tr w14:paraId="20B6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4" w:type="dxa"/>
            <w:noWrap w:val="0"/>
            <w:vAlign w:val="center"/>
          </w:tcPr>
          <w:p w14:paraId="251CD1D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4415" w:type="dxa"/>
            <w:gridSpan w:val="2"/>
            <w:noWrap w:val="0"/>
            <w:vAlign w:val="center"/>
          </w:tcPr>
          <w:p w14:paraId="2ECEFCB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镉</w:t>
            </w:r>
          </w:p>
        </w:tc>
        <w:tc>
          <w:tcPr>
            <w:tcW w:w="3951" w:type="dxa"/>
            <w:noWrap w:val="0"/>
            <w:vAlign w:val="center"/>
          </w:tcPr>
          <w:p w14:paraId="377B225D">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≤0.2mg/kg</w:t>
            </w:r>
          </w:p>
        </w:tc>
      </w:tr>
    </w:tbl>
    <w:p w14:paraId="421308F8">
      <w:pPr>
        <w:spacing w:line="360" w:lineRule="auto"/>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lang w:val="en-US" w:eastAsia="zh-CN"/>
        </w:rPr>
        <w:t xml:space="preserve">    </w:t>
      </w:r>
      <w:r>
        <w:rPr>
          <w:rFonts w:hint="eastAsia" w:ascii="汉仪书宋二S" w:hAnsi="汉仪书宋二S" w:eastAsia="汉仪书宋二S" w:cs="汉仪书宋二S"/>
          <w:color w:val="auto"/>
          <w:szCs w:val="21"/>
          <w:highlight w:val="none"/>
        </w:rPr>
        <w:t>②</w:t>
      </w:r>
      <w:r>
        <w:rPr>
          <w:rFonts w:hint="eastAsia" w:ascii="宋体" w:hAnsi="宋体" w:cs="Arial"/>
          <w:color w:val="auto"/>
          <w:szCs w:val="21"/>
          <w:highlight w:val="none"/>
        </w:rPr>
        <w:t>大米质量标准</w:t>
      </w:r>
      <w:r>
        <w:rPr>
          <w:rFonts w:hint="eastAsia" w:ascii="宋体" w:hAnsi="宋体" w:cs="Arial"/>
          <w:color w:val="auto"/>
          <w:szCs w:val="21"/>
          <w:highlight w:val="none"/>
          <w:lang w:eastAsia="zh-CN"/>
        </w:rPr>
        <w:t>。</w:t>
      </w:r>
      <w:r>
        <w:rPr>
          <w:rFonts w:hint="eastAsia" w:ascii="宋体" w:hAnsi="宋体" w:cs="Arial"/>
          <w:color w:val="auto"/>
          <w:szCs w:val="21"/>
          <w:highlight w:val="none"/>
        </w:rPr>
        <w:t>米类执行标准： GB 1354-2009标准一等米，不含添加剂</w:t>
      </w:r>
      <w:r>
        <w:rPr>
          <w:rFonts w:hint="eastAsia" w:ascii="宋体" w:hAnsi="宋体" w:cs="Arial"/>
          <w:color w:val="auto"/>
          <w:szCs w:val="21"/>
          <w:highlight w:val="none"/>
          <w:lang w:eastAsia="zh-CN"/>
        </w:rPr>
        <w:t>，</w:t>
      </w:r>
      <w:r>
        <w:rPr>
          <w:rFonts w:hint="eastAsia" w:ascii="宋体" w:hAnsi="宋体" w:cs="Arial"/>
          <w:color w:val="auto"/>
          <w:szCs w:val="21"/>
          <w:highlight w:val="none"/>
        </w:rPr>
        <w:t>除符合标准一等米外，要求：</w:t>
      </w:r>
    </w:p>
    <w:p w14:paraId="1475B62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碎米总量≤17%（国家标准：≤35%） </w:t>
      </w:r>
    </w:p>
    <w:p w14:paraId="3F99501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小碎米总量≤2%（国家标准：≤2.5%） </w:t>
      </w:r>
    </w:p>
    <w:p w14:paraId="1C4D202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不完善粒≤3.5%（国家标准：≤4.0%） </w:t>
      </w:r>
    </w:p>
    <w:p w14:paraId="43E02B4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黄米粒按国家标准执行 。</w:t>
      </w:r>
    </w:p>
    <w:p w14:paraId="1D9D31A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③有“QS”标志，标明加工厂名称、品名、生产日期、保持期或保存期， 供货时的剩余保质期不少于三分之二，质量等级、产品标准号、产品合格证，质量符合米类执行标准。</w:t>
      </w:r>
    </w:p>
    <w:p w14:paraId="3B2145C3">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④具有固有色泽和香味，无污染、无虫害，色泽、气味、口味正常，无异 味或霉味（霉变），无虫蛀结块挂丝或杂质异等，符合国家粮食卫生标准。</w:t>
      </w:r>
    </w:p>
    <w:p w14:paraId="3F292E4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⑤大米要求的资质证明：</w:t>
      </w:r>
    </w:p>
    <w:p w14:paraId="18AE1EE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a</w:t>
      </w:r>
      <w:r>
        <w:rPr>
          <w:rFonts w:hint="eastAsia" w:ascii="宋体" w:hAnsi="宋体" w:cs="Arial"/>
          <w:color w:val="auto"/>
          <w:szCs w:val="21"/>
          <w:highlight w:val="none"/>
          <w:lang w:eastAsia="zh-CN"/>
        </w:rPr>
        <w:t>）</w:t>
      </w:r>
      <w:r>
        <w:rPr>
          <w:rFonts w:hint="eastAsia" w:ascii="宋体" w:hAnsi="宋体" w:cs="Arial"/>
          <w:color w:val="auto"/>
          <w:szCs w:val="21"/>
          <w:highlight w:val="none"/>
        </w:rPr>
        <w:t xml:space="preserve">生产（供应）企业的资质证明（首次供应时提供）：《营业执照》、《食品经营许可证》或《餐饮服务许可证》、《全国工业产品生产许可证》。 </w:t>
      </w:r>
    </w:p>
    <w:p w14:paraId="2B9596C9">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（b）</w:t>
      </w:r>
      <w:r>
        <w:rPr>
          <w:rFonts w:hint="eastAsia" w:ascii="宋体" w:hAnsi="宋体" w:cs="Arial"/>
          <w:color w:val="auto"/>
          <w:szCs w:val="21"/>
          <w:highlight w:val="none"/>
        </w:rPr>
        <w:t>《产品质量检验报告》由政府产品质量监督部门出具，每季度一次。</w:t>
      </w:r>
    </w:p>
    <w:p w14:paraId="14FCBF9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c</w:t>
      </w:r>
      <w:r>
        <w:rPr>
          <w:rFonts w:hint="eastAsia" w:ascii="宋体" w:hAnsi="宋体" w:cs="Arial"/>
          <w:color w:val="auto"/>
          <w:szCs w:val="21"/>
          <w:highlight w:val="none"/>
          <w:lang w:eastAsia="zh-CN"/>
        </w:rPr>
        <w:t>）</w:t>
      </w:r>
      <w:r>
        <w:rPr>
          <w:rFonts w:hint="eastAsia" w:ascii="宋体" w:hAnsi="宋体" w:cs="Arial"/>
          <w:color w:val="auto"/>
          <w:szCs w:val="21"/>
          <w:highlight w:val="none"/>
        </w:rPr>
        <w:t>《出厂检验报告》交货时提供本批次产品的出厂（库）检验合格报告单。</w:t>
      </w:r>
    </w:p>
    <w:p w14:paraId="7E5FFF2E">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（3）食用油（不含转基因成分的食用油）</w:t>
      </w:r>
    </w:p>
    <w:p w14:paraId="31932E8B">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Arial"/>
          <w:color w:val="auto"/>
          <w:szCs w:val="21"/>
          <w:highlight w:val="none"/>
        </w:rPr>
        <w:t>基本要求：外包装完好，有QS标志，标明品名、厂名、重量、生产日期、保质期或保存期、执行标准，具有产品合格证。具有正常植物油的色泽、透明度、气味和滋味，无焦臭、酸败及其他异味；</w:t>
      </w:r>
    </w:p>
    <w:p w14:paraId="4EF85ED9">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hAnsi="宋体" w:cs="Arial"/>
          <w:color w:val="auto"/>
          <w:szCs w:val="21"/>
          <w:highlight w:val="none"/>
        </w:rPr>
        <w:t>食用油生产企业的资质证明（首次供应时提供）：《营业执照》、《餐饮服务许可证》或《食品经营许可证》、《全国工业产品生产许可证》；</w:t>
      </w:r>
    </w:p>
    <w:p w14:paraId="054E4EFC">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③</w:t>
      </w:r>
      <w:r>
        <w:rPr>
          <w:rFonts w:hint="eastAsia" w:ascii="宋体" w:hAnsi="宋体" w:cs="Arial"/>
          <w:color w:val="auto"/>
          <w:szCs w:val="21"/>
          <w:highlight w:val="none"/>
        </w:rPr>
        <w:t>气味、滋味：具有固有的气味和滋味，无异味；</w:t>
      </w:r>
    </w:p>
    <w:p w14:paraId="04183AA1">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④</w:t>
      </w:r>
      <w:r>
        <w:rPr>
          <w:rFonts w:hint="eastAsia" w:ascii="宋体" w:hAnsi="宋体" w:cs="Arial"/>
          <w:color w:val="auto"/>
          <w:szCs w:val="21"/>
          <w:highlight w:val="none"/>
        </w:rPr>
        <w:t>加热试验（280℃）油色不得变深，无析出物；</w:t>
      </w:r>
    </w:p>
    <w:p w14:paraId="2EF13BA0">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⑤</w:t>
      </w:r>
      <w:r>
        <w:rPr>
          <w:rFonts w:hint="eastAsia" w:ascii="宋体" w:hAnsi="宋体" w:cs="Arial"/>
          <w:color w:val="auto"/>
          <w:szCs w:val="21"/>
          <w:highlight w:val="none"/>
        </w:rPr>
        <w:t>不得混有其他食用油或非食用油；</w:t>
      </w:r>
    </w:p>
    <w:p w14:paraId="5439E9B3">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⑥</w:t>
      </w:r>
      <w:r>
        <w:rPr>
          <w:rFonts w:hint="eastAsia" w:ascii="宋体" w:hAnsi="宋体" w:cs="Arial"/>
          <w:color w:val="auto"/>
          <w:szCs w:val="21"/>
          <w:highlight w:val="none"/>
        </w:rPr>
        <w:t>卫生标准和动植物检疫项目，按照国家规定执行；</w:t>
      </w:r>
    </w:p>
    <w:p w14:paraId="4F112900">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⑦</w:t>
      </w:r>
      <w:r>
        <w:rPr>
          <w:rFonts w:hint="eastAsia" w:ascii="宋体" w:hAnsi="宋体" w:cs="Arial"/>
          <w:color w:val="auto"/>
          <w:szCs w:val="21"/>
          <w:highlight w:val="none"/>
        </w:rPr>
        <w:t>执行标准</w:t>
      </w:r>
    </w:p>
    <w:p w14:paraId="3F747F44">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⑧</w:t>
      </w:r>
      <w:r>
        <w:rPr>
          <w:rFonts w:hint="eastAsia" w:ascii="宋体" w:hAnsi="宋体" w:cs="Arial"/>
          <w:color w:val="auto"/>
          <w:szCs w:val="21"/>
          <w:highlight w:val="none"/>
        </w:rPr>
        <w:t>油类执行标准：</w:t>
      </w:r>
    </w:p>
    <w:p w14:paraId="4317471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低芥酸菜籽色拉油：NY/T 1273-2007</w:t>
      </w:r>
    </w:p>
    <w:p w14:paraId="5AFC312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花生油：GB 1534-2003 　</w:t>
      </w:r>
    </w:p>
    <w:p w14:paraId="4830C80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大豆油：GB 1535-2003 </w:t>
      </w:r>
    </w:p>
    <w:p w14:paraId="2B2B3CC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葵花籽油：GB10464-2003</w:t>
      </w:r>
    </w:p>
    <w:p w14:paraId="3395292B">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棉籽油：GB 1537-2003  </w:t>
      </w:r>
    </w:p>
    <w:p w14:paraId="0073036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油茶籽油：GB 11765-2003 </w:t>
      </w:r>
    </w:p>
    <w:p w14:paraId="67C8329B">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玉米油：GB 19111-2017 </w:t>
      </w:r>
    </w:p>
    <w:p w14:paraId="67998312">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米糠油：GB19112-2003</w:t>
      </w:r>
    </w:p>
    <w:p w14:paraId="45A61F8A">
      <w:pPr>
        <w:spacing w:line="360" w:lineRule="auto"/>
        <w:ind w:firstLine="420" w:firstLineChars="200"/>
        <w:rPr>
          <w:rFonts w:ascii="宋体" w:hAnsi="宋体" w:cs="Arial"/>
          <w:color w:val="auto"/>
          <w:szCs w:val="21"/>
          <w:highlight w:val="none"/>
        </w:rPr>
      </w:pPr>
      <w:r>
        <w:rPr>
          <w:rFonts w:hint="eastAsia" w:ascii="宋体" w:hAnsi="宋体" w:eastAsia="宋体" w:cs="宋体"/>
          <w:color w:val="auto"/>
          <w:szCs w:val="21"/>
          <w:highlight w:val="none"/>
        </w:rPr>
        <w:t>⑨</w:t>
      </w:r>
      <w:r>
        <w:rPr>
          <w:rFonts w:hint="eastAsia" w:ascii="宋体" w:hAnsi="宋体" w:cs="Arial"/>
          <w:color w:val="auto"/>
          <w:szCs w:val="21"/>
          <w:highlight w:val="none"/>
        </w:rPr>
        <w:t>油类质量要求：</w:t>
      </w:r>
    </w:p>
    <w:p w14:paraId="5B8DE950">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每个食用油品种必须色泽好，透明度高，无浑浊，无沉淀和悬浮物，粘度小，无分层现象，气味正常，无酸臭异味。严格执行国家质量标准及卫生安全标准，色泽、气味、霉变、真菌毒素、重金属污染物、农药等严格控制在国家标准范围内（原粮及成品粮色泽、气味必须正常。霉变粒不得超过2％。真菌毒素：黄曲霉毒素B1 （5μg/kg～20μg/kg）、脱氧雪腐镰刀菌烯醇（≤1000μg/kg）、玉米赤霉烯酮（≤60μg/kg）、赭曲霉毒素A（5μg/kg）。重金属污染物：铅（≤0.2mg/kg）、镉(0.1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不许以次充好、以假充真。如将毛油当一级或二级油进行销售，将低价位的植物油掺人高价位植物油中进行销售，牟取暴利，一经查处，中标人将承担全部责任。部分食用油质量指标内容：</w:t>
      </w:r>
    </w:p>
    <w:p w14:paraId="69DA03FE">
      <w:pPr>
        <w:spacing w:line="360" w:lineRule="auto"/>
        <w:ind w:firstLine="420" w:firstLineChars="200"/>
        <w:jc w:val="center"/>
        <w:rPr>
          <w:rFonts w:ascii="宋体" w:hAnsi="宋体" w:cs="Arial"/>
          <w:color w:val="auto"/>
          <w:szCs w:val="21"/>
          <w:highlight w:val="none"/>
        </w:rPr>
      </w:pPr>
      <w:r>
        <w:rPr>
          <w:rFonts w:hint="eastAsia" w:ascii="宋体" w:hAnsi="宋体" w:cs="Arial"/>
          <w:color w:val="auto"/>
          <w:szCs w:val="21"/>
          <w:highlight w:val="none"/>
        </w:rPr>
        <w:t>花生原油质量指标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6"/>
        <w:gridCol w:w="4780"/>
      </w:tblGrid>
      <w:tr w14:paraId="524C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32BD19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  目</w:t>
            </w:r>
          </w:p>
        </w:tc>
        <w:tc>
          <w:tcPr>
            <w:tcW w:w="4780" w:type="dxa"/>
            <w:noWrap w:val="0"/>
            <w:tcMar>
              <w:top w:w="0" w:type="dxa"/>
              <w:left w:w="108" w:type="dxa"/>
              <w:bottom w:w="0" w:type="dxa"/>
              <w:right w:w="108" w:type="dxa"/>
            </w:tcMar>
            <w:vAlign w:val="top"/>
          </w:tcPr>
          <w:p w14:paraId="725E7BC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质量指标</w:t>
            </w:r>
          </w:p>
        </w:tc>
      </w:tr>
      <w:tr w14:paraId="429C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7849B3F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气味、滋味</w:t>
            </w:r>
          </w:p>
        </w:tc>
        <w:tc>
          <w:tcPr>
            <w:tcW w:w="4780" w:type="dxa"/>
            <w:noWrap w:val="0"/>
            <w:tcMar>
              <w:top w:w="0" w:type="dxa"/>
              <w:left w:w="108" w:type="dxa"/>
              <w:bottom w:w="0" w:type="dxa"/>
              <w:right w:w="108" w:type="dxa"/>
            </w:tcMar>
            <w:vAlign w:val="top"/>
          </w:tcPr>
          <w:p w14:paraId="73AB81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具有花生原油固有的气味和滋味，无异味</w:t>
            </w:r>
          </w:p>
        </w:tc>
      </w:tr>
      <w:tr w14:paraId="109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524F975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水分及挥发物／(%)　　 ≤</w:t>
            </w:r>
          </w:p>
        </w:tc>
        <w:tc>
          <w:tcPr>
            <w:tcW w:w="4780" w:type="dxa"/>
            <w:noWrap w:val="0"/>
            <w:tcMar>
              <w:top w:w="0" w:type="dxa"/>
              <w:left w:w="108" w:type="dxa"/>
              <w:bottom w:w="0" w:type="dxa"/>
              <w:right w:w="108" w:type="dxa"/>
            </w:tcMar>
            <w:vAlign w:val="top"/>
          </w:tcPr>
          <w:p w14:paraId="5E51575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r>
      <w:tr w14:paraId="7914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14F3FAB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不溶性杂质/(%)　　　　≤</w:t>
            </w:r>
          </w:p>
        </w:tc>
        <w:tc>
          <w:tcPr>
            <w:tcW w:w="4780" w:type="dxa"/>
            <w:noWrap w:val="0"/>
            <w:tcMar>
              <w:top w:w="0" w:type="dxa"/>
              <w:left w:w="108" w:type="dxa"/>
              <w:bottom w:w="0" w:type="dxa"/>
              <w:right w:w="108" w:type="dxa"/>
            </w:tcMar>
            <w:vAlign w:val="top"/>
          </w:tcPr>
          <w:p w14:paraId="2C1003F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r>
      <w:tr w14:paraId="6A9F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2CC2768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酸值(KOH)／(mg/g)　　 ≤</w:t>
            </w:r>
          </w:p>
        </w:tc>
        <w:tc>
          <w:tcPr>
            <w:tcW w:w="4780" w:type="dxa"/>
            <w:noWrap w:val="0"/>
            <w:tcMar>
              <w:top w:w="0" w:type="dxa"/>
              <w:left w:w="108" w:type="dxa"/>
              <w:bottom w:w="0" w:type="dxa"/>
              <w:right w:w="108" w:type="dxa"/>
            </w:tcMar>
            <w:vAlign w:val="top"/>
          </w:tcPr>
          <w:p w14:paraId="52B7CC8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r>
      <w:tr w14:paraId="65A0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3D0D5CE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过氧化值／(mmol/kg)   ≤</w:t>
            </w:r>
          </w:p>
        </w:tc>
        <w:tc>
          <w:tcPr>
            <w:tcW w:w="4780" w:type="dxa"/>
            <w:noWrap w:val="0"/>
            <w:tcMar>
              <w:top w:w="0" w:type="dxa"/>
              <w:left w:w="108" w:type="dxa"/>
              <w:bottom w:w="0" w:type="dxa"/>
              <w:right w:w="108" w:type="dxa"/>
            </w:tcMar>
            <w:vAlign w:val="top"/>
          </w:tcPr>
          <w:p w14:paraId="7A35BE5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r>
      <w:tr w14:paraId="0D78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6" w:type="dxa"/>
            <w:noWrap w:val="0"/>
            <w:tcMar>
              <w:top w:w="0" w:type="dxa"/>
              <w:left w:w="108" w:type="dxa"/>
              <w:bottom w:w="0" w:type="dxa"/>
              <w:right w:w="108" w:type="dxa"/>
            </w:tcMar>
            <w:vAlign w:val="top"/>
          </w:tcPr>
          <w:p w14:paraId="3325E84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溶剂残留量／(mg／kg)  ≤</w:t>
            </w:r>
          </w:p>
        </w:tc>
        <w:tc>
          <w:tcPr>
            <w:tcW w:w="4780" w:type="dxa"/>
            <w:noWrap w:val="0"/>
            <w:tcMar>
              <w:top w:w="0" w:type="dxa"/>
              <w:left w:w="108" w:type="dxa"/>
              <w:bottom w:w="0" w:type="dxa"/>
              <w:right w:w="108" w:type="dxa"/>
            </w:tcMar>
            <w:vAlign w:val="top"/>
          </w:tcPr>
          <w:p w14:paraId="245436E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r>
    </w:tbl>
    <w:p w14:paraId="24F06DDD">
      <w:pPr>
        <w:spacing w:line="360" w:lineRule="auto"/>
        <w:ind w:firstLine="420" w:firstLineChars="200"/>
        <w:jc w:val="center"/>
        <w:rPr>
          <w:rFonts w:hint="eastAsia" w:ascii="宋体" w:hAnsi="宋体" w:cs="Arial"/>
          <w:color w:val="auto"/>
          <w:szCs w:val="21"/>
          <w:highlight w:val="none"/>
        </w:rPr>
      </w:pPr>
    </w:p>
    <w:p w14:paraId="720AE48F">
      <w:pPr>
        <w:spacing w:line="360" w:lineRule="auto"/>
        <w:ind w:firstLine="420" w:firstLineChars="200"/>
        <w:jc w:val="center"/>
        <w:rPr>
          <w:rFonts w:ascii="宋体" w:hAnsi="宋体" w:cs="Arial"/>
          <w:color w:val="auto"/>
          <w:szCs w:val="21"/>
          <w:highlight w:val="none"/>
        </w:rPr>
      </w:pPr>
      <w:r>
        <w:rPr>
          <w:rFonts w:hint="eastAsia" w:ascii="宋体" w:hAnsi="宋体" w:cs="Arial"/>
          <w:color w:val="auto"/>
          <w:szCs w:val="21"/>
          <w:highlight w:val="none"/>
        </w:rPr>
        <w:t>压榨成品花生油质量指标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40"/>
        <w:gridCol w:w="3001"/>
        <w:gridCol w:w="3245"/>
      </w:tblGrid>
      <w:tr w14:paraId="0B9A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3040" w:type="dxa"/>
            <w:vMerge w:val="restart"/>
            <w:noWrap w:val="0"/>
            <w:tcMar>
              <w:top w:w="0" w:type="dxa"/>
              <w:left w:w="108" w:type="dxa"/>
              <w:bottom w:w="0" w:type="dxa"/>
              <w:right w:w="108" w:type="dxa"/>
            </w:tcMar>
            <w:vAlign w:val="center"/>
          </w:tcPr>
          <w:p w14:paraId="15A76D2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  目</w:t>
            </w:r>
          </w:p>
        </w:tc>
        <w:tc>
          <w:tcPr>
            <w:tcW w:w="6246" w:type="dxa"/>
            <w:gridSpan w:val="2"/>
            <w:noWrap w:val="0"/>
            <w:tcMar>
              <w:top w:w="0" w:type="dxa"/>
              <w:left w:w="108" w:type="dxa"/>
              <w:bottom w:w="0" w:type="dxa"/>
              <w:right w:w="108" w:type="dxa"/>
            </w:tcMar>
            <w:vAlign w:val="center"/>
          </w:tcPr>
          <w:p w14:paraId="1175ABF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质量指标</w:t>
            </w:r>
          </w:p>
        </w:tc>
      </w:tr>
      <w:tr w14:paraId="5C85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vMerge w:val="continue"/>
            <w:noWrap w:val="0"/>
            <w:vAlign w:val="center"/>
          </w:tcPr>
          <w:p w14:paraId="48E207CD">
            <w:pPr>
              <w:widowControl/>
              <w:snapToGrid w:val="0"/>
              <w:spacing w:line="360" w:lineRule="auto"/>
              <w:jc w:val="center"/>
              <w:rPr>
                <w:rFonts w:ascii="宋体" w:hAnsi="宋体" w:cs="宋体"/>
                <w:color w:val="auto"/>
                <w:kern w:val="0"/>
                <w:szCs w:val="21"/>
                <w:highlight w:val="none"/>
              </w:rPr>
            </w:pPr>
          </w:p>
        </w:tc>
        <w:tc>
          <w:tcPr>
            <w:tcW w:w="3001" w:type="dxa"/>
            <w:noWrap w:val="0"/>
            <w:tcMar>
              <w:top w:w="0" w:type="dxa"/>
              <w:left w:w="108" w:type="dxa"/>
              <w:bottom w:w="0" w:type="dxa"/>
              <w:right w:w="108" w:type="dxa"/>
            </w:tcMar>
            <w:vAlign w:val="center"/>
          </w:tcPr>
          <w:p w14:paraId="3C247BF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一级</w:t>
            </w:r>
          </w:p>
        </w:tc>
        <w:tc>
          <w:tcPr>
            <w:tcW w:w="3245" w:type="dxa"/>
            <w:noWrap w:val="0"/>
            <w:tcMar>
              <w:top w:w="0" w:type="dxa"/>
              <w:left w:w="108" w:type="dxa"/>
              <w:bottom w:w="0" w:type="dxa"/>
              <w:right w:w="108" w:type="dxa"/>
            </w:tcMar>
            <w:vAlign w:val="center"/>
          </w:tcPr>
          <w:p w14:paraId="665D96E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二级</w:t>
            </w:r>
          </w:p>
        </w:tc>
      </w:tr>
      <w:tr w14:paraId="1D0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40" w:type="dxa"/>
            <w:noWrap w:val="0"/>
            <w:tcMar>
              <w:top w:w="0" w:type="dxa"/>
              <w:left w:w="108" w:type="dxa"/>
              <w:bottom w:w="0" w:type="dxa"/>
              <w:right w:w="108" w:type="dxa"/>
            </w:tcMar>
            <w:vAlign w:val="center"/>
          </w:tcPr>
          <w:p w14:paraId="73CF2AE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色泽(罗维朋比色槽25.4mm) ≤</w:t>
            </w:r>
          </w:p>
        </w:tc>
        <w:tc>
          <w:tcPr>
            <w:tcW w:w="3001" w:type="dxa"/>
            <w:noWrap w:val="0"/>
            <w:tcMar>
              <w:top w:w="0" w:type="dxa"/>
              <w:left w:w="108" w:type="dxa"/>
              <w:bottom w:w="0" w:type="dxa"/>
              <w:right w:w="108" w:type="dxa"/>
            </w:tcMar>
            <w:vAlign w:val="center"/>
          </w:tcPr>
          <w:p w14:paraId="0D1F69F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黄15红1.5</w:t>
            </w:r>
          </w:p>
        </w:tc>
        <w:tc>
          <w:tcPr>
            <w:tcW w:w="3245" w:type="dxa"/>
            <w:noWrap w:val="0"/>
            <w:tcMar>
              <w:top w:w="0" w:type="dxa"/>
              <w:left w:w="108" w:type="dxa"/>
              <w:bottom w:w="0" w:type="dxa"/>
              <w:right w:w="108" w:type="dxa"/>
            </w:tcMar>
            <w:vAlign w:val="center"/>
          </w:tcPr>
          <w:p w14:paraId="19DB79B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黄25红4.0</w:t>
            </w:r>
          </w:p>
        </w:tc>
      </w:tr>
      <w:tr w14:paraId="4408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3040" w:type="dxa"/>
            <w:noWrap w:val="0"/>
            <w:tcMar>
              <w:top w:w="0" w:type="dxa"/>
              <w:left w:w="108" w:type="dxa"/>
              <w:bottom w:w="0" w:type="dxa"/>
              <w:right w:w="108" w:type="dxa"/>
            </w:tcMar>
            <w:vAlign w:val="center"/>
          </w:tcPr>
          <w:p w14:paraId="360C556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气味、滋味</w:t>
            </w:r>
          </w:p>
        </w:tc>
        <w:tc>
          <w:tcPr>
            <w:tcW w:w="3001" w:type="dxa"/>
            <w:noWrap w:val="0"/>
            <w:tcMar>
              <w:top w:w="0" w:type="dxa"/>
              <w:left w:w="108" w:type="dxa"/>
              <w:bottom w:w="0" w:type="dxa"/>
              <w:right w:w="108" w:type="dxa"/>
            </w:tcMar>
            <w:vAlign w:val="center"/>
          </w:tcPr>
          <w:p w14:paraId="64FE264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具有花生油固有的香味和滋味，无异味。</w:t>
            </w:r>
          </w:p>
        </w:tc>
        <w:tc>
          <w:tcPr>
            <w:tcW w:w="3245" w:type="dxa"/>
            <w:noWrap w:val="0"/>
            <w:tcMar>
              <w:top w:w="0" w:type="dxa"/>
              <w:left w:w="108" w:type="dxa"/>
              <w:bottom w:w="0" w:type="dxa"/>
              <w:right w:w="108" w:type="dxa"/>
            </w:tcMar>
            <w:vAlign w:val="center"/>
          </w:tcPr>
          <w:p w14:paraId="78ECC75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具有花生油固有的香味和滋味，无异味。</w:t>
            </w:r>
          </w:p>
        </w:tc>
      </w:tr>
      <w:tr w14:paraId="0889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noWrap w:val="0"/>
            <w:tcMar>
              <w:top w:w="0" w:type="dxa"/>
              <w:left w:w="108" w:type="dxa"/>
              <w:bottom w:w="0" w:type="dxa"/>
              <w:right w:w="108" w:type="dxa"/>
            </w:tcMar>
            <w:vAlign w:val="center"/>
          </w:tcPr>
          <w:p w14:paraId="573F1E0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透明度</w:t>
            </w:r>
          </w:p>
        </w:tc>
        <w:tc>
          <w:tcPr>
            <w:tcW w:w="3001" w:type="dxa"/>
            <w:noWrap w:val="0"/>
            <w:tcMar>
              <w:top w:w="0" w:type="dxa"/>
              <w:left w:w="108" w:type="dxa"/>
              <w:bottom w:w="0" w:type="dxa"/>
              <w:right w:w="108" w:type="dxa"/>
            </w:tcMar>
            <w:vAlign w:val="center"/>
          </w:tcPr>
          <w:p w14:paraId="3A3D8A5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澄清、透明</w:t>
            </w:r>
          </w:p>
        </w:tc>
        <w:tc>
          <w:tcPr>
            <w:tcW w:w="3245" w:type="dxa"/>
            <w:noWrap w:val="0"/>
            <w:tcMar>
              <w:top w:w="0" w:type="dxa"/>
              <w:left w:w="108" w:type="dxa"/>
              <w:bottom w:w="0" w:type="dxa"/>
              <w:right w:w="108" w:type="dxa"/>
            </w:tcMar>
            <w:vAlign w:val="center"/>
          </w:tcPr>
          <w:p w14:paraId="5A7018D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澄清、透明</w:t>
            </w:r>
          </w:p>
        </w:tc>
      </w:tr>
      <w:tr w14:paraId="2B25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noWrap w:val="0"/>
            <w:tcMar>
              <w:top w:w="0" w:type="dxa"/>
              <w:left w:w="108" w:type="dxa"/>
              <w:bottom w:w="0" w:type="dxa"/>
              <w:right w:w="108" w:type="dxa"/>
            </w:tcMar>
            <w:vAlign w:val="center"/>
          </w:tcPr>
          <w:p w14:paraId="13FCD8C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水分及挥发物(%)　　 ≤</w:t>
            </w:r>
          </w:p>
        </w:tc>
        <w:tc>
          <w:tcPr>
            <w:tcW w:w="3001" w:type="dxa"/>
            <w:noWrap w:val="0"/>
            <w:tcMar>
              <w:top w:w="0" w:type="dxa"/>
              <w:left w:w="108" w:type="dxa"/>
              <w:bottom w:w="0" w:type="dxa"/>
              <w:right w:w="108" w:type="dxa"/>
            </w:tcMar>
            <w:vAlign w:val="center"/>
          </w:tcPr>
          <w:p w14:paraId="467C849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0.10</w:t>
            </w:r>
          </w:p>
        </w:tc>
        <w:tc>
          <w:tcPr>
            <w:tcW w:w="3245" w:type="dxa"/>
            <w:noWrap w:val="0"/>
            <w:tcMar>
              <w:top w:w="0" w:type="dxa"/>
              <w:left w:w="108" w:type="dxa"/>
              <w:bottom w:w="0" w:type="dxa"/>
              <w:right w:w="108" w:type="dxa"/>
            </w:tcMar>
            <w:vAlign w:val="center"/>
          </w:tcPr>
          <w:p w14:paraId="76376F9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0.15</w:t>
            </w:r>
          </w:p>
        </w:tc>
      </w:tr>
      <w:tr w14:paraId="267A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noWrap w:val="0"/>
            <w:tcMar>
              <w:top w:w="0" w:type="dxa"/>
              <w:left w:w="108" w:type="dxa"/>
              <w:bottom w:w="0" w:type="dxa"/>
              <w:right w:w="108" w:type="dxa"/>
            </w:tcMar>
            <w:vAlign w:val="center"/>
          </w:tcPr>
          <w:p w14:paraId="2340F5B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不溶性杂质(%)　　　≤</w:t>
            </w:r>
          </w:p>
        </w:tc>
        <w:tc>
          <w:tcPr>
            <w:tcW w:w="3001" w:type="dxa"/>
            <w:noWrap w:val="0"/>
            <w:tcMar>
              <w:top w:w="0" w:type="dxa"/>
              <w:left w:w="108" w:type="dxa"/>
              <w:bottom w:w="0" w:type="dxa"/>
              <w:right w:w="108" w:type="dxa"/>
            </w:tcMar>
            <w:vAlign w:val="center"/>
          </w:tcPr>
          <w:p w14:paraId="3E727BC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3245" w:type="dxa"/>
            <w:noWrap w:val="0"/>
            <w:tcMar>
              <w:top w:w="0" w:type="dxa"/>
              <w:left w:w="108" w:type="dxa"/>
              <w:bottom w:w="0" w:type="dxa"/>
              <w:right w:w="108" w:type="dxa"/>
            </w:tcMar>
            <w:vAlign w:val="center"/>
          </w:tcPr>
          <w:p w14:paraId="1664B48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r>
      <w:tr w14:paraId="2DA1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noWrap w:val="0"/>
            <w:tcMar>
              <w:top w:w="0" w:type="dxa"/>
              <w:left w:w="108" w:type="dxa"/>
              <w:bottom w:w="0" w:type="dxa"/>
              <w:right w:w="108" w:type="dxa"/>
            </w:tcMar>
            <w:vAlign w:val="center"/>
          </w:tcPr>
          <w:p w14:paraId="1CF934C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酸值(KOH)/(mg/g)　　≤</w:t>
            </w:r>
          </w:p>
        </w:tc>
        <w:tc>
          <w:tcPr>
            <w:tcW w:w="3001" w:type="dxa"/>
            <w:noWrap w:val="0"/>
            <w:tcMar>
              <w:top w:w="0" w:type="dxa"/>
              <w:left w:w="108" w:type="dxa"/>
              <w:bottom w:w="0" w:type="dxa"/>
              <w:right w:w="108" w:type="dxa"/>
            </w:tcMar>
            <w:vAlign w:val="center"/>
          </w:tcPr>
          <w:p w14:paraId="0C47DAF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245" w:type="dxa"/>
            <w:noWrap w:val="0"/>
            <w:tcMar>
              <w:top w:w="0" w:type="dxa"/>
              <w:left w:w="108" w:type="dxa"/>
              <w:bottom w:w="0" w:type="dxa"/>
              <w:right w:w="108" w:type="dxa"/>
            </w:tcMar>
            <w:vAlign w:val="center"/>
          </w:tcPr>
          <w:p w14:paraId="6082C8C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r>
      <w:tr w14:paraId="66B5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3040" w:type="dxa"/>
            <w:noWrap w:val="0"/>
            <w:tcMar>
              <w:top w:w="0" w:type="dxa"/>
              <w:left w:w="108" w:type="dxa"/>
              <w:bottom w:w="0" w:type="dxa"/>
              <w:right w:w="108" w:type="dxa"/>
            </w:tcMar>
            <w:vAlign w:val="center"/>
          </w:tcPr>
          <w:p w14:paraId="1421B3C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过氧化值/(mmol/g)  ≤</w:t>
            </w:r>
          </w:p>
        </w:tc>
        <w:tc>
          <w:tcPr>
            <w:tcW w:w="3001" w:type="dxa"/>
            <w:noWrap w:val="0"/>
            <w:tcMar>
              <w:top w:w="0" w:type="dxa"/>
              <w:left w:w="108" w:type="dxa"/>
              <w:bottom w:w="0" w:type="dxa"/>
              <w:right w:w="108" w:type="dxa"/>
            </w:tcMar>
            <w:vAlign w:val="center"/>
          </w:tcPr>
          <w:p w14:paraId="5B62948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3245" w:type="dxa"/>
            <w:noWrap w:val="0"/>
            <w:tcMar>
              <w:top w:w="0" w:type="dxa"/>
              <w:left w:w="108" w:type="dxa"/>
              <w:bottom w:w="0" w:type="dxa"/>
              <w:right w:w="108" w:type="dxa"/>
            </w:tcMar>
            <w:vAlign w:val="center"/>
          </w:tcPr>
          <w:p w14:paraId="0B8D6D3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r>
      <w:tr w14:paraId="52F6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040" w:type="dxa"/>
            <w:noWrap w:val="0"/>
            <w:tcMar>
              <w:top w:w="0" w:type="dxa"/>
              <w:left w:w="108" w:type="dxa"/>
              <w:bottom w:w="0" w:type="dxa"/>
              <w:right w:w="108" w:type="dxa"/>
            </w:tcMar>
            <w:vAlign w:val="center"/>
          </w:tcPr>
          <w:p w14:paraId="43E20DD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溶剂残留量/(mg/kg)</w:t>
            </w:r>
          </w:p>
        </w:tc>
        <w:tc>
          <w:tcPr>
            <w:tcW w:w="3001" w:type="dxa"/>
            <w:noWrap w:val="0"/>
            <w:tcMar>
              <w:top w:w="0" w:type="dxa"/>
              <w:left w:w="108" w:type="dxa"/>
              <w:bottom w:w="0" w:type="dxa"/>
              <w:right w:w="108" w:type="dxa"/>
            </w:tcMar>
            <w:vAlign w:val="center"/>
          </w:tcPr>
          <w:p w14:paraId="7A96514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不得检出</w:t>
            </w:r>
          </w:p>
        </w:tc>
        <w:tc>
          <w:tcPr>
            <w:tcW w:w="3245" w:type="dxa"/>
            <w:noWrap w:val="0"/>
            <w:tcMar>
              <w:top w:w="0" w:type="dxa"/>
              <w:left w:w="108" w:type="dxa"/>
              <w:bottom w:w="0" w:type="dxa"/>
              <w:right w:w="108" w:type="dxa"/>
            </w:tcMar>
            <w:vAlign w:val="center"/>
          </w:tcPr>
          <w:p w14:paraId="3859FC1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不得检出</w:t>
            </w:r>
          </w:p>
        </w:tc>
      </w:tr>
      <w:tr w14:paraId="375A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3040" w:type="dxa"/>
            <w:noWrap w:val="0"/>
            <w:tcMar>
              <w:top w:w="0" w:type="dxa"/>
              <w:left w:w="108" w:type="dxa"/>
              <w:bottom w:w="0" w:type="dxa"/>
              <w:right w:w="108" w:type="dxa"/>
            </w:tcMar>
            <w:vAlign w:val="center"/>
          </w:tcPr>
          <w:p w14:paraId="61C5C0D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加热试验(280℃)</w:t>
            </w:r>
          </w:p>
        </w:tc>
        <w:tc>
          <w:tcPr>
            <w:tcW w:w="3001" w:type="dxa"/>
            <w:noWrap w:val="0"/>
            <w:tcMar>
              <w:top w:w="0" w:type="dxa"/>
              <w:left w:w="108" w:type="dxa"/>
              <w:bottom w:w="0" w:type="dxa"/>
              <w:right w:w="108" w:type="dxa"/>
            </w:tcMar>
            <w:vAlign w:val="center"/>
          </w:tcPr>
          <w:p w14:paraId="35141E5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无析出物，罗维朋比色：黄色值不变，红色值增加小于0.4。</w:t>
            </w:r>
          </w:p>
        </w:tc>
        <w:tc>
          <w:tcPr>
            <w:tcW w:w="3245" w:type="dxa"/>
            <w:noWrap w:val="0"/>
            <w:tcMar>
              <w:top w:w="0" w:type="dxa"/>
              <w:left w:w="108" w:type="dxa"/>
              <w:bottom w:w="0" w:type="dxa"/>
              <w:right w:w="108" w:type="dxa"/>
            </w:tcMar>
            <w:vAlign w:val="center"/>
          </w:tcPr>
          <w:p w14:paraId="4DF9149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微量析出物，罗维朋比色：黄色值不变，红色值增加小于4.0，蓝色值增加小于0.5。</w:t>
            </w:r>
          </w:p>
        </w:tc>
      </w:tr>
    </w:tbl>
    <w:p w14:paraId="4FA9E4C5">
      <w:pPr>
        <w:spacing w:line="360" w:lineRule="auto"/>
        <w:ind w:firstLine="420" w:firstLineChars="200"/>
        <w:jc w:val="center"/>
        <w:rPr>
          <w:rFonts w:hint="eastAsia" w:ascii="宋体" w:hAnsi="宋体" w:cs="Arial"/>
          <w:color w:val="auto"/>
          <w:szCs w:val="21"/>
          <w:highlight w:val="none"/>
        </w:rPr>
      </w:pPr>
    </w:p>
    <w:p w14:paraId="330BA2C3">
      <w:pPr>
        <w:spacing w:line="360" w:lineRule="auto"/>
        <w:ind w:firstLine="420" w:firstLineChars="200"/>
        <w:jc w:val="center"/>
        <w:rPr>
          <w:rFonts w:ascii="宋体" w:hAnsi="宋体" w:cs="Arial"/>
          <w:color w:val="auto"/>
          <w:szCs w:val="21"/>
          <w:highlight w:val="none"/>
        </w:rPr>
      </w:pPr>
      <w:r>
        <w:rPr>
          <w:rFonts w:hint="eastAsia" w:ascii="宋体" w:hAnsi="宋体" w:cs="Arial"/>
          <w:color w:val="auto"/>
          <w:szCs w:val="21"/>
          <w:highlight w:val="none"/>
        </w:rPr>
        <w:t>浸出成品花生油质量指标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6"/>
        <w:gridCol w:w="1043"/>
        <w:gridCol w:w="782"/>
        <w:gridCol w:w="2280"/>
        <w:gridCol w:w="2196"/>
      </w:tblGrid>
      <w:tr w14:paraId="458A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vMerge w:val="restart"/>
            <w:noWrap w:val="0"/>
            <w:tcMar>
              <w:top w:w="0" w:type="dxa"/>
              <w:left w:w="108" w:type="dxa"/>
              <w:bottom w:w="0" w:type="dxa"/>
              <w:right w:w="108" w:type="dxa"/>
            </w:tcMar>
            <w:vAlign w:val="center"/>
          </w:tcPr>
          <w:p w14:paraId="7C8CF79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  目</w:t>
            </w:r>
          </w:p>
        </w:tc>
        <w:tc>
          <w:tcPr>
            <w:tcW w:w="6301" w:type="dxa"/>
            <w:gridSpan w:val="4"/>
            <w:noWrap w:val="0"/>
            <w:tcMar>
              <w:top w:w="0" w:type="dxa"/>
              <w:left w:w="108" w:type="dxa"/>
              <w:bottom w:w="0" w:type="dxa"/>
              <w:right w:w="108" w:type="dxa"/>
            </w:tcMar>
            <w:vAlign w:val="top"/>
          </w:tcPr>
          <w:p w14:paraId="71832D6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质量指标</w:t>
            </w:r>
          </w:p>
        </w:tc>
      </w:tr>
      <w:tr w14:paraId="6F06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vMerge w:val="continue"/>
            <w:noWrap w:val="0"/>
            <w:vAlign w:val="center"/>
          </w:tcPr>
          <w:p w14:paraId="5EC256B8">
            <w:pPr>
              <w:widowControl/>
              <w:spacing w:line="360" w:lineRule="auto"/>
              <w:jc w:val="center"/>
              <w:rPr>
                <w:rFonts w:ascii="宋体" w:hAnsi="宋体" w:cs="宋体"/>
                <w:color w:val="auto"/>
                <w:kern w:val="0"/>
                <w:szCs w:val="21"/>
                <w:highlight w:val="none"/>
              </w:rPr>
            </w:pPr>
          </w:p>
        </w:tc>
        <w:tc>
          <w:tcPr>
            <w:tcW w:w="1043" w:type="dxa"/>
            <w:noWrap w:val="0"/>
            <w:tcMar>
              <w:top w:w="0" w:type="dxa"/>
              <w:left w:w="108" w:type="dxa"/>
              <w:bottom w:w="0" w:type="dxa"/>
              <w:right w:w="108" w:type="dxa"/>
            </w:tcMar>
            <w:vAlign w:val="top"/>
          </w:tcPr>
          <w:p w14:paraId="52DE18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一级</w:t>
            </w:r>
          </w:p>
        </w:tc>
        <w:tc>
          <w:tcPr>
            <w:tcW w:w="782" w:type="dxa"/>
            <w:noWrap w:val="0"/>
            <w:tcMar>
              <w:top w:w="0" w:type="dxa"/>
              <w:left w:w="108" w:type="dxa"/>
              <w:bottom w:w="0" w:type="dxa"/>
              <w:right w:w="108" w:type="dxa"/>
            </w:tcMar>
            <w:vAlign w:val="top"/>
          </w:tcPr>
          <w:p w14:paraId="121BFCB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二级</w:t>
            </w:r>
          </w:p>
        </w:tc>
        <w:tc>
          <w:tcPr>
            <w:tcW w:w="2280" w:type="dxa"/>
            <w:noWrap w:val="0"/>
            <w:tcMar>
              <w:top w:w="0" w:type="dxa"/>
              <w:left w:w="108" w:type="dxa"/>
              <w:bottom w:w="0" w:type="dxa"/>
              <w:right w:w="108" w:type="dxa"/>
            </w:tcMar>
            <w:vAlign w:val="top"/>
          </w:tcPr>
          <w:p w14:paraId="00BB853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三级</w:t>
            </w:r>
          </w:p>
        </w:tc>
        <w:tc>
          <w:tcPr>
            <w:tcW w:w="2196" w:type="dxa"/>
            <w:noWrap w:val="0"/>
            <w:tcMar>
              <w:top w:w="0" w:type="dxa"/>
              <w:left w:w="108" w:type="dxa"/>
              <w:bottom w:w="0" w:type="dxa"/>
              <w:right w:w="108" w:type="dxa"/>
            </w:tcMar>
            <w:vAlign w:val="top"/>
          </w:tcPr>
          <w:p w14:paraId="0234924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四极</w:t>
            </w:r>
          </w:p>
        </w:tc>
      </w:tr>
      <w:tr w14:paraId="1226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6D3A208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(罗维朋比色槽25.4mm)≤</w:t>
            </w:r>
          </w:p>
        </w:tc>
        <w:tc>
          <w:tcPr>
            <w:tcW w:w="1043" w:type="dxa"/>
            <w:noWrap w:val="0"/>
            <w:tcMar>
              <w:top w:w="0" w:type="dxa"/>
              <w:left w:w="108" w:type="dxa"/>
              <w:bottom w:w="0" w:type="dxa"/>
              <w:right w:w="108" w:type="dxa"/>
            </w:tcMar>
            <w:vAlign w:val="top"/>
          </w:tcPr>
          <w:p w14:paraId="0D87321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82" w:type="dxa"/>
            <w:noWrap w:val="0"/>
            <w:tcMar>
              <w:top w:w="0" w:type="dxa"/>
              <w:left w:w="108" w:type="dxa"/>
              <w:bottom w:w="0" w:type="dxa"/>
              <w:right w:w="108" w:type="dxa"/>
            </w:tcMar>
            <w:vAlign w:val="top"/>
          </w:tcPr>
          <w:p w14:paraId="4C59DB8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80" w:type="dxa"/>
            <w:noWrap w:val="0"/>
            <w:tcMar>
              <w:top w:w="0" w:type="dxa"/>
              <w:left w:w="108" w:type="dxa"/>
              <w:bottom w:w="0" w:type="dxa"/>
              <w:right w:w="108" w:type="dxa"/>
            </w:tcMar>
            <w:vAlign w:val="top"/>
          </w:tcPr>
          <w:p w14:paraId="160D541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黄25红4.0</w:t>
            </w:r>
          </w:p>
        </w:tc>
        <w:tc>
          <w:tcPr>
            <w:tcW w:w="2196" w:type="dxa"/>
            <w:noWrap w:val="0"/>
            <w:tcMar>
              <w:top w:w="0" w:type="dxa"/>
              <w:left w:w="108" w:type="dxa"/>
              <w:bottom w:w="0" w:type="dxa"/>
              <w:right w:w="108" w:type="dxa"/>
            </w:tcMar>
            <w:vAlign w:val="top"/>
          </w:tcPr>
          <w:p w14:paraId="23A4109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黄25红4.0</w:t>
            </w:r>
          </w:p>
        </w:tc>
      </w:tr>
      <w:tr w14:paraId="38B9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center"/>
          </w:tcPr>
          <w:p w14:paraId="3217F97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(罗维朋比色槽133.4mm)≤</w:t>
            </w:r>
          </w:p>
        </w:tc>
        <w:tc>
          <w:tcPr>
            <w:tcW w:w="1043" w:type="dxa"/>
            <w:noWrap w:val="0"/>
            <w:tcMar>
              <w:top w:w="0" w:type="dxa"/>
              <w:left w:w="108" w:type="dxa"/>
              <w:bottom w:w="0" w:type="dxa"/>
              <w:right w:w="108" w:type="dxa"/>
            </w:tcMar>
            <w:vAlign w:val="center"/>
          </w:tcPr>
          <w:p w14:paraId="23E51DF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黄25 红1.5</w:t>
            </w:r>
          </w:p>
        </w:tc>
        <w:tc>
          <w:tcPr>
            <w:tcW w:w="782" w:type="dxa"/>
            <w:noWrap w:val="0"/>
            <w:tcMar>
              <w:top w:w="0" w:type="dxa"/>
              <w:left w:w="108" w:type="dxa"/>
              <w:bottom w:w="0" w:type="dxa"/>
              <w:right w:w="108" w:type="dxa"/>
            </w:tcMar>
            <w:vAlign w:val="top"/>
          </w:tcPr>
          <w:p w14:paraId="00861D7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黄25 红2.0</w:t>
            </w:r>
          </w:p>
        </w:tc>
        <w:tc>
          <w:tcPr>
            <w:tcW w:w="2280" w:type="dxa"/>
            <w:noWrap w:val="0"/>
            <w:tcMar>
              <w:top w:w="0" w:type="dxa"/>
              <w:left w:w="108" w:type="dxa"/>
              <w:bottom w:w="0" w:type="dxa"/>
              <w:right w:w="108" w:type="dxa"/>
            </w:tcMar>
            <w:vAlign w:val="center"/>
          </w:tcPr>
          <w:p w14:paraId="72056F0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196" w:type="dxa"/>
            <w:noWrap w:val="0"/>
            <w:tcMar>
              <w:top w:w="0" w:type="dxa"/>
              <w:left w:w="108" w:type="dxa"/>
              <w:bottom w:w="0" w:type="dxa"/>
              <w:right w:w="108" w:type="dxa"/>
            </w:tcMar>
            <w:vAlign w:val="center"/>
          </w:tcPr>
          <w:p w14:paraId="0E742A4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3691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41A5E38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气味</w:t>
            </w:r>
          </w:p>
        </w:tc>
        <w:tc>
          <w:tcPr>
            <w:tcW w:w="6301" w:type="dxa"/>
            <w:gridSpan w:val="4"/>
            <w:noWrap w:val="0"/>
            <w:tcMar>
              <w:top w:w="0" w:type="dxa"/>
              <w:left w:w="108" w:type="dxa"/>
              <w:bottom w:w="0" w:type="dxa"/>
              <w:right w:w="108" w:type="dxa"/>
            </w:tcMar>
            <w:vAlign w:val="top"/>
          </w:tcPr>
          <w:p w14:paraId="539123E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无气味、口感好，具有花生油固有的气味和滋味，无异味。</w:t>
            </w:r>
          </w:p>
        </w:tc>
      </w:tr>
      <w:tr w14:paraId="6AAD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15491C0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透明度</w:t>
            </w:r>
          </w:p>
        </w:tc>
        <w:tc>
          <w:tcPr>
            <w:tcW w:w="1043" w:type="dxa"/>
            <w:noWrap w:val="0"/>
            <w:tcMar>
              <w:top w:w="0" w:type="dxa"/>
              <w:left w:w="108" w:type="dxa"/>
              <w:bottom w:w="0" w:type="dxa"/>
              <w:right w:w="108" w:type="dxa"/>
            </w:tcMar>
            <w:vAlign w:val="top"/>
          </w:tcPr>
          <w:p w14:paraId="36329E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澄清、透明</w:t>
            </w:r>
          </w:p>
        </w:tc>
        <w:tc>
          <w:tcPr>
            <w:tcW w:w="782" w:type="dxa"/>
            <w:noWrap w:val="0"/>
            <w:tcMar>
              <w:top w:w="0" w:type="dxa"/>
              <w:left w:w="108" w:type="dxa"/>
              <w:bottom w:w="0" w:type="dxa"/>
              <w:right w:w="108" w:type="dxa"/>
            </w:tcMar>
            <w:vAlign w:val="top"/>
          </w:tcPr>
          <w:p w14:paraId="11455DB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澄清、透明</w:t>
            </w:r>
          </w:p>
        </w:tc>
        <w:tc>
          <w:tcPr>
            <w:tcW w:w="2280" w:type="dxa"/>
            <w:noWrap w:val="0"/>
            <w:tcMar>
              <w:top w:w="0" w:type="dxa"/>
              <w:left w:w="108" w:type="dxa"/>
              <w:bottom w:w="0" w:type="dxa"/>
              <w:right w:w="108" w:type="dxa"/>
            </w:tcMar>
            <w:vAlign w:val="top"/>
          </w:tcPr>
          <w:p w14:paraId="7A11D29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196" w:type="dxa"/>
            <w:noWrap w:val="0"/>
            <w:tcMar>
              <w:top w:w="0" w:type="dxa"/>
              <w:left w:w="108" w:type="dxa"/>
              <w:bottom w:w="0" w:type="dxa"/>
              <w:right w:w="108" w:type="dxa"/>
            </w:tcMar>
            <w:vAlign w:val="top"/>
          </w:tcPr>
          <w:p w14:paraId="399D311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63B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389A31B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水分及挥发物/(%)≤</w:t>
            </w:r>
          </w:p>
        </w:tc>
        <w:tc>
          <w:tcPr>
            <w:tcW w:w="1043" w:type="dxa"/>
            <w:noWrap w:val="0"/>
            <w:tcMar>
              <w:top w:w="0" w:type="dxa"/>
              <w:left w:w="108" w:type="dxa"/>
              <w:bottom w:w="0" w:type="dxa"/>
              <w:right w:w="108" w:type="dxa"/>
            </w:tcMar>
            <w:vAlign w:val="top"/>
          </w:tcPr>
          <w:p w14:paraId="3671A31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782" w:type="dxa"/>
            <w:noWrap w:val="0"/>
            <w:tcMar>
              <w:top w:w="0" w:type="dxa"/>
              <w:left w:w="108" w:type="dxa"/>
              <w:bottom w:w="0" w:type="dxa"/>
              <w:right w:w="108" w:type="dxa"/>
            </w:tcMar>
            <w:vAlign w:val="top"/>
          </w:tcPr>
          <w:p w14:paraId="2CE3E8F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2280" w:type="dxa"/>
            <w:noWrap w:val="0"/>
            <w:tcMar>
              <w:top w:w="0" w:type="dxa"/>
              <w:left w:w="108" w:type="dxa"/>
              <w:bottom w:w="0" w:type="dxa"/>
              <w:right w:w="108" w:type="dxa"/>
            </w:tcMar>
            <w:vAlign w:val="top"/>
          </w:tcPr>
          <w:p w14:paraId="227A514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0.10</w:t>
            </w:r>
          </w:p>
        </w:tc>
        <w:tc>
          <w:tcPr>
            <w:tcW w:w="2196" w:type="dxa"/>
            <w:noWrap w:val="0"/>
            <w:tcMar>
              <w:top w:w="0" w:type="dxa"/>
              <w:left w:w="108" w:type="dxa"/>
              <w:bottom w:w="0" w:type="dxa"/>
              <w:right w:w="108" w:type="dxa"/>
            </w:tcMar>
            <w:vAlign w:val="top"/>
          </w:tcPr>
          <w:p w14:paraId="158FA58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r>
      <w:tr w14:paraId="3132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45FFB18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不溶性杂质/(%) ≤</w:t>
            </w:r>
          </w:p>
        </w:tc>
        <w:tc>
          <w:tcPr>
            <w:tcW w:w="1043" w:type="dxa"/>
            <w:noWrap w:val="0"/>
            <w:tcMar>
              <w:top w:w="0" w:type="dxa"/>
              <w:left w:w="108" w:type="dxa"/>
              <w:bottom w:w="0" w:type="dxa"/>
              <w:right w:w="108" w:type="dxa"/>
            </w:tcMar>
            <w:vAlign w:val="top"/>
          </w:tcPr>
          <w:p w14:paraId="771E524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782" w:type="dxa"/>
            <w:noWrap w:val="0"/>
            <w:tcMar>
              <w:top w:w="0" w:type="dxa"/>
              <w:left w:w="108" w:type="dxa"/>
              <w:bottom w:w="0" w:type="dxa"/>
              <w:right w:w="108" w:type="dxa"/>
            </w:tcMar>
            <w:vAlign w:val="top"/>
          </w:tcPr>
          <w:p w14:paraId="0630B4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2280" w:type="dxa"/>
            <w:noWrap w:val="0"/>
            <w:tcMar>
              <w:top w:w="0" w:type="dxa"/>
              <w:left w:w="108" w:type="dxa"/>
              <w:bottom w:w="0" w:type="dxa"/>
              <w:right w:w="108" w:type="dxa"/>
            </w:tcMar>
            <w:vAlign w:val="top"/>
          </w:tcPr>
          <w:p w14:paraId="5227654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2196" w:type="dxa"/>
            <w:noWrap w:val="0"/>
            <w:tcMar>
              <w:top w:w="0" w:type="dxa"/>
              <w:left w:w="108" w:type="dxa"/>
              <w:bottom w:w="0" w:type="dxa"/>
              <w:right w:w="108" w:type="dxa"/>
            </w:tcMar>
            <w:vAlign w:val="top"/>
          </w:tcPr>
          <w:p w14:paraId="2EA1E6D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r>
      <w:tr w14:paraId="3120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3A9430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酸值(KOH)/(mg/g)≤</w:t>
            </w:r>
          </w:p>
        </w:tc>
        <w:tc>
          <w:tcPr>
            <w:tcW w:w="1043" w:type="dxa"/>
            <w:noWrap w:val="0"/>
            <w:tcMar>
              <w:top w:w="0" w:type="dxa"/>
              <w:left w:w="108" w:type="dxa"/>
              <w:bottom w:w="0" w:type="dxa"/>
              <w:right w:w="108" w:type="dxa"/>
            </w:tcMar>
            <w:vAlign w:val="top"/>
          </w:tcPr>
          <w:p w14:paraId="4AF8DDD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782" w:type="dxa"/>
            <w:noWrap w:val="0"/>
            <w:tcMar>
              <w:top w:w="0" w:type="dxa"/>
              <w:left w:w="108" w:type="dxa"/>
              <w:bottom w:w="0" w:type="dxa"/>
              <w:right w:w="108" w:type="dxa"/>
            </w:tcMar>
            <w:vAlign w:val="top"/>
          </w:tcPr>
          <w:p w14:paraId="2BEF45A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0.30</w:t>
            </w:r>
          </w:p>
        </w:tc>
        <w:tc>
          <w:tcPr>
            <w:tcW w:w="2280" w:type="dxa"/>
            <w:noWrap w:val="0"/>
            <w:tcMar>
              <w:top w:w="0" w:type="dxa"/>
              <w:left w:w="108" w:type="dxa"/>
              <w:bottom w:w="0" w:type="dxa"/>
              <w:right w:w="108" w:type="dxa"/>
            </w:tcMar>
            <w:vAlign w:val="top"/>
          </w:tcPr>
          <w:p w14:paraId="51D4036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96" w:type="dxa"/>
            <w:noWrap w:val="0"/>
            <w:tcMar>
              <w:top w:w="0" w:type="dxa"/>
              <w:left w:w="108" w:type="dxa"/>
              <w:bottom w:w="0" w:type="dxa"/>
              <w:right w:w="108" w:type="dxa"/>
            </w:tcMar>
            <w:vAlign w:val="top"/>
          </w:tcPr>
          <w:p w14:paraId="5D0291F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14:paraId="33F2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2736" w:type="dxa"/>
            <w:noWrap w:val="0"/>
            <w:tcMar>
              <w:top w:w="0" w:type="dxa"/>
              <w:left w:w="108" w:type="dxa"/>
              <w:bottom w:w="0" w:type="dxa"/>
              <w:right w:w="108" w:type="dxa"/>
            </w:tcMar>
            <w:vAlign w:val="top"/>
          </w:tcPr>
          <w:p w14:paraId="5EB82EE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过氧化值/(mmol/g)　  ≤</w:t>
            </w:r>
          </w:p>
        </w:tc>
        <w:tc>
          <w:tcPr>
            <w:tcW w:w="1043" w:type="dxa"/>
            <w:noWrap w:val="0"/>
            <w:tcMar>
              <w:top w:w="0" w:type="dxa"/>
              <w:left w:w="108" w:type="dxa"/>
              <w:bottom w:w="0" w:type="dxa"/>
              <w:right w:w="108" w:type="dxa"/>
            </w:tcMar>
            <w:vAlign w:val="top"/>
          </w:tcPr>
          <w:p w14:paraId="3839035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782" w:type="dxa"/>
            <w:noWrap w:val="0"/>
            <w:tcMar>
              <w:top w:w="0" w:type="dxa"/>
              <w:left w:w="108" w:type="dxa"/>
              <w:bottom w:w="0" w:type="dxa"/>
              <w:right w:w="108" w:type="dxa"/>
            </w:tcMar>
            <w:vAlign w:val="top"/>
          </w:tcPr>
          <w:p w14:paraId="36F4F53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2280" w:type="dxa"/>
            <w:noWrap w:val="0"/>
            <w:tcMar>
              <w:top w:w="0" w:type="dxa"/>
              <w:left w:w="108" w:type="dxa"/>
              <w:bottom w:w="0" w:type="dxa"/>
              <w:right w:w="108" w:type="dxa"/>
            </w:tcMar>
            <w:vAlign w:val="top"/>
          </w:tcPr>
          <w:p w14:paraId="3AC16FF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2196" w:type="dxa"/>
            <w:noWrap w:val="0"/>
            <w:tcMar>
              <w:top w:w="0" w:type="dxa"/>
              <w:left w:w="108" w:type="dxa"/>
              <w:bottom w:w="0" w:type="dxa"/>
              <w:right w:w="108" w:type="dxa"/>
            </w:tcMar>
            <w:vAlign w:val="top"/>
          </w:tcPr>
          <w:p w14:paraId="0639F99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r>
      <w:tr w14:paraId="4B1D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center"/>
          </w:tcPr>
          <w:p w14:paraId="1D521BA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加热试验(280℃)</w:t>
            </w:r>
          </w:p>
        </w:tc>
        <w:tc>
          <w:tcPr>
            <w:tcW w:w="1043" w:type="dxa"/>
            <w:noWrap w:val="0"/>
            <w:tcMar>
              <w:top w:w="0" w:type="dxa"/>
              <w:left w:w="108" w:type="dxa"/>
              <w:bottom w:w="0" w:type="dxa"/>
              <w:right w:w="108" w:type="dxa"/>
            </w:tcMar>
            <w:vAlign w:val="center"/>
          </w:tcPr>
          <w:p w14:paraId="7EF46BC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82" w:type="dxa"/>
            <w:noWrap w:val="0"/>
            <w:tcMar>
              <w:top w:w="0" w:type="dxa"/>
              <w:left w:w="108" w:type="dxa"/>
              <w:bottom w:w="0" w:type="dxa"/>
              <w:right w:w="108" w:type="dxa"/>
            </w:tcMar>
            <w:vAlign w:val="center"/>
          </w:tcPr>
          <w:p w14:paraId="57AEDD7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80" w:type="dxa"/>
            <w:noWrap w:val="0"/>
            <w:tcMar>
              <w:top w:w="0" w:type="dxa"/>
              <w:left w:w="108" w:type="dxa"/>
              <w:bottom w:w="0" w:type="dxa"/>
              <w:right w:w="108" w:type="dxa"/>
            </w:tcMar>
            <w:vAlign w:val="center"/>
          </w:tcPr>
          <w:p w14:paraId="556FF63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无析出物，罗维朋比色：黄色值不变，红色值增加小于0.4。</w:t>
            </w:r>
          </w:p>
        </w:tc>
        <w:tc>
          <w:tcPr>
            <w:tcW w:w="2196" w:type="dxa"/>
            <w:noWrap w:val="0"/>
            <w:tcMar>
              <w:top w:w="0" w:type="dxa"/>
              <w:left w:w="108" w:type="dxa"/>
              <w:bottom w:w="0" w:type="dxa"/>
              <w:right w:w="108" w:type="dxa"/>
            </w:tcMar>
            <w:vAlign w:val="top"/>
          </w:tcPr>
          <w:p w14:paraId="6DCB93A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微量析出物，罗维朋比色：黄色值不变，红色值增加小于4.0，蓝色值增加小于0.5</w:t>
            </w:r>
          </w:p>
        </w:tc>
      </w:tr>
      <w:tr w14:paraId="424E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0E8E58C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含皂量/(%) ≤</w:t>
            </w:r>
          </w:p>
        </w:tc>
        <w:tc>
          <w:tcPr>
            <w:tcW w:w="1043" w:type="dxa"/>
            <w:noWrap w:val="0"/>
            <w:tcMar>
              <w:top w:w="0" w:type="dxa"/>
              <w:left w:w="108" w:type="dxa"/>
              <w:bottom w:w="0" w:type="dxa"/>
              <w:right w:w="108" w:type="dxa"/>
            </w:tcMar>
            <w:vAlign w:val="top"/>
          </w:tcPr>
          <w:p w14:paraId="153BF8C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82" w:type="dxa"/>
            <w:noWrap w:val="0"/>
            <w:tcMar>
              <w:top w:w="0" w:type="dxa"/>
              <w:left w:w="108" w:type="dxa"/>
              <w:bottom w:w="0" w:type="dxa"/>
              <w:right w:w="108" w:type="dxa"/>
            </w:tcMar>
            <w:vAlign w:val="top"/>
          </w:tcPr>
          <w:p w14:paraId="2F835A1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80" w:type="dxa"/>
            <w:noWrap w:val="0"/>
            <w:tcMar>
              <w:top w:w="0" w:type="dxa"/>
              <w:left w:w="108" w:type="dxa"/>
              <w:bottom w:w="0" w:type="dxa"/>
              <w:right w:w="108" w:type="dxa"/>
            </w:tcMar>
            <w:vAlign w:val="top"/>
          </w:tcPr>
          <w:p w14:paraId="41FEA6E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0.03</w:t>
            </w:r>
          </w:p>
        </w:tc>
        <w:tc>
          <w:tcPr>
            <w:tcW w:w="2196" w:type="dxa"/>
            <w:noWrap w:val="0"/>
            <w:tcMar>
              <w:top w:w="0" w:type="dxa"/>
              <w:left w:w="108" w:type="dxa"/>
              <w:bottom w:w="0" w:type="dxa"/>
              <w:right w:w="108" w:type="dxa"/>
            </w:tcMar>
            <w:vAlign w:val="top"/>
          </w:tcPr>
          <w:p w14:paraId="791B183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6AA8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1FF31D4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烟点/℃≥</w:t>
            </w:r>
          </w:p>
        </w:tc>
        <w:tc>
          <w:tcPr>
            <w:tcW w:w="1043" w:type="dxa"/>
            <w:noWrap w:val="0"/>
            <w:tcMar>
              <w:top w:w="0" w:type="dxa"/>
              <w:left w:w="108" w:type="dxa"/>
              <w:bottom w:w="0" w:type="dxa"/>
              <w:right w:w="108" w:type="dxa"/>
            </w:tcMar>
            <w:vAlign w:val="top"/>
          </w:tcPr>
          <w:p w14:paraId="7CE749A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215</w:t>
            </w:r>
          </w:p>
        </w:tc>
        <w:tc>
          <w:tcPr>
            <w:tcW w:w="782" w:type="dxa"/>
            <w:noWrap w:val="0"/>
            <w:tcMar>
              <w:top w:w="0" w:type="dxa"/>
              <w:left w:w="108" w:type="dxa"/>
              <w:bottom w:w="0" w:type="dxa"/>
              <w:right w:w="108" w:type="dxa"/>
            </w:tcMar>
            <w:vAlign w:val="top"/>
          </w:tcPr>
          <w:p w14:paraId="74237F6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205</w:t>
            </w:r>
          </w:p>
        </w:tc>
        <w:tc>
          <w:tcPr>
            <w:tcW w:w="2280" w:type="dxa"/>
            <w:noWrap w:val="0"/>
            <w:tcMar>
              <w:top w:w="0" w:type="dxa"/>
              <w:left w:w="108" w:type="dxa"/>
              <w:bottom w:w="0" w:type="dxa"/>
              <w:right w:w="108" w:type="dxa"/>
            </w:tcMar>
            <w:vAlign w:val="top"/>
          </w:tcPr>
          <w:p w14:paraId="1B6962F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196" w:type="dxa"/>
            <w:noWrap w:val="0"/>
            <w:tcMar>
              <w:top w:w="0" w:type="dxa"/>
              <w:left w:w="108" w:type="dxa"/>
              <w:bottom w:w="0" w:type="dxa"/>
              <w:right w:w="108" w:type="dxa"/>
            </w:tcMar>
            <w:vAlign w:val="top"/>
          </w:tcPr>
          <w:p w14:paraId="3490F77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47C4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36" w:type="dxa"/>
            <w:noWrap w:val="0"/>
            <w:tcMar>
              <w:top w:w="0" w:type="dxa"/>
              <w:left w:w="108" w:type="dxa"/>
              <w:bottom w:w="0" w:type="dxa"/>
              <w:right w:w="108" w:type="dxa"/>
            </w:tcMar>
            <w:vAlign w:val="top"/>
          </w:tcPr>
          <w:p w14:paraId="22DD81D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溶剂残留量/(mg／kg)</w:t>
            </w:r>
          </w:p>
        </w:tc>
        <w:tc>
          <w:tcPr>
            <w:tcW w:w="1043" w:type="dxa"/>
            <w:noWrap w:val="0"/>
            <w:tcMar>
              <w:top w:w="0" w:type="dxa"/>
              <w:left w:w="108" w:type="dxa"/>
              <w:bottom w:w="0" w:type="dxa"/>
              <w:right w:w="108" w:type="dxa"/>
            </w:tcMar>
            <w:vAlign w:val="top"/>
          </w:tcPr>
          <w:p w14:paraId="3D412EA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不得检出</w:t>
            </w:r>
          </w:p>
        </w:tc>
        <w:tc>
          <w:tcPr>
            <w:tcW w:w="782" w:type="dxa"/>
            <w:noWrap w:val="0"/>
            <w:tcMar>
              <w:top w:w="0" w:type="dxa"/>
              <w:left w:w="108" w:type="dxa"/>
              <w:bottom w:w="0" w:type="dxa"/>
              <w:right w:w="108" w:type="dxa"/>
            </w:tcMar>
            <w:vAlign w:val="top"/>
          </w:tcPr>
          <w:p w14:paraId="1FF2952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不得检出</w:t>
            </w:r>
          </w:p>
        </w:tc>
        <w:tc>
          <w:tcPr>
            <w:tcW w:w="2280" w:type="dxa"/>
            <w:noWrap w:val="0"/>
            <w:tcMar>
              <w:top w:w="0" w:type="dxa"/>
              <w:left w:w="108" w:type="dxa"/>
              <w:bottom w:w="0" w:type="dxa"/>
              <w:right w:w="108" w:type="dxa"/>
            </w:tcMar>
            <w:vAlign w:val="top"/>
          </w:tcPr>
          <w:p w14:paraId="34B9AAF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2196" w:type="dxa"/>
            <w:noWrap w:val="0"/>
            <w:tcMar>
              <w:top w:w="0" w:type="dxa"/>
              <w:left w:w="108" w:type="dxa"/>
              <w:bottom w:w="0" w:type="dxa"/>
              <w:right w:w="108" w:type="dxa"/>
            </w:tcMar>
            <w:vAlign w:val="top"/>
          </w:tcPr>
          <w:p w14:paraId="2CE3872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r>
    </w:tbl>
    <w:p w14:paraId="2B410AF2">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注：划有“—”者不做检验。压榨油和一、二级浸出油的溶剂残留量检出值小于10mg/kg时，视为未检出。</w:t>
      </w:r>
    </w:p>
    <w:p w14:paraId="191AE96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货物质量要求</w:t>
      </w:r>
    </w:p>
    <w:p w14:paraId="2968CE30">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14:paraId="3A35582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（2）味精：色至白色结晶或粉末，具有特殊的鲜味，无异味，无肉眼可见杂质。</w:t>
      </w:r>
    </w:p>
    <w:p w14:paraId="0B2E3108">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（3）食醋：有正常食醋的色泽、气味和滋味，不涩，无其他不良气味与异味，无浮物，不浑浊，无沉淀，无异物，无醋鳗、醋虱。</w:t>
      </w:r>
    </w:p>
    <w:p w14:paraId="04F66209">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（4）酱腌菜：有酱腌菜固有的色、香、味，无杂质，无其他不良气味，不得有霉斑白膜。</w:t>
      </w:r>
    </w:p>
    <w:p w14:paraId="5111344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（5）酱类食品：有正常酿造酱的色泽、气味和滋味，不涩，无其他不良气味，不得有酸、苦、焦糊及其它异味、异物。</w:t>
      </w:r>
    </w:p>
    <w:p w14:paraId="5183983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（6）淀粉制品：有各自品种固有的形态和色泽，不酸、不粘、不发霉，无变质，无异味，无杂质，口尝无砂质。</w:t>
      </w:r>
    </w:p>
    <w:p w14:paraId="16F128FE">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（7）食盐：晶整齐一致，坚硬光滑，呈透明或半透明，不结块，无反卤吸潮现象，无杂质，沾取少许尝试具有纯正的咸味。</w:t>
      </w:r>
    </w:p>
    <w:p w14:paraId="15E5495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8）鸡蛋：壳清洁完整，色泽鲜明，无破损、裂纹，无霉斑，灯光透视时，整个蛋呈桔黄色至橙红色，蛋黄不见或略见阴影，没有霉味、酸味，臭味等不良气味，打开后蛋黄凸起、完整、有韧性，蛋白澄清、透明、稀稠分明，无异味。</w:t>
      </w:r>
    </w:p>
    <w:p w14:paraId="3D322204">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（9）皮蛋：表泥状包料完整、无霉斑，包料除掉后蛋壳亦完整无损，灯光透照蛋内容物凝固不动，打开观察，整个蛋凝固、不粘壳、清洁而有弹性，呈半透明的棕黄色，闻起来有芳香，无辛辣气。</w:t>
      </w:r>
    </w:p>
    <w:p w14:paraId="5EF5147D">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10）咸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33F5F3C4">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（11）面粉：泽呈白色或微黄色，不发暗，无杂质的颜色，呈细粉末状，不含杂质，手指捻捏时无粗粒感，无虫子和结块，置于手中紧捏后放开不成团，具有面粉的正常气味，无其他异味。</w:t>
      </w:r>
    </w:p>
    <w:p w14:paraId="0C9E565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（12）豆腐：腐呈均匀的乳白色或淡黄色，稍有光泽，块形完整，软硬适度，富有一定的弹性，质地细嫩，结构均匀，无杂质，具有豆腐特有的香味，取样品品尝时口感细腻鲜嫩，味道纯正清香。</w:t>
      </w:r>
    </w:p>
    <w:p w14:paraId="4E48114B">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13）油炸豆卜：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7D897B5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（14）腐竹：枝条或片叶状，质脆易折，条状折断有空心，无霉斑、杂质、虫蛀。呈淡黄色，有光泽。具有腐竹固有的香味，无其他任何异味，取样品品尝其滋味，具有腐竹固有的鲜香滋味。</w:t>
      </w:r>
    </w:p>
    <w:p w14:paraId="13E93B6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15）腐乳：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14:paraId="2535733A">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（16）黄豆：豆皮色呈各种大豆固有的颜色，光彩油亮，洁净而有光泽，颗粒饱满，整齐均匀，无虫蛀粒，无杂质，无霉变。</w:t>
      </w:r>
    </w:p>
    <w:p w14:paraId="7512B45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17）花生：荚呈土黄色或白色，果仁呈各不同品种所特有的颜色，色泽分布均匀一致，带荚花生和去荚果仁均颗粒饱满、形态完整、大小均匀，子叶肥厚而有光泽，无杂质，具有花生特有的气味、香味，无任何异味，无霉变。</w:t>
      </w:r>
    </w:p>
    <w:p w14:paraId="3CC31084">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（18）食糖：糖根据经营习惯分为白糖、红糖、冰糖、方糖等。</w:t>
      </w:r>
    </w:p>
    <w:p w14:paraId="1887094B">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Arial"/>
          <w:color w:val="auto"/>
          <w:szCs w:val="21"/>
          <w:highlight w:val="none"/>
        </w:rPr>
        <w:t>白糖的感官鉴别：色泽洁白明亮，有光泽，具有白糖的正常气味，无酸味、酒味或其他外来气味。</w:t>
      </w:r>
    </w:p>
    <w:p w14:paraId="40628C7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白砂糖：颗粒大如砂粒，晶粒均匀整齐，晶面明显，无碎末，糖质坚硬。</w:t>
      </w:r>
    </w:p>
    <w:p w14:paraId="4BF5B6AF">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绵白糖：颗粒细小而均匀，质地绵软、潮润。</w:t>
      </w:r>
    </w:p>
    <w:p w14:paraId="39D07B37">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冰糖：块形完整，个粒均匀，结晶组织严密，透明或半透明，无破碎。</w:t>
      </w:r>
    </w:p>
    <w:p w14:paraId="7EA1700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方糖：呈正六面体状，表面平整，无裂纹，铁边，断角，无突出砂粒，无霉斑。</w:t>
      </w:r>
    </w:p>
    <w:p w14:paraId="4DA36586">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凡是白糖都应干燥，晶粒松散，不粘手，不结块，无肉眼可见的杂质，白糖的水溶液应清晰透明无杂质。</w:t>
      </w:r>
    </w:p>
    <w:p w14:paraId="466687C2">
      <w:pPr>
        <w:spacing w:line="360" w:lineRule="auto"/>
        <w:ind w:firstLine="420" w:firstLineChars="200"/>
        <w:rPr>
          <w:rFonts w:ascii="宋体" w:hAnsi="宋体" w:cs="Arial"/>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hAnsi="宋体" w:cs="Arial"/>
          <w:color w:val="auto"/>
          <w:szCs w:val="21"/>
          <w:highlight w:val="none"/>
        </w:rPr>
        <w:t>红糖的感官鉴别</w:t>
      </w:r>
    </w:p>
    <w:p w14:paraId="60D8A39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呈晶粒状或粉末状，干燥而松散，不结块，不成团，杂质，其水溶液清晰，无沉淀，无悬浮物，具有甘蔗汁的清香味，无有酒味、酸味或其他外来不良气味，口味浓甜带鲜，微有糖蜜味，无焦苦味或其他外来异味。</w:t>
      </w:r>
    </w:p>
    <w:p w14:paraId="52AEEC5E">
      <w:pPr>
        <w:spacing w:before="0" w:line="240" w:lineRule="auto"/>
        <w:ind w:left="0"/>
        <w:rPr>
          <w:rFonts w:ascii="宋体" w:hAnsi="宋体" w:eastAsia="宋体" w:cs="宋体"/>
          <w:color w:val="auto"/>
          <w:spacing w:val="-8"/>
          <w:sz w:val="31"/>
          <w:szCs w:val="3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19</w:t>
      </w:r>
      <w:r>
        <w:rPr>
          <w:rFonts w:hint="eastAsia" w:ascii="宋体" w:hAnsi="宋体" w:cs="Arial"/>
          <w:color w:val="auto"/>
          <w:szCs w:val="21"/>
          <w:highlight w:val="none"/>
          <w:lang w:eastAsia="zh-CN"/>
        </w:rPr>
        <w:t>）</w:t>
      </w:r>
      <w:r>
        <w:rPr>
          <w:rFonts w:hint="eastAsia" w:ascii="宋体" w:hAnsi="宋体" w:cs="Arial"/>
          <w:color w:val="auto"/>
          <w:szCs w:val="21"/>
          <w:highlight w:val="none"/>
        </w:rPr>
        <w:t>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0B5BE4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82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1FDE"/>
    <w:multiLevelType w:val="singleLevel"/>
    <w:tmpl w:val="99401F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45FB1"/>
    <w:rsid w:val="7BF4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
    <w:name w:val="Plain Text"/>
    <w:basedOn w:val="1"/>
    <w:next w:val="3"/>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Char Char Char Char Char Char Char2"/>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2025-08-01T06:49:00Z</dcterms:created>
  <dc:creator>曾文君</dc:creator>
  <cp:lastModifiedBy>曾文君</cp:lastModifiedBy>
  <dcterms:modified xsi:type="dcterms:W3CDTF">2025-08-01T06:50:00Z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267E844BC3A84128888124629CF7D131_11</vt:lpwstr>
  </property>
  <property fmtid="{D5CDD505-2E9C-101B-9397-08002B2CF9AE}" pid="4" name="KSOTemplateDocerSaveRecord">
    <vt:lpwstr>eyJoZGlkIjoiNTg2ODVkZDVlYzM4ZWI3ODQzYWIzN2JiMThhZWU4NGMiLCJ1c2VySWQiOiIzMzcwNTk0MjkifQ==</vt:lpwstr>
  </property>
</Properties>
</file>