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A2B3E">
      <w:pPr>
        <w:tabs>
          <w:tab w:val="left" w:pos="2070"/>
        </w:tabs>
        <w:ind w:firstLine="480"/>
        <w:rPr>
          <w:rFonts w:ascii="仿宋" w:hAnsi="仿宋" w:eastAsia="仿宋" w:cs="Times New Roman"/>
          <w:b/>
          <w:sz w:val="44"/>
          <w:szCs w:val="44"/>
        </w:rPr>
      </w:pPr>
      <w:bookmarkStart w:id="0" w:name="_Toc3226"/>
      <w:bookmarkStart w:id="1" w:name="_Toc2369"/>
      <w:bookmarkStart w:id="2" w:name="_Toc19686836"/>
      <w:r>
        <w:rPr>
          <w:rFonts w:ascii="仿宋" w:hAnsi="仿宋" w:eastAsia="仿宋" w:cs="Times New Roman"/>
          <w:b/>
          <w:sz w:val="24"/>
          <w:szCs w:val="24"/>
        </w:rPr>
        <w:drawing>
          <wp:inline distT="0" distB="0" distL="0" distR="0">
            <wp:extent cx="653415" cy="605790"/>
            <wp:effectExtent l="0" t="0" r="13335" b="3810"/>
            <wp:docPr id="1" name="图片 1" descr="wps_clip_image-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_clip_image-98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53415" cy="605790"/>
                    </a:xfrm>
                    <a:prstGeom prst="rect">
                      <a:avLst/>
                    </a:prstGeom>
                    <a:noFill/>
                    <a:ln>
                      <a:noFill/>
                    </a:ln>
                  </pic:spPr>
                </pic:pic>
              </a:graphicData>
            </a:graphic>
          </wp:inline>
        </w:drawing>
      </w:r>
      <w:r>
        <w:rPr>
          <w:rFonts w:ascii="仿宋" w:hAnsi="仿宋" w:eastAsia="仿宋" w:cs="Times New Roman"/>
          <w:b/>
          <w:sz w:val="24"/>
          <w:szCs w:val="24"/>
        </w:rPr>
        <w:drawing>
          <wp:anchor distT="0" distB="0" distL="114300" distR="114300" simplePos="0" relativeHeight="251660288" behindDoc="1" locked="0" layoutInCell="1" allowOverlap="1">
            <wp:simplePos x="0" y="0"/>
            <wp:positionH relativeFrom="column">
              <wp:posOffset>-911860</wp:posOffset>
            </wp:positionH>
            <wp:positionV relativeFrom="paragraph">
              <wp:posOffset>-863600</wp:posOffset>
            </wp:positionV>
            <wp:extent cx="7600315" cy="12100560"/>
            <wp:effectExtent l="0" t="0" r="1270" b="0"/>
            <wp:wrapNone/>
            <wp:docPr id="3" name="图片 3" descr="国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信"/>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99045" cy="12098393"/>
                    </a:xfrm>
                    <a:prstGeom prst="rect">
                      <a:avLst/>
                    </a:prstGeom>
                    <a:noFill/>
                    <a:ln>
                      <a:noFill/>
                    </a:ln>
                  </pic:spPr>
                </pic:pic>
              </a:graphicData>
            </a:graphic>
          </wp:anchor>
        </w:drawing>
      </w:r>
      <w:r>
        <w:rPr>
          <w:rFonts w:hint="eastAsia" w:ascii="仿宋" w:hAnsi="仿宋" w:eastAsia="仿宋" w:cs="Times New Roman"/>
          <w:b/>
          <w:sz w:val="24"/>
          <w:szCs w:val="24"/>
        </w:rPr>
        <w:t xml:space="preserve">   </w:t>
      </w:r>
      <w:r>
        <w:rPr>
          <w:rFonts w:hint="eastAsia" w:ascii="宋体" w:hAnsi="宋体" w:eastAsia="宋体" w:cs="Times New Roman"/>
          <w:b/>
          <w:sz w:val="44"/>
          <w:szCs w:val="44"/>
        </w:rPr>
        <w:t>国信国际工程咨询集团股份有限公司</w:t>
      </w:r>
    </w:p>
    <w:p w14:paraId="0A110CDD">
      <w:pPr>
        <w:spacing w:line="400" w:lineRule="exact"/>
        <w:ind w:firstLine="843" w:firstLineChars="300"/>
        <w:jc w:val="left"/>
        <w:rPr>
          <w:rFonts w:ascii="宋体" w:hAnsi="宋体" w:eastAsia="宋体" w:cs="Times New Roman"/>
          <w:sz w:val="28"/>
          <w:szCs w:val="28"/>
        </w:rPr>
      </w:pPr>
      <w:r>
        <w:rPr>
          <w:rFonts w:hint="eastAsia" w:ascii="宋体" w:hAnsi="宋体" w:eastAsia="宋体" w:cs="Times New Roman"/>
          <w:b/>
          <w:bCs/>
          <w:sz w:val="28"/>
          <w:szCs w:val="28"/>
        </w:rPr>
        <w:t>GXTC</w:t>
      </w:r>
    </w:p>
    <w:p w14:paraId="463B3646">
      <w:pPr>
        <w:ind w:firstLine="402"/>
        <w:jc w:val="left"/>
        <w:rPr>
          <w:rFonts w:ascii="宋体" w:hAnsi="宋体" w:eastAsia="宋体" w:cs="Times New Roman"/>
          <w:b/>
          <w:bCs/>
          <w:sz w:val="52"/>
          <w:szCs w:val="24"/>
        </w:rPr>
      </w:pPr>
      <w:r>
        <w:rPr>
          <w:rFonts w:hint="eastAsia" w:ascii="宋体" w:hAnsi="宋体" w:eastAsia="宋体" w:cs="Times New Roman"/>
          <w:sz w:val="20"/>
          <w:szCs w:val="24"/>
          <w:u w:val="single"/>
        </w:rPr>
        <mc:AlternateContent>
          <mc:Choice Requires="wps">
            <w:drawing>
              <wp:anchor distT="0" distB="0" distL="114300" distR="114300" simplePos="0" relativeHeight="251661312" behindDoc="0" locked="0" layoutInCell="1" allowOverlap="1">
                <wp:simplePos x="0" y="0"/>
                <wp:positionH relativeFrom="column">
                  <wp:posOffset>48260</wp:posOffset>
                </wp:positionH>
                <wp:positionV relativeFrom="paragraph">
                  <wp:posOffset>48895</wp:posOffset>
                </wp:positionV>
                <wp:extent cx="5944235" cy="8255"/>
                <wp:effectExtent l="15240" t="18415" r="22225" b="2095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944235" cy="8255"/>
                        </a:xfrm>
                        <a:prstGeom prst="line">
                          <a:avLst/>
                        </a:prstGeom>
                        <a:noFill/>
                        <a:ln w="28575" cmpd="sng">
                          <a:solidFill>
                            <a:srgbClr val="000000"/>
                          </a:solidFill>
                          <a:round/>
                        </a:ln>
                      </wps:spPr>
                      <wps:bodyPr/>
                    </wps:wsp>
                  </a:graphicData>
                </a:graphic>
              </wp:anchor>
            </w:drawing>
          </mc:Choice>
          <mc:Fallback>
            <w:pict>
              <v:line id="_x0000_s1026" o:spid="_x0000_s1026" o:spt="20" style="position:absolute;left:0pt;flip:y;margin-left:3.8pt;margin-top:3.85pt;height:0.65pt;width:468.05pt;z-index:251661312;mso-width-relative:page;mso-height-relative:page;" filled="f" stroked="t" coordsize="21600,21600" o:gfxdata="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kTqvdMAAAAFAQAADwAAAAAAAAABACAAAAAiAAAAZHJzL2Rvd25yZXYueG1sUEsBAhQAFAAA&#10;AAgAh07iQMFcRjD0AQAAwwMAAA4AAAAAAAAAAQAgAAAAIgEAAGRycy9lMm9Eb2MueG1sUEsFBgAA&#10;AAAGAAYAWQEAAIgFAAAAAA==&#10;">
                <v:fill on="f" focussize="0,0"/>
                <v:stroke weight="2.25pt" color="#000000" joinstyle="round"/>
                <v:imagedata o:title=""/>
                <o:lock v:ext="edit" aspectratio="f"/>
              </v:line>
            </w:pict>
          </mc:Fallback>
        </mc:AlternateContent>
      </w:r>
    </w:p>
    <w:p w14:paraId="303E5293">
      <w:pPr>
        <w:spacing w:after="120"/>
        <w:ind w:firstLine="200"/>
        <w:rPr>
          <w:rFonts w:ascii="宋体" w:hAnsi="宋体" w:eastAsia="宋体" w:cs="Times New Roman"/>
          <w:b/>
          <w:bCs/>
          <w:sz w:val="10"/>
          <w:szCs w:val="24"/>
        </w:rPr>
      </w:pPr>
      <w:r>
        <w:rPr>
          <w:rFonts w:hint="eastAsia" w:ascii="宋体" w:hAnsi="宋体" w:eastAsia="宋体" w:cs="Times New Roman"/>
          <w:b/>
          <w:bCs/>
          <w:sz w:val="10"/>
          <w:szCs w:val="24"/>
        </w:rPr>
        <w:t xml:space="preserve">                                                                                                                                                                                       </w:t>
      </w:r>
    </w:p>
    <w:p w14:paraId="7C6F72B8">
      <w:pPr>
        <w:spacing w:after="120"/>
        <w:ind w:firstLine="1928"/>
        <w:jc w:val="center"/>
        <w:rPr>
          <w:rFonts w:ascii="宋体" w:hAnsi="宋体" w:eastAsia="宋体" w:cs="Times New Roman"/>
          <w:sz w:val="96"/>
          <w:szCs w:val="72"/>
          <w14:shadow w14:blurRad="50800" w14:dist="38100" w14:dir="2700000" w14:sx="100000" w14:sy="100000" w14:kx="0" w14:ky="0" w14:algn="tl">
            <w14:srgbClr w14:val="000000">
              <w14:alpha w14:val="60000"/>
            </w14:srgbClr>
          </w14:shadow>
        </w:rPr>
      </w:pPr>
      <w:r>
        <w:rPr>
          <w:rFonts w:hint="eastAsia" w:ascii="宋体" w:hAnsi="宋体" w:eastAsia="宋体" w:cs="Times New Roman"/>
          <w:sz w:val="96"/>
          <w:szCs w:val="72"/>
          <w14:shadow w14:blurRad="50800" w14:dist="38100" w14:dir="2700000" w14:sx="100000" w14:sy="100000" w14:kx="0" w14:ky="0" w14:algn="tl">
            <w14:srgbClr w14:val="000000">
              <w14:alpha w14:val="60000"/>
            </w14:srgbClr>
          </w14:shadow>
        </w:rPr>
        <w:t>公开招标文件</w:t>
      </w:r>
    </w:p>
    <w:p w14:paraId="45912619">
      <w:pPr>
        <w:spacing w:after="120"/>
        <w:ind w:firstLine="562"/>
        <w:jc w:val="center"/>
        <w:rPr>
          <w:rFonts w:ascii="宋体" w:hAnsi="宋体" w:eastAsia="宋体" w:cs="Times New Roman"/>
          <w:sz w:val="28"/>
          <w:szCs w:val="72"/>
          <w14:shadow w14:blurRad="50800" w14:dist="38100" w14:dir="2700000" w14:sx="100000" w14:sy="100000" w14:kx="0" w14:ky="0" w14:algn="tl">
            <w14:srgbClr w14:val="000000">
              <w14:alpha w14:val="60000"/>
            </w14:srgbClr>
          </w14:shadow>
        </w:rPr>
      </w:pPr>
      <w:bookmarkStart w:id="3" w:name="_Toc11303"/>
      <w:r>
        <w:rPr>
          <w:rFonts w:hint="eastAsia" w:ascii="宋体" w:hAnsi="宋体" w:eastAsia="宋体" w:cs="Times New Roman"/>
          <w:sz w:val="28"/>
          <w:szCs w:val="72"/>
          <w14:shadow w14:blurRad="50800" w14:dist="38100" w14:dir="2700000" w14:sx="100000" w14:sy="100000" w14:kx="0" w14:ky="0" w14:algn="tl">
            <w14:srgbClr w14:val="000000">
              <w14:alpha w14:val="60000"/>
            </w14:srgbClr>
          </w14:shadow>
        </w:rPr>
        <w:t>（全流程电子化采购）</w:t>
      </w:r>
      <w:bookmarkEnd w:id="3"/>
    </w:p>
    <w:p w14:paraId="5A8E647A">
      <w:pPr>
        <w:spacing w:after="120"/>
        <w:ind w:firstLine="482"/>
        <w:rPr>
          <w:rFonts w:ascii="宋体" w:hAnsi="宋体" w:eastAsia="宋体" w:cs="Times New Roman"/>
          <w:szCs w:val="21"/>
          <w14:shadow w14:blurRad="50800" w14:dist="38100" w14:dir="2700000" w14:sx="100000" w14:sy="100000" w14:kx="0" w14:ky="0" w14:algn="tl">
            <w14:srgbClr w14:val="000000">
              <w14:alpha w14:val="60000"/>
            </w14:srgbClr>
          </w14:shadow>
        </w:rPr>
      </w:pPr>
    </w:p>
    <w:p w14:paraId="35CF8B70">
      <w:pPr>
        <w:spacing w:after="120"/>
        <w:ind w:firstLine="482"/>
        <w:rPr>
          <w:rFonts w:ascii="宋体" w:hAnsi="宋体" w:eastAsia="宋体" w:cs="Times New Roman"/>
          <w:szCs w:val="21"/>
          <w14:shadow w14:blurRad="50800" w14:dist="38100" w14:dir="2700000" w14:sx="100000" w14:sy="100000" w14:kx="0" w14:ky="0" w14:algn="tl">
            <w14:srgbClr w14:val="000000">
              <w14:alpha w14:val="60000"/>
            </w14:srgbClr>
          </w14:shadow>
        </w:rPr>
      </w:pPr>
    </w:p>
    <w:p w14:paraId="077AB81E">
      <w:pPr>
        <w:spacing w:after="120"/>
        <w:ind w:firstLine="482"/>
        <w:rPr>
          <w:rFonts w:ascii="宋体" w:hAnsi="宋体" w:eastAsia="宋体" w:cs="Times New Roman"/>
          <w:szCs w:val="21"/>
          <w14:shadow w14:blurRad="50800" w14:dist="38100" w14:dir="2700000" w14:sx="100000" w14:sy="100000" w14:kx="0" w14:ky="0" w14:algn="tl">
            <w14:srgbClr w14:val="000000">
              <w14:alpha w14:val="60000"/>
            </w14:srgbClr>
          </w14:shadow>
        </w:rPr>
      </w:pPr>
    </w:p>
    <w:p w14:paraId="268C451B">
      <w:pPr>
        <w:ind w:left="2230" w:leftChars="405" w:hanging="1380" w:hangingChars="491"/>
        <w:rPr>
          <w:rFonts w:ascii="宋体" w:hAnsi="宋体" w:eastAsia="宋体" w:cs="Times New Roman"/>
          <w:b/>
          <w:sz w:val="28"/>
          <w:szCs w:val="28"/>
        </w:rPr>
      </w:pPr>
      <w:r>
        <w:rPr>
          <w:rFonts w:hint="eastAsia" w:ascii="宋体" w:hAnsi="宋体" w:eastAsia="宋体" w:cs="Times New Roman"/>
          <w:b/>
          <w:sz w:val="28"/>
          <w:szCs w:val="28"/>
        </w:rPr>
        <w:t>项目名称：广西交通职业技术学院三维数字孪生工程研究中心项目采购</w:t>
      </w:r>
    </w:p>
    <w:p w14:paraId="0DF9A0D9">
      <w:pPr>
        <w:ind w:firstLine="843" w:firstLineChars="300"/>
        <w:rPr>
          <w:rFonts w:ascii="宋体" w:hAnsi="宋体" w:eastAsia="宋体" w:cs="Times New Roman"/>
          <w:b/>
          <w:sz w:val="28"/>
          <w:szCs w:val="28"/>
        </w:rPr>
      </w:pPr>
      <w:r>
        <w:rPr>
          <w:rFonts w:hint="eastAsia" w:ascii="宋体" w:hAnsi="宋体" w:eastAsia="宋体" w:cs="Times New Roman"/>
          <w:b/>
          <w:sz w:val="28"/>
          <w:szCs w:val="28"/>
        </w:rPr>
        <w:t>项目编号：GXZC2025-G1-003199-GXZX</w:t>
      </w:r>
    </w:p>
    <w:p w14:paraId="6E76A0A2">
      <w:pPr>
        <w:ind w:left="850" w:leftChars="405" w:firstLine="560"/>
        <w:rPr>
          <w:rFonts w:ascii="宋体" w:hAnsi="宋体" w:eastAsia="宋体" w:cs="Times New Roman"/>
          <w:b/>
          <w:sz w:val="28"/>
          <w:szCs w:val="28"/>
        </w:rPr>
      </w:pPr>
    </w:p>
    <w:p w14:paraId="30553F02">
      <w:pPr>
        <w:ind w:left="850" w:leftChars="405" w:firstLine="560"/>
        <w:rPr>
          <w:rFonts w:ascii="宋体" w:hAnsi="宋体" w:eastAsia="宋体" w:cs="Times New Roman"/>
          <w:b/>
          <w:sz w:val="28"/>
          <w:szCs w:val="28"/>
        </w:rPr>
      </w:pPr>
    </w:p>
    <w:p w14:paraId="16DD01F1">
      <w:pPr>
        <w:ind w:left="850" w:leftChars="405" w:firstLine="560"/>
        <w:rPr>
          <w:rFonts w:ascii="宋体" w:hAnsi="宋体" w:eastAsia="宋体" w:cs="Times New Roman"/>
          <w:b/>
          <w:sz w:val="28"/>
          <w:szCs w:val="28"/>
        </w:rPr>
      </w:pPr>
    </w:p>
    <w:p w14:paraId="7DA6BF9B">
      <w:pPr>
        <w:ind w:left="850" w:leftChars="405" w:firstLine="640"/>
        <w:rPr>
          <w:rFonts w:ascii="宋体" w:hAnsi="宋体" w:eastAsia="宋体" w:cs="Times New Roman"/>
          <w:b/>
          <w:sz w:val="32"/>
          <w:szCs w:val="32"/>
        </w:rPr>
      </w:pPr>
      <w:bookmarkStart w:id="4" w:name="_Toc20952"/>
      <w:r>
        <w:rPr>
          <w:rFonts w:hint="eastAsia" w:ascii="宋体" w:hAnsi="宋体" w:eastAsia="宋体" w:cs="Times New Roman"/>
          <w:b/>
          <w:sz w:val="32"/>
          <w:szCs w:val="32"/>
        </w:rPr>
        <w:t>采   购   人：</w:t>
      </w:r>
      <w:bookmarkEnd w:id="4"/>
      <w:r>
        <w:rPr>
          <w:rFonts w:hint="eastAsia" w:ascii="宋体" w:hAnsi="宋体" w:eastAsia="宋体" w:cs="Times New Roman"/>
          <w:b/>
          <w:sz w:val="32"/>
          <w:szCs w:val="32"/>
        </w:rPr>
        <w:t>广西交通职业技术学院</w:t>
      </w:r>
    </w:p>
    <w:p w14:paraId="420E9775">
      <w:pPr>
        <w:ind w:left="850" w:leftChars="405" w:firstLine="640"/>
        <w:rPr>
          <w:rFonts w:ascii="宋体" w:hAnsi="宋体" w:eastAsia="宋体" w:cs="Times New Roman"/>
          <w:b/>
          <w:sz w:val="32"/>
          <w:szCs w:val="32"/>
        </w:rPr>
      </w:pPr>
      <w:r>
        <w:rPr>
          <w:rFonts w:hint="eastAsia" w:ascii="宋体" w:hAnsi="宋体" w:eastAsia="宋体" w:cs="Times New Roman"/>
          <w:b/>
          <w:sz w:val="32"/>
          <w:szCs w:val="32"/>
        </w:rPr>
        <w:t>采购代理机构：国信国际工程咨询集团股份有限公司</w:t>
      </w:r>
    </w:p>
    <w:p w14:paraId="69BD0C75">
      <w:pPr>
        <w:ind w:left="850" w:leftChars="405" w:firstLine="2554" w:firstLineChars="795"/>
        <w:rPr>
          <w:rFonts w:ascii="宋体" w:hAnsi="宋体" w:eastAsia="宋体" w:cs="Times New Roman"/>
          <w:b/>
          <w:sz w:val="32"/>
          <w:szCs w:val="32"/>
        </w:rPr>
      </w:pPr>
      <w:r>
        <w:rPr>
          <w:rFonts w:hint="eastAsia" w:ascii="宋体" w:hAnsi="宋体" w:eastAsia="宋体" w:cs="Times New Roman"/>
          <w:b/>
          <w:sz w:val="32"/>
          <w:szCs w:val="32"/>
        </w:rPr>
        <w:t xml:space="preserve">2025年 </w:t>
      </w:r>
      <w:r>
        <w:rPr>
          <w:rFonts w:hint="eastAsia" w:ascii="宋体" w:hAnsi="宋体" w:eastAsia="宋体" w:cs="Times New Roman"/>
          <w:b/>
          <w:sz w:val="32"/>
          <w:szCs w:val="32"/>
          <w:lang w:val="en-US" w:eastAsia="zh-CN"/>
        </w:rPr>
        <w:t>10</w:t>
      </w:r>
      <w:r>
        <w:rPr>
          <w:rFonts w:hint="eastAsia" w:ascii="宋体" w:hAnsi="宋体" w:eastAsia="宋体" w:cs="Times New Roman"/>
          <w:b/>
          <w:sz w:val="32"/>
          <w:szCs w:val="32"/>
        </w:rPr>
        <w:t xml:space="preserve"> 月 日</w:t>
      </w:r>
    </w:p>
    <w:p w14:paraId="17530009">
      <w:pPr>
        <w:jc w:val="center"/>
        <w:rPr>
          <w:rFonts w:ascii="宋体" w:hAnsi="宋体" w:eastAsia="宋体" w:cs="Times New Roman"/>
          <w:szCs w:val="24"/>
        </w:rPr>
        <w:sectPr>
          <w:pgSz w:w="11906" w:h="16838"/>
          <w:pgMar w:top="1304" w:right="1418" w:bottom="1191" w:left="1418" w:header="851" w:footer="851" w:gutter="0"/>
          <w:pgNumType w:start="1"/>
          <w:cols w:space="720" w:num="1"/>
          <w:titlePg/>
          <w:docGrid w:type="lines" w:linePitch="312" w:charSpace="0"/>
        </w:sectPr>
      </w:pPr>
    </w:p>
    <w:sdt>
      <w:sdtPr>
        <w:rPr>
          <w:rFonts w:ascii="宋体" w:hAnsi="宋体" w:eastAsia="宋体"/>
        </w:rPr>
        <w:id w:val="147462263"/>
        <w:docPartObj>
          <w:docPartGallery w:val="Table of Contents"/>
          <w:docPartUnique/>
        </w:docPartObj>
      </w:sdtPr>
      <w:sdtEndPr>
        <w:rPr>
          <w:rFonts w:ascii="宋体" w:hAnsi="宋体" w:eastAsia="宋体" w:cs="Times New Roman"/>
          <w:szCs w:val="32"/>
        </w:rPr>
      </w:sdtEndPr>
      <w:sdtContent>
        <w:p w14:paraId="624B6D78">
          <w:pPr>
            <w:spacing w:line="360" w:lineRule="auto"/>
            <w:jc w:val="center"/>
            <w:rPr>
              <w:b/>
              <w:sz w:val="40"/>
            </w:rPr>
          </w:pPr>
          <w:r>
            <w:rPr>
              <w:rFonts w:ascii="宋体" w:hAnsi="宋体" w:eastAsia="宋体"/>
              <w:b/>
              <w:sz w:val="40"/>
            </w:rPr>
            <w:t>目</w:t>
          </w:r>
          <w:r>
            <w:rPr>
              <w:rFonts w:hint="eastAsia" w:ascii="宋体" w:hAnsi="宋体" w:eastAsia="宋体"/>
              <w:b/>
              <w:sz w:val="40"/>
            </w:rPr>
            <w:t xml:space="preserve">  </w:t>
          </w:r>
          <w:r>
            <w:rPr>
              <w:rFonts w:ascii="宋体" w:hAnsi="宋体" w:eastAsia="宋体"/>
              <w:b/>
              <w:sz w:val="40"/>
            </w:rPr>
            <w:t>录</w:t>
          </w:r>
        </w:p>
        <w:p w14:paraId="109866CF">
          <w:pPr>
            <w:pStyle w:val="35"/>
            <w:tabs>
              <w:tab w:val="right" w:leader="dot" w:pos="9060"/>
            </w:tabs>
            <w:ind w:firstLine="0"/>
            <w:rPr>
              <w:rFonts w:asciiTheme="minorEastAsia" w:hAnsiTheme="minorEastAsia" w:eastAsiaTheme="minorEastAsia" w:cstheme="minorBidi"/>
              <w:sz w:val="28"/>
              <w:szCs w:val="28"/>
            </w:rPr>
          </w:pPr>
          <w:r>
            <w:rPr>
              <w:rFonts w:hint="eastAsia" w:asciiTheme="minorEastAsia" w:hAnsiTheme="minorEastAsia" w:eastAsiaTheme="minorEastAsia" w:cstheme="minorEastAsia"/>
              <w:kern w:val="0"/>
              <w:sz w:val="44"/>
              <w:szCs w:val="32"/>
            </w:rPr>
            <w:fldChar w:fldCharType="begin"/>
          </w:r>
          <w:r>
            <w:rPr>
              <w:rFonts w:hint="eastAsia" w:asciiTheme="minorEastAsia" w:hAnsiTheme="minorEastAsia" w:eastAsiaTheme="minorEastAsia" w:cstheme="minorEastAsia"/>
              <w:sz w:val="44"/>
              <w:szCs w:val="32"/>
            </w:rPr>
            <w:instrText xml:space="preserve">TOC \o "1-1" \h \u </w:instrText>
          </w:r>
          <w:r>
            <w:rPr>
              <w:rFonts w:hint="eastAsia" w:asciiTheme="minorEastAsia" w:hAnsiTheme="minorEastAsia" w:eastAsiaTheme="minorEastAsia" w:cstheme="minorEastAsia"/>
              <w:kern w:val="0"/>
              <w:sz w:val="44"/>
              <w:szCs w:val="32"/>
            </w:rPr>
            <w:fldChar w:fldCharType="separate"/>
          </w:r>
          <w:r>
            <w:fldChar w:fldCharType="begin"/>
          </w:r>
          <w:r>
            <w:instrText xml:space="preserve"> HYPERLINK \l "_Toc207203146" </w:instrText>
          </w:r>
          <w:r>
            <w:fldChar w:fldCharType="separate"/>
          </w:r>
          <w:r>
            <w:rPr>
              <w:rStyle w:val="62"/>
              <w:rFonts w:hint="eastAsia" w:asciiTheme="minorEastAsia" w:hAnsiTheme="minorEastAsia" w:eastAsiaTheme="minorEastAsia"/>
              <w:bCs/>
              <w:color w:val="auto"/>
              <w:kern w:val="44"/>
              <w:sz w:val="28"/>
              <w:szCs w:val="28"/>
            </w:rPr>
            <w:t>第一章</w:t>
          </w:r>
          <w:r>
            <w:rPr>
              <w:rStyle w:val="62"/>
              <w:rFonts w:asciiTheme="minorEastAsia" w:hAnsiTheme="minorEastAsia" w:eastAsiaTheme="minorEastAsia"/>
              <w:bCs/>
              <w:color w:val="auto"/>
              <w:kern w:val="44"/>
              <w:sz w:val="28"/>
              <w:szCs w:val="28"/>
            </w:rPr>
            <w:t xml:space="preserve">  </w:t>
          </w:r>
          <w:r>
            <w:rPr>
              <w:rStyle w:val="62"/>
              <w:rFonts w:hint="eastAsia" w:asciiTheme="minorEastAsia" w:hAnsiTheme="minorEastAsia" w:eastAsiaTheme="minorEastAsia"/>
              <w:bCs/>
              <w:color w:val="auto"/>
              <w:kern w:val="44"/>
              <w:sz w:val="28"/>
              <w:szCs w:val="28"/>
            </w:rPr>
            <w:t>投标邀请</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_Toc207203146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14:paraId="6FE5C3E2">
          <w:pPr>
            <w:pStyle w:val="35"/>
            <w:tabs>
              <w:tab w:val="right" w:leader="dot" w:pos="9060"/>
            </w:tabs>
            <w:rPr>
              <w:rFonts w:asciiTheme="minorEastAsia" w:hAnsiTheme="minorEastAsia" w:eastAsiaTheme="minorEastAsia" w:cstheme="minorBidi"/>
              <w:sz w:val="28"/>
              <w:szCs w:val="28"/>
            </w:rPr>
          </w:pPr>
          <w:r>
            <w:fldChar w:fldCharType="begin"/>
          </w:r>
          <w:r>
            <w:instrText xml:space="preserve"> HYPERLINK \l "_Toc207203147" </w:instrText>
          </w:r>
          <w:r>
            <w:fldChar w:fldCharType="separate"/>
          </w:r>
          <w:r>
            <w:rPr>
              <w:rStyle w:val="62"/>
              <w:rFonts w:hint="eastAsia" w:cs="仿宋_GB2312" w:asciiTheme="minorEastAsia" w:hAnsiTheme="minorEastAsia" w:eastAsiaTheme="minorEastAsia"/>
              <w:bCs/>
              <w:color w:val="auto"/>
              <w:kern w:val="44"/>
              <w:sz w:val="28"/>
              <w:szCs w:val="28"/>
            </w:rPr>
            <w:t>第二章</w:t>
          </w:r>
          <w:r>
            <w:rPr>
              <w:rStyle w:val="62"/>
              <w:rFonts w:cs="仿宋_GB2312" w:asciiTheme="minorEastAsia" w:hAnsiTheme="minorEastAsia" w:eastAsiaTheme="minorEastAsia"/>
              <w:bCs/>
              <w:color w:val="auto"/>
              <w:kern w:val="44"/>
              <w:sz w:val="28"/>
              <w:szCs w:val="28"/>
            </w:rPr>
            <w:t xml:space="preserve">  </w:t>
          </w:r>
          <w:r>
            <w:rPr>
              <w:rStyle w:val="62"/>
              <w:rFonts w:hint="eastAsia" w:cs="仿宋_GB2312" w:asciiTheme="minorEastAsia" w:hAnsiTheme="minorEastAsia" w:eastAsiaTheme="minorEastAsia"/>
              <w:bCs/>
              <w:color w:val="auto"/>
              <w:kern w:val="44"/>
              <w:sz w:val="28"/>
              <w:szCs w:val="28"/>
            </w:rPr>
            <w:t>采购需求</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_Toc207203147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7</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14:paraId="21547846">
          <w:pPr>
            <w:pStyle w:val="35"/>
            <w:tabs>
              <w:tab w:val="right" w:leader="dot" w:pos="9060"/>
            </w:tabs>
            <w:rPr>
              <w:rFonts w:asciiTheme="minorEastAsia" w:hAnsiTheme="minorEastAsia" w:eastAsiaTheme="minorEastAsia" w:cstheme="minorBidi"/>
              <w:sz w:val="28"/>
              <w:szCs w:val="28"/>
            </w:rPr>
          </w:pPr>
          <w:r>
            <w:fldChar w:fldCharType="begin"/>
          </w:r>
          <w:r>
            <w:instrText xml:space="preserve"> HYPERLINK \l "_Toc207203148" </w:instrText>
          </w:r>
          <w:r>
            <w:fldChar w:fldCharType="separate"/>
          </w:r>
          <w:r>
            <w:rPr>
              <w:rStyle w:val="62"/>
              <w:rFonts w:hint="eastAsia" w:cs="仿宋_GB2312" w:asciiTheme="minorEastAsia" w:hAnsiTheme="minorEastAsia" w:eastAsiaTheme="minorEastAsia"/>
              <w:bCs/>
              <w:color w:val="auto"/>
              <w:kern w:val="44"/>
              <w:sz w:val="28"/>
              <w:szCs w:val="28"/>
            </w:rPr>
            <w:t>第三章</w:t>
          </w:r>
          <w:r>
            <w:rPr>
              <w:rStyle w:val="62"/>
              <w:rFonts w:cs="仿宋_GB2312" w:asciiTheme="minorEastAsia" w:hAnsiTheme="minorEastAsia" w:eastAsiaTheme="minorEastAsia"/>
              <w:bCs/>
              <w:color w:val="auto"/>
              <w:kern w:val="44"/>
              <w:sz w:val="28"/>
              <w:szCs w:val="28"/>
            </w:rPr>
            <w:t xml:space="preserve">  </w:t>
          </w:r>
          <w:r>
            <w:rPr>
              <w:rStyle w:val="62"/>
              <w:rFonts w:hint="eastAsia" w:cs="仿宋_GB2312" w:asciiTheme="minorEastAsia" w:hAnsiTheme="minorEastAsia" w:eastAsiaTheme="minorEastAsia"/>
              <w:bCs/>
              <w:color w:val="auto"/>
              <w:kern w:val="44"/>
              <w:sz w:val="28"/>
              <w:szCs w:val="28"/>
            </w:rPr>
            <w:t>投标人须知</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_Toc207203148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106</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14:paraId="4DEA176C">
          <w:pPr>
            <w:pStyle w:val="35"/>
            <w:tabs>
              <w:tab w:val="right" w:leader="dot" w:pos="9060"/>
            </w:tabs>
            <w:rPr>
              <w:rFonts w:asciiTheme="minorEastAsia" w:hAnsiTheme="minorEastAsia" w:eastAsiaTheme="minorEastAsia" w:cstheme="minorBidi"/>
              <w:sz w:val="28"/>
              <w:szCs w:val="28"/>
            </w:rPr>
          </w:pPr>
          <w:r>
            <w:fldChar w:fldCharType="begin"/>
          </w:r>
          <w:r>
            <w:instrText xml:space="preserve"> HYPERLINK \l "_Toc207203149" </w:instrText>
          </w:r>
          <w:r>
            <w:fldChar w:fldCharType="separate"/>
          </w:r>
          <w:r>
            <w:rPr>
              <w:rStyle w:val="62"/>
              <w:rFonts w:hint="eastAsia" w:cs="仿宋_GB2312" w:asciiTheme="minorEastAsia" w:hAnsiTheme="minorEastAsia" w:eastAsiaTheme="minorEastAsia"/>
              <w:bCs/>
              <w:color w:val="auto"/>
              <w:kern w:val="44"/>
              <w:sz w:val="28"/>
              <w:szCs w:val="28"/>
            </w:rPr>
            <w:t>第四章</w:t>
          </w:r>
          <w:r>
            <w:rPr>
              <w:rStyle w:val="62"/>
              <w:rFonts w:cs="仿宋_GB2312" w:asciiTheme="minorEastAsia" w:hAnsiTheme="minorEastAsia" w:eastAsiaTheme="minorEastAsia"/>
              <w:bCs/>
              <w:color w:val="auto"/>
              <w:kern w:val="44"/>
              <w:sz w:val="28"/>
              <w:szCs w:val="28"/>
            </w:rPr>
            <w:t xml:space="preserve">  </w:t>
          </w:r>
          <w:r>
            <w:rPr>
              <w:rStyle w:val="62"/>
              <w:rFonts w:hint="eastAsia" w:cs="仿宋_GB2312" w:asciiTheme="minorEastAsia" w:hAnsiTheme="minorEastAsia" w:eastAsiaTheme="minorEastAsia"/>
              <w:bCs/>
              <w:color w:val="auto"/>
              <w:kern w:val="44"/>
              <w:sz w:val="28"/>
              <w:szCs w:val="28"/>
            </w:rPr>
            <w:t>评标方法及评标标准</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_Toc207203149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127</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14:paraId="160D8AF3">
          <w:pPr>
            <w:pStyle w:val="35"/>
            <w:tabs>
              <w:tab w:val="right" w:leader="dot" w:pos="9060"/>
            </w:tabs>
            <w:rPr>
              <w:rFonts w:asciiTheme="minorEastAsia" w:hAnsiTheme="minorEastAsia" w:eastAsiaTheme="minorEastAsia" w:cstheme="minorBidi"/>
              <w:sz w:val="28"/>
              <w:szCs w:val="28"/>
            </w:rPr>
          </w:pPr>
          <w:r>
            <w:fldChar w:fldCharType="begin"/>
          </w:r>
          <w:r>
            <w:instrText xml:space="preserve"> HYPERLINK \l "_Toc207203150" </w:instrText>
          </w:r>
          <w:r>
            <w:fldChar w:fldCharType="separate"/>
          </w:r>
          <w:r>
            <w:rPr>
              <w:rStyle w:val="62"/>
              <w:rFonts w:hint="eastAsia" w:cs="仿宋_GB2312" w:asciiTheme="minorEastAsia" w:hAnsiTheme="minorEastAsia" w:eastAsiaTheme="minorEastAsia"/>
              <w:bCs/>
              <w:color w:val="auto"/>
              <w:kern w:val="44"/>
              <w:sz w:val="28"/>
              <w:szCs w:val="28"/>
            </w:rPr>
            <w:t>第五章</w:t>
          </w:r>
          <w:r>
            <w:rPr>
              <w:rStyle w:val="62"/>
              <w:rFonts w:cs="仿宋_GB2312" w:asciiTheme="minorEastAsia" w:hAnsiTheme="minorEastAsia" w:eastAsiaTheme="minorEastAsia"/>
              <w:bCs/>
              <w:color w:val="auto"/>
              <w:kern w:val="44"/>
              <w:sz w:val="28"/>
              <w:szCs w:val="28"/>
            </w:rPr>
            <w:t xml:space="preserve">  </w:t>
          </w:r>
          <w:r>
            <w:rPr>
              <w:rStyle w:val="62"/>
              <w:rFonts w:hint="eastAsia" w:cs="仿宋_GB2312" w:asciiTheme="minorEastAsia" w:hAnsiTheme="minorEastAsia" w:eastAsiaTheme="minorEastAsia"/>
              <w:bCs/>
              <w:color w:val="auto"/>
              <w:kern w:val="44"/>
              <w:sz w:val="28"/>
              <w:szCs w:val="28"/>
            </w:rPr>
            <w:t>拟签订的合同文本</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_Toc207203150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135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14:paraId="4312D968">
          <w:pPr>
            <w:pStyle w:val="35"/>
            <w:tabs>
              <w:tab w:val="right" w:leader="dot" w:pos="9060"/>
            </w:tabs>
            <w:rPr>
              <w:rFonts w:asciiTheme="minorEastAsia" w:hAnsiTheme="minorEastAsia" w:eastAsiaTheme="minorEastAsia" w:cstheme="minorBidi"/>
              <w:sz w:val="28"/>
              <w:szCs w:val="28"/>
            </w:rPr>
          </w:pPr>
          <w:r>
            <w:fldChar w:fldCharType="begin"/>
          </w:r>
          <w:r>
            <w:instrText xml:space="preserve"> HYPERLINK \l "_Toc207203151" </w:instrText>
          </w:r>
          <w:r>
            <w:fldChar w:fldCharType="separate"/>
          </w:r>
          <w:r>
            <w:rPr>
              <w:rStyle w:val="62"/>
              <w:rFonts w:hint="eastAsia" w:cs="仿宋_GB2312" w:asciiTheme="minorEastAsia" w:hAnsiTheme="minorEastAsia" w:eastAsiaTheme="minorEastAsia"/>
              <w:bCs/>
              <w:color w:val="auto"/>
              <w:kern w:val="44"/>
              <w:sz w:val="28"/>
              <w:szCs w:val="28"/>
            </w:rPr>
            <w:t>第六章</w:t>
          </w:r>
          <w:r>
            <w:rPr>
              <w:rStyle w:val="62"/>
              <w:rFonts w:cs="仿宋_GB2312" w:asciiTheme="minorEastAsia" w:hAnsiTheme="minorEastAsia" w:eastAsiaTheme="minorEastAsia"/>
              <w:bCs/>
              <w:color w:val="auto"/>
              <w:kern w:val="44"/>
              <w:sz w:val="28"/>
              <w:szCs w:val="28"/>
            </w:rPr>
            <w:t xml:space="preserve">  </w:t>
          </w:r>
          <w:r>
            <w:rPr>
              <w:rStyle w:val="62"/>
              <w:rFonts w:hint="eastAsia" w:cs="仿宋_GB2312" w:asciiTheme="minorEastAsia" w:hAnsiTheme="minorEastAsia" w:eastAsiaTheme="minorEastAsia"/>
              <w:bCs/>
              <w:color w:val="auto"/>
              <w:kern w:val="44"/>
              <w:sz w:val="28"/>
              <w:szCs w:val="28"/>
            </w:rPr>
            <w:t>投标文件格式</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_Toc207203151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145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14:paraId="449B4E96">
          <w:pPr>
            <w:spacing w:line="360" w:lineRule="auto"/>
            <w:ind w:firstLine="562"/>
            <w:rPr>
              <w:rFonts w:ascii="宋体" w:hAnsi="宋体" w:eastAsia="宋体" w:cs="Times New Roman"/>
              <w:szCs w:val="32"/>
            </w:rPr>
          </w:pPr>
          <w:r>
            <w:rPr>
              <w:rFonts w:hint="eastAsia" w:asciiTheme="minorEastAsia" w:hAnsiTheme="minorEastAsia" w:cstheme="minorEastAsia"/>
              <w:sz w:val="28"/>
              <w:szCs w:val="32"/>
            </w:rPr>
            <w:fldChar w:fldCharType="end"/>
          </w:r>
        </w:p>
      </w:sdtContent>
    </w:sdt>
    <w:p w14:paraId="468E50FF">
      <w:pPr>
        <w:spacing w:line="360" w:lineRule="auto"/>
        <w:rPr>
          <w:rFonts w:ascii="宋体" w:hAnsi="宋体" w:eastAsia="宋体" w:cs="Times New Roman"/>
          <w:szCs w:val="32"/>
        </w:rPr>
        <w:sectPr>
          <w:pgSz w:w="11906" w:h="16838"/>
          <w:pgMar w:top="1304" w:right="1418" w:bottom="1191" w:left="1418" w:header="851" w:footer="851" w:gutter="0"/>
          <w:pgNumType w:start="1"/>
          <w:cols w:space="720" w:num="1"/>
          <w:titlePg/>
          <w:docGrid w:type="lines" w:linePitch="312" w:charSpace="0"/>
        </w:sectPr>
      </w:pPr>
    </w:p>
    <w:p w14:paraId="4DFED84F">
      <w:pPr>
        <w:spacing w:line="360" w:lineRule="auto"/>
        <w:ind w:firstLine="600"/>
        <w:jc w:val="left"/>
        <w:rPr>
          <w:rFonts w:ascii="宋体" w:hAnsi="宋体" w:eastAsia="宋体" w:cs="Times New Roman"/>
          <w:b/>
          <w:sz w:val="30"/>
          <w:szCs w:val="30"/>
        </w:rPr>
      </w:pPr>
    </w:p>
    <w:p w14:paraId="4FAD3363">
      <w:pPr>
        <w:spacing w:line="400" w:lineRule="exact"/>
        <w:ind w:firstLine="640"/>
        <w:jc w:val="left"/>
        <w:rPr>
          <w:rFonts w:ascii="宋体" w:hAnsi="宋体" w:eastAsia="宋体" w:cs="Times New Roman"/>
          <w:b/>
          <w:sz w:val="32"/>
          <w:szCs w:val="32"/>
        </w:rPr>
      </w:pPr>
    </w:p>
    <w:p w14:paraId="6EC9298D">
      <w:pPr>
        <w:spacing w:line="400" w:lineRule="exact"/>
        <w:ind w:firstLine="640"/>
        <w:jc w:val="center"/>
        <w:rPr>
          <w:rFonts w:ascii="宋体" w:hAnsi="宋体" w:eastAsia="宋体" w:cs="Times New Roman"/>
          <w:b/>
          <w:sz w:val="32"/>
          <w:szCs w:val="32"/>
        </w:rPr>
      </w:pPr>
    </w:p>
    <w:p w14:paraId="153FA4DA">
      <w:pPr>
        <w:spacing w:line="400" w:lineRule="exact"/>
        <w:ind w:firstLine="640"/>
        <w:rPr>
          <w:rFonts w:ascii="宋体" w:hAnsi="宋体" w:eastAsia="宋体" w:cs="Times New Roman"/>
          <w:b/>
          <w:sz w:val="32"/>
          <w:szCs w:val="32"/>
        </w:rPr>
      </w:pPr>
    </w:p>
    <w:p w14:paraId="4B1ED5F9">
      <w:pPr>
        <w:spacing w:line="400" w:lineRule="exact"/>
        <w:ind w:firstLine="640"/>
        <w:rPr>
          <w:rFonts w:ascii="宋体" w:hAnsi="宋体" w:eastAsia="宋体" w:cs="Times New Roman"/>
          <w:b/>
          <w:sz w:val="32"/>
          <w:szCs w:val="32"/>
        </w:rPr>
      </w:pPr>
    </w:p>
    <w:p w14:paraId="54E1C66D">
      <w:pPr>
        <w:spacing w:line="400" w:lineRule="exact"/>
        <w:ind w:firstLine="640"/>
        <w:rPr>
          <w:rFonts w:ascii="宋体" w:hAnsi="宋体" w:eastAsia="宋体" w:cs="Times New Roman"/>
          <w:b/>
          <w:sz w:val="32"/>
          <w:szCs w:val="32"/>
        </w:rPr>
      </w:pPr>
    </w:p>
    <w:p w14:paraId="3D5F96B6">
      <w:pPr>
        <w:spacing w:line="400" w:lineRule="exact"/>
        <w:ind w:firstLine="640"/>
        <w:rPr>
          <w:rFonts w:ascii="宋体" w:hAnsi="宋体" w:eastAsia="宋体" w:cs="Times New Roman"/>
          <w:b/>
          <w:sz w:val="32"/>
          <w:szCs w:val="32"/>
        </w:rPr>
      </w:pPr>
    </w:p>
    <w:p w14:paraId="5E990E2F">
      <w:pPr>
        <w:spacing w:line="400" w:lineRule="exact"/>
        <w:ind w:firstLine="640"/>
        <w:rPr>
          <w:rFonts w:ascii="宋体" w:hAnsi="宋体" w:eastAsia="宋体" w:cs="Times New Roman"/>
          <w:b/>
          <w:sz w:val="32"/>
          <w:szCs w:val="32"/>
        </w:rPr>
      </w:pPr>
    </w:p>
    <w:p w14:paraId="5BCAEC1C">
      <w:pPr>
        <w:spacing w:line="400" w:lineRule="exact"/>
        <w:ind w:firstLine="640"/>
        <w:rPr>
          <w:rFonts w:ascii="宋体" w:hAnsi="宋体" w:eastAsia="宋体" w:cs="Times New Roman"/>
          <w:b/>
          <w:sz w:val="32"/>
          <w:szCs w:val="32"/>
        </w:rPr>
      </w:pPr>
    </w:p>
    <w:p w14:paraId="42B65457">
      <w:pPr>
        <w:spacing w:line="400" w:lineRule="exact"/>
        <w:ind w:firstLine="640"/>
        <w:rPr>
          <w:rFonts w:ascii="宋体" w:hAnsi="宋体" w:eastAsia="宋体" w:cs="Times New Roman"/>
          <w:b/>
          <w:sz w:val="32"/>
          <w:szCs w:val="32"/>
        </w:rPr>
      </w:pPr>
    </w:p>
    <w:p w14:paraId="7571A168">
      <w:pPr>
        <w:spacing w:line="400" w:lineRule="exact"/>
        <w:ind w:firstLine="640"/>
        <w:rPr>
          <w:rFonts w:ascii="宋体" w:hAnsi="宋体" w:eastAsia="宋体" w:cs="Times New Roman"/>
          <w:b/>
          <w:sz w:val="32"/>
          <w:szCs w:val="32"/>
        </w:rPr>
      </w:pPr>
    </w:p>
    <w:p w14:paraId="01650819">
      <w:pPr>
        <w:spacing w:line="400" w:lineRule="exact"/>
        <w:ind w:firstLine="640"/>
        <w:rPr>
          <w:rFonts w:ascii="宋体" w:hAnsi="宋体" w:eastAsia="宋体" w:cs="Times New Roman"/>
          <w:b/>
          <w:sz w:val="32"/>
          <w:szCs w:val="32"/>
        </w:rPr>
      </w:pPr>
    </w:p>
    <w:p w14:paraId="12F31E19">
      <w:pPr>
        <w:spacing w:line="400" w:lineRule="exact"/>
        <w:ind w:firstLine="640"/>
        <w:rPr>
          <w:rFonts w:ascii="宋体" w:hAnsi="宋体" w:eastAsia="宋体" w:cs="Times New Roman"/>
          <w:b/>
          <w:sz w:val="32"/>
          <w:szCs w:val="32"/>
        </w:rPr>
      </w:pPr>
    </w:p>
    <w:p w14:paraId="4866E53A">
      <w:pPr>
        <w:spacing w:line="400" w:lineRule="exact"/>
        <w:ind w:firstLine="640"/>
        <w:rPr>
          <w:rFonts w:ascii="宋体" w:hAnsi="宋体" w:eastAsia="宋体" w:cs="Times New Roman"/>
          <w:b/>
          <w:sz w:val="32"/>
          <w:szCs w:val="32"/>
        </w:rPr>
      </w:pPr>
    </w:p>
    <w:p w14:paraId="3D9011A9">
      <w:pPr>
        <w:spacing w:line="400" w:lineRule="exact"/>
        <w:ind w:firstLine="640"/>
        <w:rPr>
          <w:rFonts w:ascii="宋体" w:hAnsi="宋体" w:eastAsia="宋体" w:cs="Times New Roman"/>
          <w:b/>
          <w:sz w:val="32"/>
          <w:szCs w:val="32"/>
        </w:rPr>
      </w:pPr>
    </w:p>
    <w:p w14:paraId="0DF18B91">
      <w:pPr>
        <w:spacing w:line="400" w:lineRule="exact"/>
        <w:ind w:firstLine="640"/>
        <w:rPr>
          <w:rFonts w:ascii="宋体" w:hAnsi="宋体" w:eastAsia="宋体" w:cs="Times New Roman"/>
          <w:b/>
          <w:sz w:val="32"/>
          <w:szCs w:val="32"/>
        </w:rPr>
      </w:pPr>
    </w:p>
    <w:p w14:paraId="3A292C0A">
      <w:pPr>
        <w:tabs>
          <w:tab w:val="left" w:pos="0"/>
          <w:tab w:val="left" w:pos="3165"/>
          <w:tab w:val="center" w:pos="4153"/>
        </w:tabs>
        <w:autoSpaceDE w:val="0"/>
        <w:autoSpaceDN w:val="0"/>
        <w:adjustRightInd w:val="0"/>
        <w:spacing w:line="360" w:lineRule="auto"/>
        <w:ind w:firstLine="880"/>
        <w:jc w:val="center"/>
        <w:outlineLvl w:val="0"/>
        <w:rPr>
          <w:rFonts w:ascii="宋体" w:hAnsi="宋体" w:eastAsia="宋体" w:cs="仿宋_GB2312"/>
          <w:b/>
          <w:bCs/>
          <w:kern w:val="44"/>
          <w:sz w:val="44"/>
          <w:szCs w:val="44"/>
        </w:rPr>
      </w:pPr>
      <w:bookmarkStart w:id="5" w:name="_Toc20141"/>
      <w:bookmarkStart w:id="6" w:name="_Toc207203146"/>
      <w:bookmarkStart w:id="7" w:name="_Toc10041899"/>
      <w:r>
        <w:rPr>
          <w:rFonts w:hint="eastAsia" w:ascii="宋体" w:hAnsi="宋体" w:eastAsia="宋体" w:cs="仿宋_GB2312"/>
          <w:b/>
          <w:bCs/>
          <w:kern w:val="44"/>
          <w:sz w:val="44"/>
          <w:szCs w:val="44"/>
        </w:rPr>
        <w:t>第一章  投标邀请</w:t>
      </w:r>
      <w:bookmarkEnd w:id="5"/>
      <w:bookmarkEnd w:id="6"/>
      <w:bookmarkEnd w:id="7"/>
    </w:p>
    <w:p w14:paraId="4DE917A8">
      <w:pPr>
        <w:ind w:firstLine="640"/>
        <w:jc w:val="center"/>
        <w:rPr>
          <w:rFonts w:ascii="Times New Roman" w:hAnsi="Times New Roman" w:eastAsia="宋体" w:cs="Times New Roman"/>
          <w:b/>
          <w:sz w:val="32"/>
          <w:szCs w:val="24"/>
        </w:rPr>
        <w:sectPr>
          <w:footerReference r:id="rId4" w:type="first"/>
          <w:footerReference r:id="rId3" w:type="default"/>
          <w:pgSz w:w="11906" w:h="16838"/>
          <w:pgMar w:top="1304" w:right="1418" w:bottom="1191" w:left="1418" w:header="851" w:footer="851" w:gutter="0"/>
          <w:pgNumType w:start="1"/>
          <w:cols w:space="720" w:num="1"/>
          <w:docGrid w:type="lines" w:linePitch="312" w:charSpace="0"/>
        </w:sectPr>
      </w:pPr>
    </w:p>
    <w:p w14:paraId="798D2E8B">
      <w:pPr>
        <w:ind w:firstLine="600"/>
        <w:jc w:val="center"/>
        <w:rPr>
          <w:rFonts w:ascii="宋体" w:hAnsi="宋体" w:eastAsia="宋体" w:cs="宋体"/>
          <w:b/>
          <w:sz w:val="30"/>
          <w:szCs w:val="30"/>
        </w:rPr>
      </w:pPr>
      <w:r>
        <w:rPr>
          <w:rFonts w:hint="eastAsia" w:ascii="宋体" w:hAnsi="宋体" w:eastAsia="宋体" w:cs="宋体"/>
          <w:b/>
          <w:sz w:val="30"/>
          <w:szCs w:val="30"/>
        </w:rPr>
        <w:t>广西交通职业技术学院三维数字孪生工程研究中心项目采购公开招标公告</w:t>
      </w:r>
    </w:p>
    <w:p w14:paraId="7D2DF37D">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项目概况</w:t>
      </w:r>
    </w:p>
    <w:p w14:paraId="6D267713">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eastAsia="宋体" w:cs="宋体"/>
          <w:sz w:val="24"/>
          <w:szCs w:val="24"/>
          <w:u w:val="single"/>
        </w:rPr>
      </w:pPr>
      <w:r>
        <w:rPr>
          <w:rFonts w:hint="eastAsia" w:ascii="宋体" w:hAnsi="宋体" w:eastAsia="宋体" w:cs="宋体"/>
          <w:sz w:val="24"/>
          <w:szCs w:val="24"/>
          <w:u w:val="single"/>
        </w:rPr>
        <w:t>广西交通职业技术学院三维数字孪生工程研究中心项目采购</w:t>
      </w:r>
      <w:r>
        <w:rPr>
          <w:rFonts w:hint="eastAsia" w:ascii="宋体" w:hAnsi="宋体" w:eastAsia="宋体" w:cs="宋体"/>
          <w:sz w:val="24"/>
          <w:szCs w:val="24"/>
        </w:rPr>
        <w:t>招标项目的潜在投标人广西政府采购云平台（网址：https://www.gcy.zfcg.gxzf.gov.cn/）获取招标文件，并于 2025年  月  日 9:30（北京时间）前递交投标文件。</w:t>
      </w:r>
    </w:p>
    <w:p w14:paraId="55EB4626">
      <w:pPr>
        <w:spacing w:line="360" w:lineRule="auto"/>
        <w:ind w:firstLine="480"/>
        <w:rPr>
          <w:rFonts w:ascii="宋体" w:hAnsi="宋体" w:eastAsia="宋体" w:cs="宋体"/>
          <w:b/>
          <w:bCs/>
          <w:sz w:val="24"/>
          <w:szCs w:val="24"/>
        </w:rPr>
      </w:pPr>
      <w:bookmarkStart w:id="8" w:name="_Toc28359079"/>
      <w:bookmarkStart w:id="9" w:name="_Toc28359002"/>
      <w:bookmarkStart w:id="10" w:name="_Toc35393790"/>
      <w:bookmarkStart w:id="11" w:name="_Toc35393621"/>
      <w:bookmarkStart w:id="12" w:name="_Hlk24379207"/>
      <w:r>
        <w:rPr>
          <w:rFonts w:hint="eastAsia" w:ascii="宋体" w:hAnsi="宋体" w:eastAsia="宋体" w:cs="宋体"/>
          <w:b/>
          <w:bCs/>
          <w:sz w:val="24"/>
          <w:szCs w:val="24"/>
        </w:rPr>
        <w:t>一、项目基本情况</w:t>
      </w:r>
      <w:bookmarkEnd w:id="8"/>
      <w:bookmarkEnd w:id="9"/>
      <w:bookmarkEnd w:id="10"/>
      <w:bookmarkEnd w:id="11"/>
    </w:p>
    <w:p w14:paraId="65A750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项目编号</w:t>
      </w:r>
      <w:bookmarkStart w:id="13" w:name="PO_3000001867_PM001_1"/>
      <w:r>
        <w:rPr>
          <w:rFonts w:hint="eastAsia" w:ascii="宋体" w:hAnsi="宋体" w:eastAsia="宋体" w:cs="宋体"/>
          <w:sz w:val="24"/>
          <w:szCs w:val="24"/>
        </w:rPr>
        <w:t xml:space="preserve">：GXZC2025-G1-003199-GXZX </w:t>
      </w:r>
    </w:p>
    <w:bookmarkEnd w:id="13"/>
    <w:p w14:paraId="7CBE7F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项目名称：广西交通职业技术学院三维数字孪生工程研究中心项目采购</w:t>
      </w:r>
    </w:p>
    <w:bookmarkEnd w:id="12"/>
    <w:p w14:paraId="4F93C08C">
      <w:pPr>
        <w:spacing w:line="360" w:lineRule="auto"/>
        <w:ind w:firstLine="480" w:firstLineChars="200"/>
        <w:rPr>
          <w:rFonts w:ascii="宋体" w:hAnsi="宋体" w:eastAsia="宋体" w:cs="宋体"/>
          <w:sz w:val="24"/>
          <w:szCs w:val="24"/>
        </w:rPr>
      </w:pPr>
      <w:bookmarkStart w:id="14" w:name="PO_3000001867_PM001392"/>
      <w:r>
        <w:rPr>
          <w:rFonts w:hint="eastAsia" w:ascii="宋体" w:hAnsi="宋体" w:eastAsia="宋体" w:cs="宋体"/>
          <w:sz w:val="24"/>
          <w:szCs w:val="24"/>
        </w:rPr>
        <w:t>预算总金额（元）：</w:t>
      </w:r>
      <w:bookmarkEnd w:id="14"/>
      <w:r>
        <w:rPr>
          <w:rFonts w:ascii="宋体" w:hAnsi="宋体" w:eastAsia="宋体" w:cs="宋体"/>
          <w:sz w:val="24"/>
          <w:szCs w:val="24"/>
        </w:rPr>
        <w:t>9877</w:t>
      </w:r>
      <w:r>
        <w:rPr>
          <w:rFonts w:hint="eastAsia" w:ascii="宋体" w:hAnsi="宋体" w:eastAsia="宋体" w:cs="宋体"/>
          <w:sz w:val="24"/>
          <w:szCs w:val="24"/>
        </w:rPr>
        <w:t>000.00</w:t>
      </w:r>
    </w:p>
    <w:p w14:paraId="4D4409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采购需求：</w:t>
      </w:r>
      <w:bookmarkStart w:id="215" w:name="_GoBack"/>
      <w:bookmarkEnd w:id="215"/>
      <w:bookmarkStart w:id="15" w:name="PO_3000001867_PM004"/>
    </w:p>
    <w:bookmarkEnd w:id="15"/>
    <w:p w14:paraId="6B5A8C74">
      <w:pPr>
        <w:spacing w:line="360" w:lineRule="auto"/>
        <w:ind w:firstLine="480"/>
        <w:rPr>
          <w:rFonts w:ascii="宋体" w:hAnsi="宋体" w:eastAsia="宋体" w:cs="宋体"/>
          <w:b/>
          <w:bCs/>
          <w:sz w:val="24"/>
          <w:szCs w:val="24"/>
        </w:rPr>
      </w:pPr>
      <w:bookmarkStart w:id="16" w:name="_Toc35393791"/>
      <w:bookmarkStart w:id="17" w:name="_Toc28359003"/>
      <w:bookmarkStart w:id="18" w:name="_Toc35393622"/>
      <w:bookmarkStart w:id="19" w:name="_Toc28359080"/>
      <w:r>
        <w:rPr>
          <w:rFonts w:hint="eastAsia" w:ascii="宋体" w:hAnsi="宋体" w:eastAsia="宋体" w:cs="宋体"/>
          <w:b/>
          <w:bCs/>
          <w:sz w:val="24"/>
          <w:szCs w:val="24"/>
        </w:rPr>
        <w:t>标项一</w:t>
      </w:r>
    </w:p>
    <w:p w14:paraId="5209807D">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标项名称:</w:t>
      </w:r>
      <w:r>
        <w:rPr>
          <w:rFonts w:hint="eastAsia" w:ascii="Times New Roman" w:hAnsi="Times New Roman" w:eastAsia="宋体" w:cs="Times New Roman"/>
          <w:sz w:val="24"/>
          <w:szCs w:val="24"/>
        </w:rPr>
        <w:t xml:space="preserve"> 1分标：</w:t>
      </w:r>
      <w:r>
        <w:rPr>
          <w:rFonts w:hint="eastAsia" w:ascii="宋体" w:hAnsi="宋体" w:eastAsia="宋体" w:cs="宋体"/>
          <w:sz w:val="24"/>
          <w:szCs w:val="24"/>
        </w:rPr>
        <w:t>基于虚实结合的“泵-管网”综合实验实训设备</w:t>
      </w:r>
    </w:p>
    <w:p w14:paraId="2AD336B4">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数量:1套</w:t>
      </w:r>
    </w:p>
    <w:p w14:paraId="12E20981">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预算金额（元）:</w:t>
      </w:r>
      <w:r>
        <w:rPr>
          <w:rFonts w:ascii="宋体" w:hAnsi="宋体" w:eastAsia="宋体" w:cs="宋体"/>
          <w:sz w:val="24"/>
          <w:szCs w:val="24"/>
        </w:rPr>
        <w:t>2608000</w:t>
      </w:r>
      <w:r>
        <w:rPr>
          <w:rFonts w:hint="eastAsia" w:ascii="宋体" w:hAnsi="宋体" w:eastAsia="宋体" w:cs="宋体"/>
          <w:sz w:val="24"/>
          <w:szCs w:val="24"/>
        </w:rPr>
        <w:t>.00</w:t>
      </w:r>
    </w:p>
    <w:p w14:paraId="6F10255A">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简要规格描述或项目基本概况介绍、用途：详见本招标公告附件《采购需求》。</w:t>
      </w:r>
    </w:p>
    <w:p w14:paraId="2EF8BCED">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最高限价（如有）：</w:t>
      </w:r>
      <w:r>
        <w:rPr>
          <w:rFonts w:ascii="宋体" w:hAnsi="宋体" w:eastAsia="宋体" w:cs="宋体"/>
          <w:sz w:val="24"/>
          <w:szCs w:val="24"/>
        </w:rPr>
        <w:t>2608000.00</w:t>
      </w:r>
    </w:p>
    <w:p w14:paraId="00CCB88A">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合同履约期限：合同签订后，接到采购人书面通知进场安装起30个日历日内安装调试完毕。</w:t>
      </w:r>
    </w:p>
    <w:p w14:paraId="2F7712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本标项（否）接受联合体投标</w:t>
      </w:r>
    </w:p>
    <w:p w14:paraId="5730F5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备注：本项目为线上电子招标项目，有意向参与本项目的供应商应当做好参与全流程电子招投标交易的充分准备。</w:t>
      </w:r>
    </w:p>
    <w:p w14:paraId="523B219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标项二</w:t>
      </w:r>
    </w:p>
    <w:p w14:paraId="082582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标项名称:</w:t>
      </w:r>
      <w:r>
        <w:rPr>
          <w:rFonts w:hint="eastAsia" w:ascii="Times New Roman" w:hAnsi="Times New Roman" w:eastAsia="宋体" w:cs="Times New Roman"/>
          <w:sz w:val="24"/>
          <w:szCs w:val="24"/>
        </w:rPr>
        <w:t xml:space="preserve"> 2分标：</w:t>
      </w:r>
      <w:r>
        <w:rPr>
          <w:rFonts w:hint="eastAsia" w:ascii="宋体" w:hAnsi="宋体" w:eastAsia="宋体" w:cs="宋体"/>
          <w:sz w:val="24"/>
          <w:szCs w:val="24"/>
        </w:rPr>
        <w:t>建筑外围护智能监测检测飞机</w:t>
      </w:r>
    </w:p>
    <w:p w14:paraId="66F992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数量:1套</w:t>
      </w:r>
    </w:p>
    <w:p w14:paraId="60E4B5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预算金额（元）:</w:t>
      </w:r>
      <w:r>
        <w:rPr>
          <w:rFonts w:ascii="宋体" w:hAnsi="宋体" w:eastAsia="宋体" w:cs="宋体"/>
          <w:sz w:val="24"/>
          <w:szCs w:val="24"/>
        </w:rPr>
        <w:t>2950000</w:t>
      </w:r>
      <w:r>
        <w:rPr>
          <w:rFonts w:hint="eastAsia" w:ascii="宋体" w:hAnsi="宋体" w:eastAsia="宋体" w:cs="宋体"/>
          <w:sz w:val="24"/>
          <w:szCs w:val="24"/>
        </w:rPr>
        <w:t>.00</w:t>
      </w:r>
    </w:p>
    <w:p w14:paraId="069999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简要规格描述或项目基本概况介绍、用途：详见本招标公告附件《采购需求》。</w:t>
      </w:r>
    </w:p>
    <w:p w14:paraId="5E07386C">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最高限价（如有）：</w:t>
      </w:r>
      <w:r>
        <w:rPr>
          <w:rFonts w:ascii="宋体" w:hAnsi="宋体" w:eastAsia="宋体" w:cs="宋体"/>
          <w:sz w:val="24"/>
          <w:szCs w:val="24"/>
        </w:rPr>
        <w:t>2950000.00</w:t>
      </w:r>
    </w:p>
    <w:p w14:paraId="72A6BBE8">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合同履约期限：合同签订后，接到采购人书面通知进场安装起30个日历日内安装调试完毕。</w:t>
      </w:r>
    </w:p>
    <w:p w14:paraId="6CC99D1A">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本标项（否）接受联合体投标</w:t>
      </w:r>
    </w:p>
    <w:p w14:paraId="6FB451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备注：本项目为线上电子招标项目，有意向参与本项目的供应商应当做好参与全流程电子招投标交易的充分准备。</w:t>
      </w:r>
    </w:p>
    <w:p w14:paraId="328539C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标项三</w:t>
      </w:r>
    </w:p>
    <w:p w14:paraId="718BC0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标项名称:</w:t>
      </w:r>
      <w:r>
        <w:rPr>
          <w:rFonts w:hint="eastAsia" w:ascii="Times New Roman" w:hAnsi="Times New Roman" w:eastAsia="宋体" w:cs="Times New Roman"/>
          <w:sz w:val="24"/>
          <w:szCs w:val="24"/>
        </w:rPr>
        <w:t xml:space="preserve"> 3分标：</w:t>
      </w:r>
      <w:r>
        <w:rPr>
          <w:rFonts w:hint="eastAsia" w:ascii="宋体" w:hAnsi="宋体" w:eastAsia="宋体" w:cs="宋体"/>
          <w:sz w:val="24"/>
          <w:szCs w:val="24"/>
        </w:rPr>
        <w:t>智慧工地管理沙盘</w:t>
      </w:r>
    </w:p>
    <w:p w14:paraId="491EF85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Times New Roman" w:hAnsi="Times New Roman" w:eastAsia="宋体" w:cs="Times New Roman"/>
          <w:sz w:val="24"/>
          <w:szCs w:val="24"/>
        </w:rPr>
        <w:t xml:space="preserve"> </w:t>
      </w:r>
      <w:r>
        <w:rPr>
          <w:rFonts w:hint="eastAsia" w:ascii="宋体" w:hAnsi="宋体" w:eastAsia="宋体" w:cs="宋体"/>
          <w:sz w:val="24"/>
          <w:szCs w:val="24"/>
        </w:rPr>
        <w:t>1</w:t>
      </w:r>
      <w:r>
        <w:rPr>
          <w:rFonts w:hint="eastAsia" w:ascii="宋体" w:hAnsi="宋体" w:eastAsia="宋体" w:cs="宋体"/>
          <w:sz w:val="24"/>
          <w:szCs w:val="24"/>
          <w:lang w:eastAsia="zh-CN"/>
        </w:rPr>
        <w:t>套</w:t>
      </w:r>
    </w:p>
    <w:p w14:paraId="4A09B5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预算金额（元）:</w:t>
      </w:r>
      <w:r>
        <w:rPr>
          <w:rFonts w:ascii="宋体" w:hAnsi="宋体" w:eastAsia="宋体" w:cs="宋体"/>
          <w:sz w:val="24"/>
          <w:szCs w:val="24"/>
        </w:rPr>
        <w:t>1689000</w:t>
      </w:r>
      <w:r>
        <w:rPr>
          <w:rFonts w:hint="eastAsia" w:ascii="宋体" w:hAnsi="宋体" w:eastAsia="宋体" w:cs="宋体"/>
          <w:sz w:val="24"/>
          <w:szCs w:val="24"/>
        </w:rPr>
        <w:t>.00</w:t>
      </w:r>
    </w:p>
    <w:p w14:paraId="7A62E9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简要规格描述或项目基本概况介绍、用途：详见本招标公告附件《采购需求》。</w:t>
      </w:r>
    </w:p>
    <w:p w14:paraId="36EFD7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最高限价（如有）：</w:t>
      </w:r>
      <w:r>
        <w:rPr>
          <w:rFonts w:ascii="宋体" w:hAnsi="宋体" w:eastAsia="宋体" w:cs="宋体"/>
          <w:sz w:val="24"/>
          <w:szCs w:val="24"/>
        </w:rPr>
        <w:t>1689000.00</w:t>
      </w:r>
    </w:p>
    <w:p w14:paraId="22667F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合同履约期限：合同签订后，接到采购人书面通知进场安装起30个日历日内安装调试完毕。</w:t>
      </w:r>
    </w:p>
    <w:p w14:paraId="7B53C9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本标项（否）接受联合体投标</w:t>
      </w:r>
    </w:p>
    <w:p w14:paraId="43AA6A9F">
      <w:pPr>
        <w:pStyle w:val="20"/>
        <w:ind w:firstLine="482"/>
      </w:pPr>
      <w:r>
        <w:rPr>
          <w:rFonts w:hint="eastAsia" w:ascii="宋体" w:hAnsi="宋体" w:eastAsia="宋体" w:cs="宋体"/>
          <w:sz w:val="24"/>
          <w:szCs w:val="24"/>
        </w:rPr>
        <w:t>备注：本项目为线上电子招标项目，有意向参与本项目的供应商应当做好参与全流程电子招投标交易的充分准备。</w:t>
      </w:r>
    </w:p>
    <w:p w14:paraId="56B086C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标项四</w:t>
      </w:r>
    </w:p>
    <w:p w14:paraId="72212B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标项名称:</w:t>
      </w:r>
      <w:r>
        <w:rPr>
          <w:rFonts w:hint="eastAsia" w:ascii="Times New Roman" w:hAnsi="Times New Roman" w:eastAsia="宋体" w:cs="Times New Roman"/>
          <w:sz w:val="24"/>
          <w:szCs w:val="24"/>
        </w:rPr>
        <w:t xml:space="preserve"> 4分标：</w:t>
      </w:r>
      <w:r>
        <w:rPr>
          <w:rFonts w:hint="eastAsia" w:ascii="宋体" w:hAnsi="宋体" w:eastAsia="宋体" w:cs="宋体"/>
          <w:sz w:val="24"/>
          <w:szCs w:val="24"/>
        </w:rPr>
        <w:t>智能测量机器人系统</w:t>
      </w:r>
    </w:p>
    <w:p w14:paraId="152DA6B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数量:1</w:t>
      </w:r>
      <w:r>
        <w:rPr>
          <w:rFonts w:hint="eastAsia" w:ascii="宋体" w:hAnsi="宋体" w:eastAsia="宋体" w:cs="宋体"/>
          <w:sz w:val="24"/>
          <w:szCs w:val="24"/>
          <w:lang w:eastAsia="zh-CN"/>
        </w:rPr>
        <w:t>套</w:t>
      </w:r>
    </w:p>
    <w:p w14:paraId="19D235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预算金额（元）:</w:t>
      </w:r>
      <w:r>
        <w:rPr>
          <w:rFonts w:ascii="宋体" w:hAnsi="宋体" w:eastAsia="宋体" w:cs="宋体"/>
          <w:sz w:val="24"/>
          <w:szCs w:val="24"/>
        </w:rPr>
        <w:t>263</w:t>
      </w:r>
      <w:r>
        <w:rPr>
          <w:rFonts w:hint="eastAsia" w:ascii="宋体" w:hAnsi="宋体" w:eastAsia="宋体" w:cs="宋体"/>
          <w:sz w:val="24"/>
          <w:szCs w:val="24"/>
        </w:rPr>
        <w:t>0000.00</w:t>
      </w:r>
    </w:p>
    <w:p w14:paraId="5C8AC8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简要规格描述或项目基本概况介绍、用途：详见本招标公告附件《采购需求》。</w:t>
      </w:r>
    </w:p>
    <w:p w14:paraId="1063AA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最高限价（如有）：</w:t>
      </w:r>
      <w:r>
        <w:rPr>
          <w:rFonts w:ascii="宋体" w:hAnsi="宋体" w:eastAsia="宋体" w:cs="宋体"/>
          <w:sz w:val="24"/>
          <w:szCs w:val="24"/>
        </w:rPr>
        <w:t>2630000.00</w:t>
      </w:r>
    </w:p>
    <w:p w14:paraId="6FF077A5">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合同履约期限：合同签订后，接到采购人书面通知进场安装起30个日历日内安装调试完毕。</w:t>
      </w:r>
    </w:p>
    <w:p w14:paraId="1148AEC1">
      <w:pPr>
        <w:spacing w:line="288" w:lineRule="auto"/>
        <w:ind w:firstLine="480" w:firstLineChars="200"/>
        <w:rPr>
          <w:rFonts w:ascii="宋体" w:hAnsi="宋体" w:eastAsia="宋体" w:cs="宋体"/>
          <w:sz w:val="24"/>
          <w:szCs w:val="24"/>
        </w:rPr>
      </w:pPr>
      <w:r>
        <w:rPr>
          <w:rFonts w:hint="eastAsia" w:ascii="宋体" w:hAnsi="宋体" w:eastAsia="宋体" w:cs="宋体"/>
          <w:sz w:val="24"/>
          <w:szCs w:val="24"/>
        </w:rPr>
        <w:t>本标项（否）接受联合体投标</w:t>
      </w:r>
    </w:p>
    <w:p w14:paraId="2335F56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备注：本项目为线上电子招标项目，有意向参与本项目的供应商应当做好参与全流程电子招投标交易的充分准备。</w:t>
      </w:r>
    </w:p>
    <w:p w14:paraId="593336A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二、申请人的资格要求：</w:t>
      </w:r>
      <w:bookmarkEnd w:id="16"/>
      <w:bookmarkEnd w:id="17"/>
      <w:bookmarkEnd w:id="18"/>
      <w:bookmarkEnd w:id="19"/>
    </w:p>
    <w:p w14:paraId="5974098A">
      <w:pPr>
        <w:spacing w:line="360" w:lineRule="auto"/>
        <w:ind w:firstLine="480" w:firstLineChars="200"/>
        <w:rPr>
          <w:rFonts w:ascii="宋体" w:hAnsi="宋体" w:eastAsia="宋体" w:cs="宋体"/>
          <w:sz w:val="24"/>
          <w:szCs w:val="24"/>
        </w:rPr>
      </w:pPr>
      <w:bookmarkStart w:id="20" w:name="_Hlk51746371"/>
      <w:bookmarkStart w:id="21" w:name="_Toc28359004"/>
      <w:bookmarkStart w:id="22" w:name="_Toc28359081"/>
      <w:r>
        <w:rPr>
          <w:rFonts w:hint="eastAsia" w:ascii="宋体" w:hAnsi="宋体" w:eastAsia="宋体" w:cs="宋体"/>
          <w:sz w:val="24"/>
          <w:szCs w:val="24"/>
        </w:rPr>
        <w:t>1.满足《中华人民共和国政府采购法》第二十二条规定；</w:t>
      </w:r>
    </w:p>
    <w:p w14:paraId="5B5420FA">
      <w:pPr>
        <w:spacing w:line="360" w:lineRule="auto"/>
        <w:ind w:firstLine="480" w:firstLineChars="200"/>
        <w:rPr>
          <w:rFonts w:ascii="宋体" w:hAnsi="宋体" w:eastAsia="宋体" w:cs="宋体"/>
          <w:sz w:val="24"/>
          <w:szCs w:val="24"/>
          <w:u w:val="single"/>
        </w:rPr>
      </w:pPr>
      <w:r>
        <w:rPr>
          <w:rFonts w:hint="eastAsia" w:ascii="宋体" w:hAnsi="宋体" w:eastAsia="宋体" w:cs="宋体"/>
          <w:sz w:val="24"/>
          <w:szCs w:val="24"/>
        </w:rPr>
        <w:t>2.落实政府采购政策需满足的资格要求：1、3、4分标：专门面向中小企业采购，2分标：非专门面向中小企业采购；</w:t>
      </w:r>
    </w:p>
    <w:bookmarkEnd w:id="20"/>
    <w:p w14:paraId="1000B6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3.本项目的特定资格要求：无。</w:t>
      </w:r>
    </w:p>
    <w:p w14:paraId="109C18F8">
      <w:pPr>
        <w:spacing w:line="360" w:lineRule="auto"/>
        <w:ind w:firstLine="480"/>
        <w:rPr>
          <w:rFonts w:ascii="宋体" w:hAnsi="宋体" w:eastAsia="宋体" w:cs="宋体"/>
          <w:b/>
          <w:bCs/>
          <w:sz w:val="24"/>
          <w:szCs w:val="24"/>
        </w:rPr>
      </w:pPr>
      <w:bookmarkStart w:id="23" w:name="_Toc35393623"/>
      <w:bookmarkStart w:id="24" w:name="_Toc35393792"/>
      <w:r>
        <w:rPr>
          <w:rFonts w:hint="eastAsia" w:ascii="宋体" w:hAnsi="宋体" w:eastAsia="宋体" w:cs="宋体"/>
          <w:b/>
          <w:bCs/>
          <w:sz w:val="24"/>
          <w:szCs w:val="24"/>
        </w:rPr>
        <w:t>三、获取招标文件</w:t>
      </w:r>
      <w:bookmarkEnd w:id="21"/>
      <w:bookmarkEnd w:id="22"/>
      <w:bookmarkEnd w:id="23"/>
      <w:bookmarkEnd w:id="24"/>
    </w:p>
    <w:p w14:paraId="65C88FD3">
      <w:pPr>
        <w:spacing w:line="360" w:lineRule="auto"/>
        <w:ind w:firstLine="482"/>
        <w:rPr>
          <w:rFonts w:ascii="宋体" w:hAnsi="宋体" w:eastAsia="宋体" w:cs="宋体"/>
          <w:bCs/>
          <w:kern w:val="0"/>
          <w:sz w:val="24"/>
          <w:szCs w:val="24"/>
        </w:rPr>
      </w:pPr>
      <w:bookmarkStart w:id="25" w:name="_Toc28359005"/>
      <w:bookmarkStart w:id="26" w:name="_Toc28359082"/>
      <w:bookmarkStart w:id="27" w:name="_Toc35393624"/>
      <w:bookmarkStart w:id="28" w:name="_Toc35393793"/>
      <w:r>
        <w:rPr>
          <w:rFonts w:hint="eastAsia" w:ascii="宋体" w:hAnsi="宋体" w:eastAsia="宋体" w:cs="宋体"/>
          <w:bCs/>
          <w:kern w:val="0"/>
          <w:sz w:val="24"/>
          <w:szCs w:val="24"/>
        </w:rPr>
        <w:t>时间：</w:t>
      </w:r>
      <w:r>
        <w:rPr>
          <w:rFonts w:ascii="宋体" w:hAnsi="宋体" w:eastAsia="宋体" w:cs="宋体"/>
          <w:bCs/>
          <w:kern w:val="0"/>
          <w:sz w:val="24"/>
          <w:szCs w:val="24"/>
          <w:u w:val="single"/>
        </w:rPr>
        <w:t>202</w:t>
      </w:r>
      <w:r>
        <w:rPr>
          <w:rFonts w:hint="eastAsia" w:ascii="宋体" w:hAnsi="宋体" w:eastAsia="宋体" w:cs="宋体"/>
          <w:bCs/>
          <w:kern w:val="0"/>
          <w:sz w:val="24"/>
          <w:szCs w:val="24"/>
          <w:u w:val="single"/>
        </w:rPr>
        <w:t>5年  月  日</w:t>
      </w:r>
      <w:r>
        <w:rPr>
          <w:rFonts w:hint="eastAsia" w:ascii="宋体" w:hAnsi="宋体" w:eastAsia="宋体" w:cs="宋体"/>
          <w:bCs/>
          <w:kern w:val="0"/>
          <w:sz w:val="24"/>
          <w:szCs w:val="24"/>
        </w:rPr>
        <w:t>至</w:t>
      </w:r>
      <w:r>
        <w:rPr>
          <w:rFonts w:ascii="宋体" w:hAnsi="宋体" w:eastAsia="宋体" w:cs="宋体"/>
          <w:bCs/>
          <w:kern w:val="0"/>
          <w:sz w:val="24"/>
          <w:szCs w:val="24"/>
          <w:u w:val="single"/>
        </w:rPr>
        <w:t>202</w:t>
      </w:r>
      <w:r>
        <w:rPr>
          <w:rFonts w:hint="eastAsia" w:ascii="宋体" w:hAnsi="宋体" w:eastAsia="宋体" w:cs="宋体"/>
          <w:bCs/>
          <w:kern w:val="0"/>
          <w:sz w:val="24"/>
          <w:szCs w:val="24"/>
          <w:u w:val="single"/>
        </w:rPr>
        <w:t>5年  月  日</w:t>
      </w:r>
      <w:r>
        <w:rPr>
          <w:rFonts w:hint="eastAsia" w:ascii="宋体" w:hAnsi="宋体" w:eastAsia="宋体" w:cs="宋体"/>
          <w:bCs/>
          <w:kern w:val="0"/>
          <w:sz w:val="24"/>
          <w:szCs w:val="24"/>
        </w:rPr>
        <w:t>，每天上午</w:t>
      </w:r>
      <w:r>
        <w:rPr>
          <w:rFonts w:hint="eastAsia" w:ascii="宋体" w:hAnsi="宋体" w:eastAsia="宋体" w:cs="宋体"/>
          <w:bCs/>
          <w:kern w:val="0"/>
          <w:sz w:val="24"/>
          <w:szCs w:val="24"/>
          <w:u w:val="single"/>
        </w:rPr>
        <w:t>0：</w:t>
      </w:r>
      <w:r>
        <w:rPr>
          <w:rFonts w:ascii="宋体" w:hAnsi="宋体" w:eastAsia="宋体" w:cs="宋体"/>
          <w:bCs/>
          <w:kern w:val="0"/>
          <w:sz w:val="24"/>
          <w:szCs w:val="24"/>
          <w:u w:val="single"/>
        </w:rPr>
        <w:t>00</w:t>
      </w:r>
      <w:r>
        <w:rPr>
          <w:rFonts w:hint="eastAsia" w:ascii="宋体" w:hAnsi="宋体" w:eastAsia="宋体" w:cs="宋体"/>
          <w:bCs/>
          <w:kern w:val="0"/>
          <w:sz w:val="24"/>
          <w:szCs w:val="24"/>
          <w:u w:val="single"/>
        </w:rPr>
        <w:t>至1</w:t>
      </w:r>
      <w:r>
        <w:rPr>
          <w:rFonts w:ascii="宋体" w:hAnsi="宋体" w:eastAsia="宋体" w:cs="宋体"/>
          <w:bCs/>
          <w:kern w:val="0"/>
          <w:sz w:val="24"/>
          <w:szCs w:val="24"/>
          <w:u w:val="single"/>
        </w:rPr>
        <w:t>2</w:t>
      </w:r>
      <w:r>
        <w:rPr>
          <w:rFonts w:hint="eastAsia" w:ascii="宋体" w:hAnsi="宋体" w:eastAsia="宋体" w:cs="宋体"/>
          <w:bCs/>
          <w:kern w:val="0"/>
          <w:sz w:val="24"/>
          <w:szCs w:val="24"/>
          <w:u w:val="single"/>
        </w:rPr>
        <w:t>:0</w:t>
      </w:r>
      <w:r>
        <w:rPr>
          <w:rFonts w:ascii="宋体" w:hAnsi="宋体" w:eastAsia="宋体" w:cs="宋体"/>
          <w:bCs/>
          <w:kern w:val="0"/>
          <w:sz w:val="24"/>
          <w:szCs w:val="24"/>
          <w:u w:val="single"/>
        </w:rPr>
        <w:t>0</w:t>
      </w:r>
      <w:r>
        <w:rPr>
          <w:rFonts w:hint="eastAsia" w:ascii="宋体" w:hAnsi="宋体" w:eastAsia="宋体" w:cs="宋体"/>
          <w:bCs/>
          <w:kern w:val="0"/>
          <w:sz w:val="24"/>
          <w:szCs w:val="24"/>
        </w:rPr>
        <w:t>，</w:t>
      </w:r>
      <w:r>
        <w:rPr>
          <w:rFonts w:hint="eastAsia" w:ascii="宋体" w:hAnsi="宋体" w:eastAsia="宋体" w:cs="宋体"/>
          <w:bCs/>
          <w:kern w:val="0"/>
          <w:sz w:val="24"/>
          <w:szCs w:val="24"/>
          <w:u w:val="single"/>
        </w:rPr>
        <w:t>下午1</w:t>
      </w:r>
      <w:r>
        <w:rPr>
          <w:rFonts w:ascii="宋体" w:hAnsi="宋体" w:eastAsia="宋体" w:cs="宋体"/>
          <w:bCs/>
          <w:kern w:val="0"/>
          <w:sz w:val="24"/>
          <w:szCs w:val="24"/>
          <w:u w:val="single"/>
        </w:rPr>
        <w:t>2</w:t>
      </w:r>
      <w:r>
        <w:rPr>
          <w:rFonts w:hint="eastAsia" w:ascii="宋体" w:hAnsi="宋体" w:eastAsia="宋体" w:cs="宋体"/>
          <w:bCs/>
          <w:kern w:val="0"/>
          <w:sz w:val="24"/>
          <w:szCs w:val="24"/>
          <w:u w:val="single"/>
        </w:rPr>
        <w:t>:0</w:t>
      </w:r>
      <w:r>
        <w:rPr>
          <w:rFonts w:ascii="宋体" w:hAnsi="宋体" w:eastAsia="宋体" w:cs="宋体"/>
          <w:bCs/>
          <w:kern w:val="0"/>
          <w:sz w:val="24"/>
          <w:szCs w:val="24"/>
          <w:u w:val="single"/>
        </w:rPr>
        <w:t>0</w:t>
      </w:r>
      <w:r>
        <w:rPr>
          <w:rFonts w:hint="eastAsia" w:ascii="宋体" w:hAnsi="宋体" w:eastAsia="宋体" w:cs="宋体"/>
          <w:bCs/>
          <w:kern w:val="0"/>
          <w:sz w:val="24"/>
          <w:szCs w:val="24"/>
          <w:u w:val="single"/>
        </w:rPr>
        <w:t>至2</w:t>
      </w:r>
      <w:r>
        <w:rPr>
          <w:rFonts w:ascii="宋体" w:hAnsi="宋体" w:eastAsia="宋体" w:cs="宋体"/>
          <w:bCs/>
          <w:kern w:val="0"/>
          <w:sz w:val="24"/>
          <w:szCs w:val="24"/>
          <w:u w:val="single"/>
        </w:rPr>
        <w:t>3</w:t>
      </w:r>
      <w:r>
        <w:rPr>
          <w:rFonts w:hint="eastAsia" w:ascii="宋体" w:hAnsi="宋体" w:eastAsia="宋体" w:cs="宋体"/>
          <w:bCs/>
          <w:kern w:val="0"/>
          <w:sz w:val="24"/>
          <w:szCs w:val="24"/>
          <w:u w:val="single"/>
        </w:rPr>
        <w:t>:5</w:t>
      </w:r>
      <w:r>
        <w:rPr>
          <w:rFonts w:ascii="宋体" w:hAnsi="宋体" w:eastAsia="宋体" w:cs="宋体"/>
          <w:bCs/>
          <w:kern w:val="0"/>
          <w:sz w:val="24"/>
          <w:szCs w:val="24"/>
          <w:u w:val="single"/>
        </w:rPr>
        <w:t>9</w:t>
      </w:r>
      <w:r>
        <w:rPr>
          <w:rFonts w:hint="eastAsia" w:ascii="宋体" w:hAnsi="宋体" w:eastAsia="宋体" w:cs="宋体"/>
          <w:bCs/>
          <w:kern w:val="0"/>
          <w:sz w:val="24"/>
          <w:szCs w:val="24"/>
        </w:rPr>
        <w:t>（北京时间）</w:t>
      </w:r>
    </w:p>
    <w:p w14:paraId="085D3822">
      <w:pPr>
        <w:spacing w:line="360" w:lineRule="auto"/>
        <w:ind w:firstLine="482"/>
        <w:rPr>
          <w:rFonts w:ascii="宋体" w:hAnsi="宋体" w:eastAsia="宋体" w:cs="宋体"/>
          <w:bCs/>
          <w:kern w:val="0"/>
          <w:sz w:val="24"/>
          <w:szCs w:val="24"/>
        </w:rPr>
      </w:pPr>
      <w:r>
        <w:rPr>
          <w:rFonts w:hint="eastAsia" w:ascii="宋体" w:hAnsi="宋体" w:eastAsia="宋体" w:cs="宋体"/>
          <w:bCs/>
          <w:kern w:val="0"/>
          <w:sz w:val="24"/>
          <w:szCs w:val="24"/>
        </w:rPr>
        <w:t>地点：广西政府采购云平台（https://www.gcy.zfcg.gxzf.gov.cn/）</w:t>
      </w:r>
    </w:p>
    <w:p w14:paraId="196CAC9E">
      <w:pPr>
        <w:spacing w:line="360" w:lineRule="auto"/>
        <w:ind w:firstLine="480" w:firstLineChars="200"/>
        <w:rPr>
          <w:rFonts w:ascii="宋体" w:hAnsi="宋体" w:eastAsia="宋体" w:cs="宋体"/>
          <w:sz w:val="24"/>
          <w:szCs w:val="24"/>
        </w:rPr>
      </w:pPr>
      <w:r>
        <w:rPr>
          <w:rFonts w:hint="eastAsia" w:ascii="宋体" w:hAnsi="宋体" w:eastAsia="宋体" w:cs="宋体"/>
          <w:bCs/>
          <w:kern w:val="0"/>
          <w:sz w:val="24"/>
          <w:szCs w:val="24"/>
        </w:rPr>
        <w:t>方式：网上下载。供应商登录广西政府采购云平台在线申请获取采购文件（进入“项目采购”应用，在获取采购文件菜单中选择项目，申请获取采购文件）。</w:t>
      </w:r>
    </w:p>
    <w:p w14:paraId="5F78A4B7">
      <w:pPr>
        <w:snapToGrid w:val="0"/>
        <w:spacing w:line="360" w:lineRule="auto"/>
        <w:ind w:firstLine="540" w:firstLineChars="225"/>
        <w:rPr>
          <w:rFonts w:ascii="宋体" w:hAnsi="宋体" w:eastAsia="宋体" w:cs="宋体"/>
          <w:sz w:val="24"/>
          <w:szCs w:val="24"/>
        </w:rPr>
      </w:pPr>
      <w:r>
        <w:rPr>
          <w:rFonts w:hint="eastAsia" w:ascii="宋体" w:hAnsi="宋体" w:eastAsia="宋体" w:cs="宋体"/>
          <w:sz w:val="24"/>
          <w:szCs w:val="24"/>
        </w:rPr>
        <w:t>售价（元）：0元。</w:t>
      </w:r>
    </w:p>
    <w:p w14:paraId="73387FDC">
      <w:pPr>
        <w:spacing w:line="360" w:lineRule="auto"/>
        <w:ind w:firstLine="480"/>
        <w:rPr>
          <w:rFonts w:ascii="宋体" w:hAnsi="宋体" w:eastAsia="宋体" w:cs="宋体"/>
          <w:b/>
          <w:bCs/>
          <w:sz w:val="24"/>
          <w:szCs w:val="24"/>
        </w:rPr>
      </w:pPr>
      <w:r>
        <w:rPr>
          <w:rFonts w:hint="eastAsia" w:ascii="宋体" w:hAnsi="宋体" w:eastAsia="宋体" w:cs="宋体"/>
          <w:b/>
          <w:bCs/>
          <w:sz w:val="24"/>
          <w:szCs w:val="24"/>
        </w:rPr>
        <w:t>四、提交投标文件</w:t>
      </w:r>
      <w:bookmarkEnd w:id="25"/>
      <w:bookmarkEnd w:id="26"/>
      <w:r>
        <w:rPr>
          <w:rFonts w:hint="eastAsia" w:ascii="宋体" w:hAnsi="宋体" w:eastAsia="宋体" w:cs="宋体"/>
          <w:b/>
          <w:bCs/>
          <w:sz w:val="24"/>
          <w:szCs w:val="24"/>
        </w:rPr>
        <w:t>截止时间、开标时间和地点</w:t>
      </w:r>
      <w:bookmarkEnd w:id="27"/>
      <w:bookmarkEnd w:id="28"/>
    </w:p>
    <w:p w14:paraId="6091E48A">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提交投标文件截止时间：2025年  月  日9时30分（北京时间）</w:t>
      </w:r>
    </w:p>
    <w:p w14:paraId="5E3664A2">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投标地点：广西政府采购云平台（https://www.gcy.zfcg.gxzf.gov.cn/）</w:t>
      </w:r>
    </w:p>
    <w:p w14:paraId="000BD776">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开标时间：2025年  月  日9时30分</w:t>
      </w:r>
    </w:p>
    <w:p w14:paraId="4F28431D">
      <w:pPr>
        <w:spacing w:line="360" w:lineRule="auto"/>
        <w:ind w:firstLine="480" w:firstLineChars="200"/>
        <w:rPr>
          <w:rFonts w:ascii="宋体" w:hAnsi="宋体" w:eastAsia="宋体" w:cs="宋体"/>
          <w:sz w:val="24"/>
          <w:szCs w:val="24"/>
        </w:rPr>
      </w:pPr>
      <w:r>
        <w:rPr>
          <w:rFonts w:hint="eastAsia" w:ascii="宋体" w:hAnsi="宋体" w:eastAsia="宋体" w:cs="Times New Roman"/>
          <w:bCs/>
          <w:sz w:val="24"/>
          <w:szCs w:val="24"/>
        </w:rPr>
        <w:t>开标地点：广西政府采购云平台电子开标大厅开标。</w:t>
      </w:r>
    </w:p>
    <w:p w14:paraId="6CBD549E">
      <w:pPr>
        <w:spacing w:line="360" w:lineRule="auto"/>
        <w:ind w:firstLine="480"/>
        <w:rPr>
          <w:rFonts w:ascii="宋体" w:hAnsi="宋体" w:eastAsia="宋体" w:cs="宋体"/>
          <w:b/>
          <w:bCs/>
          <w:sz w:val="24"/>
          <w:szCs w:val="24"/>
        </w:rPr>
      </w:pPr>
      <w:bookmarkStart w:id="29" w:name="_Toc35393794"/>
      <w:bookmarkStart w:id="30" w:name="_Toc28359084"/>
      <w:bookmarkStart w:id="31" w:name="_Toc28359007"/>
      <w:bookmarkStart w:id="32" w:name="_Toc35393625"/>
      <w:r>
        <w:rPr>
          <w:rFonts w:hint="eastAsia" w:ascii="宋体" w:hAnsi="宋体" w:eastAsia="宋体" w:cs="宋体"/>
          <w:b/>
          <w:bCs/>
          <w:sz w:val="24"/>
          <w:szCs w:val="24"/>
        </w:rPr>
        <w:t>五、公告期限</w:t>
      </w:r>
      <w:bookmarkEnd w:id="29"/>
      <w:bookmarkEnd w:id="30"/>
      <w:bookmarkEnd w:id="31"/>
      <w:bookmarkEnd w:id="32"/>
    </w:p>
    <w:p w14:paraId="52B482DC">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自本公告发布之日起5个工作日。</w:t>
      </w:r>
    </w:p>
    <w:p w14:paraId="55A88FDE">
      <w:pPr>
        <w:spacing w:line="360" w:lineRule="auto"/>
        <w:ind w:firstLine="480"/>
        <w:rPr>
          <w:rFonts w:ascii="宋体" w:hAnsi="宋体" w:eastAsia="宋体" w:cs="宋体"/>
          <w:b/>
          <w:bCs/>
          <w:sz w:val="24"/>
          <w:szCs w:val="24"/>
        </w:rPr>
      </w:pPr>
      <w:bookmarkStart w:id="33" w:name="_Toc35393795"/>
      <w:bookmarkStart w:id="34" w:name="_Toc35393626"/>
      <w:r>
        <w:rPr>
          <w:rFonts w:hint="eastAsia" w:ascii="宋体" w:hAnsi="宋体" w:eastAsia="宋体" w:cs="宋体"/>
          <w:b/>
          <w:bCs/>
          <w:sz w:val="24"/>
          <w:szCs w:val="24"/>
        </w:rPr>
        <w:t>六、其他补充事宜</w:t>
      </w:r>
      <w:bookmarkEnd w:id="33"/>
      <w:bookmarkEnd w:id="34"/>
    </w:p>
    <w:p w14:paraId="7CF021FA">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本项目收取投标保证金，投标保证金金额：标项一为人民币贰万伍仟元整（¥25000.00）；标项二为人民币贰万玖仟元整（¥29000.00）；标项三为人民币壹万伍仟元整（¥15000.00）；标项四为人民币贰万陆仟元整（¥26000.00）。</w:t>
      </w:r>
    </w:p>
    <w:p w14:paraId="3C986921">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2.网上查询地址：http://www.ccgp.gov.cn（中国政府采购网）、http://zfcg.gxzf.gov.cn（广西壮族自治区政府采购网）、http://gxggzy.gxzf.gov.cn（广西壮族自治区公共资源交易中心）。</w:t>
      </w:r>
    </w:p>
    <w:p w14:paraId="06186692">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3.本项目需要落实的政府采购政策</w:t>
      </w:r>
    </w:p>
    <w:p w14:paraId="2E915DCF">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（1）政府采购促进中小企业发展。</w:t>
      </w:r>
    </w:p>
    <w:p w14:paraId="212E8465">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（2）政府采购支持采用本国产品的政策。</w:t>
      </w:r>
    </w:p>
    <w:p w14:paraId="4651BE88">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（3）强制采购节能产品；优先采购节能产品、环境标志产品。</w:t>
      </w:r>
    </w:p>
    <w:p w14:paraId="59D13B19">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（4）政府采购促进残疾人就业政策。</w:t>
      </w:r>
    </w:p>
    <w:p w14:paraId="1B497501">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（5）政府采购支持监狱企业发展。</w:t>
      </w:r>
    </w:p>
    <w:p w14:paraId="146D10DC">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D3B4F6C">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5.根据财政部《关于在政府采购活动中查询及使用信用记录有关问题的通知》（财库〔2016〕125号）的规定，对在“信用中国”网站（www.creditchina.gov.cn）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62CD3DF">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6.投标人投标注意事项</w:t>
      </w:r>
    </w:p>
    <w:p w14:paraId="1DAB238C">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本项目为全流程电子化采购项目，通过广西政府采购云平台（https://www.gcy.zfcg.gxzf.gov.cn/）实行在线电子投标，投标人应按照本项目招标文件和广西政府采购云平台的要求编制、加密后在投标截止时间前通过网络上传至广西政府采购云平台（加密的电子投标文件是指后缀名为“jmbs”的文件），投标人在广西政府采购云平台提交电子投标文件时，请填写参加远程开标活动经办人联系方式。投标人登录广西政府采购云平台，依次进入“服务中心-项目采购-操作流程-电子招投标-政府采购项目电子交易管理操作指南-供应商”查看电子投标具体操作流程。</w:t>
      </w:r>
    </w:p>
    <w:p w14:paraId="124E8D15">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p>
    <w:p w14:paraId="7D1E5B62">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（3）CA证书在线解密：投标人投标时，需凭制作投标文件时用来加密的有效数字证书（CA认证）登录广西政府采购云平台电子开标大厅现场按规定时间对加密的投标文件进行解密，否则后果自负。</w:t>
      </w:r>
    </w:p>
    <w:p w14:paraId="6C22E28F">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注：①为确保网上操作合法、有效和安全，请投标人确保在电子投标过程中能够对相关数据电文进行加密和使用电子签章，妥善保管CA数字证书并使用有效的CA数字证书参与整个招标活动。②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77C80D09">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（4）若对项目采购电子交易系统操作有疑问，可登录广西政府采购云平台（https://www.gcy.zfcg.gxzf.gov.cn/），点击右侧咨询小采，获取采小蜜智能服务管家帮助，或拨打政采云服务热线95763获取热线服务帮助。</w:t>
      </w:r>
    </w:p>
    <w:p w14:paraId="061A7973">
      <w:pPr>
        <w:spacing w:line="360" w:lineRule="auto"/>
        <w:ind w:firstLine="480"/>
        <w:rPr>
          <w:rFonts w:ascii="宋体" w:hAnsi="宋体" w:eastAsia="宋体" w:cs="宋体"/>
          <w:b/>
          <w:bCs/>
          <w:sz w:val="24"/>
          <w:szCs w:val="24"/>
        </w:rPr>
      </w:pPr>
      <w:bookmarkStart w:id="35" w:name="_Toc28359008"/>
      <w:bookmarkStart w:id="36" w:name="_Toc35393796"/>
      <w:bookmarkStart w:id="37" w:name="_Toc35393627"/>
      <w:bookmarkStart w:id="38" w:name="_Toc28359085"/>
      <w:r>
        <w:rPr>
          <w:rFonts w:hint="eastAsia" w:ascii="宋体" w:hAnsi="宋体" w:eastAsia="宋体" w:cs="宋体"/>
          <w:b/>
          <w:bCs/>
          <w:sz w:val="24"/>
          <w:szCs w:val="24"/>
        </w:rPr>
        <w:t>七、对本次招标提出询问，请按以下方式联系。</w:t>
      </w:r>
      <w:bookmarkEnd w:id="35"/>
      <w:bookmarkEnd w:id="36"/>
      <w:bookmarkEnd w:id="37"/>
      <w:bookmarkEnd w:id="38"/>
    </w:p>
    <w:p w14:paraId="4BCEF961">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1.采购人信息</w:t>
      </w:r>
    </w:p>
    <w:p w14:paraId="299EC6BB">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名 称：广西交通职业技术学院</w:t>
      </w:r>
    </w:p>
    <w:p w14:paraId="657A238F">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地址：南宁市兴宁区昆仑大道1258号</w:t>
      </w:r>
    </w:p>
    <w:p w14:paraId="623020E1">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项目联系人：韦老师</w:t>
      </w:r>
    </w:p>
    <w:p w14:paraId="0457F074">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项目联系方式：0771-5650225</w:t>
      </w:r>
    </w:p>
    <w:p w14:paraId="7F9AB589">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2.采购代理机构信息</w:t>
      </w:r>
    </w:p>
    <w:p w14:paraId="1EE973A0">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名 称：国信国际工程咨询集团股份有限公司</w:t>
      </w:r>
    </w:p>
    <w:p w14:paraId="203690A8">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地   址：北京市海淀区首体南路22号国兴大厦10层</w:t>
      </w:r>
    </w:p>
    <w:p w14:paraId="4699E2F0">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执行机构：国信国际工程咨询集团股份有限公司广西分公司</w:t>
      </w:r>
    </w:p>
    <w:p w14:paraId="16D17C38">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广西分公司地址：南宁市中柬路8号龙光世纪2号楼1716室</w:t>
      </w:r>
    </w:p>
    <w:p w14:paraId="47BA7D40">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项目联系人：康晗</w:t>
      </w:r>
    </w:p>
    <w:p w14:paraId="7EA30F76">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项目联系方式：0771-5514661</w:t>
      </w:r>
    </w:p>
    <w:p w14:paraId="02F14B75">
      <w:pPr>
        <w:spacing w:line="360" w:lineRule="auto"/>
        <w:jc w:val="left"/>
        <w:rPr>
          <w:rFonts w:ascii="宋体" w:hAnsi="宋体" w:eastAsia="宋体" w:cs="宋体"/>
          <w:szCs w:val="21"/>
        </w:rPr>
      </w:pPr>
    </w:p>
    <w:p w14:paraId="20F1BCFD">
      <w:pPr>
        <w:tabs>
          <w:tab w:val="left" w:pos="0"/>
          <w:tab w:val="left" w:pos="3165"/>
          <w:tab w:val="center" w:pos="4153"/>
        </w:tabs>
        <w:autoSpaceDE w:val="0"/>
        <w:autoSpaceDN w:val="0"/>
        <w:adjustRightInd w:val="0"/>
        <w:spacing w:line="360" w:lineRule="auto"/>
        <w:ind w:firstLine="880"/>
        <w:jc w:val="center"/>
        <w:outlineLvl w:val="0"/>
        <w:rPr>
          <w:rFonts w:ascii="宋体" w:hAnsi="宋体" w:eastAsia="宋体" w:cs="仿宋_GB2312"/>
          <w:b/>
          <w:bCs/>
          <w:kern w:val="44"/>
          <w:sz w:val="44"/>
          <w:szCs w:val="44"/>
        </w:rPr>
      </w:pPr>
      <w:r>
        <w:rPr>
          <w:rFonts w:hint="eastAsia" w:ascii="宋体" w:hAnsi="宋体" w:eastAsia="宋体" w:cs="宋体"/>
          <w:b/>
          <w:bCs/>
          <w:kern w:val="44"/>
          <w:sz w:val="44"/>
          <w:szCs w:val="21"/>
        </w:rPr>
        <w:br w:type="page"/>
      </w:r>
      <w:bookmarkStart w:id="39" w:name="_Toc207203147"/>
      <w:bookmarkStart w:id="40" w:name="_Toc28054"/>
      <w:bookmarkStart w:id="41" w:name="_Toc22940"/>
      <w:bookmarkStart w:id="42" w:name="_Toc29892"/>
      <w:r>
        <w:rPr>
          <w:rFonts w:hint="eastAsia" w:ascii="宋体" w:hAnsi="宋体" w:eastAsia="宋体" w:cs="仿宋_GB2312"/>
          <w:b/>
          <w:bCs/>
          <w:kern w:val="44"/>
          <w:sz w:val="44"/>
          <w:szCs w:val="44"/>
        </w:rPr>
        <w:t>第二章  采购需求</w:t>
      </w:r>
      <w:bookmarkEnd w:id="39"/>
      <w:bookmarkEnd w:id="40"/>
      <w:bookmarkEnd w:id="41"/>
      <w:bookmarkEnd w:id="42"/>
    </w:p>
    <w:p w14:paraId="22C58F48">
      <w:pPr>
        <w:ind w:firstLine="482"/>
        <w:jc w:val="left"/>
        <w:rPr>
          <w:rFonts w:ascii="宋体" w:hAnsi="宋体" w:eastAsia="宋体" w:cs="宋体"/>
          <w:bCs/>
          <w:sz w:val="24"/>
          <w:szCs w:val="24"/>
        </w:rPr>
      </w:pPr>
      <w:r>
        <w:rPr>
          <w:rFonts w:hint="eastAsia" w:ascii="宋体" w:hAnsi="宋体" w:eastAsia="宋体" w:cs="宋体"/>
          <w:bCs/>
          <w:sz w:val="24"/>
          <w:szCs w:val="24"/>
        </w:rPr>
        <w:t>说明：</w:t>
      </w:r>
    </w:p>
    <w:p w14:paraId="03D9F38B">
      <w:pPr>
        <w:spacing w:line="360" w:lineRule="auto"/>
        <w:ind w:left="-10" w:leftChars="-5" w:right="2" w:rightChars="1"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采购需求中如出现品牌、型号或者生产厂家等均仅起参考作用，不属于指定品牌、型号或者生产厂家的情形，投标人可参照或者选用其他相当的品牌、型号或者生产供应商替代。但投标人的产品实质上应相当于或优于本</w:t>
      </w:r>
      <w:r>
        <w:rPr>
          <w:rFonts w:hint="eastAsia" w:ascii="Times New Roman" w:hAnsi="Times New Roman" w:eastAsia="宋体" w:cs="Times New Roman"/>
          <w:bCs/>
          <w:sz w:val="24"/>
          <w:szCs w:val="24"/>
        </w:rPr>
        <w:t>《采购</w:t>
      </w:r>
      <w:r>
        <w:rPr>
          <w:rFonts w:ascii="Times New Roman" w:hAnsi="Times New Roman" w:eastAsia="宋体" w:cs="Times New Roman"/>
          <w:bCs/>
          <w:sz w:val="24"/>
          <w:szCs w:val="24"/>
        </w:rPr>
        <w:t>需求</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中的技术要求。</w:t>
      </w:r>
    </w:p>
    <w:p w14:paraId="436EBC00">
      <w:pPr>
        <w:spacing w:line="360" w:lineRule="auto"/>
        <w:ind w:left="-10" w:leftChars="-5" w:right="2" w:rightChars="1"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凡在“技术要求”中表述为“标配”或“标准配置”的设备，投标人应在投标设备性能配置清单中将其标配参数详细列明。</w:t>
      </w:r>
    </w:p>
    <w:p w14:paraId="003EA2B8">
      <w:pPr>
        <w:spacing w:line="360" w:lineRule="auto"/>
        <w:ind w:left="-10" w:leftChars="-5" w:right="2" w:rightChars="1"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根据《财政部发展改革委生态环境部市场监管总局关于调整优化节能产品、环境标志产品政府采购执行机制的通知》（财库〔2019〕9号）和《关于印发节能产品政府采购品目清单的通知》（财库〔2019〕19 号）的规定，采购需求中的产品属于节能产品政府采购品目清单内标注“</w:t>
      </w:r>
      <w:r>
        <w:rPr>
          <w:rFonts w:hint="eastAsia" w:ascii="Segoe UI Symbol" w:hAnsi="Segoe UI Symbol" w:eastAsia="宋体" w:cs="Segoe UI Symbol"/>
          <w:bCs/>
          <w:sz w:val="24"/>
          <w:szCs w:val="24"/>
        </w:rPr>
        <w:t>★</w:t>
      </w:r>
      <w:r>
        <w:rPr>
          <w:rFonts w:ascii="Times New Roman" w:hAnsi="Times New Roman" w:eastAsia="宋体" w:cs="Times New Roman"/>
          <w:bCs/>
          <w:sz w:val="24"/>
          <w:szCs w:val="24"/>
        </w:rPr>
        <w:t>”的（详见本章后附的节能产品政府采购品目清单），投标人的投标货物必须使用政府强制采购的节能产品，</w:t>
      </w:r>
      <w:r>
        <w:rPr>
          <w:rFonts w:hint="eastAsia" w:ascii="Times New Roman" w:hAnsi="Times New Roman" w:eastAsia="宋体" w:cs="Times New Roman"/>
          <w:b/>
          <w:sz w:val="24"/>
          <w:szCs w:val="24"/>
        </w:rPr>
        <w:t>投标人必须在投标文件（商务及技术文件）中提供所投标产品的节能产品认证证书复印件（加盖投标人电子签章），否则按无效投标处理。</w:t>
      </w:r>
    </w:p>
    <w:p w14:paraId="7AB20F93">
      <w:pPr>
        <w:spacing w:line="360" w:lineRule="auto"/>
        <w:ind w:left="-10" w:leftChars="-5" w:right="2" w:rightChars="1"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4</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如投标人投标产品存在侵犯他人的知识产权或者专利成果行为的，由投标人自行承担相应法律责任。</w:t>
      </w:r>
    </w:p>
    <w:p w14:paraId="4D20A820">
      <w:pPr>
        <w:spacing w:line="360" w:lineRule="auto"/>
        <w:ind w:left="-10" w:leftChars="-5" w:right="2" w:rightChars="1" w:firstLine="480" w:firstLineChars="200"/>
        <w:rPr>
          <w:rFonts w:ascii="Times New Roman" w:hAnsi="Times New Roman" w:eastAsia="宋体" w:cs="Times New Roman"/>
          <w:bCs/>
          <w:sz w:val="24"/>
          <w:szCs w:val="24"/>
          <w:u w:val="single"/>
        </w:rPr>
      </w:pPr>
      <w:r>
        <w:rPr>
          <w:rFonts w:ascii="Times New Roman" w:hAnsi="Times New Roman" w:eastAsia="宋体" w:cs="Times New Roman"/>
          <w:bCs/>
          <w:sz w:val="24"/>
          <w:szCs w:val="24"/>
        </w:rPr>
        <w:t>5</w:t>
      </w:r>
      <w:r>
        <w:rPr>
          <w:rFonts w:hint="eastAsia" w:ascii="Times New Roman" w:hAnsi="Times New Roman" w:eastAsia="宋体" w:cs="Times New Roman"/>
          <w:bCs/>
          <w:sz w:val="24"/>
          <w:szCs w:val="24"/>
        </w:rPr>
        <w:t>．“实质性要求”是指采购需求中带“▲”的条款或者不能负偏离的条款或者已经指明不满足按响应文件作无效处理的条款。</w:t>
      </w:r>
    </w:p>
    <w:p w14:paraId="757F1A4F">
      <w:pPr>
        <w:spacing w:line="360" w:lineRule="auto"/>
        <w:ind w:left="-10" w:leftChars="-5" w:right="2" w:rightChars="1"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采购预算：详见采购公告</w:t>
      </w:r>
    </w:p>
    <w:p w14:paraId="0983F982">
      <w:pPr>
        <w:spacing w:line="360" w:lineRule="auto"/>
        <w:ind w:firstLine="480" w:firstLineChars="200"/>
        <w:rPr>
          <w:rFonts w:ascii="宋体" w:hAnsi="宋体" w:eastAsia="宋体" w:cs="仿宋_GB2312"/>
          <w:szCs w:val="24"/>
        </w:rPr>
      </w:pPr>
      <w:r>
        <w:rPr>
          <w:rFonts w:ascii="Times New Roman" w:hAnsi="Times New Roman" w:eastAsia="宋体" w:cs="Times New Roman"/>
          <w:bCs/>
          <w:sz w:val="24"/>
          <w:szCs w:val="24"/>
        </w:rPr>
        <w:t>项目所属行业：工业</w:t>
      </w:r>
      <w:r>
        <w:rPr>
          <w:rFonts w:hint="eastAsia" w:ascii="Times New Roman" w:hAnsi="Times New Roman" w:eastAsia="宋体" w:cs="Times New Roman"/>
          <w:bCs/>
          <w:sz w:val="24"/>
          <w:szCs w:val="24"/>
        </w:rPr>
        <w:t>。</w:t>
      </w:r>
    </w:p>
    <w:p w14:paraId="11FE9641">
      <w:pPr>
        <w:spacing w:line="360" w:lineRule="auto"/>
        <w:ind w:firstLine="424" w:firstLineChars="202"/>
        <w:jc w:val="left"/>
        <w:rPr>
          <w:rFonts w:ascii="宋体" w:hAnsi="宋体" w:eastAsia="宋体" w:cs="仿宋_GB2312"/>
          <w:szCs w:val="24"/>
        </w:rPr>
      </w:pPr>
    </w:p>
    <w:p w14:paraId="610537A9">
      <w:pPr>
        <w:spacing w:line="360" w:lineRule="auto"/>
        <w:ind w:firstLine="422" w:firstLineChars="200"/>
        <w:jc w:val="left"/>
        <w:outlineLvl w:val="2"/>
        <w:rPr>
          <w:rFonts w:ascii="宋体" w:hAnsi="宋体" w:eastAsia="宋体" w:cs="仿宋_GB2312"/>
          <w:b/>
          <w:sz w:val="28"/>
          <w:szCs w:val="28"/>
        </w:rPr>
      </w:pPr>
      <w:r>
        <w:rPr>
          <w:rFonts w:hint="eastAsia" w:ascii="宋体" w:hAnsi="宋体" w:eastAsia="宋体" w:cs="仿宋_GB2312"/>
          <w:b/>
          <w:szCs w:val="21"/>
        </w:rPr>
        <w:br w:type="page"/>
      </w:r>
      <w:bookmarkStart w:id="43" w:name="_Toc30857"/>
      <w:r>
        <w:rPr>
          <w:rFonts w:hint="eastAsia" w:ascii="宋体" w:hAnsi="宋体" w:eastAsia="宋体" w:cs="仿宋_GB2312"/>
          <w:b/>
          <w:sz w:val="28"/>
          <w:szCs w:val="28"/>
        </w:rPr>
        <w:t>一、标项一（1分标：基于虚实结合的“泵-管网 ”综合实验实训设备）</w:t>
      </w:r>
      <w:bookmarkEnd w:id="43"/>
    </w:p>
    <w:p w14:paraId="17929A58">
      <w:pPr>
        <w:ind w:firstLine="482" w:firstLineChars="200"/>
        <w:outlineLvl w:val="2"/>
        <w:rPr>
          <w:rFonts w:ascii="宋体" w:hAnsi="宋体" w:eastAsia="宋体" w:cs="Times New Roman"/>
          <w:szCs w:val="24"/>
        </w:rPr>
      </w:pPr>
      <w:bookmarkStart w:id="44" w:name="_Toc696"/>
      <w:r>
        <w:rPr>
          <w:rFonts w:hint="eastAsia" w:ascii="宋体" w:hAnsi="宋体" w:eastAsia="宋体" w:cs="仿宋_GB2312"/>
          <w:b/>
          <w:sz w:val="24"/>
          <w:szCs w:val="24"/>
        </w:rPr>
        <w:t>（一）技术要求</w:t>
      </w:r>
      <w:bookmarkEnd w:id="44"/>
    </w:p>
    <w:tbl>
      <w:tblPr>
        <w:tblStyle w:val="53"/>
        <w:tblW w:w="10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118"/>
        <w:gridCol w:w="5250"/>
        <w:gridCol w:w="429"/>
        <w:gridCol w:w="615"/>
        <w:gridCol w:w="1482"/>
        <w:gridCol w:w="1156"/>
      </w:tblGrid>
      <w:tr w14:paraId="1A65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34" w:type="dxa"/>
            <w:noWrap/>
            <w:vAlign w:val="center"/>
          </w:tcPr>
          <w:p w14:paraId="3A0064B9">
            <w:pPr>
              <w:widowControl/>
              <w:ind w:firstLine="0"/>
              <w:rPr>
                <w:rFonts w:ascii="宋体" w:hAnsi="宋体" w:eastAsia="宋体" w:cs="Times New Roman"/>
                <w:kern w:val="0"/>
                <w:sz w:val="22"/>
              </w:rPr>
            </w:pPr>
            <w:bookmarkStart w:id="45" w:name="_Toc20405"/>
            <w:r>
              <w:rPr>
                <w:rFonts w:hint="eastAsia" w:ascii="宋体" w:hAnsi="宋体" w:eastAsia="宋体" w:cs="宋体"/>
                <w:kern w:val="0"/>
                <w:sz w:val="22"/>
              </w:rPr>
              <w:t>序号</w:t>
            </w:r>
          </w:p>
        </w:tc>
        <w:tc>
          <w:tcPr>
            <w:tcW w:w="1118" w:type="dxa"/>
            <w:vAlign w:val="center"/>
          </w:tcPr>
          <w:p w14:paraId="74ADA783">
            <w:pPr>
              <w:widowControl/>
              <w:ind w:firstLine="0"/>
              <w:rPr>
                <w:rFonts w:ascii="宋体" w:hAnsi="宋体" w:eastAsia="宋体" w:cs="Times New Roman"/>
                <w:kern w:val="0"/>
                <w:sz w:val="22"/>
              </w:rPr>
            </w:pPr>
            <w:r>
              <w:rPr>
                <w:rFonts w:hint="eastAsia" w:ascii="宋体" w:hAnsi="宋体" w:eastAsia="宋体" w:cs="宋体"/>
                <w:kern w:val="0"/>
                <w:sz w:val="22"/>
              </w:rPr>
              <w:t>标的名称</w:t>
            </w:r>
          </w:p>
        </w:tc>
        <w:tc>
          <w:tcPr>
            <w:tcW w:w="5250" w:type="dxa"/>
            <w:noWrap/>
            <w:vAlign w:val="center"/>
          </w:tcPr>
          <w:p w14:paraId="0D4BEC5E">
            <w:pPr>
              <w:widowControl/>
              <w:ind w:firstLine="0"/>
              <w:jc w:val="center"/>
              <w:rPr>
                <w:rFonts w:ascii="宋体" w:hAnsi="宋体" w:eastAsia="宋体" w:cs="Times New Roman"/>
                <w:kern w:val="0"/>
                <w:sz w:val="22"/>
              </w:rPr>
            </w:pPr>
            <w:r>
              <w:rPr>
                <w:rFonts w:hint="eastAsia" w:ascii="宋体" w:hAnsi="宋体" w:eastAsia="宋体" w:cs="宋体"/>
                <w:kern w:val="0"/>
                <w:sz w:val="22"/>
              </w:rPr>
              <w:t>技术参数及性能（配置）要求</w:t>
            </w:r>
          </w:p>
        </w:tc>
        <w:tc>
          <w:tcPr>
            <w:tcW w:w="429" w:type="dxa"/>
            <w:noWrap/>
            <w:vAlign w:val="center"/>
          </w:tcPr>
          <w:p w14:paraId="32C616ED">
            <w:pPr>
              <w:widowControl/>
              <w:ind w:firstLine="0"/>
              <w:jc w:val="center"/>
              <w:rPr>
                <w:rFonts w:ascii="宋体" w:hAnsi="宋体" w:eastAsia="宋体" w:cs="Times New Roman"/>
                <w:kern w:val="0"/>
                <w:sz w:val="22"/>
              </w:rPr>
            </w:pPr>
            <w:r>
              <w:rPr>
                <w:rFonts w:hint="eastAsia" w:ascii="宋体" w:hAnsi="宋体" w:eastAsia="宋体" w:cs="宋体"/>
                <w:kern w:val="0"/>
                <w:sz w:val="22"/>
              </w:rPr>
              <w:t>数量</w:t>
            </w:r>
          </w:p>
        </w:tc>
        <w:tc>
          <w:tcPr>
            <w:tcW w:w="615" w:type="dxa"/>
            <w:noWrap/>
            <w:vAlign w:val="center"/>
          </w:tcPr>
          <w:p w14:paraId="391D26AB">
            <w:pPr>
              <w:widowControl/>
              <w:ind w:firstLine="0"/>
              <w:rPr>
                <w:rFonts w:ascii="宋体" w:hAnsi="宋体" w:eastAsia="宋体" w:cs="Times New Roman"/>
                <w:kern w:val="0"/>
                <w:sz w:val="22"/>
              </w:rPr>
            </w:pPr>
            <w:r>
              <w:rPr>
                <w:rFonts w:hint="eastAsia" w:ascii="宋体" w:hAnsi="宋体" w:eastAsia="宋体" w:cs="宋体"/>
                <w:kern w:val="0"/>
                <w:sz w:val="22"/>
              </w:rPr>
              <w:t>单位</w:t>
            </w:r>
          </w:p>
        </w:tc>
        <w:tc>
          <w:tcPr>
            <w:tcW w:w="1482" w:type="dxa"/>
            <w:vAlign w:val="center"/>
          </w:tcPr>
          <w:p w14:paraId="6109042B">
            <w:pPr>
              <w:widowControl/>
              <w:ind w:firstLine="0"/>
              <w:rPr>
                <w:rFonts w:ascii="宋体" w:hAnsi="宋体" w:eastAsia="宋体" w:cs="Times New Roman"/>
                <w:kern w:val="0"/>
                <w:sz w:val="22"/>
              </w:rPr>
            </w:pPr>
            <w:r>
              <w:rPr>
                <w:rFonts w:hint="eastAsia" w:ascii="宋体" w:hAnsi="宋体" w:eastAsia="宋体" w:cs="宋体"/>
                <w:kern w:val="0"/>
                <w:sz w:val="22"/>
              </w:rPr>
              <w:t>预算单价金额（元）</w:t>
            </w:r>
          </w:p>
        </w:tc>
        <w:tc>
          <w:tcPr>
            <w:tcW w:w="1156" w:type="dxa"/>
            <w:vAlign w:val="center"/>
          </w:tcPr>
          <w:p w14:paraId="46913283">
            <w:pPr>
              <w:widowControl/>
              <w:ind w:firstLine="0"/>
              <w:jc w:val="center"/>
              <w:rPr>
                <w:rFonts w:ascii="宋体" w:hAnsi="宋体" w:eastAsia="宋体" w:cs="Times New Roman"/>
                <w:kern w:val="0"/>
                <w:sz w:val="22"/>
              </w:rPr>
            </w:pPr>
            <w:r>
              <w:rPr>
                <w:rFonts w:hint="eastAsia" w:ascii="宋体" w:hAnsi="宋体" w:eastAsia="宋体" w:cs="宋体"/>
                <w:kern w:val="0"/>
                <w:sz w:val="22"/>
              </w:rPr>
              <w:t>预算金额合计（元）</w:t>
            </w:r>
          </w:p>
        </w:tc>
      </w:tr>
      <w:tr w14:paraId="5693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34" w:type="dxa"/>
            <w:noWrap/>
            <w:vAlign w:val="center"/>
          </w:tcPr>
          <w:p w14:paraId="363BA059">
            <w:pPr>
              <w:widowControl/>
              <w:ind w:firstLine="0"/>
              <w:jc w:val="center"/>
              <w:rPr>
                <w:rFonts w:ascii="宋体" w:hAnsi="宋体" w:eastAsia="宋体" w:cs="Times New Roman"/>
                <w:kern w:val="0"/>
                <w:sz w:val="22"/>
              </w:rPr>
            </w:pPr>
            <w:bookmarkStart w:id="46" w:name="_Hlk162000324"/>
            <w:r>
              <w:rPr>
                <w:rFonts w:hint="eastAsia" w:ascii="宋体" w:hAnsi="宋体" w:eastAsia="宋体" w:cs="宋体"/>
                <w:kern w:val="0"/>
                <w:sz w:val="22"/>
              </w:rPr>
              <w:t>1</w:t>
            </w:r>
          </w:p>
        </w:tc>
        <w:tc>
          <w:tcPr>
            <w:tcW w:w="1118" w:type="dxa"/>
            <w:noWrap/>
            <w:vAlign w:val="center"/>
          </w:tcPr>
          <w:p w14:paraId="365440B3">
            <w:pPr>
              <w:jc w:val="center"/>
              <w:rPr>
                <w:rFonts w:ascii="宋体" w:hAnsi="宋体" w:eastAsia="宋体" w:cs="Times New Roman"/>
                <w:kern w:val="0"/>
                <w:sz w:val="22"/>
              </w:rPr>
            </w:pPr>
            <w:r>
              <w:rPr>
                <w:rFonts w:hint="eastAsia" w:ascii="宋体" w:hAnsi="宋体" w:eastAsia="宋体" w:cs="等线"/>
                <w:szCs w:val="21"/>
              </w:rPr>
              <w:t>基于虚实结合的“泵-管网 ”综合实验实训设备</w:t>
            </w:r>
          </w:p>
        </w:tc>
        <w:tc>
          <w:tcPr>
            <w:tcW w:w="5250" w:type="dxa"/>
            <w:noWrap/>
          </w:tcPr>
          <w:p w14:paraId="363F0C50">
            <w:pPr>
              <w:ind w:firstLine="0"/>
              <w:rPr>
                <w:rFonts w:ascii="宋体" w:hAnsi="宋体" w:eastAsia="宋体" w:cs="等线"/>
                <w:szCs w:val="21"/>
              </w:rPr>
            </w:pPr>
            <w:r>
              <w:rPr>
                <w:rFonts w:hint="eastAsia" w:ascii="宋体" w:hAnsi="宋体" w:eastAsia="宋体" w:cs="等线"/>
                <w:b/>
                <w:bCs/>
                <w:szCs w:val="21"/>
              </w:rPr>
              <w:t>平台配套设备及软件组成：</w:t>
            </w:r>
          </w:p>
          <w:p w14:paraId="3564F022">
            <w:pPr>
              <w:ind w:firstLine="0" w:firstLineChars="0"/>
              <w:rPr>
                <w:rFonts w:ascii="宋体" w:hAnsi="宋体" w:eastAsia="宋体" w:cs="等线"/>
                <w:szCs w:val="21"/>
              </w:rPr>
            </w:pPr>
            <w:r>
              <w:rPr>
                <w:rFonts w:hint="eastAsia" w:ascii="宋体" w:hAnsi="宋体" w:eastAsia="宋体" w:cs="等线"/>
                <w:szCs w:val="21"/>
              </w:rPr>
              <w:t>虚实结合的给水管网综合实验实训平台包括主体部分和配套设备及软件部分，主要包含：</w:t>
            </w:r>
            <w:r>
              <w:rPr>
                <w:rFonts w:hint="eastAsia" w:ascii="宋体" w:hAnsi="宋体" w:eastAsia="宋体" w:cs="等线"/>
                <w:b/>
                <w:bCs/>
                <w:szCs w:val="21"/>
              </w:rPr>
              <w:t>软硬件结合：</w:t>
            </w:r>
            <w:r>
              <w:rPr>
                <w:rFonts w:hint="eastAsia" w:ascii="宋体" w:hAnsi="宋体" w:eastAsia="宋体" w:cs="等线"/>
                <w:szCs w:val="21"/>
              </w:rPr>
              <w:t>1.虚实结合的给水管网综合实训设备1台及仿真软件70节点；</w:t>
            </w:r>
            <w:r>
              <w:rPr>
                <w:rFonts w:hint="eastAsia" w:ascii="宋体" w:hAnsi="宋体" w:eastAsia="宋体" w:cs="等线"/>
                <w:b/>
                <w:bCs/>
                <w:szCs w:val="21"/>
              </w:rPr>
              <w:t>软件部分：</w:t>
            </w:r>
            <w:r>
              <w:rPr>
                <w:rFonts w:hint="eastAsia" w:ascii="宋体" w:hAnsi="宋体" w:eastAsia="宋体" w:cs="等线"/>
                <w:szCs w:val="21"/>
              </w:rPr>
              <w:t>2.管道非开挖修复虚拟仿真软件1套70节点；3.市政管网巡查养护虚拟仿真软件1套70节点；4.市政管道数字化施工虚拟仿真软件1套70节点；5.泵与泵站三维虚拟仿真软件1套70节点；6.水污染与水处理虚拟仿真软件1套70节点；</w:t>
            </w:r>
            <w:r>
              <w:rPr>
                <w:rFonts w:hint="eastAsia" w:ascii="宋体" w:hAnsi="宋体" w:eastAsia="宋体" w:cs="等线"/>
                <w:b/>
                <w:bCs/>
                <w:szCs w:val="21"/>
              </w:rPr>
              <w:t>硬件部分：</w:t>
            </w:r>
            <w:r>
              <w:rPr>
                <w:rFonts w:hint="eastAsia" w:ascii="宋体" w:hAnsi="宋体" w:eastAsia="宋体" w:cs="等线"/>
                <w:szCs w:val="21"/>
              </w:rPr>
              <w:t>7.管道全地形检测平台模块2个；8.管道检测（CCTV）模块2个、管道无线潜望模块2个、管网经纬度定位（RTK）模块2个；9.探地雷达波模块1套。</w:t>
            </w:r>
          </w:p>
          <w:p w14:paraId="29F0770B">
            <w:pPr>
              <w:ind w:firstLine="0"/>
              <w:rPr>
                <w:rFonts w:ascii="宋体" w:hAnsi="宋体" w:eastAsia="宋体" w:cs="等线"/>
                <w:szCs w:val="21"/>
              </w:rPr>
            </w:pPr>
            <w:r>
              <w:rPr>
                <w:rFonts w:hint="eastAsia" w:ascii="宋体" w:hAnsi="宋体" w:eastAsia="宋体" w:cs="等线"/>
                <w:b/>
                <w:bCs/>
                <w:szCs w:val="21"/>
              </w:rPr>
              <w:t>具体参数要求：</w:t>
            </w:r>
          </w:p>
          <w:p w14:paraId="2C3AAD94">
            <w:pPr>
              <w:numPr>
                <w:ilvl w:val="0"/>
                <w:numId w:val="1"/>
              </w:numPr>
              <w:ind w:firstLine="0"/>
              <w:rPr>
                <w:rFonts w:ascii="宋体" w:hAnsi="宋体" w:eastAsia="宋体" w:cs="等线"/>
                <w:b/>
                <w:bCs/>
                <w:szCs w:val="21"/>
              </w:rPr>
            </w:pPr>
            <w:r>
              <w:rPr>
                <w:rFonts w:hint="eastAsia" w:ascii="宋体" w:hAnsi="宋体" w:eastAsia="宋体" w:cs="等线"/>
                <w:b/>
                <w:bCs/>
                <w:szCs w:val="21"/>
              </w:rPr>
              <w:t>虚实结合的给水管网综合实训设备及仿真软件</w:t>
            </w:r>
          </w:p>
          <w:p w14:paraId="4B992504">
            <w:pPr>
              <w:numPr>
                <w:ilvl w:val="0"/>
                <w:numId w:val="2"/>
              </w:numPr>
              <w:ind w:firstLine="0"/>
              <w:rPr>
                <w:rFonts w:ascii="宋体" w:hAnsi="宋体" w:eastAsia="宋体" w:cs="等线"/>
                <w:b/>
                <w:bCs/>
                <w:szCs w:val="21"/>
              </w:rPr>
            </w:pPr>
            <w:r>
              <w:rPr>
                <w:rFonts w:hint="eastAsia" w:ascii="宋体" w:hAnsi="宋体" w:eastAsia="宋体" w:cs="等线"/>
                <w:b/>
                <w:bCs/>
                <w:szCs w:val="21"/>
              </w:rPr>
              <w:t>综合实训总体要求</w:t>
            </w:r>
          </w:p>
          <w:p w14:paraId="18DF89CC">
            <w:pPr>
              <w:ind w:firstLine="0" w:firstLineChars="0"/>
              <w:rPr>
                <w:rFonts w:ascii="宋体" w:hAnsi="宋体" w:eastAsia="宋体" w:cs="等线"/>
                <w:szCs w:val="21"/>
              </w:rPr>
            </w:pPr>
            <w:r>
              <w:rPr>
                <w:rFonts w:hint="eastAsia" w:ascii="宋体" w:hAnsi="宋体" w:eastAsia="宋体" w:cs="等线"/>
                <w:szCs w:val="21"/>
              </w:rPr>
              <w:t>通过高度仿真的双环立体管网设备与智能仿真实训软件，全面训练学生对给水系统的理解、设计分析、运行管理及数据分析能力，具备可视化、可调控、可测试、可扩展等特性。</w:t>
            </w:r>
          </w:p>
          <w:p w14:paraId="076D330F">
            <w:pPr>
              <w:numPr>
                <w:ilvl w:val="0"/>
                <w:numId w:val="3"/>
              </w:numPr>
              <w:ind w:firstLine="0"/>
              <w:rPr>
                <w:rFonts w:ascii="宋体" w:hAnsi="宋体" w:eastAsia="宋体" w:cs="等线"/>
                <w:b/>
                <w:bCs/>
                <w:szCs w:val="21"/>
              </w:rPr>
            </w:pPr>
            <w:r>
              <w:rPr>
                <w:rFonts w:hint="eastAsia" w:ascii="宋体" w:hAnsi="宋体" w:eastAsia="宋体" w:cs="等线"/>
                <w:b/>
                <w:bCs/>
                <w:szCs w:val="21"/>
              </w:rPr>
              <w:t>系统组成</w:t>
            </w:r>
          </w:p>
          <w:p w14:paraId="312FB0B4">
            <w:pPr>
              <w:rPr>
                <w:rFonts w:ascii="宋体" w:hAnsi="宋体" w:eastAsia="宋体" w:cs="等线"/>
                <w:szCs w:val="21"/>
              </w:rPr>
            </w:pPr>
            <w:r>
              <w:rPr>
                <w:rFonts w:hint="eastAsia" w:ascii="宋体" w:hAnsi="宋体" w:eastAsia="宋体" w:cs="等线"/>
                <w:szCs w:val="21"/>
              </w:rPr>
              <w:t>1.1▲硬件实训设备：由双环9段8节点管网和数据采集、控制系统组成，管网内压力、流量、水位能实施采集、上传，所有执行结构（阀、泵）具备本地控制、远程控制功能。</w:t>
            </w:r>
          </w:p>
          <w:p w14:paraId="7152D767">
            <w:pPr>
              <w:rPr>
                <w:rFonts w:ascii="宋体" w:hAnsi="宋体" w:eastAsia="宋体" w:cs="等线"/>
                <w:szCs w:val="21"/>
              </w:rPr>
            </w:pPr>
            <w:r>
              <w:rPr>
                <w:rFonts w:hint="eastAsia" w:ascii="宋体" w:hAnsi="宋体" w:eastAsia="宋体" w:cs="等线"/>
                <w:szCs w:val="21"/>
              </w:rPr>
              <w:t>1.2▲仿真实训软件：由设备孪生模块和实训模块组成，孪生模块1:1还原真实设备几何模型、机理模型，具备虚实结合、半实物仿真功能；实训模块用于教学，包括学科认知、设备操控、知识考核功能。</w:t>
            </w:r>
          </w:p>
          <w:p w14:paraId="6611181F">
            <w:pPr>
              <w:numPr>
                <w:ilvl w:val="0"/>
                <w:numId w:val="3"/>
              </w:numPr>
              <w:ind w:firstLine="0"/>
              <w:rPr>
                <w:rFonts w:ascii="宋体" w:hAnsi="宋体" w:eastAsia="宋体" w:cs="等线"/>
                <w:b/>
                <w:bCs/>
                <w:szCs w:val="21"/>
              </w:rPr>
            </w:pPr>
            <w:r>
              <w:rPr>
                <w:rFonts w:hint="eastAsia" w:ascii="宋体" w:hAnsi="宋体" w:eastAsia="宋体" w:cs="等线"/>
                <w:szCs w:val="21"/>
              </w:rPr>
              <w:t>▲</w:t>
            </w:r>
            <w:r>
              <w:rPr>
                <w:rFonts w:hint="eastAsia" w:ascii="宋体" w:hAnsi="宋体" w:eastAsia="宋体" w:cs="等线"/>
                <w:b/>
                <w:bCs/>
                <w:szCs w:val="21"/>
              </w:rPr>
              <w:t>数据采集</w:t>
            </w:r>
          </w:p>
          <w:p w14:paraId="33F4EA67">
            <w:pPr>
              <w:rPr>
                <w:rFonts w:ascii="宋体" w:hAnsi="宋体" w:eastAsia="宋体" w:cs="等线"/>
                <w:szCs w:val="21"/>
              </w:rPr>
            </w:pPr>
            <w:r>
              <w:rPr>
                <w:rFonts w:hint="eastAsia" w:ascii="宋体" w:hAnsi="宋体" w:eastAsia="宋体" w:cs="等线"/>
                <w:szCs w:val="21"/>
              </w:rPr>
              <w:t>2.1采集对象：压力、流量、水位、电压、电流。</w:t>
            </w:r>
          </w:p>
          <w:p w14:paraId="39C7E03C">
            <w:pPr>
              <w:rPr>
                <w:rFonts w:ascii="宋体" w:hAnsi="宋体" w:eastAsia="宋体" w:cs="等线"/>
                <w:szCs w:val="21"/>
              </w:rPr>
            </w:pPr>
            <w:r>
              <w:rPr>
                <w:rFonts w:hint="eastAsia" w:ascii="宋体" w:hAnsi="宋体" w:eastAsia="宋体" w:cs="等线"/>
                <w:szCs w:val="21"/>
              </w:rPr>
              <w:t>2.2采集点位：≥60，预留≥20%的扩展点位。</w:t>
            </w:r>
          </w:p>
          <w:p w14:paraId="0FD8460B">
            <w:pPr>
              <w:rPr>
                <w:rFonts w:ascii="宋体" w:hAnsi="宋体" w:eastAsia="宋体" w:cs="等线"/>
                <w:szCs w:val="21"/>
              </w:rPr>
            </w:pPr>
            <w:r>
              <w:rPr>
                <w:rFonts w:hint="eastAsia" w:ascii="宋体" w:hAnsi="宋体" w:eastAsia="宋体" w:cs="等线"/>
                <w:szCs w:val="21"/>
              </w:rPr>
              <w:t>2.3采集频率：≥5Hz。</w:t>
            </w:r>
          </w:p>
          <w:p w14:paraId="17268C5F">
            <w:pPr>
              <w:rPr>
                <w:rFonts w:ascii="宋体" w:hAnsi="宋体" w:eastAsia="宋体" w:cs="等线"/>
                <w:szCs w:val="21"/>
              </w:rPr>
            </w:pPr>
            <w:r>
              <w:rPr>
                <w:rFonts w:hint="eastAsia" w:ascii="宋体" w:hAnsi="宋体" w:eastAsia="宋体" w:cs="等线"/>
                <w:szCs w:val="21"/>
              </w:rPr>
              <w:t>2.4实时性：显示刷新周期≤1s。</w:t>
            </w:r>
          </w:p>
          <w:p w14:paraId="0D5A798B">
            <w:pPr>
              <w:rPr>
                <w:rFonts w:ascii="宋体" w:hAnsi="宋体" w:eastAsia="宋体" w:cs="等线"/>
                <w:szCs w:val="21"/>
              </w:rPr>
            </w:pPr>
            <w:r>
              <w:rPr>
                <w:rFonts w:hint="eastAsia" w:ascii="宋体" w:hAnsi="宋体" w:eastAsia="宋体" w:cs="等线"/>
                <w:szCs w:val="21"/>
              </w:rPr>
              <w:t>2.5：准确性与稳定性：精度等级≥0.5级，采集波动≤1%。</w:t>
            </w:r>
          </w:p>
          <w:p w14:paraId="72368596">
            <w:pPr>
              <w:rPr>
                <w:rFonts w:ascii="宋体" w:hAnsi="宋体" w:eastAsia="宋体" w:cs="等线"/>
                <w:szCs w:val="21"/>
              </w:rPr>
            </w:pPr>
            <w:r>
              <w:rPr>
                <w:rFonts w:hint="eastAsia" w:ascii="宋体" w:hAnsi="宋体" w:eastAsia="宋体" w:cs="等线"/>
                <w:szCs w:val="21"/>
              </w:rPr>
              <w:t>2.6数据存储：存储时长≥1000h。</w:t>
            </w:r>
          </w:p>
          <w:p w14:paraId="0602F76E">
            <w:pPr>
              <w:rPr>
                <w:rFonts w:ascii="宋体" w:hAnsi="宋体" w:eastAsia="宋体" w:cs="等线"/>
                <w:szCs w:val="21"/>
              </w:rPr>
            </w:pPr>
            <w:r>
              <w:rPr>
                <w:rFonts w:hint="eastAsia" w:ascii="宋体" w:hAnsi="宋体" w:eastAsia="宋体" w:cs="等线"/>
                <w:szCs w:val="21"/>
              </w:rPr>
              <w:t>2.7数据回放：支持仿真软件加载复盘回放；支持CSV导出。</w:t>
            </w:r>
          </w:p>
          <w:p w14:paraId="58FFBA6C">
            <w:pPr>
              <w:numPr>
                <w:ilvl w:val="0"/>
                <w:numId w:val="3"/>
              </w:numPr>
              <w:ind w:firstLine="0"/>
              <w:rPr>
                <w:rFonts w:ascii="宋体" w:hAnsi="宋体" w:eastAsia="宋体" w:cs="等线"/>
                <w:b/>
                <w:bCs/>
                <w:szCs w:val="21"/>
              </w:rPr>
            </w:pPr>
            <w:r>
              <w:rPr>
                <w:rFonts w:hint="eastAsia" w:ascii="宋体" w:hAnsi="宋体" w:eastAsia="宋体" w:cs="等线"/>
                <w:szCs w:val="21"/>
              </w:rPr>
              <w:t>▲</w:t>
            </w:r>
            <w:r>
              <w:rPr>
                <w:rFonts w:hint="eastAsia" w:ascii="宋体" w:hAnsi="宋体" w:eastAsia="宋体" w:cs="等线"/>
                <w:b/>
                <w:bCs/>
                <w:szCs w:val="21"/>
              </w:rPr>
              <w:t>设备控制</w:t>
            </w:r>
          </w:p>
          <w:p w14:paraId="60972218">
            <w:pPr>
              <w:rPr>
                <w:rFonts w:ascii="宋体" w:hAnsi="宋体" w:eastAsia="宋体" w:cs="等线"/>
                <w:szCs w:val="21"/>
              </w:rPr>
            </w:pPr>
            <w:r>
              <w:rPr>
                <w:rFonts w:hint="eastAsia" w:ascii="宋体" w:hAnsi="宋体" w:eastAsia="宋体" w:cs="等线"/>
                <w:szCs w:val="21"/>
              </w:rPr>
              <w:t>3.1控制对象：涵盖执行机构（如阀、泵）与目标参数（如水位、流量、压力）。所有控制参数可借助人机交互界面以可视化方式进行设置，操作简便且直观。此外，系统具备参数记忆功能，能够保存常用工作模式。</w:t>
            </w:r>
          </w:p>
          <w:p w14:paraId="2F650252">
            <w:pPr>
              <w:rPr>
                <w:rFonts w:ascii="宋体" w:hAnsi="宋体" w:eastAsia="宋体" w:cs="等线"/>
                <w:szCs w:val="21"/>
              </w:rPr>
            </w:pPr>
            <w:r>
              <w:rPr>
                <w:rFonts w:hint="eastAsia" w:ascii="宋体" w:hAnsi="宋体" w:eastAsia="宋体" w:cs="等线"/>
                <w:szCs w:val="21"/>
              </w:rPr>
              <w:t>3.2控制功能：用户可按需精确设置阀门开度百分比、泵体转速、水箱目标水位、管道介质流量及系统工作压力等关键参数，系统内置智能控制算法，用户完成参数设定后可自动执行指令，无需人工干预就能实现预设工艺流程控制目标，确保系统稳定高效运行。</w:t>
            </w:r>
          </w:p>
          <w:p w14:paraId="63AADD5E">
            <w:pPr>
              <w:rPr>
                <w:rFonts w:ascii="宋体" w:hAnsi="宋体" w:eastAsia="宋体" w:cs="等线"/>
                <w:szCs w:val="21"/>
              </w:rPr>
            </w:pPr>
            <w:r>
              <w:rPr>
                <w:rFonts w:hint="eastAsia" w:ascii="宋体" w:hAnsi="宋体" w:eastAsia="宋体" w:cs="等线"/>
                <w:szCs w:val="21"/>
              </w:rPr>
              <w:t>3.3闭环控制：针对水位、流量以及压力实施闭环控制，控制系统于实时状态下采集相关传感器数据，并自动对阀门开度与泵转速加以调节，控制精度优于3%。</w:t>
            </w:r>
          </w:p>
          <w:p w14:paraId="7630836F">
            <w:pPr>
              <w:rPr>
                <w:rFonts w:ascii="宋体" w:hAnsi="宋体" w:eastAsia="宋体" w:cs="等线"/>
                <w:szCs w:val="21"/>
              </w:rPr>
            </w:pPr>
            <w:r>
              <w:rPr>
                <w:rFonts w:hint="eastAsia" w:ascii="宋体" w:hAnsi="宋体" w:eastAsia="宋体" w:cs="等线"/>
                <w:szCs w:val="21"/>
              </w:rPr>
              <w:t>3.4控制模式：支持手动控制与自动控制模式的切换，以满足不同工况的需求。在手动模式下，可对阀与泵的启停进行独立操作；在自动模式下，则按照预设逻辑执行控制任务。控制响应时间≤100ms，以此确保系统的实时性与可靠性。</w:t>
            </w:r>
          </w:p>
          <w:p w14:paraId="2B0F4D03">
            <w:pPr>
              <w:rPr>
                <w:rFonts w:ascii="宋体" w:hAnsi="宋体" w:eastAsia="宋体" w:cs="等线"/>
                <w:szCs w:val="21"/>
              </w:rPr>
            </w:pPr>
            <w:r>
              <w:rPr>
                <w:rFonts w:hint="eastAsia" w:ascii="宋体" w:hAnsi="宋体" w:eastAsia="宋体" w:cs="等线"/>
                <w:szCs w:val="21"/>
              </w:rPr>
              <w:t>3.5远程控制：具备远程控制功能，可通过移动平板终端、远程客户端实现全部设备功能，指令响应时间≤200ms。</w:t>
            </w:r>
          </w:p>
          <w:p w14:paraId="16083DF3">
            <w:pPr>
              <w:rPr>
                <w:rFonts w:ascii="宋体" w:hAnsi="宋体" w:eastAsia="宋体" w:cs="等线"/>
                <w:szCs w:val="21"/>
              </w:rPr>
            </w:pPr>
            <w:r>
              <w:rPr>
                <w:rFonts w:hint="eastAsia" w:ascii="宋体" w:hAnsi="宋体" w:eastAsia="宋体" w:cs="等线"/>
                <w:szCs w:val="21"/>
              </w:rPr>
              <w:t xml:space="preserve">3.6孪生集成：可与仿真实训软件实现深度集成，涵盖控制指令与参数等方面。用户能够在数字孪生环境下完成对所有物理对象的操作，集成度达100%。 </w:t>
            </w:r>
          </w:p>
          <w:p w14:paraId="40874638">
            <w:pPr>
              <w:numPr>
                <w:ilvl w:val="0"/>
                <w:numId w:val="3"/>
              </w:numPr>
              <w:ind w:firstLine="0"/>
              <w:rPr>
                <w:rFonts w:ascii="宋体" w:hAnsi="宋体" w:eastAsia="宋体" w:cs="等线"/>
                <w:b/>
                <w:bCs/>
                <w:szCs w:val="21"/>
              </w:rPr>
            </w:pPr>
            <w:r>
              <w:rPr>
                <w:rFonts w:hint="eastAsia" w:ascii="宋体" w:hAnsi="宋体" w:eastAsia="宋体" w:cs="等线"/>
                <w:szCs w:val="21"/>
              </w:rPr>
              <w:t>▲</w:t>
            </w:r>
            <w:r>
              <w:rPr>
                <w:rFonts w:hint="eastAsia" w:ascii="宋体" w:hAnsi="宋体" w:eastAsia="宋体" w:cs="等线"/>
                <w:b/>
                <w:bCs/>
                <w:szCs w:val="21"/>
              </w:rPr>
              <w:t>孪生监控</w:t>
            </w:r>
          </w:p>
          <w:p w14:paraId="7F20CD27">
            <w:pPr>
              <w:rPr>
                <w:rFonts w:ascii="宋体" w:hAnsi="宋体" w:eastAsia="宋体" w:cs="等线"/>
                <w:szCs w:val="21"/>
              </w:rPr>
            </w:pPr>
            <w:r>
              <w:rPr>
                <w:rFonts w:ascii="宋体" w:hAnsi="宋体" w:eastAsia="宋体" w:cs="等线"/>
                <w:szCs w:val="21"/>
              </w:rPr>
              <w:t>4.1实时映射：仿真实训软件中的数字孪生模块应能实时映射硬件设备的运行状态，包括管网压力分布、流量变化、水位高度及设备启停状态等关键参数，延迟不超过500ms。</w:t>
            </w:r>
          </w:p>
          <w:p w14:paraId="4B9304FF">
            <w:pPr>
              <w:rPr>
                <w:rFonts w:ascii="宋体" w:hAnsi="宋体" w:eastAsia="宋体" w:cs="等线"/>
                <w:szCs w:val="21"/>
              </w:rPr>
            </w:pPr>
            <w:r>
              <w:rPr>
                <w:rFonts w:ascii="宋体" w:hAnsi="宋体" w:eastAsia="宋体" w:cs="等线"/>
                <w:szCs w:val="21"/>
              </w:rPr>
              <w:t>4.</w:t>
            </w:r>
            <w:r>
              <w:rPr>
                <w:rFonts w:hint="eastAsia" w:ascii="宋体" w:hAnsi="宋体" w:eastAsia="宋体" w:cs="等线"/>
                <w:szCs w:val="21"/>
              </w:rPr>
              <w:t>2</w:t>
            </w:r>
            <w:r>
              <w:rPr>
                <w:rFonts w:ascii="宋体" w:hAnsi="宋体" w:eastAsia="宋体" w:cs="等线"/>
                <w:szCs w:val="21"/>
              </w:rPr>
              <w:t>异常预警：系统需具备智能诊断功能，当监测到设备运行异常或参数偏离设定值时，能够通过声光报警、界面弹窗等方式及时提示，并在数字孪生界面上以醒目方式标注异常位置。</w:t>
            </w:r>
          </w:p>
          <w:p w14:paraId="2E842ACC">
            <w:pPr>
              <w:rPr>
                <w:rFonts w:ascii="宋体" w:hAnsi="宋体" w:eastAsia="宋体" w:cs="等线"/>
                <w:szCs w:val="21"/>
              </w:rPr>
            </w:pPr>
            <w:r>
              <w:rPr>
                <w:rFonts w:ascii="宋体" w:hAnsi="宋体" w:eastAsia="宋体" w:cs="等线"/>
                <w:szCs w:val="21"/>
              </w:rPr>
              <w:t>4.</w:t>
            </w:r>
            <w:r>
              <w:rPr>
                <w:rFonts w:hint="eastAsia" w:ascii="宋体" w:hAnsi="宋体" w:eastAsia="宋体" w:cs="等线"/>
                <w:szCs w:val="21"/>
              </w:rPr>
              <w:t>3</w:t>
            </w:r>
            <w:r>
              <w:rPr>
                <w:rFonts w:ascii="宋体" w:hAnsi="宋体" w:eastAsia="宋体" w:cs="等线"/>
                <w:szCs w:val="21"/>
              </w:rPr>
              <w:t>运行记录：自动记录所有设备的操作日志和运行数据，支持按时间、设备类型等条件查询，便于教学分析与故障追溯。</w:t>
            </w:r>
          </w:p>
          <w:p w14:paraId="47BC816A">
            <w:pPr>
              <w:numPr>
                <w:ilvl w:val="0"/>
                <w:numId w:val="3"/>
              </w:numPr>
              <w:ind w:firstLine="0"/>
              <w:rPr>
                <w:rFonts w:ascii="宋体" w:hAnsi="宋体" w:eastAsia="宋体" w:cs="等线"/>
                <w:b/>
                <w:bCs/>
                <w:szCs w:val="21"/>
              </w:rPr>
            </w:pPr>
            <w:r>
              <w:rPr>
                <w:rFonts w:hint="eastAsia" w:ascii="宋体" w:hAnsi="宋体" w:eastAsia="宋体" w:cs="等线"/>
                <w:szCs w:val="21"/>
              </w:rPr>
              <w:t>▲</w:t>
            </w:r>
            <w:r>
              <w:rPr>
                <w:rFonts w:hint="eastAsia" w:ascii="宋体" w:hAnsi="宋体" w:eastAsia="宋体" w:cs="等线"/>
                <w:b/>
                <w:bCs/>
                <w:szCs w:val="21"/>
              </w:rPr>
              <w:t>孪生仿真</w:t>
            </w:r>
          </w:p>
          <w:p w14:paraId="0ECBA5EE">
            <w:pPr>
              <w:rPr>
                <w:rFonts w:ascii="宋体" w:hAnsi="宋体" w:eastAsia="宋体" w:cs="等线"/>
                <w:szCs w:val="21"/>
              </w:rPr>
            </w:pPr>
            <w:r>
              <w:rPr>
                <w:rFonts w:ascii="宋体" w:hAnsi="宋体" w:eastAsia="宋体" w:cs="等线"/>
                <w:szCs w:val="21"/>
              </w:rPr>
              <w:t>5.1虚实联动：实现物理设备与虚拟模型的双向交互，既能将真实设备数据实时反馈至虚拟模型，也能通过虚拟操作控制实体设备，确保仿真度达到95%以上。</w:t>
            </w:r>
          </w:p>
          <w:p w14:paraId="7A761B87">
            <w:pPr>
              <w:rPr>
                <w:rFonts w:ascii="宋体" w:hAnsi="宋体" w:eastAsia="宋体" w:cs="等线"/>
                <w:szCs w:val="21"/>
              </w:rPr>
            </w:pPr>
            <w:r>
              <w:rPr>
                <w:rFonts w:ascii="宋体" w:hAnsi="宋体" w:eastAsia="宋体" w:cs="等线"/>
                <w:szCs w:val="21"/>
              </w:rPr>
              <w:t>5.2故障模拟：支持设置各类典型故障场景，如管道泄漏、水泵故障、传感器失灵等，可自定义故障发生的时间、位置和严重程度，用于训练学生的应急处置能力。</w:t>
            </w:r>
          </w:p>
          <w:p w14:paraId="3947D47D">
            <w:pPr>
              <w:rPr>
                <w:rFonts w:ascii="宋体" w:hAnsi="宋体" w:eastAsia="宋体" w:cs="等线"/>
                <w:szCs w:val="21"/>
              </w:rPr>
            </w:pPr>
            <w:r>
              <w:rPr>
                <w:rFonts w:ascii="宋体" w:hAnsi="宋体" w:eastAsia="宋体" w:cs="等线"/>
                <w:szCs w:val="21"/>
              </w:rPr>
              <w:t>5.3工况切换：提供多种预设工况模式，包括正常运行、节能模式、高峰供水等，各模式间的切换时间不超过2秒，确保实训过程的连续性。</w:t>
            </w:r>
          </w:p>
          <w:p w14:paraId="22F3D7D4">
            <w:pPr>
              <w:rPr>
                <w:rFonts w:ascii="宋体" w:hAnsi="宋体" w:eastAsia="宋体" w:cs="等线"/>
                <w:szCs w:val="21"/>
              </w:rPr>
            </w:pPr>
            <w:r>
              <w:rPr>
                <w:rFonts w:hint="eastAsia" w:ascii="宋体" w:hAnsi="宋体" w:eastAsia="宋体" w:cs="等线"/>
                <w:szCs w:val="21"/>
              </w:rPr>
              <w:t>5.4半实物仿真：虚拟模型的运行效果可于实物系统中予以验证，系统内置不少于5种智能算法如DMA漏损分析模型、压差分析模型，能够结合实物系统的状态对虚拟模型的置信度进行验证。</w:t>
            </w:r>
          </w:p>
          <w:p w14:paraId="7A0475F3">
            <w:pPr>
              <w:numPr>
                <w:ilvl w:val="0"/>
                <w:numId w:val="3"/>
              </w:numPr>
              <w:ind w:firstLine="0"/>
              <w:rPr>
                <w:rFonts w:ascii="宋体" w:hAnsi="宋体" w:eastAsia="宋体" w:cs="等线"/>
                <w:b/>
                <w:bCs/>
                <w:szCs w:val="21"/>
              </w:rPr>
            </w:pPr>
            <w:r>
              <w:rPr>
                <w:rFonts w:hint="eastAsia" w:ascii="宋体" w:hAnsi="宋体" w:eastAsia="宋体" w:cs="等线"/>
                <w:szCs w:val="21"/>
              </w:rPr>
              <w:t>▲</w:t>
            </w:r>
            <w:r>
              <w:rPr>
                <w:rFonts w:hint="eastAsia" w:ascii="宋体" w:hAnsi="宋体" w:eastAsia="宋体" w:cs="等线"/>
                <w:b/>
                <w:bCs/>
                <w:szCs w:val="21"/>
              </w:rPr>
              <w:t>实训教学</w:t>
            </w:r>
          </w:p>
          <w:p w14:paraId="1A4A3870">
            <w:pPr>
              <w:rPr>
                <w:rFonts w:ascii="宋体" w:hAnsi="宋体" w:eastAsia="宋体" w:cs="等线"/>
                <w:szCs w:val="21"/>
              </w:rPr>
            </w:pPr>
            <w:r>
              <w:rPr>
                <w:rFonts w:ascii="宋体" w:hAnsi="宋体" w:eastAsia="宋体" w:cs="等线"/>
                <w:szCs w:val="21"/>
              </w:rPr>
              <w:t>6.1教学资源：配套完整的教学资料，包括实验指导书、操作视频、考核题库等，覆盖基础认知到高级应用的各个层次。</w:t>
            </w:r>
          </w:p>
          <w:p w14:paraId="504836A4">
            <w:pPr>
              <w:rPr>
                <w:rFonts w:ascii="宋体" w:hAnsi="宋体" w:eastAsia="宋体" w:cs="等线"/>
                <w:szCs w:val="21"/>
              </w:rPr>
            </w:pPr>
            <w:r>
              <w:rPr>
                <w:rFonts w:ascii="宋体" w:hAnsi="宋体" w:eastAsia="宋体" w:cs="等线"/>
                <w:szCs w:val="21"/>
              </w:rPr>
              <w:t>6.2实训项目：设计不少于15个典型实训项目，涵盖设备认知、参数调试、故障排查、优化运行等方面，每个项目均配有详细的操作步骤和评估标准。</w:t>
            </w:r>
          </w:p>
          <w:p w14:paraId="7790FF29">
            <w:pPr>
              <w:rPr>
                <w:rFonts w:ascii="宋体" w:hAnsi="宋体" w:eastAsia="宋体" w:cs="等线"/>
                <w:szCs w:val="21"/>
              </w:rPr>
            </w:pPr>
            <w:r>
              <w:rPr>
                <w:rFonts w:ascii="宋体" w:hAnsi="宋体" w:eastAsia="宋体" w:cs="等线"/>
                <w:szCs w:val="21"/>
              </w:rPr>
              <w:t>6.3考核评估：建立科学的评价体系，通过理论测试、实操考核、数据分析等多种方式综合评估学生能力，支持自动评分和人工评分相结合。</w:t>
            </w:r>
          </w:p>
          <w:p w14:paraId="501A21B8">
            <w:pPr>
              <w:numPr>
                <w:ilvl w:val="0"/>
                <w:numId w:val="3"/>
              </w:numPr>
              <w:ind w:firstLine="0"/>
              <w:rPr>
                <w:rFonts w:ascii="宋体" w:hAnsi="宋体" w:eastAsia="宋体" w:cs="等线"/>
                <w:szCs w:val="21"/>
              </w:rPr>
            </w:pPr>
            <w:r>
              <w:rPr>
                <w:rFonts w:hint="eastAsia" w:ascii="宋体" w:hAnsi="宋体" w:eastAsia="宋体" w:cs="等线"/>
                <w:b/>
                <w:bCs/>
                <w:szCs w:val="21"/>
              </w:rPr>
              <w:t>其他要求</w:t>
            </w:r>
          </w:p>
          <w:p w14:paraId="5A7208B0">
            <w:pPr>
              <w:rPr>
                <w:rFonts w:ascii="宋体" w:hAnsi="宋体" w:eastAsia="宋体" w:cs="等线"/>
                <w:szCs w:val="21"/>
              </w:rPr>
            </w:pPr>
            <w:r>
              <w:rPr>
                <w:rFonts w:hint="eastAsia" w:ascii="宋体" w:hAnsi="宋体" w:eastAsia="宋体" w:cs="等线"/>
                <w:szCs w:val="21"/>
              </w:rPr>
              <w:t>7.1安全与可靠性：设备外壳、控制柜、箱体应无尖锐棱角与毛刺，具备良好的接地与防护结构，以保障操作安全。</w:t>
            </w:r>
          </w:p>
          <w:p w14:paraId="03F814D9">
            <w:pPr>
              <w:rPr>
                <w:rFonts w:ascii="宋体" w:hAnsi="宋体" w:eastAsia="宋体" w:cs="等线"/>
                <w:szCs w:val="21"/>
              </w:rPr>
            </w:pPr>
            <w:r>
              <w:rPr>
                <w:rFonts w:hint="eastAsia" w:ascii="宋体" w:hAnsi="宋体" w:eastAsia="宋体" w:cs="等线"/>
                <w:szCs w:val="21"/>
              </w:rPr>
              <w:t>7.2可扩展性：控制系统的输入输出（I/O）预留不少于20%的I/O点位及通信接口，以支持后期功能拓展与教学升级；软件预留拓展接口，并配备接口文档与功能设计文档，用于二次开发。</w:t>
            </w:r>
          </w:p>
          <w:p w14:paraId="6A09848D">
            <w:pPr>
              <w:rPr>
                <w:rFonts w:ascii="宋体" w:hAnsi="宋体" w:eastAsia="宋体" w:cs="等线"/>
                <w:szCs w:val="21"/>
              </w:rPr>
            </w:pPr>
            <w:r>
              <w:rPr>
                <w:rFonts w:hint="eastAsia" w:ascii="宋体" w:hAnsi="宋体" w:eastAsia="宋体" w:cs="等线"/>
                <w:szCs w:val="21"/>
              </w:rPr>
              <w:t>7.3标准化：所有控制系统、执行器、仪表及通信设备均支持工业标准接口和协议，如Modbus、Profinet、OPC。</w:t>
            </w:r>
          </w:p>
          <w:p w14:paraId="7A19814D">
            <w:pPr>
              <w:rPr>
                <w:rFonts w:ascii="宋体" w:hAnsi="宋体" w:eastAsia="宋体" w:cs="等线"/>
                <w:szCs w:val="21"/>
              </w:rPr>
            </w:pPr>
            <w:r>
              <w:rPr>
                <w:rFonts w:hint="eastAsia" w:ascii="宋体" w:hAnsi="宋体" w:eastAsia="宋体" w:cs="等线"/>
                <w:szCs w:val="21"/>
              </w:rPr>
              <w:t>7.4▲质保售后：在质量保证期内，为应用系统的运行与维护提供 7×24 小时实时技术支持；软件提供不少于3年质保服务，质保期内提供软件升级服务，升级费用包含在投标总价中。</w:t>
            </w:r>
          </w:p>
          <w:p w14:paraId="17CAE220">
            <w:pPr>
              <w:rPr>
                <w:rFonts w:ascii="宋体" w:hAnsi="宋体" w:eastAsia="宋体" w:cs="等线"/>
                <w:szCs w:val="21"/>
              </w:rPr>
            </w:pPr>
            <w:r>
              <w:rPr>
                <w:rFonts w:hint="eastAsia" w:ascii="宋体" w:hAnsi="宋体" w:eastAsia="宋体" w:cs="等线"/>
                <w:szCs w:val="21"/>
              </w:rPr>
              <w:t>7.5交付物：提供实训设备1套、仿真实训软件1套、电气原理图、软件开发文档、接口文档。</w:t>
            </w:r>
          </w:p>
          <w:p w14:paraId="75A8D5BE">
            <w:pPr>
              <w:numPr>
                <w:ilvl w:val="0"/>
                <w:numId w:val="2"/>
              </w:numPr>
              <w:ind w:firstLine="0"/>
              <w:rPr>
                <w:rFonts w:ascii="宋体" w:hAnsi="宋体" w:eastAsia="宋体" w:cs="等线"/>
                <w:b/>
                <w:bCs/>
                <w:szCs w:val="21"/>
              </w:rPr>
            </w:pPr>
            <w:r>
              <w:rPr>
                <w:rFonts w:hint="eastAsia" w:ascii="宋体" w:hAnsi="宋体" w:eastAsia="宋体" w:cs="等线"/>
                <w:b/>
                <w:bCs/>
                <w:szCs w:val="21"/>
              </w:rPr>
              <w:t>硬件实训设备参数要求</w:t>
            </w:r>
          </w:p>
          <w:p w14:paraId="58123742">
            <w:pPr>
              <w:ind w:firstLine="0" w:firstLineChars="0"/>
              <w:rPr>
                <w:rFonts w:ascii="宋体" w:hAnsi="宋体" w:eastAsia="宋体" w:cs="等线"/>
                <w:szCs w:val="21"/>
              </w:rPr>
            </w:pPr>
            <w:r>
              <w:rPr>
                <w:rFonts w:hint="eastAsia" w:ascii="宋体" w:hAnsi="宋体" w:eastAsia="宋体" w:cs="等线"/>
                <w:szCs w:val="21"/>
              </w:rPr>
              <w:t>双环立体管网系统1套、低位水箱1个、高位水箱1个、离心泵2台、电动调节阀13个、手动阀门7个、压力变送器35个、压力表1个、真空压力表2个、电磁流量计17个、液位计2个、电流表2只、电压表1只、摄像头（含音频采集）2只、控制柜1个、PLC控制系统1套（含PLC、电气设备、HMI）、平板电脑2台。</w:t>
            </w:r>
          </w:p>
          <w:p w14:paraId="2AA2D449">
            <w:pPr>
              <w:numPr>
                <w:ilvl w:val="0"/>
                <w:numId w:val="4"/>
              </w:numPr>
              <w:ind w:firstLine="0"/>
              <w:rPr>
                <w:rFonts w:ascii="宋体" w:hAnsi="宋体" w:eastAsia="宋体" w:cs="等线"/>
                <w:b/>
                <w:bCs/>
                <w:szCs w:val="21"/>
              </w:rPr>
            </w:pPr>
            <w:r>
              <w:rPr>
                <w:rFonts w:hint="eastAsia" w:ascii="宋体" w:hAnsi="宋体" w:eastAsia="宋体" w:cs="等线"/>
                <w:b/>
                <w:bCs/>
                <w:szCs w:val="21"/>
              </w:rPr>
              <w:t>双环立体管网</w:t>
            </w:r>
          </w:p>
          <w:p w14:paraId="3E5BBC4C">
            <w:pPr>
              <w:rPr>
                <w:rFonts w:ascii="宋体" w:hAnsi="宋体" w:eastAsia="宋体" w:cs="等线"/>
                <w:szCs w:val="21"/>
              </w:rPr>
            </w:pPr>
            <w:r>
              <w:rPr>
                <w:rFonts w:hint="eastAsia" w:ascii="宋体" w:hAnsi="宋体" w:eastAsia="宋体" w:cs="等线"/>
                <w:szCs w:val="21"/>
              </w:rPr>
              <w:t>1.1管道长度：DN15≥30米，DN20≥10米，DN25≥20米，DN32≥10米，DN40≥5米，DN80≥5米</w:t>
            </w:r>
          </w:p>
          <w:p w14:paraId="546832AC">
            <w:pPr>
              <w:rPr>
                <w:rFonts w:ascii="宋体" w:hAnsi="宋体" w:eastAsia="宋体" w:cs="等线"/>
                <w:szCs w:val="21"/>
              </w:rPr>
            </w:pPr>
            <w:r>
              <w:rPr>
                <w:rFonts w:hint="eastAsia" w:ascii="宋体" w:hAnsi="宋体" w:eastAsia="宋体" w:cs="等线"/>
                <w:szCs w:val="21"/>
              </w:rPr>
              <w:t>1.2材质：透明亚克力管，壁厚≥5mm</w:t>
            </w:r>
          </w:p>
          <w:p w14:paraId="31835659">
            <w:pPr>
              <w:rPr>
                <w:rFonts w:ascii="宋体" w:hAnsi="宋体" w:eastAsia="宋体" w:cs="等线"/>
                <w:szCs w:val="21"/>
              </w:rPr>
            </w:pPr>
            <w:r>
              <w:rPr>
                <w:rFonts w:hint="eastAsia" w:ascii="宋体" w:hAnsi="宋体" w:eastAsia="宋体" w:cs="等线"/>
                <w:szCs w:val="21"/>
              </w:rPr>
              <w:t>1.3结构参数：双环9管段8节点，6个用户出水管节点</w:t>
            </w:r>
          </w:p>
          <w:p w14:paraId="0CEEB316">
            <w:pPr>
              <w:numPr>
                <w:ilvl w:val="0"/>
                <w:numId w:val="4"/>
              </w:numPr>
              <w:ind w:firstLine="0"/>
              <w:rPr>
                <w:rFonts w:ascii="宋体" w:hAnsi="宋体" w:eastAsia="宋体" w:cs="等线"/>
                <w:b/>
                <w:bCs/>
                <w:szCs w:val="21"/>
              </w:rPr>
            </w:pPr>
            <w:r>
              <w:rPr>
                <w:rFonts w:hint="eastAsia" w:ascii="宋体" w:hAnsi="宋体" w:eastAsia="宋体" w:cs="等线"/>
                <w:b/>
                <w:bCs/>
                <w:szCs w:val="21"/>
              </w:rPr>
              <w:t>低位水箱</w:t>
            </w:r>
          </w:p>
          <w:p w14:paraId="527ED9C8">
            <w:pPr>
              <w:rPr>
                <w:rFonts w:ascii="宋体" w:hAnsi="宋体" w:eastAsia="宋体" w:cs="等线"/>
                <w:szCs w:val="21"/>
              </w:rPr>
            </w:pPr>
            <w:r>
              <w:rPr>
                <w:rFonts w:hint="eastAsia" w:ascii="宋体" w:hAnsi="宋体" w:eastAsia="宋体" w:cs="等线"/>
                <w:szCs w:val="21"/>
              </w:rPr>
              <w:t>2.1有效容积</w:t>
            </w:r>
            <w:r>
              <w:rPr>
                <w:rStyle w:val="64"/>
                <w:rFonts w:hint="eastAsia"/>
              </w:rPr>
              <w:t>≥</w:t>
            </w:r>
            <w:r>
              <w:rPr>
                <w:rFonts w:hint="eastAsia" w:ascii="宋体" w:hAnsi="宋体" w:eastAsia="宋体" w:cs="等线"/>
                <w:szCs w:val="21"/>
              </w:rPr>
              <w:t>1m³</w:t>
            </w:r>
          </w:p>
          <w:p w14:paraId="1089F5A3">
            <w:pPr>
              <w:rPr>
                <w:rFonts w:ascii="宋体" w:hAnsi="宋体" w:eastAsia="宋体" w:cs="等线"/>
                <w:szCs w:val="21"/>
              </w:rPr>
            </w:pPr>
            <w:r>
              <w:rPr>
                <w:rFonts w:hint="eastAsia" w:ascii="宋体" w:hAnsi="宋体" w:eastAsia="宋体" w:cs="等线"/>
                <w:szCs w:val="21"/>
              </w:rPr>
              <w:t>2.2高度：1m-1.5m</w:t>
            </w:r>
          </w:p>
          <w:p w14:paraId="181CDAB0">
            <w:pPr>
              <w:rPr>
                <w:rFonts w:ascii="宋体" w:hAnsi="宋体" w:eastAsia="宋体" w:cs="等线"/>
                <w:szCs w:val="21"/>
              </w:rPr>
            </w:pPr>
            <w:r>
              <w:rPr>
                <w:rFonts w:hint="eastAsia" w:ascii="宋体" w:hAnsi="宋体" w:eastAsia="宋体" w:cs="等线"/>
                <w:szCs w:val="21"/>
              </w:rPr>
              <w:t>2.3材质：304不锈钢，壁厚≥2.0mm</w:t>
            </w:r>
          </w:p>
          <w:p w14:paraId="672F8AE0">
            <w:pPr>
              <w:numPr>
                <w:ilvl w:val="0"/>
                <w:numId w:val="4"/>
              </w:numPr>
              <w:ind w:firstLine="0"/>
              <w:rPr>
                <w:rFonts w:ascii="宋体" w:hAnsi="宋体" w:eastAsia="宋体" w:cs="等线"/>
                <w:b/>
                <w:bCs/>
                <w:szCs w:val="21"/>
              </w:rPr>
            </w:pPr>
            <w:r>
              <w:rPr>
                <w:rFonts w:hint="eastAsia" w:ascii="宋体" w:hAnsi="宋体" w:eastAsia="宋体" w:cs="等线"/>
                <w:b/>
                <w:bCs/>
                <w:szCs w:val="21"/>
              </w:rPr>
              <w:t>高位水箱</w:t>
            </w:r>
          </w:p>
          <w:p w14:paraId="3E31EB37">
            <w:pPr>
              <w:rPr>
                <w:rFonts w:ascii="宋体" w:hAnsi="宋体" w:eastAsia="宋体" w:cs="等线"/>
                <w:szCs w:val="21"/>
              </w:rPr>
            </w:pPr>
            <w:r>
              <w:rPr>
                <w:rFonts w:hint="eastAsia" w:ascii="宋体" w:hAnsi="宋体" w:eastAsia="宋体" w:cs="等线"/>
                <w:szCs w:val="21"/>
              </w:rPr>
              <w:t>3.1有效容积：</w:t>
            </w:r>
            <w:r>
              <w:rPr>
                <w:rStyle w:val="64"/>
                <w:rFonts w:hint="eastAsia"/>
              </w:rPr>
              <w:t>≥</w:t>
            </w:r>
            <w:r>
              <w:rPr>
                <w:rFonts w:hint="eastAsia" w:ascii="宋体" w:hAnsi="宋体" w:eastAsia="宋体" w:cs="等线"/>
                <w:szCs w:val="21"/>
              </w:rPr>
              <w:t>0.5m³</w:t>
            </w:r>
          </w:p>
          <w:p w14:paraId="316664C7">
            <w:pPr>
              <w:rPr>
                <w:rFonts w:ascii="宋体" w:hAnsi="宋体" w:eastAsia="宋体" w:cs="等线"/>
                <w:szCs w:val="21"/>
              </w:rPr>
            </w:pPr>
            <w:r>
              <w:rPr>
                <w:rFonts w:hint="eastAsia" w:ascii="宋体" w:hAnsi="宋体" w:eastAsia="宋体" w:cs="等线"/>
                <w:szCs w:val="21"/>
              </w:rPr>
              <w:t>3.2高度：0.5m-1m</w:t>
            </w:r>
          </w:p>
          <w:p w14:paraId="06FFC9E6">
            <w:pPr>
              <w:rPr>
                <w:rFonts w:ascii="宋体" w:hAnsi="宋体" w:eastAsia="宋体" w:cs="等线"/>
                <w:szCs w:val="21"/>
              </w:rPr>
            </w:pPr>
            <w:r>
              <w:rPr>
                <w:rFonts w:hint="eastAsia" w:ascii="宋体" w:hAnsi="宋体" w:eastAsia="宋体" w:cs="等线"/>
                <w:szCs w:val="21"/>
              </w:rPr>
              <w:t>3.3材质：304不锈钢，壁厚≥1.5mm</w:t>
            </w:r>
          </w:p>
          <w:p w14:paraId="152363F0">
            <w:pPr>
              <w:rPr>
                <w:rFonts w:ascii="宋体" w:hAnsi="宋体" w:eastAsia="宋体" w:cs="等线"/>
                <w:szCs w:val="21"/>
              </w:rPr>
            </w:pPr>
            <w:r>
              <w:rPr>
                <w:rFonts w:hint="eastAsia" w:ascii="宋体" w:hAnsi="宋体" w:eastAsia="宋体" w:cs="等线"/>
                <w:szCs w:val="21"/>
              </w:rPr>
              <w:t>3.4安装高度：最高水位距地面不低于3m</w:t>
            </w:r>
          </w:p>
          <w:p w14:paraId="0CF763B6">
            <w:pPr>
              <w:rPr>
                <w:rFonts w:ascii="宋体" w:hAnsi="宋体" w:eastAsia="宋体" w:cs="等线"/>
                <w:szCs w:val="21"/>
              </w:rPr>
            </w:pPr>
            <w:r>
              <w:rPr>
                <w:rFonts w:hint="eastAsia" w:ascii="宋体" w:hAnsi="宋体" w:eastAsia="宋体" w:cs="等线"/>
                <w:szCs w:val="21"/>
              </w:rPr>
              <w:t>3.5安装支架：支架材质：铝合金；壁厚≥2.0mm；</w:t>
            </w:r>
          </w:p>
          <w:p w14:paraId="4DD833F7">
            <w:pPr>
              <w:rPr>
                <w:rFonts w:ascii="宋体" w:hAnsi="宋体" w:eastAsia="宋体" w:cs="等线"/>
                <w:szCs w:val="21"/>
              </w:rPr>
            </w:pPr>
            <w:r>
              <w:rPr>
                <w:rFonts w:hint="eastAsia" w:ascii="宋体" w:hAnsi="宋体" w:eastAsia="宋体" w:cs="等线"/>
                <w:szCs w:val="21"/>
              </w:rPr>
              <w:t>3.6安全要求：需要提供整体支撑结构稳定性及强度仿真校核材料；</w:t>
            </w:r>
          </w:p>
          <w:p w14:paraId="7139D531">
            <w:pPr>
              <w:numPr>
                <w:ilvl w:val="0"/>
                <w:numId w:val="4"/>
              </w:numPr>
              <w:ind w:firstLine="0"/>
              <w:rPr>
                <w:rFonts w:ascii="宋体" w:hAnsi="宋体" w:eastAsia="宋体" w:cs="等线"/>
                <w:b/>
                <w:bCs/>
                <w:szCs w:val="21"/>
              </w:rPr>
            </w:pPr>
            <w:r>
              <w:rPr>
                <w:rFonts w:hint="eastAsia" w:ascii="宋体" w:hAnsi="宋体" w:eastAsia="宋体" w:cs="等线"/>
                <w:b/>
                <w:bCs/>
                <w:szCs w:val="21"/>
              </w:rPr>
              <w:t>离心泵（含变频电机及变频器）</w:t>
            </w:r>
          </w:p>
          <w:p w14:paraId="3F6AF7D4">
            <w:pPr>
              <w:rPr>
                <w:rFonts w:ascii="宋体" w:hAnsi="宋体" w:eastAsia="宋体" w:cs="等线"/>
                <w:szCs w:val="21"/>
              </w:rPr>
            </w:pPr>
            <w:r>
              <w:rPr>
                <w:rFonts w:hint="eastAsia" w:ascii="宋体" w:hAnsi="宋体" w:eastAsia="宋体" w:cs="等线"/>
                <w:szCs w:val="21"/>
              </w:rPr>
              <w:t>4.1性能参数：流量≥10m³/h，扬程≥25.5m，功率≥1.1kW</w:t>
            </w:r>
          </w:p>
          <w:p w14:paraId="359043A9">
            <w:pPr>
              <w:rPr>
                <w:rFonts w:ascii="宋体" w:hAnsi="宋体" w:eastAsia="宋体" w:cs="等线"/>
                <w:szCs w:val="21"/>
              </w:rPr>
            </w:pPr>
            <w:r>
              <w:rPr>
                <w:rFonts w:hint="eastAsia" w:ascii="宋体" w:hAnsi="宋体" w:eastAsia="宋体" w:cs="等线"/>
                <w:szCs w:val="21"/>
              </w:rPr>
              <w:t>4.2控制要求：支持远程、本地全功能控制；</w:t>
            </w:r>
          </w:p>
          <w:p w14:paraId="5B614763">
            <w:pPr>
              <w:rPr>
                <w:rFonts w:ascii="宋体" w:hAnsi="宋体" w:eastAsia="宋体" w:cs="等线"/>
                <w:szCs w:val="21"/>
              </w:rPr>
            </w:pPr>
            <w:r>
              <w:rPr>
                <w:rFonts w:hint="eastAsia" w:ascii="宋体" w:hAnsi="宋体" w:eastAsia="宋体" w:cs="等线"/>
                <w:szCs w:val="21"/>
              </w:rPr>
              <w:t>4.3安装位置：双环立体管网系统下方</w:t>
            </w:r>
          </w:p>
          <w:p w14:paraId="4ACBC816">
            <w:pPr>
              <w:numPr>
                <w:ilvl w:val="0"/>
                <w:numId w:val="4"/>
              </w:numPr>
              <w:ind w:firstLine="0"/>
              <w:rPr>
                <w:rFonts w:ascii="宋体" w:hAnsi="宋体" w:eastAsia="宋体" w:cs="等线"/>
                <w:b/>
                <w:bCs/>
                <w:szCs w:val="21"/>
              </w:rPr>
            </w:pPr>
            <w:r>
              <w:rPr>
                <w:rFonts w:hint="eastAsia" w:ascii="宋体" w:hAnsi="宋体" w:eastAsia="宋体" w:cs="等线"/>
                <w:b/>
                <w:bCs/>
                <w:szCs w:val="21"/>
              </w:rPr>
              <w:t>电动调节阀</w:t>
            </w:r>
          </w:p>
          <w:p w14:paraId="6BDB33D9">
            <w:pPr>
              <w:rPr>
                <w:rFonts w:ascii="宋体" w:hAnsi="宋体" w:eastAsia="宋体" w:cs="等线"/>
                <w:szCs w:val="21"/>
              </w:rPr>
            </w:pPr>
            <w:r>
              <w:rPr>
                <w:rFonts w:hint="eastAsia" w:ascii="宋体" w:hAnsi="宋体" w:eastAsia="宋体" w:cs="等线"/>
                <w:szCs w:val="21"/>
              </w:rPr>
              <w:t>5.1外壳：铝合金，阀芯：UPVC</w:t>
            </w:r>
          </w:p>
          <w:p w14:paraId="428DFBC3">
            <w:pPr>
              <w:rPr>
                <w:rFonts w:ascii="宋体" w:hAnsi="宋体" w:eastAsia="宋体" w:cs="等线"/>
                <w:szCs w:val="21"/>
              </w:rPr>
            </w:pPr>
            <w:r>
              <w:rPr>
                <w:rFonts w:hint="eastAsia" w:ascii="宋体" w:hAnsi="宋体" w:eastAsia="宋体" w:cs="等线"/>
                <w:szCs w:val="21"/>
              </w:rPr>
              <w:t>5.2技术参数：24VDC供电，4-20mA控制信号，阀芯调节开度范围0-100% ，响应时间≤5s</w:t>
            </w:r>
          </w:p>
          <w:p w14:paraId="58FAA144">
            <w:pPr>
              <w:numPr>
                <w:ilvl w:val="0"/>
                <w:numId w:val="4"/>
              </w:numPr>
              <w:ind w:firstLine="0"/>
              <w:rPr>
                <w:rFonts w:ascii="宋体" w:hAnsi="宋体" w:eastAsia="宋体" w:cs="等线"/>
                <w:b/>
                <w:bCs/>
                <w:szCs w:val="21"/>
              </w:rPr>
            </w:pPr>
            <w:r>
              <w:rPr>
                <w:rFonts w:hint="eastAsia" w:ascii="宋体" w:hAnsi="宋体" w:eastAsia="宋体" w:cs="等线"/>
                <w:b/>
                <w:bCs/>
                <w:szCs w:val="21"/>
              </w:rPr>
              <w:t>手动阀门</w:t>
            </w:r>
          </w:p>
          <w:p w14:paraId="5654FE14">
            <w:pPr>
              <w:rPr>
                <w:rFonts w:ascii="宋体" w:hAnsi="宋体" w:eastAsia="宋体" w:cs="等线"/>
                <w:szCs w:val="21"/>
              </w:rPr>
            </w:pPr>
            <w:r>
              <w:rPr>
                <w:rFonts w:hint="eastAsia" w:ascii="宋体" w:hAnsi="宋体" w:eastAsia="宋体" w:cs="等线"/>
                <w:szCs w:val="21"/>
              </w:rPr>
              <w:t>6.1材质：UPVC</w:t>
            </w:r>
          </w:p>
          <w:p w14:paraId="2F47093C">
            <w:pPr>
              <w:rPr>
                <w:rFonts w:ascii="宋体" w:hAnsi="宋体" w:eastAsia="宋体" w:cs="等线"/>
                <w:szCs w:val="21"/>
              </w:rPr>
            </w:pPr>
            <w:r>
              <w:rPr>
                <w:rFonts w:hint="eastAsia" w:ascii="宋体" w:hAnsi="宋体" w:eastAsia="宋体" w:cs="等线"/>
                <w:szCs w:val="21"/>
              </w:rPr>
              <w:t>6.2公称直径：DN15一只，DN20一只，DN25四只，DN32一只。</w:t>
            </w:r>
          </w:p>
          <w:p w14:paraId="3D4851AC">
            <w:pPr>
              <w:numPr>
                <w:ilvl w:val="0"/>
                <w:numId w:val="4"/>
              </w:numPr>
              <w:ind w:firstLine="0"/>
              <w:rPr>
                <w:rFonts w:ascii="宋体" w:hAnsi="宋体" w:eastAsia="宋体" w:cs="等线"/>
                <w:b/>
                <w:bCs/>
                <w:szCs w:val="21"/>
              </w:rPr>
            </w:pPr>
            <w:r>
              <w:rPr>
                <w:rFonts w:hint="eastAsia" w:ascii="宋体" w:hAnsi="宋体" w:eastAsia="宋体" w:cs="等线"/>
                <w:b/>
                <w:bCs/>
                <w:szCs w:val="21"/>
              </w:rPr>
              <w:t>压力变送器</w:t>
            </w:r>
          </w:p>
          <w:p w14:paraId="38C9C069">
            <w:pPr>
              <w:rPr>
                <w:rFonts w:ascii="宋体" w:hAnsi="宋体" w:eastAsia="宋体" w:cs="等线"/>
                <w:szCs w:val="21"/>
              </w:rPr>
            </w:pPr>
            <w:r>
              <w:rPr>
                <w:rFonts w:hint="eastAsia" w:ascii="宋体" w:hAnsi="宋体" w:eastAsia="宋体" w:cs="等线"/>
                <w:szCs w:val="21"/>
              </w:rPr>
              <w:t>7.1测量范围：0-0.5MPa</w:t>
            </w:r>
          </w:p>
          <w:p w14:paraId="5D892107">
            <w:pPr>
              <w:rPr>
                <w:rFonts w:ascii="宋体" w:hAnsi="宋体" w:eastAsia="宋体" w:cs="等线"/>
                <w:szCs w:val="21"/>
              </w:rPr>
            </w:pPr>
            <w:r>
              <w:rPr>
                <w:rFonts w:hint="eastAsia" w:ascii="宋体" w:hAnsi="宋体" w:eastAsia="宋体" w:cs="等线"/>
                <w:szCs w:val="21"/>
              </w:rPr>
              <w:t>7.2输出信号：4-20mA</w:t>
            </w:r>
          </w:p>
          <w:p w14:paraId="2AF0B61B">
            <w:pPr>
              <w:rPr>
                <w:rFonts w:ascii="宋体" w:hAnsi="宋体" w:eastAsia="宋体" w:cs="等线"/>
                <w:szCs w:val="21"/>
              </w:rPr>
            </w:pPr>
            <w:r>
              <w:rPr>
                <w:rFonts w:hint="eastAsia" w:ascii="宋体" w:hAnsi="宋体" w:eastAsia="宋体" w:cs="等线"/>
                <w:szCs w:val="21"/>
              </w:rPr>
              <w:t>7.3精度等级：≥0.5级</w:t>
            </w:r>
          </w:p>
          <w:p w14:paraId="5E597D42">
            <w:pPr>
              <w:rPr>
                <w:rFonts w:ascii="宋体" w:hAnsi="宋体" w:eastAsia="宋体" w:cs="等线"/>
                <w:szCs w:val="21"/>
              </w:rPr>
            </w:pPr>
            <w:r>
              <w:rPr>
                <w:rFonts w:hint="eastAsia" w:ascii="宋体" w:hAnsi="宋体" w:eastAsia="宋体" w:cs="等线"/>
                <w:szCs w:val="21"/>
              </w:rPr>
              <w:t>7.4电气接头：郝斯曼接头</w:t>
            </w:r>
          </w:p>
          <w:p w14:paraId="5ACECE01">
            <w:pPr>
              <w:rPr>
                <w:rFonts w:ascii="宋体" w:hAnsi="宋体" w:eastAsia="宋体" w:cs="等线"/>
                <w:szCs w:val="21"/>
              </w:rPr>
            </w:pPr>
            <w:r>
              <w:rPr>
                <w:rFonts w:hint="eastAsia" w:ascii="宋体" w:hAnsi="宋体" w:eastAsia="宋体" w:cs="等线"/>
                <w:szCs w:val="21"/>
              </w:rPr>
              <w:t>7.5供电电压：24VDC</w:t>
            </w:r>
          </w:p>
          <w:p w14:paraId="688C35C2">
            <w:pPr>
              <w:numPr>
                <w:ilvl w:val="0"/>
                <w:numId w:val="4"/>
              </w:numPr>
              <w:ind w:firstLine="0"/>
              <w:rPr>
                <w:rFonts w:ascii="宋体" w:hAnsi="宋体" w:eastAsia="宋体" w:cs="等线"/>
                <w:b/>
                <w:bCs/>
                <w:szCs w:val="21"/>
              </w:rPr>
            </w:pPr>
            <w:r>
              <w:rPr>
                <w:rFonts w:hint="eastAsia" w:ascii="宋体" w:hAnsi="宋体" w:eastAsia="宋体" w:cs="等线"/>
                <w:b/>
                <w:bCs/>
                <w:szCs w:val="21"/>
              </w:rPr>
              <w:t>压力表</w:t>
            </w:r>
          </w:p>
          <w:p w14:paraId="72BA60C2">
            <w:pPr>
              <w:rPr>
                <w:rFonts w:ascii="宋体" w:hAnsi="宋体" w:eastAsia="宋体" w:cs="等线"/>
                <w:szCs w:val="21"/>
              </w:rPr>
            </w:pPr>
            <w:r>
              <w:rPr>
                <w:rFonts w:hint="eastAsia" w:ascii="宋体" w:hAnsi="宋体" w:eastAsia="宋体" w:cs="等线"/>
                <w:szCs w:val="21"/>
              </w:rPr>
              <w:t>8.1功能要求：具备本地显示及信号输出功能</w:t>
            </w:r>
          </w:p>
          <w:p w14:paraId="39624310">
            <w:pPr>
              <w:rPr>
                <w:rFonts w:ascii="宋体" w:hAnsi="宋体" w:eastAsia="宋体" w:cs="等线"/>
                <w:szCs w:val="21"/>
              </w:rPr>
            </w:pPr>
            <w:r>
              <w:rPr>
                <w:rFonts w:hint="eastAsia" w:ascii="宋体" w:hAnsi="宋体" w:eastAsia="宋体" w:cs="等线"/>
                <w:szCs w:val="21"/>
              </w:rPr>
              <w:t>8.2测量范围：0-0.6MPa</w:t>
            </w:r>
          </w:p>
          <w:p w14:paraId="3C6ED580">
            <w:pPr>
              <w:rPr>
                <w:rFonts w:ascii="宋体" w:hAnsi="宋体" w:eastAsia="宋体" w:cs="等线"/>
                <w:szCs w:val="21"/>
              </w:rPr>
            </w:pPr>
            <w:r>
              <w:rPr>
                <w:rFonts w:hint="eastAsia" w:ascii="宋体" w:hAnsi="宋体" w:eastAsia="宋体" w:cs="等线"/>
                <w:szCs w:val="21"/>
              </w:rPr>
              <w:t>8.3输出信号：4-20mA</w:t>
            </w:r>
          </w:p>
          <w:p w14:paraId="09A641FA">
            <w:pPr>
              <w:rPr>
                <w:rFonts w:ascii="宋体" w:hAnsi="宋体" w:eastAsia="宋体" w:cs="等线"/>
                <w:szCs w:val="21"/>
              </w:rPr>
            </w:pPr>
            <w:r>
              <w:rPr>
                <w:rFonts w:hint="eastAsia" w:ascii="宋体" w:hAnsi="宋体" w:eastAsia="宋体" w:cs="等线"/>
                <w:szCs w:val="21"/>
              </w:rPr>
              <w:t>8.4精度等级：≥0.5级</w:t>
            </w:r>
          </w:p>
          <w:p w14:paraId="0D97CC84">
            <w:pPr>
              <w:rPr>
                <w:rFonts w:ascii="宋体" w:hAnsi="宋体" w:eastAsia="宋体" w:cs="等线"/>
                <w:szCs w:val="21"/>
              </w:rPr>
            </w:pPr>
            <w:r>
              <w:rPr>
                <w:rFonts w:hint="eastAsia" w:ascii="宋体" w:hAnsi="宋体" w:eastAsia="宋体" w:cs="等线"/>
                <w:szCs w:val="21"/>
              </w:rPr>
              <w:t>8.5供电电压：24VDC</w:t>
            </w:r>
          </w:p>
          <w:p w14:paraId="5347A0EB">
            <w:pPr>
              <w:rPr>
                <w:rFonts w:ascii="宋体" w:hAnsi="宋体" w:eastAsia="宋体" w:cs="等线"/>
                <w:szCs w:val="21"/>
              </w:rPr>
            </w:pPr>
            <w:r>
              <w:rPr>
                <w:rFonts w:hint="eastAsia" w:ascii="宋体" w:hAnsi="宋体" w:eastAsia="宋体" w:cs="等线"/>
                <w:szCs w:val="21"/>
              </w:rPr>
              <w:t>8.6电气接头：郝斯曼接头</w:t>
            </w:r>
          </w:p>
          <w:p w14:paraId="12B8BD47">
            <w:pPr>
              <w:numPr>
                <w:ilvl w:val="0"/>
                <w:numId w:val="4"/>
              </w:numPr>
              <w:ind w:firstLine="0"/>
              <w:rPr>
                <w:rFonts w:ascii="宋体" w:hAnsi="宋体" w:eastAsia="宋体" w:cs="等线"/>
                <w:b/>
                <w:bCs/>
                <w:szCs w:val="21"/>
              </w:rPr>
            </w:pPr>
            <w:r>
              <w:rPr>
                <w:rFonts w:hint="eastAsia" w:ascii="宋体" w:hAnsi="宋体" w:eastAsia="宋体" w:cs="等线"/>
                <w:b/>
                <w:bCs/>
                <w:szCs w:val="21"/>
              </w:rPr>
              <w:t>真空压力表</w:t>
            </w:r>
          </w:p>
          <w:p w14:paraId="1604FA42">
            <w:pPr>
              <w:rPr>
                <w:rFonts w:ascii="宋体" w:hAnsi="宋体" w:eastAsia="宋体" w:cs="等线"/>
                <w:szCs w:val="21"/>
              </w:rPr>
            </w:pPr>
            <w:r>
              <w:rPr>
                <w:rFonts w:hint="eastAsia" w:ascii="宋体" w:hAnsi="宋体" w:eastAsia="宋体" w:cs="等线"/>
                <w:szCs w:val="21"/>
              </w:rPr>
              <w:t>9.1功能要求：具备本地显示及信号输出功能</w:t>
            </w:r>
          </w:p>
          <w:p w14:paraId="644C8112">
            <w:pPr>
              <w:rPr>
                <w:rFonts w:ascii="宋体" w:hAnsi="宋体" w:eastAsia="宋体" w:cs="等线"/>
                <w:szCs w:val="21"/>
              </w:rPr>
            </w:pPr>
            <w:r>
              <w:rPr>
                <w:rFonts w:hint="eastAsia" w:ascii="宋体" w:hAnsi="宋体" w:eastAsia="宋体" w:cs="等线"/>
                <w:szCs w:val="21"/>
              </w:rPr>
              <w:t>9.2测量范围：-0.1-0MPa</w:t>
            </w:r>
          </w:p>
          <w:p w14:paraId="474BAD71">
            <w:pPr>
              <w:rPr>
                <w:rFonts w:ascii="宋体" w:hAnsi="宋体" w:eastAsia="宋体" w:cs="等线"/>
                <w:szCs w:val="21"/>
              </w:rPr>
            </w:pPr>
            <w:r>
              <w:rPr>
                <w:rFonts w:hint="eastAsia" w:ascii="宋体" w:hAnsi="宋体" w:eastAsia="宋体" w:cs="等线"/>
                <w:szCs w:val="21"/>
              </w:rPr>
              <w:t>9.3输出信号：4-20mA</w:t>
            </w:r>
          </w:p>
          <w:p w14:paraId="666893A0">
            <w:pPr>
              <w:rPr>
                <w:rFonts w:ascii="宋体" w:hAnsi="宋体" w:eastAsia="宋体" w:cs="等线"/>
                <w:szCs w:val="21"/>
              </w:rPr>
            </w:pPr>
            <w:r>
              <w:rPr>
                <w:rFonts w:hint="eastAsia" w:ascii="宋体" w:hAnsi="宋体" w:eastAsia="宋体" w:cs="等线"/>
                <w:szCs w:val="21"/>
              </w:rPr>
              <w:t>9.4精度等级：≥0.5级</w:t>
            </w:r>
          </w:p>
          <w:p w14:paraId="1040F285">
            <w:pPr>
              <w:rPr>
                <w:rFonts w:ascii="宋体" w:hAnsi="宋体" w:eastAsia="宋体" w:cs="等线"/>
                <w:szCs w:val="21"/>
              </w:rPr>
            </w:pPr>
            <w:r>
              <w:rPr>
                <w:rFonts w:hint="eastAsia" w:ascii="宋体" w:hAnsi="宋体" w:eastAsia="宋体" w:cs="等线"/>
                <w:szCs w:val="21"/>
              </w:rPr>
              <w:t>9.5供电电压：24VDC</w:t>
            </w:r>
          </w:p>
          <w:p w14:paraId="0DC76D4F">
            <w:pPr>
              <w:rPr>
                <w:rFonts w:ascii="宋体" w:hAnsi="宋体" w:eastAsia="宋体" w:cs="等线"/>
                <w:szCs w:val="21"/>
              </w:rPr>
            </w:pPr>
            <w:r>
              <w:rPr>
                <w:rFonts w:hint="eastAsia" w:ascii="宋体" w:hAnsi="宋体" w:eastAsia="宋体" w:cs="等线"/>
                <w:szCs w:val="21"/>
              </w:rPr>
              <w:t>9.6电气接头：郝斯曼接头</w:t>
            </w:r>
          </w:p>
          <w:p w14:paraId="381F768E">
            <w:pPr>
              <w:numPr>
                <w:ilvl w:val="0"/>
                <w:numId w:val="4"/>
              </w:numPr>
              <w:ind w:firstLine="0"/>
              <w:rPr>
                <w:rFonts w:ascii="宋体" w:hAnsi="宋体" w:eastAsia="宋体" w:cs="等线"/>
                <w:b/>
                <w:bCs/>
                <w:szCs w:val="21"/>
              </w:rPr>
            </w:pPr>
            <w:r>
              <w:rPr>
                <w:rFonts w:hint="eastAsia" w:ascii="宋体" w:hAnsi="宋体" w:eastAsia="宋体" w:cs="等线"/>
                <w:b/>
                <w:bCs/>
                <w:szCs w:val="21"/>
              </w:rPr>
              <w:t>电磁流量计</w:t>
            </w:r>
          </w:p>
          <w:p w14:paraId="403D4998">
            <w:pPr>
              <w:rPr>
                <w:rFonts w:ascii="宋体" w:hAnsi="宋体" w:eastAsia="宋体" w:cs="等线"/>
                <w:szCs w:val="21"/>
              </w:rPr>
            </w:pPr>
            <w:r>
              <w:rPr>
                <w:rFonts w:hint="eastAsia" w:ascii="宋体" w:hAnsi="宋体" w:eastAsia="宋体" w:cs="等线"/>
                <w:szCs w:val="21"/>
              </w:rPr>
              <w:t>10.1口径：DN15八台，DN20三台，DN25四台，DN32二台，</w:t>
            </w:r>
          </w:p>
          <w:p w14:paraId="6F765BD6">
            <w:pPr>
              <w:rPr>
                <w:rFonts w:ascii="宋体" w:hAnsi="宋体" w:eastAsia="宋体" w:cs="等线"/>
                <w:szCs w:val="21"/>
              </w:rPr>
            </w:pPr>
            <w:r>
              <w:rPr>
                <w:rFonts w:hint="eastAsia" w:ascii="宋体" w:hAnsi="宋体" w:eastAsia="宋体" w:cs="等线"/>
                <w:szCs w:val="21"/>
              </w:rPr>
              <w:t>10.2测量范围：0-10m/s</w:t>
            </w:r>
          </w:p>
          <w:p w14:paraId="317DEF9C">
            <w:pPr>
              <w:rPr>
                <w:rFonts w:ascii="宋体" w:hAnsi="宋体" w:eastAsia="宋体" w:cs="等线"/>
                <w:szCs w:val="21"/>
              </w:rPr>
            </w:pPr>
            <w:r>
              <w:rPr>
                <w:rFonts w:hint="eastAsia" w:ascii="宋体" w:hAnsi="宋体" w:eastAsia="宋体" w:cs="等线"/>
                <w:szCs w:val="21"/>
              </w:rPr>
              <w:t>10.3精度等级：≥0.5级</w:t>
            </w:r>
          </w:p>
          <w:p w14:paraId="163BA8BB">
            <w:pPr>
              <w:rPr>
                <w:rFonts w:ascii="宋体" w:hAnsi="宋体" w:eastAsia="宋体" w:cs="等线"/>
                <w:szCs w:val="21"/>
              </w:rPr>
            </w:pPr>
            <w:r>
              <w:rPr>
                <w:rFonts w:hint="eastAsia" w:ascii="宋体" w:hAnsi="宋体" w:eastAsia="宋体" w:cs="等线"/>
                <w:szCs w:val="21"/>
              </w:rPr>
              <w:t>10.4输出信号：4-20mA，脉冲输出，RS485通讯</w:t>
            </w:r>
          </w:p>
          <w:p w14:paraId="3A96FC2A">
            <w:pPr>
              <w:rPr>
                <w:rFonts w:ascii="宋体" w:hAnsi="宋体" w:eastAsia="宋体" w:cs="等线"/>
                <w:szCs w:val="21"/>
              </w:rPr>
            </w:pPr>
            <w:r>
              <w:rPr>
                <w:rFonts w:hint="eastAsia" w:ascii="宋体" w:hAnsi="宋体" w:eastAsia="宋体" w:cs="等线"/>
                <w:szCs w:val="21"/>
              </w:rPr>
              <w:t>10.5供电电压：24VDC</w:t>
            </w:r>
          </w:p>
          <w:p w14:paraId="5EEF8EED">
            <w:pPr>
              <w:rPr>
                <w:rFonts w:ascii="宋体" w:hAnsi="宋体" w:eastAsia="宋体" w:cs="等线"/>
                <w:szCs w:val="21"/>
              </w:rPr>
            </w:pPr>
            <w:r>
              <w:rPr>
                <w:rFonts w:hint="eastAsia" w:ascii="宋体" w:hAnsi="宋体" w:eastAsia="宋体" w:cs="等线"/>
                <w:szCs w:val="21"/>
              </w:rPr>
              <w:t>10.6防护等级：≥IP65</w:t>
            </w:r>
          </w:p>
          <w:p w14:paraId="0D07F444">
            <w:pPr>
              <w:numPr>
                <w:ilvl w:val="0"/>
                <w:numId w:val="4"/>
              </w:numPr>
              <w:ind w:firstLine="0"/>
              <w:rPr>
                <w:rFonts w:ascii="宋体" w:hAnsi="宋体" w:eastAsia="宋体" w:cs="等线"/>
                <w:b/>
                <w:bCs/>
                <w:szCs w:val="21"/>
              </w:rPr>
            </w:pPr>
            <w:r>
              <w:rPr>
                <w:rFonts w:hint="eastAsia" w:ascii="宋体" w:hAnsi="宋体" w:eastAsia="宋体" w:cs="等线"/>
                <w:b/>
                <w:bCs/>
                <w:szCs w:val="21"/>
              </w:rPr>
              <w:t>液位计</w:t>
            </w:r>
          </w:p>
          <w:p w14:paraId="75F0E6BF">
            <w:pPr>
              <w:rPr>
                <w:rFonts w:ascii="宋体" w:hAnsi="宋体" w:eastAsia="宋体" w:cs="等线"/>
                <w:szCs w:val="21"/>
              </w:rPr>
            </w:pPr>
            <w:r>
              <w:rPr>
                <w:rFonts w:hint="eastAsia" w:ascii="宋体" w:hAnsi="宋体" w:eastAsia="宋体" w:cs="等线"/>
                <w:szCs w:val="21"/>
              </w:rPr>
              <w:t>11.1测量范围：0-1m一台、0-2m一台</w:t>
            </w:r>
          </w:p>
          <w:p w14:paraId="659B4656">
            <w:pPr>
              <w:rPr>
                <w:rFonts w:ascii="宋体" w:hAnsi="宋体" w:eastAsia="宋体" w:cs="等线"/>
                <w:szCs w:val="21"/>
              </w:rPr>
            </w:pPr>
            <w:r>
              <w:rPr>
                <w:rFonts w:hint="eastAsia" w:ascii="宋体" w:hAnsi="宋体" w:eastAsia="宋体" w:cs="等线"/>
                <w:szCs w:val="21"/>
              </w:rPr>
              <w:t>11.2精度等级：≥0.5级</w:t>
            </w:r>
          </w:p>
          <w:p w14:paraId="34A54D7C">
            <w:pPr>
              <w:rPr>
                <w:rFonts w:ascii="宋体" w:hAnsi="宋体" w:eastAsia="宋体" w:cs="等线"/>
                <w:szCs w:val="21"/>
              </w:rPr>
            </w:pPr>
            <w:r>
              <w:rPr>
                <w:rFonts w:hint="eastAsia" w:ascii="宋体" w:hAnsi="宋体" w:eastAsia="宋体" w:cs="等线"/>
                <w:szCs w:val="21"/>
              </w:rPr>
              <w:t>11.3线性度：优于±0.2%</w:t>
            </w:r>
          </w:p>
          <w:p w14:paraId="44CC4478">
            <w:pPr>
              <w:rPr>
                <w:rFonts w:ascii="宋体" w:hAnsi="宋体" w:eastAsia="宋体" w:cs="等线"/>
                <w:szCs w:val="21"/>
              </w:rPr>
            </w:pPr>
            <w:r>
              <w:rPr>
                <w:rFonts w:hint="eastAsia" w:ascii="宋体" w:hAnsi="宋体" w:eastAsia="宋体" w:cs="等线"/>
                <w:szCs w:val="21"/>
              </w:rPr>
              <w:t>11.4输出信号：4-20mA</w:t>
            </w:r>
          </w:p>
          <w:p w14:paraId="7C9EA6D5">
            <w:pPr>
              <w:rPr>
                <w:rFonts w:ascii="宋体" w:hAnsi="宋体" w:eastAsia="宋体" w:cs="等线"/>
                <w:szCs w:val="21"/>
              </w:rPr>
            </w:pPr>
            <w:r>
              <w:rPr>
                <w:rFonts w:hint="eastAsia" w:ascii="宋体" w:hAnsi="宋体" w:eastAsia="宋体" w:cs="等线"/>
                <w:szCs w:val="21"/>
              </w:rPr>
              <w:t>11.5供电电压：24VDC</w:t>
            </w:r>
          </w:p>
          <w:p w14:paraId="55C25DBD">
            <w:pPr>
              <w:numPr>
                <w:ilvl w:val="0"/>
                <w:numId w:val="4"/>
              </w:numPr>
              <w:ind w:firstLine="0"/>
              <w:rPr>
                <w:rFonts w:ascii="宋体" w:hAnsi="宋体" w:eastAsia="宋体" w:cs="等线"/>
                <w:b/>
                <w:bCs/>
                <w:szCs w:val="21"/>
              </w:rPr>
            </w:pPr>
            <w:r>
              <w:rPr>
                <w:rFonts w:hint="eastAsia" w:ascii="宋体" w:hAnsi="宋体" w:eastAsia="宋体" w:cs="等线"/>
                <w:b/>
                <w:bCs/>
                <w:szCs w:val="21"/>
              </w:rPr>
              <w:t>电流/电压表</w:t>
            </w:r>
          </w:p>
          <w:p w14:paraId="658230ED">
            <w:pPr>
              <w:rPr>
                <w:rFonts w:ascii="宋体" w:hAnsi="宋体" w:eastAsia="宋体" w:cs="等线"/>
                <w:szCs w:val="21"/>
              </w:rPr>
            </w:pPr>
            <w:r>
              <w:rPr>
                <w:rFonts w:hint="eastAsia" w:ascii="宋体" w:hAnsi="宋体" w:eastAsia="宋体" w:cs="等线"/>
                <w:szCs w:val="21"/>
              </w:rPr>
              <w:t>12.1电流表：量程0-10A，精度≥0.5级</w:t>
            </w:r>
          </w:p>
          <w:p w14:paraId="6CC5D81F">
            <w:pPr>
              <w:rPr>
                <w:rFonts w:ascii="宋体" w:hAnsi="宋体" w:eastAsia="宋体" w:cs="等线"/>
                <w:szCs w:val="21"/>
              </w:rPr>
            </w:pPr>
            <w:r>
              <w:rPr>
                <w:rFonts w:hint="eastAsia" w:ascii="宋体" w:hAnsi="宋体" w:eastAsia="宋体" w:cs="等线"/>
                <w:szCs w:val="21"/>
              </w:rPr>
              <w:t>12.2电压表：量程0-450V，精度≥0.5级</w:t>
            </w:r>
          </w:p>
          <w:p w14:paraId="6A19C019">
            <w:pPr>
              <w:rPr>
                <w:rFonts w:ascii="宋体" w:hAnsi="宋体" w:eastAsia="宋体" w:cs="等线"/>
                <w:szCs w:val="21"/>
              </w:rPr>
            </w:pPr>
            <w:r>
              <w:rPr>
                <w:rFonts w:hint="eastAsia" w:ascii="宋体" w:hAnsi="宋体" w:eastAsia="宋体" w:cs="等线"/>
                <w:szCs w:val="21"/>
              </w:rPr>
              <w:t>12.3输出信号：RS485通讯</w:t>
            </w:r>
          </w:p>
          <w:p w14:paraId="79FBC91B">
            <w:pPr>
              <w:numPr>
                <w:ilvl w:val="0"/>
                <w:numId w:val="4"/>
              </w:numPr>
              <w:ind w:firstLine="0"/>
              <w:rPr>
                <w:rFonts w:ascii="宋体" w:hAnsi="宋体" w:eastAsia="宋体" w:cs="等线"/>
                <w:b/>
                <w:bCs/>
                <w:szCs w:val="21"/>
              </w:rPr>
            </w:pPr>
            <w:r>
              <w:rPr>
                <w:rFonts w:hint="eastAsia" w:ascii="宋体" w:hAnsi="宋体" w:eastAsia="宋体" w:cs="等线"/>
                <w:b/>
                <w:bCs/>
                <w:szCs w:val="21"/>
              </w:rPr>
              <w:t>摄像头（含音频采集）</w:t>
            </w:r>
          </w:p>
          <w:p w14:paraId="1452705D">
            <w:pPr>
              <w:rPr>
                <w:rFonts w:ascii="宋体" w:hAnsi="宋体" w:eastAsia="宋体" w:cs="等线"/>
                <w:szCs w:val="21"/>
              </w:rPr>
            </w:pPr>
            <w:r>
              <w:rPr>
                <w:rFonts w:hint="eastAsia" w:ascii="宋体" w:hAnsi="宋体" w:eastAsia="宋体" w:cs="等线"/>
                <w:szCs w:val="21"/>
              </w:rPr>
              <w:t>13.1像素：≥500万</w:t>
            </w:r>
          </w:p>
          <w:p w14:paraId="29275422">
            <w:pPr>
              <w:rPr>
                <w:rFonts w:ascii="宋体" w:hAnsi="宋体" w:eastAsia="宋体" w:cs="等线"/>
                <w:szCs w:val="21"/>
              </w:rPr>
            </w:pPr>
            <w:r>
              <w:rPr>
                <w:rFonts w:hint="eastAsia" w:ascii="宋体" w:hAnsi="宋体" w:eastAsia="宋体" w:cs="等线"/>
                <w:szCs w:val="21"/>
              </w:rPr>
              <w:t>13.2视频编码：不低于H.264</w:t>
            </w:r>
          </w:p>
          <w:p w14:paraId="55EF4603">
            <w:pPr>
              <w:rPr>
                <w:rFonts w:ascii="宋体" w:hAnsi="宋体" w:eastAsia="宋体" w:cs="等线"/>
                <w:szCs w:val="21"/>
              </w:rPr>
            </w:pPr>
            <w:r>
              <w:rPr>
                <w:rFonts w:hint="eastAsia" w:ascii="宋体" w:hAnsi="宋体" w:eastAsia="宋体" w:cs="等线"/>
                <w:szCs w:val="21"/>
              </w:rPr>
              <w:t>13.3音频采样率：48kHz</w:t>
            </w:r>
          </w:p>
          <w:p w14:paraId="5D182DE5">
            <w:pPr>
              <w:rPr>
                <w:rFonts w:ascii="宋体" w:hAnsi="宋体" w:eastAsia="宋体" w:cs="等线"/>
                <w:szCs w:val="21"/>
              </w:rPr>
            </w:pPr>
            <w:r>
              <w:rPr>
                <w:rFonts w:hint="eastAsia" w:ascii="宋体" w:hAnsi="宋体" w:eastAsia="宋体" w:cs="等线"/>
                <w:szCs w:val="21"/>
              </w:rPr>
              <w:t>13.4传输方式：RJ45以太网，网速需≥10Mbp</w:t>
            </w:r>
          </w:p>
          <w:p w14:paraId="2B61CEFF">
            <w:pPr>
              <w:numPr>
                <w:ilvl w:val="0"/>
                <w:numId w:val="4"/>
              </w:numPr>
              <w:ind w:firstLine="0"/>
              <w:rPr>
                <w:rFonts w:ascii="宋体" w:hAnsi="宋体" w:eastAsia="宋体" w:cs="等线"/>
                <w:b/>
                <w:bCs/>
                <w:szCs w:val="21"/>
              </w:rPr>
            </w:pPr>
            <w:r>
              <w:rPr>
                <w:rFonts w:hint="eastAsia" w:ascii="宋体" w:hAnsi="宋体" w:eastAsia="宋体" w:cs="等线"/>
                <w:b/>
                <w:bCs/>
                <w:szCs w:val="21"/>
              </w:rPr>
              <w:t>PLC系统</w:t>
            </w:r>
          </w:p>
          <w:p w14:paraId="04633B21">
            <w:pPr>
              <w:numPr>
                <w:ilvl w:val="255"/>
                <w:numId w:val="0"/>
              </w:numPr>
              <w:rPr>
                <w:rFonts w:ascii="宋体" w:hAnsi="宋体" w:eastAsia="宋体" w:cs="等线"/>
                <w:szCs w:val="21"/>
              </w:rPr>
            </w:pPr>
            <w:r>
              <w:rPr>
                <w:rFonts w:hint="eastAsia" w:ascii="宋体" w:hAnsi="宋体" w:eastAsia="宋体" w:cs="等线"/>
                <w:szCs w:val="21"/>
              </w:rPr>
              <w:t>14.1CPU：任务最小执行周期不高于3ms，核心频率≥200MHz，缓存≥128KB，运行内存RAM≥128MB，存储空间≥512MB，串口数量≥1，CAN口数量≥1，USB口数量≥1，网口数量≥1，实时总线接口数量≥1。</w:t>
            </w:r>
          </w:p>
          <w:p w14:paraId="4A90E601">
            <w:pPr>
              <w:numPr>
                <w:ilvl w:val="255"/>
                <w:numId w:val="0"/>
              </w:numPr>
              <w:rPr>
                <w:rFonts w:ascii="宋体" w:hAnsi="宋体" w:eastAsia="宋体" w:cs="等线"/>
                <w:szCs w:val="21"/>
              </w:rPr>
            </w:pPr>
            <w:r>
              <w:rPr>
                <w:rFonts w:hint="eastAsia" w:ascii="宋体" w:hAnsi="宋体" w:eastAsia="宋体" w:cs="等线"/>
                <w:szCs w:val="21"/>
              </w:rPr>
              <w:t>14.2数字量IO：电压等级24VDC；数字量输入IO抗干扰滤波时间0~25ms；数字量输出IO负载电流≥0.3A，切换延时≤300μs，切换延时≤2ms。</w:t>
            </w:r>
          </w:p>
          <w:p w14:paraId="537E4A94">
            <w:pPr>
              <w:numPr>
                <w:ilvl w:val="255"/>
                <w:numId w:val="0"/>
              </w:numPr>
              <w:rPr>
                <w:rFonts w:ascii="宋体" w:hAnsi="宋体" w:eastAsia="宋体" w:cs="等线"/>
                <w:szCs w:val="21"/>
              </w:rPr>
            </w:pPr>
            <w:r>
              <w:rPr>
                <w:rFonts w:hint="eastAsia" w:ascii="宋体" w:hAnsi="宋体" w:eastAsia="宋体" w:cs="等线"/>
                <w:szCs w:val="21"/>
              </w:rPr>
              <w:t>14.3模拟量输入：测量范围±10VDC、0~20mA、4~20mA，测量分辨率≥12bit，配置低通滤波器。</w:t>
            </w:r>
          </w:p>
          <w:p w14:paraId="367701F3">
            <w:pPr>
              <w:rPr>
                <w:rFonts w:ascii="宋体" w:hAnsi="宋体" w:eastAsia="宋体" w:cs="等线"/>
                <w:szCs w:val="21"/>
              </w:rPr>
            </w:pPr>
            <w:r>
              <w:rPr>
                <w:rFonts w:hint="eastAsia" w:ascii="宋体" w:hAnsi="宋体" w:eastAsia="宋体" w:cs="等线"/>
                <w:szCs w:val="21"/>
              </w:rPr>
              <w:t>14.4模拟量输出：输出范围±10VDC、0~20mA、4~20mA，输出分辨率≥12bit，配置低通滤波器。</w:t>
            </w:r>
          </w:p>
          <w:p w14:paraId="3F5E79BA">
            <w:pPr>
              <w:numPr>
                <w:ilvl w:val="0"/>
                <w:numId w:val="4"/>
              </w:numPr>
              <w:ind w:firstLine="0"/>
              <w:rPr>
                <w:rFonts w:ascii="宋体" w:hAnsi="宋体" w:eastAsia="宋体" w:cs="等线"/>
                <w:b/>
                <w:bCs/>
                <w:szCs w:val="21"/>
              </w:rPr>
            </w:pPr>
            <w:r>
              <w:rPr>
                <w:rFonts w:hint="eastAsia" w:ascii="宋体" w:hAnsi="宋体" w:eastAsia="宋体" w:cs="等线"/>
                <w:b/>
                <w:bCs/>
                <w:szCs w:val="21"/>
              </w:rPr>
              <w:t>电气设备</w:t>
            </w:r>
          </w:p>
          <w:p w14:paraId="0A035A23">
            <w:pPr>
              <w:rPr>
                <w:rFonts w:ascii="宋体" w:hAnsi="宋体" w:eastAsia="宋体" w:cs="等线"/>
                <w:szCs w:val="21"/>
              </w:rPr>
            </w:pPr>
            <w:r>
              <w:rPr>
                <w:rFonts w:hint="eastAsia" w:ascii="宋体" w:hAnsi="宋体" w:eastAsia="宋体" w:cs="等线"/>
                <w:szCs w:val="21"/>
              </w:rPr>
              <w:t>15.1变频器：额定容量≥1.5kVA，支持矢量控制，支持模拟量、总线指令频率输入，数字量输入分辨率0.01Hz，模拟量输入分辨率1/1000，输出频率精度≥0.1%，具备过流、过载、过热保护功能。</w:t>
            </w:r>
          </w:p>
          <w:p w14:paraId="2F04F3A7">
            <w:pPr>
              <w:rPr>
                <w:rFonts w:ascii="宋体" w:hAnsi="宋体" w:eastAsia="宋体" w:cs="等线"/>
                <w:szCs w:val="21"/>
              </w:rPr>
            </w:pPr>
            <w:r>
              <w:rPr>
                <w:rFonts w:hint="eastAsia" w:ascii="宋体" w:hAnsi="宋体" w:eastAsia="宋体" w:cs="等线"/>
                <w:szCs w:val="21"/>
              </w:rPr>
              <w:t>15.2断路器：绝缘电压≥500V AC、耐冲击电压≥6KV、电气寿命≥10000次、机械寿命≥20000次。</w:t>
            </w:r>
          </w:p>
          <w:p w14:paraId="4E1313DA">
            <w:pPr>
              <w:numPr>
                <w:ilvl w:val="0"/>
                <w:numId w:val="4"/>
              </w:numPr>
              <w:ind w:firstLine="0"/>
              <w:rPr>
                <w:rFonts w:ascii="宋体" w:hAnsi="宋体" w:eastAsia="宋体" w:cs="等线"/>
                <w:b/>
                <w:bCs/>
                <w:szCs w:val="21"/>
              </w:rPr>
            </w:pPr>
            <w:r>
              <w:rPr>
                <w:rFonts w:hint="eastAsia" w:ascii="宋体" w:hAnsi="宋体" w:eastAsia="宋体" w:cs="等线"/>
                <w:b/>
                <w:bCs/>
                <w:szCs w:val="21"/>
              </w:rPr>
              <w:t>HMI</w:t>
            </w:r>
          </w:p>
          <w:p w14:paraId="63DCA171">
            <w:pPr>
              <w:rPr>
                <w:rFonts w:ascii="宋体" w:hAnsi="宋体" w:eastAsia="宋体" w:cs="等线"/>
                <w:szCs w:val="21"/>
              </w:rPr>
            </w:pPr>
            <w:r>
              <w:rPr>
                <w:rFonts w:hint="eastAsia" w:ascii="宋体" w:hAnsi="宋体" w:eastAsia="宋体" w:cs="等线"/>
                <w:szCs w:val="21"/>
              </w:rPr>
              <w:t>16.1尺寸：≥15寸</w:t>
            </w:r>
          </w:p>
          <w:p w14:paraId="6204BC36">
            <w:pPr>
              <w:rPr>
                <w:rFonts w:ascii="宋体" w:hAnsi="宋体" w:eastAsia="宋体" w:cs="等线"/>
                <w:szCs w:val="21"/>
              </w:rPr>
            </w:pPr>
            <w:r>
              <w:rPr>
                <w:rFonts w:hint="eastAsia" w:ascii="宋体" w:hAnsi="宋体" w:eastAsia="宋体" w:cs="等线"/>
                <w:szCs w:val="21"/>
              </w:rPr>
              <w:t>16.2分辨率：≥1920x1080</w:t>
            </w:r>
          </w:p>
          <w:p w14:paraId="051F92D6">
            <w:pPr>
              <w:rPr>
                <w:rFonts w:ascii="宋体" w:hAnsi="宋体" w:eastAsia="宋体" w:cs="等线"/>
                <w:szCs w:val="21"/>
              </w:rPr>
            </w:pPr>
            <w:r>
              <w:rPr>
                <w:rFonts w:hint="eastAsia" w:ascii="宋体" w:hAnsi="宋体" w:eastAsia="宋体" w:cs="等线"/>
                <w:szCs w:val="21"/>
              </w:rPr>
              <w:t>16.3亮度：≥400nits</w:t>
            </w:r>
          </w:p>
          <w:p w14:paraId="2931D26D">
            <w:pPr>
              <w:rPr>
                <w:rFonts w:ascii="宋体" w:hAnsi="宋体" w:eastAsia="宋体" w:cs="等线"/>
                <w:szCs w:val="21"/>
              </w:rPr>
            </w:pPr>
            <w:r>
              <w:rPr>
                <w:rFonts w:hint="eastAsia" w:ascii="宋体" w:hAnsi="宋体" w:eastAsia="宋体" w:cs="等线"/>
                <w:szCs w:val="21"/>
              </w:rPr>
              <w:t>16.4接口：至少2路COM、1路RJ45、1路USB</w:t>
            </w:r>
          </w:p>
          <w:p w14:paraId="1394E413">
            <w:pPr>
              <w:numPr>
                <w:ilvl w:val="0"/>
                <w:numId w:val="4"/>
              </w:numPr>
              <w:ind w:firstLine="0"/>
              <w:rPr>
                <w:rFonts w:ascii="宋体" w:hAnsi="宋体" w:eastAsia="宋体" w:cs="等线"/>
                <w:b/>
                <w:bCs/>
                <w:szCs w:val="21"/>
              </w:rPr>
            </w:pPr>
            <w:r>
              <w:rPr>
                <w:rFonts w:hint="eastAsia" w:ascii="宋体" w:hAnsi="宋体" w:eastAsia="宋体" w:cs="等线"/>
                <w:b/>
                <w:bCs/>
                <w:szCs w:val="21"/>
              </w:rPr>
              <w:t>控制柜</w:t>
            </w:r>
          </w:p>
          <w:p w14:paraId="5AB7763D">
            <w:pPr>
              <w:rPr>
                <w:rFonts w:ascii="宋体" w:hAnsi="宋体" w:eastAsia="宋体" w:cs="等线"/>
                <w:szCs w:val="21"/>
              </w:rPr>
            </w:pPr>
            <w:r>
              <w:rPr>
                <w:rFonts w:hint="eastAsia" w:ascii="宋体" w:hAnsi="宋体" w:eastAsia="宋体" w:cs="等线"/>
                <w:szCs w:val="21"/>
              </w:rPr>
              <w:t>17.1尺寸：约0.7m×0.5m×1.8m（长×宽×高）</w:t>
            </w:r>
          </w:p>
          <w:p w14:paraId="21702CF7">
            <w:pPr>
              <w:rPr>
                <w:rFonts w:ascii="宋体" w:hAnsi="宋体" w:eastAsia="宋体" w:cs="等线"/>
                <w:szCs w:val="21"/>
              </w:rPr>
            </w:pPr>
            <w:r>
              <w:rPr>
                <w:rFonts w:hint="eastAsia" w:ascii="宋体" w:hAnsi="宋体" w:eastAsia="宋体" w:cs="等线"/>
                <w:szCs w:val="21"/>
              </w:rPr>
              <w:t>17.2防护等级：≥IP54</w:t>
            </w:r>
          </w:p>
          <w:p w14:paraId="29269E05">
            <w:pPr>
              <w:rPr>
                <w:rFonts w:ascii="宋体" w:hAnsi="宋体" w:eastAsia="宋体" w:cs="等线"/>
                <w:szCs w:val="21"/>
              </w:rPr>
            </w:pPr>
            <w:r>
              <w:rPr>
                <w:rFonts w:hint="eastAsia" w:ascii="宋体" w:hAnsi="宋体" w:eastAsia="宋体" w:cs="等线"/>
                <w:szCs w:val="21"/>
              </w:rPr>
              <w:t>17.3材质：冷轧钢板，表面喷塑；厚度：1.2-2.0mm</w:t>
            </w:r>
          </w:p>
          <w:p w14:paraId="109AAED3">
            <w:pPr>
              <w:numPr>
                <w:ilvl w:val="0"/>
                <w:numId w:val="4"/>
              </w:numPr>
              <w:ind w:firstLine="0"/>
              <w:rPr>
                <w:rFonts w:ascii="宋体" w:hAnsi="宋体" w:eastAsia="宋体" w:cs="等线"/>
                <w:szCs w:val="21"/>
              </w:rPr>
            </w:pPr>
            <w:r>
              <w:rPr>
                <w:rFonts w:hint="eastAsia" w:ascii="宋体" w:hAnsi="宋体" w:eastAsia="宋体" w:cs="等线"/>
                <w:b/>
                <w:bCs/>
                <w:szCs w:val="21"/>
              </w:rPr>
              <w:t>平板电脑</w:t>
            </w:r>
          </w:p>
          <w:p w14:paraId="5A3C58B4">
            <w:pPr>
              <w:rPr>
                <w:rFonts w:ascii="宋体" w:hAnsi="宋体" w:eastAsia="宋体" w:cs="等线"/>
                <w:szCs w:val="21"/>
              </w:rPr>
            </w:pPr>
            <w:r>
              <w:rPr>
                <w:rFonts w:hint="eastAsia" w:ascii="宋体" w:hAnsi="宋体" w:eastAsia="宋体" w:cs="等线"/>
                <w:szCs w:val="21"/>
              </w:rPr>
              <w:t>18.1尺寸：≥11寸</w:t>
            </w:r>
          </w:p>
          <w:p w14:paraId="25CD5C7C">
            <w:pPr>
              <w:rPr>
                <w:rFonts w:ascii="宋体" w:hAnsi="宋体" w:eastAsia="宋体" w:cs="等线"/>
                <w:szCs w:val="21"/>
              </w:rPr>
            </w:pPr>
            <w:r>
              <w:rPr>
                <w:rFonts w:hint="eastAsia" w:ascii="宋体" w:hAnsi="宋体" w:eastAsia="宋体" w:cs="等线"/>
                <w:szCs w:val="21"/>
              </w:rPr>
              <w:t>18.2分辨率：≥2560x1920</w:t>
            </w:r>
          </w:p>
          <w:p w14:paraId="12F00C19">
            <w:pPr>
              <w:rPr>
                <w:rFonts w:ascii="宋体" w:hAnsi="宋体" w:eastAsia="宋体" w:cs="等线"/>
                <w:szCs w:val="21"/>
              </w:rPr>
            </w:pPr>
            <w:r>
              <w:rPr>
                <w:rFonts w:hint="eastAsia" w:ascii="宋体" w:hAnsi="宋体" w:eastAsia="宋体" w:cs="等线"/>
                <w:szCs w:val="21"/>
              </w:rPr>
              <w:t>18.3亮度：≥600nits</w:t>
            </w:r>
          </w:p>
          <w:p w14:paraId="225EE633">
            <w:pPr>
              <w:rPr>
                <w:rFonts w:ascii="宋体" w:hAnsi="宋体" w:eastAsia="宋体" w:cs="等线"/>
                <w:szCs w:val="21"/>
              </w:rPr>
            </w:pPr>
            <w:r>
              <w:rPr>
                <w:rFonts w:hint="eastAsia" w:ascii="宋体" w:hAnsi="宋体" w:eastAsia="宋体" w:cs="等线"/>
                <w:szCs w:val="21"/>
              </w:rPr>
              <w:t>18.4刷新率：≥120Hz</w:t>
            </w:r>
          </w:p>
          <w:p w14:paraId="02566ED1">
            <w:pPr>
              <w:rPr>
                <w:rFonts w:ascii="宋体" w:hAnsi="宋体" w:eastAsia="宋体" w:cs="等线"/>
                <w:szCs w:val="21"/>
              </w:rPr>
            </w:pPr>
            <w:r>
              <w:rPr>
                <w:rFonts w:hint="eastAsia" w:ascii="宋体" w:hAnsi="宋体" w:eastAsia="宋体" w:cs="等线"/>
                <w:szCs w:val="21"/>
              </w:rPr>
              <w:t>18.5CPU核心：≥6个</w:t>
            </w:r>
          </w:p>
          <w:p w14:paraId="71F97099">
            <w:pPr>
              <w:rPr>
                <w:rFonts w:ascii="宋体" w:hAnsi="宋体" w:eastAsia="宋体" w:cs="等线"/>
                <w:szCs w:val="21"/>
              </w:rPr>
            </w:pPr>
            <w:r>
              <w:rPr>
                <w:rFonts w:hint="eastAsia" w:ascii="宋体" w:hAnsi="宋体" w:eastAsia="宋体" w:cs="等线"/>
                <w:szCs w:val="21"/>
              </w:rPr>
              <w:t>18.6RAM：≥8GB</w:t>
            </w:r>
          </w:p>
          <w:p w14:paraId="213DBABF">
            <w:pPr>
              <w:numPr>
                <w:ilvl w:val="0"/>
                <w:numId w:val="2"/>
              </w:numPr>
              <w:ind w:firstLine="0"/>
              <w:rPr>
                <w:rFonts w:ascii="宋体" w:hAnsi="宋体" w:eastAsia="宋体" w:cs="等线"/>
                <w:b/>
                <w:bCs/>
                <w:szCs w:val="21"/>
              </w:rPr>
            </w:pPr>
            <w:r>
              <w:rPr>
                <w:rFonts w:hint="eastAsia" w:ascii="宋体" w:hAnsi="宋体" w:eastAsia="宋体" w:cs="等线"/>
                <w:b/>
                <w:bCs/>
                <w:szCs w:val="21"/>
              </w:rPr>
              <w:t>仿真实训软件功能要求（70节点）</w:t>
            </w:r>
          </w:p>
          <w:p w14:paraId="5692EDFF">
            <w:pPr>
              <w:ind w:firstLine="0" w:firstLineChars="0"/>
              <w:rPr>
                <w:rFonts w:ascii="宋体" w:hAnsi="宋体" w:eastAsia="宋体" w:cs="等线"/>
                <w:b/>
                <w:bCs/>
                <w:szCs w:val="21"/>
              </w:rPr>
            </w:pPr>
            <w:r>
              <w:rPr>
                <w:rFonts w:hint="eastAsia" w:ascii="宋体" w:hAnsi="宋体" w:eastAsia="宋体" w:cs="等线"/>
                <w:szCs w:val="21"/>
              </w:rPr>
              <w:t>包括孪生监控、孪生仿真、实训教学三大功能模块。</w:t>
            </w:r>
          </w:p>
          <w:p w14:paraId="173CA2C3">
            <w:pPr>
              <w:numPr>
                <w:ilvl w:val="0"/>
                <w:numId w:val="5"/>
              </w:numPr>
              <w:ind w:firstLine="0"/>
              <w:rPr>
                <w:rFonts w:ascii="宋体" w:hAnsi="宋体" w:eastAsia="宋体" w:cs="等线"/>
                <w:b/>
                <w:bCs/>
                <w:szCs w:val="21"/>
              </w:rPr>
            </w:pPr>
            <w:r>
              <w:rPr>
                <w:rFonts w:hint="eastAsia" w:ascii="宋体" w:hAnsi="宋体" w:eastAsia="宋体" w:cs="等线"/>
                <w:b/>
                <w:bCs/>
                <w:szCs w:val="21"/>
              </w:rPr>
              <w:t>整体要求</w:t>
            </w:r>
          </w:p>
          <w:p w14:paraId="40E2795A">
            <w:pPr>
              <w:rPr>
                <w:rFonts w:ascii="宋体" w:hAnsi="宋体" w:eastAsia="宋体" w:cs="等线"/>
                <w:szCs w:val="21"/>
              </w:rPr>
            </w:pPr>
            <w:r>
              <w:rPr>
                <w:rFonts w:hint="eastAsia" w:ascii="宋体" w:hAnsi="宋体" w:eastAsia="宋体" w:cs="等线"/>
                <w:szCs w:val="21"/>
              </w:rPr>
              <w:t>1.1孪生监控实现对硬件设备的数字映射，能实时在孪生模型中可视化所有参数；孪生仿真实现实验的半实物仿真，系统按照实验要求既能进行全数字化的模拟，也能生成控制参数、控制逻辑在硬件设备中运行验证仿真结果；实训教学主要承担教学组织、过程引导与效果评估的功能。</w:t>
            </w:r>
          </w:p>
          <w:p w14:paraId="136CA165">
            <w:pPr>
              <w:rPr>
                <w:rFonts w:ascii="宋体" w:hAnsi="宋体" w:eastAsia="宋体" w:cs="等线"/>
                <w:szCs w:val="21"/>
              </w:rPr>
            </w:pPr>
            <w:r>
              <w:rPr>
                <w:rFonts w:hint="eastAsia" w:ascii="宋体" w:hAnsi="宋体" w:eastAsia="宋体" w:cs="等线"/>
                <w:szCs w:val="21"/>
              </w:rPr>
              <w:t>1.2▲建立与硬件设备1:1的数字模型，包括几何模型、机理模型与规则模型，能够虚实结合实现物理世界与数字世界的交互，实现基于数字孪生技术的实训教学内容</w:t>
            </w:r>
          </w:p>
          <w:p w14:paraId="2B6FFE79">
            <w:pPr>
              <w:rPr>
                <w:rFonts w:ascii="宋体" w:hAnsi="宋体" w:eastAsia="宋体" w:cs="等线"/>
                <w:szCs w:val="21"/>
              </w:rPr>
            </w:pPr>
            <w:r>
              <w:rPr>
                <w:rFonts w:hint="eastAsia" w:ascii="宋体" w:hAnsi="宋体" w:eastAsia="宋体" w:cs="等线"/>
                <w:szCs w:val="21"/>
              </w:rPr>
              <w:t>1.3提供双环给水管网的固定拓扑模型，管段、节点编号清晰标注；支持对节点属性（标高、压力、需水量）和管段属性（长度、直径、粗糙系数）进行编辑与保存；拓扑图支持缩放、平移及局部放大显示。</w:t>
            </w:r>
          </w:p>
          <w:p w14:paraId="7AAD9BC8">
            <w:pPr>
              <w:rPr>
                <w:rFonts w:ascii="宋体" w:hAnsi="宋体" w:eastAsia="宋体" w:cs="等线"/>
                <w:szCs w:val="21"/>
              </w:rPr>
            </w:pPr>
            <w:r>
              <w:rPr>
                <w:rFonts w:hint="eastAsia" w:ascii="宋体" w:hAnsi="宋体" w:eastAsia="宋体" w:cs="等线"/>
                <w:szCs w:val="21"/>
              </w:rPr>
              <w:t>1.4▲支持在孪生模型设定硬件设备的所有控制参数及控制指令，响应周期不超过500ms；实时采集所有设备的状态、参数信息并更新孪生模型状态，更新周期不超过1s(投标文件需给出详细的技术方案、案例并盖章)。</w:t>
            </w:r>
          </w:p>
          <w:p w14:paraId="4CD9D8FB">
            <w:pPr>
              <w:rPr>
                <w:rFonts w:ascii="宋体" w:hAnsi="宋体" w:eastAsia="宋体" w:cs="等线"/>
                <w:szCs w:val="21"/>
              </w:rPr>
            </w:pPr>
            <w:r>
              <w:rPr>
                <w:rFonts w:hint="eastAsia" w:ascii="宋体" w:hAnsi="宋体" w:eastAsia="宋体" w:cs="等线"/>
                <w:szCs w:val="21"/>
              </w:rPr>
              <w:t>1.5内置15项给排水半实物仿真实训实验内容，包括实验流程、参数、控制逻辑、教程资料。</w:t>
            </w:r>
          </w:p>
          <w:p w14:paraId="366AF23B">
            <w:pPr>
              <w:rPr>
                <w:rFonts w:ascii="宋体" w:hAnsi="宋体" w:eastAsia="宋体" w:cs="等线"/>
                <w:szCs w:val="21"/>
              </w:rPr>
            </w:pPr>
            <w:r>
              <w:rPr>
                <w:rFonts w:hint="eastAsia" w:ascii="宋体" w:hAnsi="宋体" w:eastAsia="宋体" w:cs="等线"/>
                <w:szCs w:val="21"/>
              </w:rPr>
              <w:t>1.6▲支持二次开发，通过图形化GUI和脚本工具可配置新的实验实训内容，自动生成硬件设备的控制参数并实现对设备的控制</w:t>
            </w:r>
          </w:p>
          <w:p w14:paraId="39A566C7">
            <w:pPr>
              <w:rPr>
                <w:rFonts w:ascii="宋体" w:hAnsi="宋体" w:eastAsia="宋体" w:cs="等线"/>
                <w:szCs w:val="21"/>
              </w:rPr>
            </w:pPr>
            <w:r>
              <w:rPr>
                <w:rFonts w:hint="eastAsia" w:ascii="宋体" w:hAnsi="宋体" w:eastAsia="宋体" w:cs="等线"/>
                <w:szCs w:val="21"/>
              </w:rPr>
              <w:t>1.7▲具有独立的教师机模块，教师机内置实训教学流程图形化配置工具，能够根据教学内容配置教学信息、实验内容、实验步骤、判定依据等，支持并行、串行流程设置</w:t>
            </w:r>
          </w:p>
          <w:p w14:paraId="0097CF71">
            <w:pPr>
              <w:rPr>
                <w:rFonts w:ascii="宋体" w:hAnsi="宋体" w:eastAsia="宋体" w:cs="等线"/>
                <w:szCs w:val="21"/>
              </w:rPr>
            </w:pPr>
            <w:r>
              <w:rPr>
                <w:rFonts w:ascii="宋体" w:hAnsi="宋体" w:eastAsia="宋体" w:cs="等线"/>
                <w:szCs w:val="21"/>
              </w:rPr>
              <w:t>1.</w:t>
            </w:r>
            <w:r>
              <w:rPr>
                <w:rFonts w:hint="eastAsia" w:ascii="宋体" w:hAnsi="宋体" w:eastAsia="宋体" w:cs="等线"/>
                <w:szCs w:val="21"/>
              </w:rPr>
              <w:t>8</w:t>
            </w:r>
            <w:r>
              <w:rPr>
                <w:rFonts w:ascii="宋体" w:hAnsi="宋体" w:eastAsia="宋体" w:cs="等线"/>
                <w:szCs w:val="21"/>
              </w:rPr>
              <w:t>提供软件质保服务</w:t>
            </w:r>
            <w:r>
              <w:rPr>
                <w:rFonts w:hint="eastAsia" w:ascii="宋体" w:hAnsi="宋体" w:eastAsia="宋体" w:cs="等线"/>
                <w:szCs w:val="21"/>
              </w:rPr>
              <w:t>不少于3年</w:t>
            </w:r>
            <w:r>
              <w:rPr>
                <w:rFonts w:ascii="宋体" w:hAnsi="宋体" w:eastAsia="宋体" w:cs="等线"/>
                <w:szCs w:val="21"/>
              </w:rPr>
              <w:t>，</w:t>
            </w:r>
            <w:r>
              <w:rPr>
                <w:rFonts w:hint="eastAsia" w:ascii="宋体" w:hAnsi="宋体" w:eastAsia="宋体" w:cs="等线"/>
                <w:szCs w:val="21"/>
              </w:rPr>
              <w:t>质保期满后不升级不影响软件正常使用</w:t>
            </w:r>
            <w:r>
              <w:rPr>
                <w:rFonts w:ascii="宋体" w:hAnsi="宋体" w:eastAsia="宋体" w:cs="等线"/>
                <w:szCs w:val="21"/>
              </w:rPr>
              <w:t>；在质量保证期内，需提供提供对应用系统的运行、维护提供24小时的实时技术支持。</w:t>
            </w:r>
          </w:p>
          <w:p w14:paraId="5C0F5483">
            <w:pPr>
              <w:numPr>
                <w:ilvl w:val="0"/>
                <w:numId w:val="5"/>
              </w:numPr>
              <w:ind w:firstLine="0"/>
              <w:rPr>
                <w:rFonts w:ascii="宋体" w:hAnsi="宋体" w:eastAsia="宋体" w:cs="等线"/>
                <w:b/>
                <w:bCs/>
                <w:szCs w:val="21"/>
              </w:rPr>
            </w:pPr>
            <w:r>
              <w:rPr>
                <w:rFonts w:ascii="宋体" w:hAnsi="宋体" w:eastAsia="宋体" w:cs="等线"/>
                <w:b/>
                <w:bCs/>
                <w:szCs w:val="21"/>
              </w:rPr>
              <w:t>仪表与控制实验</w:t>
            </w:r>
          </w:p>
          <w:p w14:paraId="6276EB99">
            <w:pPr>
              <w:rPr>
                <w:rFonts w:ascii="宋体" w:hAnsi="宋体" w:eastAsia="宋体" w:cs="等线"/>
                <w:szCs w:val="21"/>
              </w:rPr>
            </w:pPr>
            <w:r>
              <w:rPr>
                <w:rFonts w:hint="eastAsia" w:ascii="宋体" w:hAnsi="宋体" w:eastAsia="宋体" w:cs="等线"/>
                <w:szCs w:val="21"/>
              </w:rPr>
              <w:t>2.1</w:t>
            </w:r>
            <w:r>
              <w:rPr>
                <w:rFonts w:ascii="宋体" w:hAnsi="宋体" w:eastAsia="宋体" w:cs="等线"/>
                <w:szCs w:val="21"/>
              </w:rPr>
              <w:t>采用三维交互式仿真界面，真实还原现场设备布局与信号</w:t>
            </w:r>
            <w:r>
              <w:rPr>
                <w:rFonts w:hint="eastAsia" w:ascii="宋体" w:hAnsi="宋体" w:eastAsia="宋体" w:cs="等线"/>
                <w:szCs w:val="21"/>
              </w:rPr>
              <w:t>、控制</w:t>
            </w:r>
            <w:r>
              <w:rPr>
                <w:rFonts w:ascii="宋体" w:hAnsi="宋体" w:eastAsia="宋体" w:cs="等线"/>
                <w:szCs w:val="21"/>
              </w:rPr>
              <w:t>流程。</w:t>
            </w:r>
          </w:p>
          <w:p w14:paraId="13D92D10">
            <w:pPr>
              <w:rPr>
                <w:rFonts w:ascii="宋体" w:hAnsi="宋体" w:eastAsia="宋体" w:cs="等线"/>
                <w:szCs w:val="21"/>
              </w:rPr>
            </w:pPr>
            <w:r>
              <w:rPr>
                <w:rFonts w:hint="eastAsia" w:ascii="宋体" w:hAnsi="宋体" w:eastAsia="宋体" w:cs="等线"/>
                <w:szCs w:val="21"/>
              </w:rPr>
              <w:t>2.2▲能设置阀、泵的控制参数与指令，并能实时映射至物理实体；能实时将采集的压力、流量参数映射至数字模型。</w:t>
            </w:r>
          </w:p>
          <w:p w14:paraId="69BB4D90">
            <w:pPr>
              <w:rPr>
                <w:rFonts w:ascii="宋体" w:hAnsi="宋体" w:eastAsia="宋体" w:cs="等线"/>
                <w:szCs w:val="21"/>
              </w:rPr>
            </w:pPr>
            <w:r>
              <w:rPr>
                <w:rFonts w:hint="eastAsia" w:ascii="宋体" w:hAnsi="宋体" w:eastAsia="宋体" w:cs="等线"/>
                <w:szCs w:val="21"/>
              </w:rPr>
              <w:t>2.3</w:t>
            </w:r>
            <w:r>
              <w:rPr>
                <w:rFonts w:ascii="宋体" w:hAnsi="宋体" w:eastAsia="宋体" w:cs="等线"/>
                <w:szCs w:val="21"/>
              </w:rPr>
              <w:t>支持参数实时调节与波形曲线显示。</w:t>
            </w:r>
          </w:p>
          <w:p w14:paraId="140D8190">
            <w:pPr>
              <w:rPr>
                <w:rFonts w:ascii="宋体" w:hAnsi="宋体" w:eastAsia="宋体" w:cs="等线"/>
                <w:szCs w:val="21"/>
              </w:rPr>
            </w:pPr>
            <w:r>
              <w:rPr>
                <w:rFonts w:hint="eastAsia" w:ascii="宋体" w:hAnsi="宋体" w:eastAsia="宋体" w:cs="等线"/>
                <w:szCs w:val="21"/>
              </w:rPr>
              <w:t>2.4</w:t>
            </w:r>
            <w:r>
              <w:rPr>
                <w:rFonts w:ascii="宋体" w:hAnsi="宋体" w:eastAsia="宋体" w:cs="等线"/>
                <w:szCs w:val="21"/>
              </w:rPr>
              <w:t>支持实时显示测量值、设定值、控制输出等运行参数。</w:t>
            </w:r>
          </w:p>
          <w:p w14:paraId="5C59D213">
            <w:pPr>
              <w:numPr>
                <w:ilvl w:val="0"/>
                <w:numId w:val="5"/>
              </w:numPr>
              <w:ind w:firstLine="0"/>
              <w:rPr>
                <w:rFonts w:ascii="宋体" w:hAnsi="宋体" w:eastAsia="宋体" w:cs="等线"/>
                <w:b/>
                <w:bCs/>
                <w:szCs w:val="21"/>
              </w:rPr>
            </w:pPr>
            <w:r>
              <w:rPr>
                <w:rFonts w:hint="eastAsia" w:ascii="宋体" w:hAnsi="宋体" w:eastAsia="宋体" w:cs="等线"/>
                <w:b/>
                <w:bCs/>
                <w:szCs w:val="21"/>
              </w:rPr>
              <w:t>连续流方程验证实验</w:t>
            </w:r>
          </w:p>
          <w:p w14:paraId="0FEB73EA">
            <w:pPr>
              <w:rPr>
                <w:rFonts w:ascii="宋体" w:hAnsi="宋体" w:eastAsia="宋体" w:cs="等线"/>
                <w:szCs w:val="21"/>
              </w:rPr>
            </w:pPr>
            <w:r>
              <w:rPr>
                <w:rFonts w:hint="eastAsia" w:ascii="宋体" w:hAnsi="宋体" w:eastAsia="宋体" w:cs="等线"/>
                <w:szCs w:val="21"/>
              </w:rPr>
              <w:t>3.1连续流方程验证功能具备对各节点进行连续流方程（质量守恒）验证的功能。</w:t>
            </w:r>
          </w:p>
          <w:p w14:paraId="7FE3B931">
            <w:pPr>
              <w:rPr>
                <w:rFonts w:ascii="宋体" w:hAnsi="宋体" w:eastAsia="宋体" w:cs="等线"/>
                <w:szCs w:val="21"/>
              </w:rPr>
            </w:pPr>
            <w:r>
              <w:rPr>
                <w:rFonts w:hint="eastAsia" w:ascii="宋体" w:hAnsi="宋体" w:eastAsia="宋体" w:cs="等线"/>
                <w:szCs w:val="21"/>
              </w:rPr>
              <w:t>3.2支持实时计算各节点入流、出流及流量平衡情况，并在界面显示流量守恒差值。</w:t>
            </w:r>
          </w:p>
          <w:p w14:paraId="7658091A">
            <w:pPr>
              <w:rPr>
                <w:rFonts w:ascii="宋体" w:hAnsi="宋体" w:eastAsia="宋体" w:cs="等线"/>
                <w:szCs w:val="21"/>
              </w:rPr>
            </w:pPr>
            <w:r>
              <w:rPr>
                <w:rFonts w:hint="eastAsia" w:ascii="宋体" w:hAnsi="宋体" w:eastAsia="宋体" w:cs="等线"/>
                <w:szCs w:val="21"/>
              </w:rPr>
              <w:t>3.3提供自动判定节点流量是否平衡（差值是否在设定允许范围内）的功能。</w:t>
            </w:r>
          </w:p>
          <w:p w14:paraId="683EA565">
            <w:pPr>
              <w:rPr>
                <w:rFonts w:ascii="宋体" w:hAnsi="宋体" w:eastAsia="宋体" w:cs="等线"/>
                <w:szCs w:val="21"/>
              </w:rPr>
            </w:pPr>
            <w:r>
              <w:rPr>
                <w:rFonts w:hint="eastAsia" w:ascii="宋体" w:hAnsi="宋体" w:eastAsia="宋体" w:cs="等线"/>
                <w:szCs w:val="21"/>
              </w:rPr>
              <w:t>3.4内置给水管网节点连续流方程验证实验的实验原理介绍、实验步骤指导及注意事项。</w:t>
            </w:r>
          </w:p>
          <w:p w14:paraId="019F4F29">
            <w:pPr>
              <w:numPr>
                <w:ilvl w:val="0"/>
                <w:numId w:val="5"/>
              </w:numPr>
              <w:ind w:firstLine="0"/>
              <w:rPr>
                <w:rFonts w:ascii="宋体" w:hAnsi="宋体" w:eastAsia="宋体" w:cs="等线"/>
                <w:b/>
                <w:bCs/>
                <w:szCs w:val="21"/>
              </w:rPr>
            </w:pPr>
            <w:r>
              <w:rPr>
                <w:rFonts w:hint="eastAsia" w:ascii="宋体" w:hAnsi="宋体" w:eastAsia="宋体" w:cs="等线"/>
                <w:b/>
                <w:bCs/>
                <w:szCs w:val="21"/>
              </w:rPr>
              <w:t>能量方程验证实验</w:t>
            </w:r>
          </w:p>
          <w:p w14:paraId="7FE550D3">
            <w:pPr>
              <w:rPr>
                <w:rFonts w:ascii="宋体" w:hAnsi="宋体" w:eastAsia="宋体" w:cs="等线"/>
                <w:szCs w:val="21"/>
              </w:rPr>
            </w:pPr>
            <w:r>
              <w:rPr>
                <w:rFonts w:hint="eastAsia" w:ascii="宋体" w:hAnsi="宋体" w:eastAsia="宋体" w:cs="等线"/>
                <w:szCs w:val="21"/>
              </w:rPr>
              <w:t>4.1可基于节点压力数据自动完成水头损失计算与闭合差验证，根据采集的节点压力值，结合管段几何参数与流量数据，计算环路中各管段的水头损失。</w:t>
            </w:r>
          </w:p>
          <w:p w14:paraId="2722C5B7">
            <w:pPr>
              <w:rPr>
                <w:rFonts w:ascii="宋体" w:hAnsi="宋体" w:eastAsia="宋体" w:cs="等线"/>
                <w:szCs w:val="21"/>
              </w:rPr>
            </w:pPr>
            <w:r>
              <w:rPr>
                <w:rFonts w:hint="eastAsia" w:ascii="宋体" w:hAnsi="宋体" w:eastAsia="宋体" w:cs="等线"/>
                <w:szCs w:val="21"/>
              </w:rPr>
              <w:t>4.2应支持单环、双环网络分析，自动判断每条管段的压降方向（正向或反向），结果在拓扑图中以箭头或颜色标识，并可显示压降数值。</w:t>
            </w:r>
          </w:p>
          <w:p w14:paraId="06F788DE">
            <w:pPr>
              <w:rPr>
                <w:rFonts w:ascii="宋体" w:hAnsi="宋体" w:eastAsia="宋体" w:cs="等线"/>
                <w:szCs w:val="21"/>
              </w:rPr>
            </w:pPr>
            <w:r>
              <w:rPr>
                <w:rFonts w:hint="eastAsia" w:ascii="宋体" w:hAnsi="宋体" w:eastAsia="宋体" w:cs="等线"/>
                <w:szCs w:val="21"/>
              </w:rPr>
              <w:t>4.3能够对环路进行能量方程平衡检验，计算闭合差，可设定闭合差合格判据，系统自动判断实验是否达标。</w:t>
            </w:r>
          </w:p>
          <w:p w14:paraId="342291C9">
            <w:pPr>
              <w:numPr>
                <w:ilvl w:val="0"/>
                <w:numId w:val="5"/>
              </w:numPr>
              <w:ind w:firstLine="0"/>
              <w:rPr>
                <w:rFonts w:ascii="宋体" w:hAnsi="宋体" w:eastAsia="宋体" w:cs="等线"/>
                <w:b/>
                <w:bCs/>
                <w:szCs w:val="21"/>
              </w:rPr>
            </w:pPr>
            <w:r>
              <w:rPr>
                <w:rFonts w:hint="eastAsia" w:ascii="宋体" w:hAnsi="宋体" w:eastAsia="宋体" w:cs="等线"/>
                <w:b/>
                <w:bCs/>
                <w:szCs w:val="21"/>
              </w:rPr>
              <w:t>平差理论实验</w:t>
            </w:r>
          </w:p>
          <w:p w14:paraId="426F53B8">
            <w:pPr>
              <w:rPr>
                <w:rFonts w:ascii="宋体" w:hAnsi="宋体" w:eastAsia="宋体" w:cs="等线"/>
                <w:szCs w:val="21"/>
              </w:rPr>
            </w:pPr>
            <w:r>
              <w:rPr>
                <w:rFonts w:hint="eastAsia" w:ascii="宋体" w:hAnsi="宋体" w:eastAsia="宋体" w:cs="等线"/>
                <w:szCs w:val="21"/>
              </w:rPr>
              <w:t>5.1能够使用采集的硬件设备数据或导入数据，进行基于最小二乘法的平差计算，自动识别测量数据中的异常值并提示。</w:t>
            </w:r>
          </w:p>
          <w:p w14:paraId="6593727B">
            <w:pPr>
              <w:rPr>
                <w:rFonts w:ascii="宋体" w:hAnsi="宋体" w:eastAsia="宋体" w:cs="等线"/>
                <w:szCs w:val="21"/>
              </w:rPr>
            </w:pPr>
            <w:r>
              <w:rPr>
                <w:rFonts w:hint="eastAsia" w:ascii="宋体" w:hAnsi="宋体" w:eastAsia="宋体" w:cs="等线"/>
                <w:szCs w:val="21"/>
              </w:rPr>
              <w:t>5.2以图表和数据表形式展示平差前后的数据对比；显示每个测点的改正数、残差和标准差。</w:t>
            </w:r>
          </w:p>
          <w:p w14:paraId="3E0BC5FF">
            <w:pPr>
              <w:numPr>
                <w:ilvl w:val="0"/>
                <w:numId w:val="5"/>
              </w:numPr>
              <w:ind w:firstLine="0"/>
              <w:rPr>
                <w:rFonts w:ascii="宋体" w:hAnsi="宋体" w:eastAsia="宋体" w:cs="等线"/>
                <w:b/>
                <w:bCs/>
                <w:szCs w:val="21"/>
              </w:rPr>
            </w:pPr>
            <w:r>
              <w:rPr>
                <w:rFonts w:hint="eastAsia" w:ascii="宋体" w:hAnsi="宋体" w:eastAsia="宋体" w:cs="等线"/>
                <w:b/>
                <w:bCs/>
                <w:szCs w:val="21"/>
              </w:rPr>
              <w:t>节能调控实验</w:t>
            </w:r>
          </w:p>
          <w:p w14:paraId="73283E1C">
            <w:pPr>
              <w:rPr>
                <w:rFonts w:ascii="宋体" w:hAnsi="宋体" w:eastAsia="宋体" w:cs="等线"/>
                <w:szCs w:val="21"/>
              </w:rPr>
            </w:pPr>
            <w:r>
              <w:rPr>
                <w:rFonts w:hint="eastAsia" w:ascii="宋体" w:hAnsi="宋体" w:eastAsia="宋体" w:cs="等线"/>
                <w:szCs w:val="21"/>
              </w:rPr>
              <w:t>6.1支持基于给水管网与泵站运行数据，开展节能运行方案设计与效果评估，实时计算泵站能耗及系统整体能效指标。</w:t>
            </w:r>
          </w:p>
          <w:p w14:paraId="78CBD2FC">
            <w:pPr>
              <w:rPr>
                <w:rFonts w:ascii="宋体" w:hAnsi="宋体" w:eastAsia="宋体" w:cs="等线"/>
                <w:szCs w:val="21"/>
              </w:rPr>
            </w:pPr>
            <w:r>
              <w:rPr>
                <w:rFonts w:hint="eastAsia" w:ascii="宋体" w:hAnsi="宋体" w:eastAsia="宋体" w:cs="等线"/>
                <w:szCs w:val="21"/>
              </w:rPr>
              <w:t>6.2系统应支持多种节能调控策略，如泵站变频调速、阀门调节优化、负荷预测等。</w:t>
            </w:r>
          </w:p>
          <w:p w14:paraId="0360822A">
            <w:pPr>
              <w:rPr>
                <w:rFonts w:ascii="宋体" w:hAnsi="宋体" w:eastAsia="宋体" w:cs="等线"/>
                <w:szCs w:val="21"/>
              </w:rPr>
            </w:pPr>
            <w:r>
              <w:rPr>
                <w:rFonts w:hint="eastAsia" w:ascii="宋体" w:hAnsi="宋体" w:eastAsia="宋体" w:cs="等线"/>
                <w:szCs w:val="21"/>
              </w:rPr>
              <w:t>6.3支持泵站变频调速功能的模拟，包括转速调整与运行状态切换；支持阀门开度自动调节，实现系统压差优化；支持多泵并联运行节能优化控制。</w:t>
            </w:r>
          </w:p>
          <w:p w14:paraId="573FF134">
            <w:pPr>
              <w:numPr>
                <w:ilvl w:val="0"/>
                <w:numId w:val="5"/>
              </w:numPr>
              <w:ind w:firstLine="0"/>
              <w:rPr>
                <w:rFonts w:ascii="宋体" w:hAnsi="宋体" w:eastAsia="宋体" w:cs="等线"/>
                <w:b/>
                <w:bCs/>
                <w:szCs w:val="21"/>
              </w:rPr>
            </w:pPr>
            <w:r>
              <w:rPr>
                <w:rFonts w:hint="eastAsia" w:ascii="宋体" w:hAnsi="宋体" w:eastAsia="宋体" w:cs="等线"/>
                <w:b/>
                <w:bCs/>
                <w:szCs w:val="21"/>
              </w:rPr>
              <w:t>离心泵性能曲线实验</w:t>
            </w:r>
          </w:p>
          <w:p w14:paraId="142372C0">
            <w:pPr>
              <w:rPr>
                <w:rFonts w:ascii="宋体" w:hAnsi="宋体" w:eastAsia="宋体" w:cs="等线"/>
                <w:szCs w:val="21"/>
              </w:rPr>
            </w:pPr>
            <w:r>
              <w:rPr>
                <w:rFonts w:hint="eastAsia" w:ascii="宋体" w:hAnsi="宋体" w:eastAsia="宋体" w:cs="等线"/>
                <w:szCs w:val="21"/>
              </w:rPr>
              <w:t>7.1支持离心泵性能曲线的实验模拟与实测数据分析，能够准确反映泵的流量、扬程、功率和效率等性能参数的关系。</w:t>
            </w:r>
          </w:p>
          <w:p w14:paraId="79259EAE">
            <w:pPr>
              <w:rPr>
                <w:rFonts w:ascii="宋体" w:hAnsi="宋体" w:eastAsia="宋体" w:cs="等线"/>
                <w:szCs w:val="21"/>
              </w:rPr>
            </w:pPr>
            <w:r>
              <w:rPr>
                <w:rFonts w:hint="eastAsia" w:ascii="宋体" w:hAnsi="宋体" w:eastAsia="宋体" w:cs="等线"/>
                <w:szCs w:val="21"/>
              </w:rPr>
              <w:t>7.2应与实验硬件系统无缝集成，支持实时数据采集与动态曲线绘制，显示关键性能点，如最佳效率点（BEP）、关闭阀点、最大流量点。</w:t>
            </w:r>
          </w:p>
          <w:p w14:paraId="4533CBCA">
            <w:pPr>
              <w:rPr>
                <w:rFonts w:ascii="宋体" w:hAnsi="宋体" w:eastAsia="宋体" w:cs="等线"/>
                <w:szCs w:val="21"/>
              </w:rPr>
            </w:pPr>
            <w:r>
              <w:rPr>
                <w:rFonts w:hint="eastAsia" w:ascii="宋体" w:hAnsi="宋体" w:eastAsia="宋体" w:cs="等线"/>
                <w:szCs w:val="21"/>
              </w:rPr>
              <w:t>7.3能够基于采集的硬件设备参数自动绘制流量-扬程、流量-功率、流量-效率曲线。</w:t>
            </w:r>
          </w:p>
          <w:p w14:paraId="7BDFF230">
            <w:pPr>
              <w:numPr>
                <w:ilvl w:val="0"/>
                <w:numId w:val="5"/>
              </w:numPr>
              <w:ind w:firstLine="0"/>
              <w:rPr>
                <w:rFonts w:ascii="宋体" w:hAnsi="宋体" w:eastAsia="宋体" w:cs="等线"/>
                <w:b/>
                <w:bCs/>
                <w:szCs w:val="21"/>
              </w:rPr>
            </w:pPr>
            <w:r>
              <w:rPr>
                <w:rFonts w:hint="eastAsia" w:ascii="宋体" w:hAnsi="宋体" w:eastAsia="宋体" w:cs="等线"/>
                <w:b/>
                <w:bCs/>
                <w:szCs w:val="21"/>
              </w:rPr>
              <w:t>离心泵变速工况曲线实验</w:t>
            </w:r>
          </w:p>
          <w:p w14:paraId="3AECD95E">
            <w:pPr>
              <w:rPr>
                <w:rFonts w:ascii="宋体" w:hAnsi="宋体" w:eastAsia="宋体" w:cs="等线"/>
                <w:szCs w:val="21"/>
              </w:rPr>
            </w:pPr>
            <w:r>
              <w:rPr>
                <w:rFonts w:hint="eastAsia" w:ascii="宋体" w:hAnsi="宋体" w:eastAsia="宋体" w:cs="等线"/>
                <w:szCs w:val="21"/>
              </w:rPr>
              <w:t>8.1支持离心泵在不同转速（变频调速）工况下性能曲线的实验模拟与实时数据采集分析。</w:t>
            </w:r>
          </w:p>
          <w:p w14:paraId="27D8A8F5">
            <w:pPr>
              <w:rPr>
                <w:rFonts w:ascii="宋体" w:hAnsi="宋体" w:eastAsia="宋体" w:cs="等线"/>
                <w:szCs w:val="21"/>
              </w:rPr>
            </w:pPr>
            <w:r>
              <w:rPr>
                <w:rFonts w:hint="eastAsia" w:ascii="宋体" w:hAnsi="宋体" w:eastAsia="宋体" w:cs="等线"/>
                <w:szCs w:val="21"/>
              </w:rPr>
              <w:t>8.2需能够展示流量、扬程、功率及效率等参数随转速变化的关系，体现泵性能的变速特性。</w:t>
            </w:r>
          </w:p>
          <w:p w14:paraId="48F03CC3">
            <w:pPr>
              <w:rPr>
                <w:rFonts w:ascii="宋体" w:hAnsi="宋体" w:eastAsia="宋体" w:cs="等线"/>
                <w:szCs w:val="21"/>
              </w:rPr>
            </w:pPr>
            <w:r>
              <w:rPr>
                <w:rFonts w:hint="eastAsia" w:ascii="宋体" w:hAnsi="宋体" w:eastAsia="宋体" w:cs="等线"/>
                <w:szCs w:val="21"/>
              </w:rPr>
              <w:t>8.3自动绘制各转速对应的流量-扬程、流量-功率、流量-效率曲线；支持转速变化趋势曲线显示，反映泵性能随转速变化的动态响应。</w:t>
            </w:r>
          </w:p>
          <w:p w14:paraId="51DA9803">
            <w:pPr>
              <w:numPr>
                <w:ilvl w:val="0"/>
                <w:numId w:val="5"/>
              </w:numPr>
              <w:ind w:firstLine="0"/>
              <w:rPr>
                <w:rFonts w:ascii="宋体" w:hAnsi="宋体" w:eastAsia="宋体" w:cs="等线"/>
                <w:b/>
                <w:bCs/>
                <w:szCs w:val="21"/>
              </w:rPr>
            </w:pPr>
            <w:r>
              <w:rPr>
                <w:rFonts w:hint="eastAsia" w:ascii="宋体" w:hAnsi="宋体" w:eastAsia="宋体" w:cs="等线"/>
                <w:b/>
                <w:bCs/>
                <w:szCs w:val="21"/>
              </w:rPr>
              <w:t>离心泵并联工况曲线实验</w:t>
            </w:r>
          </w:p>
          <w:p w14:paraId="31B50A1B">
            <w:pPr>
              <w:rPr>
                <w:rFonts w:ascii="宋体" w:hAnsi="宋体" w:eastAsia="宋体" w:cs="等线"/>
                <w:szCs w:val="21"/>
              </w:rPr>
            </w:pPr>
            <w:r>
              <w:rPr>
                <w:rFonts w:hint="eastAsia" w:ascii="宋体" w:hAnsi="宋体" w:eastAsia="宋体" w:cs="等线"/>
                <w:szCs w:val="21"/>
              </w:rPr>
              <w:t>9.1支持对多台离心泵并联工况下性能曲线的实验模拟与数据采集分析，真实反映并联泵组的流量、扬程、功率及效率特性。</w:t>
            </w:r>
          </w:p>
          <w:p w14:paraId="0F01CADF">
            <w:pPr>
              <w:rPr>
                <w:rFonts w:ascii="宋体" w:hAnsi="宋体" w:eastAsia="宋体" w:cs="等线"/>
                <w:szCs w:val="21"/>
              </w:rPr>
            </w:pPr>
            <w:r>
              <w:rPr>
                <w:rFonts w:hint="eastAsia" w:ascii="宋体" w:hAnsi="宋体" w:eastAsia="宋体" w:cs="等线"/>
                <w:szCs w:val="21"/>
              </w:rPr>
              <w:t>9.2支持单泵、多泵组合运行模式，能够切换泵组运行状态并实时采集相应数据。</w:t>
            </w:r>
          </w:p>
          <w:p w14:paraId="4A39B346">
            <w:pPr>
              <w:rPr>
                <w:rFonts w:ascii="宋体" w:hAnsi="宋体" w:eastAsia="宋体" w:cs="等线"/>
                <w:szCs w:val="21"/>
              </w:rPr>
            </w:pPr>
            <w:r>
              <w:rPr>
                <w:rFonts w:hint="eastAsia" w:ascii="宋体" w:hAnsi="宋体" w:eastAsia="宋体" w:cs="等线"/>
                <w:szCs w:val="21"/>
              </w:rPr>
              <w:t>9.3自动绘制并联泵组的流量-扬程、流量-功率及效率曲线；支持单泵性能曲线与泵组性能曲线叠加对比。</w:t>
            </w:r>
          </w:p>
          <w:p w14:paraId="3065D59E">
            <w:pPr>
              <w:numPr>
                <w:ilvl w:val="0"/>
                <w:numId w:val="5"/>
              </w:numPr>
              <w:ind w:firstLine="0"/>
              <w:rPr>
                <w:rFonts w:ascii="宋体" w:hAnsi="宋体" w:eastAsia="宋体" w:cs="等线"/>
                <w:b/>
                <w:bCs/>
                <w:szCs w:val="21"/>
              </w:rPr>
            </w:pPr>
            <w:r>
              <w:rPr>
                <w:rFonts w:hint="eastAsia" w:ascii="宋体" w:hAnsi="宋体" w:eastAsia="宋体" w:cs="等线"/>
                <w:b/>
                <w:bCs/>
                <w:szCs w:val="21"/>
              </w:rPr>
              <w:t>离心泵恒压控制实验</w:t>
            </w:r>
          </w:p>
          <w:p w14:paraId="44563602">
            <w:pPr>
              <w:rPr>
                <w:rFonts w:ascii="宋体" w:hAnsi="宋体" w:eastAsia="宋体" w:cs="等线"/>
                <w:szCs w:val="21"/>
              </w:rPr>
            </w:pPr>
            <w:r>
              <w:rPr>
                <w:rFonts w:hint="eastAsia" w:ascii="宋体" w:hAnsi="宋体" w:eastAsia="宋体" w:cs="等线"/>
                <w:szCs w:val="21"/>
              </w:rPr>
              <w:t>10.1能够实现泵站在设定压力目标下的自动调节和运行模拟；支持实时采集泵流量、扬程、压力、功率等参数，实时反馈并调整泵运行状态。</w:t>
            </w:r>
          </w:p>
          <w:p w14:paraId="62A98BA9">
            <w:pPr>
              <w:rPr>
                <w:rFonts w:ascii="宋体" w:hAnsi="宋体" w:eastAsia="宋体" w:cs="等线"/>
                <w:szCs w:val="21"/>
              </w:rPr>
            </w:pPr>
            <w:r>
              <w:rPr>
                <w:rFonts w:hint="eastAsia" w:ascii="宋体" w:hAnsi="宋体" w:eastAsia="宋体" w:cs="等线"/>
                <w:szCs w:val="21"/>
              </w:rPr>
              <w:t>10.2支持基于压力反馈的自动调速控制，实现设定压力的稳定维持；支持用户自定义压力设定值及控制参数调整能模拟变频器对泵速的调节响应，保证压力恒定。</w:t>
            </w:r>
          </w:p>
          <w:p w14:paraId="4886E97C">
            <w:pPr>
              <w:rPr>
                <w:rFonts w:ascii="宋体" w:hAnsi="宋体" w:eastAsia="宋体" w:cs="等线"/>
                <w:szCs w:val="21"/>
              </w:rPr>
            </w:pPr>
            <w:r>
              <w:rPr>
                <w:rFonts w:hint="eastAsia" w:ascii="宋体" w:hAnsi="宋体" w:eastAsia="宋体" w:cs="等线"/>
                <w:szCs w:val="21"/>
              </w:rPr>
              <w:t>10.3能实时显示压力曲线、泵速曲线及流量变化；计算压力波动范围、响应时间及节能效果指标。</w:t>
            </w:r>
          </w:p>
          <w:p w14:paraId="27216465">
            <w:pPr>
              <w:numPr>
                <w:ilvl w:val="0"/>
                <w:numId w:val="5"/>
              </w:numPr>
              <w:ind w:firstLine="0"/>
              <w:rPr>
                <w:rFonts w:ascii="宋体" w:hAnsi="宋体" w:eastAsia="宋体" w:cs="等线"/>
                <w:b/>
                <w:bCs/>
                <w:szCs w:val="21"/>
              </w:rPr>
            </w:pPr>
            <w:r>
              <w:rPr>
                <w:rFonts w:hint="eastAsia" w:ascii="宋体" w:hAnsi="宋体" w:eastAsia="宋体" w:cs="等线"/>
                <w:b/>
                <w:bCs/>
                <w:szCs w:val="21"/>
              </w:rPr>
              <w:t>离心泵恒流控制实验</w:t>
            </w:r>
          </w:p>
          <w:p w14:paraId="588BBA85">
            <w:pPr>
              <w:rPr>
                <w:rFonts w:ascii="宋体" w:hAnsi="宋体" w:eastAsia="宋体" w:cs="等线"/>
                <w:szCs w:val="21"/>
              </w:rPr>
            </w:pPr>
            <w:r>
              <w:rPr>
                <w:rFonts w:hint="eastAsia" w:ascii="宋体" w:hAnsi="宋体" w:eastAsia="宋体" w:cs="等线"/>
                <w:szCs w:val="21"/>
              </w:rPr>
              <w:t>11.1能够模拟并验证离心泵在恒定流量目标下的自动调节运行过程；实现对流量的实时监测、反馈和调节，验证恒流控制策略在不同负荷工况下的稳定性和节能效果。</w:t>
            </w:r>
          </w:p>
          <w:p w14:paraId="64608E22">
            <w:pPr>
              <w:rPr>
                <w:rFonts w:ascii="宋体" w:hAnsi="宋体" w:eastAsia="宋体" w:cs="等线"/>
                <w:szCs w:val="21"/>
              </w:rPr>
            </w:pPr>
            <w:r>
              <w:rPr>
                <w:rFonts w:hint="eastAsia" w:ascii="宋体" w:hAnsi="宋体" w:eastAsia="宋体" w:cs="等线"/>
                <w:szCs w:val="21"/>
              </w:rPr>
              <w:t>11.2支持在不同管网阻力、泵速条件下的恒流控制实验，反映调节对泵性能的影响。</w:t>
            </w:r>
          </w:p>
          <w:p w14:paraId="2A507F26">
            <w:pPr>
              <w:rPr>
                <w:rFonts w:ascii="宋体" w:hAnsi="宋体" w:eastAsia="宋体" w:cs="等线"/>
                <w:szCs w:val="21"/>
              </w:rPr>
            </w:pPr>
            <w:r>
              <w:rPr>
                <w:rFonts w:hint="eastAsia" w:ascii="宋体" w:hAnsi="宋体" w:eastAsia="宋体" w:cs="等线"/>
                <w:szCs w:val="21"/>
              </w:rPr>
              <w:t>11.3支持基于流量传感器数据的反馈闭环控制，实现对变频器或调节阀的自动调节，保持流量恒定；支持用户设定目标流量值及控制灵敏度；可模拟不同调节方式（如变频调速控制、阀门调节）对恒流效果的差异。</w:t>
            </w:r>
          </w:p>
          <w:p w14:paraId="65DEEEB3">
            <w:pPr>
              <w:numPr>
                <w:ilvl w:val="0"/>
                <w:numId w:val="5"/>
              </w:numPr>
              <w:ind w:firstLine="0"/>
              <w:rPr>
                <w:rFonts w:ascii="宋体" w:hAnsi="宋体" w:eastAsia="宋体" w:cs="等线"/>
                <w:b/>
                <w:bCs/>
                <w:szCs w:val="21"/>
              </w:rPr>
            </w:pPr>
            <w:r>
              <w:rPr>
                <w:rFonts w:ascii="宋体" w:hAnsi="宋体" w:eastAsia="宋体" w:cs="等线"/>
                <w:b/>
                <w:bCs/>
                <w:szCs w:val="21"/>
              </w:rPr>
              <w:t>沿程水损与局部水损实验</w:t>
            </w:r>
          </w:p>
          <w:p w14:paraId="0268B675">
            <w:pPr>
              <w:rPr>
                <w:rFonts w:ascii="宋体" w:hAnsi="宋体" w:eastAsia="宋体" w:cs="等线"/>
                <w:szCs w:val="21"/>
              </w:rPr>
            </w:pPr>
            <w:r>
              <w:rPr>
                <w:rFonts w:hint="eastAsia" w:ascii="宋体" w:hAnsi="宋体" w:eastAsia="宋体" w:cs="等线"/>
                <w:szCs w:val="21"/>
              </w:rPr>
              <w:t>12.1具备沿程水头损失和局部水头损失的实验功能，能够验证达西–魏斯巴赫公式及局部阻力系数公式，分析不同流速、管径、阀门开度等因素对水头损失的影响。</w:t>
            </w:r>
          </w:p>
          <w:p w14:paraId="12F79A4A">
            <w:pPr>
              <w:rPr>
                <w:rFonts w:ascii="宋体" w:hAnsi="宋体" w:eastAsia="宋体" w:cs="等线"/>
                <w:szCs w:val="21"/>
              </w:rPr>
            </w:pPr>
            <w:r>
              <w:rPr>
                <w:rFonts w:hint="eastAsia" w:ascii="宋体" w:hAnsi="宋体" w:eastAsia="宋体" w:cs="等线"/>
                <w:szCs w:val="21"/>
              </w:rPr>
              <w:t>12.2支持沿程损失分项测量、单独分析和综合验证，能够在不同流量条件下测定单位长度的水头损失，绘制沿程水损曲线；自动计算并显示沿程阻力系数λ，并与理论公式计算值进行对比分析。</w:t>
            </w:r>
          </w:p>
          <w:p w14:paraId="115CAB6D">
            <w:pPr>
              <w:rPr>
                <w:rFonts w:ascii="宋体" w:hAnsi="宋体" w:eastAsia="宋体" w:cs="等线"/>
                <w:szCs w:val="21"/>
              </w:rPr>
            </w:pPr>
            <w:r>
              <w:rPr>
                <w:rFonts w:hint="eastAsia" w:ascii="宋体" w:hAnsi="宋体" w:eastAsia="宋体" w:cs="等线"/>
                <w:szCs w:val="21"/>
              </w:rPr>
              <w:t>12.3支持局部损失分项测量、单独分析和综合验证，能够测定局部构件在不同流量下的水头损失，计算局部阻力系数ζ；支持调节阀门开度，并实时测量对应的局部损失变化。</w:t>
            </w:r>
          </w:p>
          <w:p w14:paraId="08D40568">
            <w:pPr>
              <w:numPr>
                <w:ilvl w:val="0"/>
                <w:numId w:val="5"/>
              </w:numPr>
              <w:ind w:firstLine="0"/>
              <w:rPr>
                <w:rFonts w:ascii="宋体" w:hAnsi="宋体" w:eastAsia="宋体" w:cs="等线"/>
                <w:b/>
                <w:bCs/>
                <w:szCs w:val="21"/>
              </w:rPr>
            </w:pPr>
            <w:r>
              <w:rPr>
                <w:rFonts w:ascii="宋体" w:hAnsi="宋体" w:eastAsia="宋体" w:cs="等线"/>
                <w:b/>
                <w:bCs/>
                <w:szCs w:val="21"/>
              </w:rPr>
              <w:t>管道DMA分区实验</w:t>
            </w:r>
          </w:p>
          <w:p w14:paraId="364D1805">
            <w:pPr>
              <w:rPr>
                <w:rFonts w:ascii="宋体" w:hAnsi="宋体" w:eastAsia="宋体" w:cs="等线"/>
                <w:szCs w:val="21"/>
              </w:rPr>
            </w:pPr>
            <w:r>
              <w:rPr>
                <w:rFonts w:hint="eastAsia" w:ascii="宋体" w:hAnsi="宋体" w:eastAsia="宋体" w:cs="等线"/>
                <w:szCs w:val="21"/>
              </w:rPr>
              <w:t>13.1具备模拟给水系统中管网DMA（District Metered Area，分区计量管理区）分区运行的实验功能；通过实验验证DMA分区在流量监测、压力控制、漏损分析与节能调度等方面的作用。</w:t>
            </w:r>
          </w:p>
          <w:p w14:paraId="4760F5C2">
            <w:pPr>
              <w:rPr>
                <w:rFonts w:ascii="宋体" w:hAnsi="宋体" w:eastAsia="宋体" w:cs="等线"/>
                <w:szCs w:val="21"/>
              </w:rPr>
            </w:pPr>
            <w:r>
              <w:rPr>
                <w:rFonts w:hint="eastAsia" w:ascii="宋体" w:hAnsi="宋体" w:eastAsia="宋体" w:cs="等线"/>
                <w:szCs w:val="21"/>
              </w:rPr>
              <w:t>13.2▲具备2个以上可独立控制的供水分区，分区间可通过阀门进行连通或隔断；各分区应具备独立的进水流量计、压力传感器及调节阀；可模拟分区供水、跨区调水、分区隔离等运行工况。</w:t>
            </w:r>
          </w:p>
          <w:p w14:paraId="19EEB65B">
            <w:pPr>
              <w:rPr>
                <w:rFonts w:ascii="宋体" w:hAnsi="宋体" w:eastAsia="宋体" w:cs="等线"/>
                <w:szCs w:val="21"/>
              </w:rPr>
            </w:pPr>
            <w:r>
              <w:rPr>
                <w:rFonts w:hint="eastAsia" w:ascii="宋体" w:hAnsi="宋体" w:eastAsia="宋体" w:cs="等线"/>
                <w:szCs w:val="21"/>
              </w:rPr>
              <w:t>13.3能够实时采集各分区流量、压力等参数；支持监测分区用水量变化，计算漏损率并进行趋势分析；支持DMA分区运行的远程监控与本地控制。</w:t>
            </w:r>
          </w:p>
          <w:p w14:paraId="5FFCD576">
            <w:pPr>
              <w:numPr>
                <w:ilvl w:val="0"/>
                <w:numId w:val="5"/>
              </w:numPr>
              <w:ind w:firstLine="0"/>
              <w:rPr>
                <w:rFonts w:ascii="宋体" w:hAnsi="宋体" w:eastAsia="宋体" w:cs="等线"/>
                <w:b/>
                <w:bCs/>
                <w:szCs w:val="21"/>
              </w:rPr>
            </w:pPr>
            <w:r>
              <w:rPr>
                <w:rFonts w:ascii="宋体" w:hAnsi="宋体" w:eastAsia="宋体" w:cs="等线"/>
                <w:b/>
                <w:bCs/>
                <w:szCs w:val="21"/>
              </w:rPr>
              <w:t>漏损监测与分析</w:t>
            </w:r>
          </w:p>
          <w:p w14:paraId="73D60F82">
            <w:pPr>
              <w:rPr>
                <w:rFonts w:ascii="宋体" w:hAnsi="宋体" w:eastAsia="宋体" w:cs="等线"/>
                <w:szCs w:val="21"/>
              </w:rPr>
            </w:pPr>
            <w:r>
              <w:rPr>
                <w:rFonts w:hint="eastAsia" w:ascii="宋体" w:hAnsi="宋体" w:eastAsia="宋体" w:cs="等线"/>
                <w:szCs w:val="21"/>
              </w:rPr>
              <w:t>14.1具备模拟管网中漏损发生、监测与分析的实验功能；通过实验验证不同漏损位置、漏损规模和运行工况下，管网流量、压力的变化规律；具备漏损实时监测、数据分析、漏点定位与节能策略验证等功能。</w:t>
            </w:r>
          </w:p>
          <w:p w14:paraId="37851ECA">
            <w:pPr>
              <w:rPr>
                <w:rFonts w:ascii="宋体" w:hAnsi="宋体" w:eastAsia="宋体" w:cs="等线"/>
                <w:szCs w:val="21"/>
              </w:rPr>
            </w:pPr>
            <w:r>
              <w:rPr>
                <w:rFonts w:hint="eastAsia" w:ascii="宋体" w:hAnsi="宋体" w:eastAsia="宋体" w:cs="等线"/>
                <w:szCs w:val="21"/>
              </w:rPr>
              <w:t>14.2▲能够在管道系统任意位置模拟可控漏损，泄漏流量可调节；漏损发生位置可选固定点或多个可切换点，以模拟多处漏损场景；漏损流量范围可覆盖微小渗漏（&lt;1%流量）到突发性破管（&gt;20%流量）。</w:t>
            </w:r>
          </w:p>
          <w:p w14:paraId="058AB871">
            <w:pPr>
              <w:rPr>
                <w:rFonts w:ascii="宋体" w:hAnsi="宋体" w:eastAsia="宋体" w:cs="等线"/>
                <w:szCs w:val="21"/>
              </w:rPr>
            </w:pPr>
            <w:r>
              <w:rPr>
                <w:rFonts w:hint="eastAsia" w:ascii="宋体" w:hAnsi="宋体" w:eastAsia="宋体" w:cs="等线"/>
                <w:szCs w:val="21"/>
              </w:rPr>
              <w:t>14.3▲通过高精度流量计和压力传感器实时采集管网运行数据；系统可对比有无漏损工况下的流量、压力曲线，分析特征变化；能够自动计算漏损率（以DMA分区水量平衡法或最小夜流法为基础）。</w:t>
            </w:r>
          </w:p>
          <w:p w14:paraId="1E4A202A">
            <w:pPr>
              <w:rPr>
                <w:rFonts w:ascii="宋体" w:hAnsi="宋体" w:eastAsia="宋体" w:cs="等线"/>
                <w:szCs w:val="21"/>
              </w:rPr>
            </w:pPr>
            <w:r>
              <w:rPr>
                <w:rFonts w:hint="eastAsia" w:ascii="宋体" w:hAnsi="宋体" w:eastAsia="宋体" w:cs="等线"/>
                <w:szCs w:val="21"/>
              </w:rPr>
              <w:t>14.4具备利用流量差法、压力梯度法等基本算法进行漏损定位的功能；系统界面可显示管网拓扑和疑似漏点位置。</w:t>
            </w:r>
          </w:p>
          <w:p w14:paraId="1F00B91A">
            <w:pPr>
              <w:numPr>
                <w:ilvl w:val="0"/>
                <w:numId w:val="5"/>
              </w:numPr>
              <w:ind w:firstLine="0"/>
              <w:rPr>
                <w:rFonts w:ascii="宋体" w:hAnsi="宋体" w:eastAsia="宋体" w:cs="等线"/>
                <w:b/>
                <w:bCs/>
                <w:szCs w:val="21"/>
              </w:rPr>
            </w:pPr>
            <w:r>
              <w:rPr>
                <w:rFonts w:ascii="宋体" w:hAnsi="宋体" w:eastAsia="宋体" w:cs="等线"/>
                <w:b/>
                <w:bCs/>
                <w:szCs w:val="21"/>
              </w:rPr>
              <w:t>水力能耗优化调度实验</w:t>
            </w:r>
          </w:p>
          <w:p w14:paraId="575DDDFE">
            <w:pPr>
              <w:rPr>
                <w:rFonts w:ascii="宋体" w:hAnsi="宋体" w:eastAsia="宋体" w:cs="等线"/>
                <w:szCs w:val="21"/>
              </w:rPr>
            </w:pPr>
            <w:r>
              <w:rPr>
                <w:rFonts w:hint="eastAsia" w:ascii="宋体" w:hAnsi="宋体" w:eastAsia="宋体" w:cs="等线"/>
                <w:szCs w:val="21"/>
              </w:rPr>
              <w:t>15.1综合应用连续流方程、能量方程和平差理论，对管网运行参数进行多目标优化（压力稳定+能耗最低），掌握基于实时监测数据的泵站变频控制策略。</w:t>
            </w:r>
          </w:p>
          <w:p w14:paraId="0C324DB6">
            <w:pPr>
              <w:rPr>
                <w:rFonts w:ascii="宋体" w:hAnsi="宋体" w:eastAsia="宋体" w:cs="等线"/>
                <w:szCs w:val="21"/>
              </w:rPr>
            </w:pPr>
            <w:r>
              <w:rPr>
                <w:rFonts w:hint="eastAsia" w:ascii="宋体" w:hAnsi="宋体" w:eastAsia="宋体" w:cs="等线"/>
                <w:szCs w:val="21"/>
              </w:rPr>
              <w:t>15.2能在双环9管段8节点的已知拓扑结构下，模拟不同用户用水负荷曲线。</w:t>
            </w:r>
          </w:p>
          <w:p w14:paraId="383FB8BB">
            <w:pPr>
              <w:rPr>
                <w:rFonts w:ascii="宋体" w:hAnsi="宋体" w:eastAsia="宋体" w:cs="等线"/>
                <w:szCs w:val="21"/>
              </w:rPr>
            </w:pPr>
            <w:r>
              <w:rPr>
                <w:rFonts w:hint="eastAsia" w:ascii="宋体" w:hAnsi="宋体" w:eastAsia="宋体" w:cs="等线"/>
                <w:szCs w:val="21"/>
              </w:rPr>
              <w:t>15.3▲能自动调整泵站转速与阀门开度，记录全网流量、压力和功率消耗。</w:t>
            </w:r>
          </w:p>
          <w:p w14:paraId="7DF70115">
            <w:pPr>
              <w:rPr>
                <w:rFonts w:ascii="宋体" w:hAnsi="宋体" w:eastAsia="宋体" w:cs="等线"/>
                <w:szCs w:val="21"/>
              </w:rPr>
            </w:pPr>
            <w:r>
              <w:rPr>
                <w:rFonts w:hint="eastAsia" w:ascii="宋体" w:hAnsi="宋体" w:eastAsia="宋体" w:cs="等线"/>
                <w:szCs w:val="21"/>
              </w:rPr>
              <w:t>15.4应用能耗计算公式与平差理论对运行工况进行分析，寻找最优调度方案。</w:t>
            </w:r>
          </w:p>
          <w:p w14:paraId="040BA9F2">
            <w:pPr>
              <w:numPr>
                <w:ilvl w:val="0"/>
                <w:numId w:val="5"/>
              </w:numPr>
              <w:ind w:firstLine="0"/>
              <w:rPr>
                <w:rFonts w:ascii="宋体" w:hAnsi="宋体" w:eastAsia="宋体" w:cs="等线"/>
                <w:b/>
                <w:bCs/>
                <w:szCs w:val="21"/>
              </w:rPr>
            </w:pPr>
            <w:r>
              <w:rPr>
                <w:rFonts w:ascii="宋体" w:hAnsi="宋体" w:eastAsia="宋体" w:cs="等线"/>
                <w:b/>
                <w:bCs/>
                <w:szCs w:val="21"/>
              </w:rPr>
              <w:t>突发工况应急调控实验</w:t>
            </w:r>
          </w:p>
          <w:p w14:paraId="2B9A2287">
            <w:pPr>
              <w:rPr>
                <w:rFonts w:ascii="宋体" w:hAnsi="宋体" w:eastAsia="宋体" w:cs="等线"/>
                <w:szCs w:val="21"/>
              </w:rPr>
            </w:pPr>
            <w:r>
              <w:rPr>
                <w:rFonts w:hint="eastAsia" w:ascii="宋体" w:hAnsi="宋体" w:eastAsia="宋体" w:cs="等线"/>
                <w:szCs w:val="21"/>
              </w:rPr>
              <w:t>16.1能够基于数字模型模拟管道破裂、阀门故障等突发事件，研究管网的压力波动与流向变化，掌握快速切换供水路径和控制策略的能力。</w:t>
            </w:r>
          </w:p>
          <w:p w14:paraId="72CF8A78">
            <w:pPr>
              <w:rPr>
                <w:rFonts w:ascii="宋体" w:hAnsi="宋体" w:eastAsia="宋体" w:cs="等线"/>
                <w:szCs w:val="21"/>
              </w:rPr>
            </w:pPr>
            <w:r>
              <w:rPr>
                <w:rFonts w:hint="eastAsia" w:ascii="宋体" w:hAnsi="宋体" w:eastAsia="宋体" w:cs="等线"/>
                <w:szCs w:val="21"/>
              </w:rPr>
              <w:t>16.2软件数字模型预置常见突发工况，如管道破裂、阀门故障。</w:t>
            </w:r>
          </w:p>
          <w:p w14:paraId="5B28BFFB">
            <w:pPr>
              <w:rPr>
                <w:rFonts w:ascii="宋体" w:hAnsi="宋体" w:eastAsia="宋体" w:cs="等线"/>
                <w:szCs w:val="21"/>
              </w:rPr>
            </w:pPr>
            <w:r>
              <w:rPr>
                <w:rFonts w:hint="eastAsia" w:ascii="宋体" w:hAnsi="宋体" w:eastAsia="宋体" w:cs="等线"/>
                <w:szCs w:val="21"/>
              </w:rPr>
              <w:t>16.3支持在数字模型设置设置某节点或管段的突发关闭或泄漏。</w:t>
            </w:r>
          </w:p>
          <w:p w14:paraId="22CA96C3">
            <w:pPr>
              <w:rPr>
                <w:rFonts w:ascii="宋体" w:hAnsi="宋体" w:eastAsia="宋体" w:cs="等线"/>
                <w:szCs w:val="21"/>
              </w:rPr>
            </w:pPr>
            <w:r>
              <w:rPr>
                <w:rFonts w:hint="eastAsia" w:ascii="宋体" w:hAnsi="宋体" w:eastAsia="宋体" w:cs="等线"/>
                <w:szCs w:val="21"/>
              </w:rPr>
              <w:t>16.4▲软件能模拟自动监测压力、流量、泵站功率的瞬态变化，并启用应急调度策略（切换阀门、变速运行、临时加压等），恢复稳定供水。</w:t>
            </w:r>
          </w:p>
          <w:p w14:paraId="43C25BAA">
            <w:pPr>
              <w:numPr>
                <w:ilvl w:val="0"/>
                <w:numId w:val="1"/>
              </w:numPr>
              <w:ind w:firstLine="0"/>
              <w:rPr>
                <w:rFonts w:ascii="宋体" w:hAnsi="宋体" w:eastAsia="宋体" w:cs="等线"/>
                <w:b/>
                <w:bCs/>
                <w:szCs w:val="21"/>
              </w:rPr>
            </w:pPr>
            <w:r>
              <w:rPr>
                <w:rFonts w:hint="eastAsia" w:ascii="宋体" w:hAnsi="宋体" w:eastAsia="宋体" w:cs="等线"/>
                <w:b/>
                <w:bCs/>
                <w:szCs w:val="21"/>
              </w:rPr>
              <w:t>配套管道非开挖修复虚拟仿真软件（70节点）</w:t>
            </w:r>
          </w:p>
          <w:p w14:paraId="39AFFC41">
            <w:pPr>
              <w:ind w:firstLine="0" w:firstLineChars="0"/>
              <w:rPr>
                <w:rFonts w:ascii="宋体" w:hAnsi="宋体" w:eastAsia="宋体" w:cs="等线"/>
                <w:szCs w:val="21"/>
              </w:rPr>
            </w:pPr>
            <w:r>
              <w:rPr>
                <w:rFonts w:hint="eastAsia" w:ascii="宋体" w:hAnsi="宋体" w:eastAsia="宋体" w:cs="等线"/>
                <w:szCs w:val="21"/>
              </w:rPr>
              <w:t>软件主要涵盖：漫游功能、CCTV模拟功能、知识展示功能、结构性缺陷模拟、功能性缺陷模拟、非开挖管道预处理技术仿真模块、非开挖修复技术数字化教学模块。</w:t>
            </w:r>
          </w:p>
          <w:p w14:paraId="08B6ABAF">
            <w:pPr>
              <w:numPr>
                <w:ilvl w:val="0"/>
                <w:numId w:val="6"/>
              </w:numPr>
              <w:ind w:firstLine="0"/>
              <w:rPr>
                <w:rFonts w:ascii="宋体" w:hAnsi="宋体" w:eastAsia="宋体" w:cs="等线"/>
                <w:b/>
                <w:bCs/>
                <w:szCs w:val="21"/>
              </w:rPr>
            </w:pPr>
            <w:r>
              <w:rPr>
                <w:rFonts w:hint="eastAsia" w:ascii="宋体" w:hAnsi="宋体" w:eastAsia="宋体" w:cs="等线"/>
                <w:b/>
                <w:bCs/>
                <w:szCs w:val="21"/>
              </w:rPr>
              <w:t>漫游功能</w:t>
            </w:r>
          </w:p>
          <w:p w14:paraId="137FD350">
            <w:pPr>
              <w:rPr>
                <w:rFonts w:ascii="宋体" w:hAnsi="宋体" w:eastAsia="宋体" w:cs="等线"/>
                <w:szCs w:val="21"/>
              </w:rPr>
            </w:pPr>
            <w:r>
              <w:rPr>
                <w:rFonts w:hint="eastAsia" w:ascii="宋体" w:hAnsi="宋体" w:eastAsia="宋体" w:cs="等线"/>
                <w:szCs w:val="21"/>
              </w:rPr>
              <w:t>1.1支持第一视角漫游，可借助键盘操控移动，利用鼠标控制方向。</w:t>
            </w:r>
          </w:p>
          <w:p w14:paraId="00AC504C">
            <w:pPr>
              <w:rPr>
                <w:rFonts w:ascii="宋体" w:hAnsi="宋体" w:eastAsia="宋体" w:cs="等线"/>
                <w:szCs w:val="21"/>
              </w:rPr>
            </w:pPr>
            <w:r>
              <w:rPr>
                <w:rFonts w:hint="eastAsia" w:ascii="宋体" w:hAnsi="宋体" w:eastAsia="宋体" w:cs="等线"/>
                <w:szCs w:val="21"/>
              </w:rPr>
              <w:t>1.2具备上帝视角（</w:t>
            </w:r>
            <w:r>
              <w:rPr>
                <w:rFonts w:hint="eastAsia"/>
              </w:rPr>
              <w:t>俯视视角</w:t>
            </w:r>
            <w:r>
              <w:rPr>
                <w:rFonts w:hint="eastAsia" w:ascii="宋体" w:hAnsi="宋体" w:eastAsia="宋体" w:cs="等线"/>
                <w:szCs w:val="21"/>
              </w:rPr>
              <w:t>），能够快速定位至管道的任意位置。</w:t>
            </w:r>
          </w:p>
          <w:p w14:paraId="32869166">
            <w:pPr>
              <w:rPr>
                <w:rFonts w:ascii="宋体" w:hAnsi="宋体" w:eastAsia="宋体" w:cs="等线"/>
                <w:szCs w:val="21"/>
              </w:rPr>
            </w:pPr>
            <w:r>
              <w:rPr>
                <w:rFonts w:hint="eastAsia" w:ascii="宋体" w:hAnsi="宋体" w:eastAsia="宋体" w:cs="等线"/>
                <w:szCs w:val="21"/>
              </w:rPr>
              <w:t>1.3 实现自动寻路漫游，按照指定的管道节点顺序行进，支持多种漫游模式的自由切换。</w:t>
            </w:r>
          </w:p>
          <w:p w14:paraId="70AFC7C3">
            <w:pPr>
              <w:numPr>
                <w:ilvl w:val="0"/>
                <w:numId w:val="6"/>
              </w:numPr>
              <w:ind w:firstLine="0"/>
              <w:rPr>
                <w:rFonts w:ascii="宋体" w:hAnsi="宋体" w:eastAsia="宋体" w:cs="等线"/>
                <w:b/>
                <w:bCs/>
                <w:szCs w:val="21"/>
              </w:rPr>
            </w:pPr>
            <w:r>
              <w:rPr>
                <w:rFonts w:hint="eastAsia" w:ascii="宋体" w:hAnsi="宋体" w:eastAsia="宋体" w:cs="等线"/>
                <w:b/>
                <w:bCs/>
                <w:szCs w:val="21"/>
              </w:rPr>
              <w:t>CCTV模拟功能</w:t>
            </w:r>
          </w:p>
          <w:p w14:paraId="5127B40A">
            <w:pPr>
              <w:rPr>
                <w:rFonts w:ascii="宋体" w:hAnsi="宋体" w:eastAsia="宋体" w:cs="等线"/>
                <w:szCs w:val="21"/>
              </w:rPr>
            </w:pPr>
            <w:r>
              <w:rPr>
                <w:rFonts w:hint="eastAsia" w:ascii="宋体" w:hAnsi="宋体" w:eastAsia="宋体" w:cs="等线"/>
                <w:szCs w:val="21"/>
              </w:rPr>
              <w:t>对 CCTV 镜头在管道内的漫游过程进行模拟，实时呈现管道内部的模拟情境。</w:t>
            </w:r>
          </w:p>
          <w:p w14:paraId="29303708">
            <w:pPr>
              <w:numPr>
                <w:ilvl w:val="0"/>
                <w:numId w:val="6"/>
              </w:numPr>
              <w:ind w:firstLine="0"/>
              <w:rPr>
                <w:rFonts w:ascii="宋体" w:hAnsi="宋体" w:eastAsia="宋体" w:cs="等线"/>
                <w:b/>
                <w:bCs/>
                <w:szCs w:val="21"/>
              </w:rPr>
            </w:pPr>
            <w:r>
              <w:rPr>
                <w:rFonts w:hint="eastAsia" w:ascii="宋体" w:hAnsi="宋体" w:eastAsia="宋体" w:cs="等线"/>
                <w:b/>
                <w:bCs/>
                <w:szCs w:val="21"/>
              </w:rPr>
              <w:t>知识展示功能</w:t>
            </w:r>
          </w:p>
          <w:p w14:paraId="061CAF4F">
            <w:pPr>
              <w:rPr>
                <w:rFonts w:ascii="宋体" w:hAnsi="宋体" w:eastAsia="宋体" w:cs="等线"/>
                <w:szCs w:val="21"/>
              </w:rPr>
            </w:pPr>
            <w:r>
              <w:rPr>
                <w:rFonts w:hint="eastAsia" w:ascii="宋体" w:hAnsi="宋体" w:eastAsia="宋体" w:cs="等线"/>
                <w:szCs w:val="21"/>
              </w:rPr>
              <w:t>以图文、动画、视频等形式呈现关于缺陷概述、成因、检测流程、表格规范、影像判读及处理方法等方面的知识。</w:t>
            </w:r>
          </w:p>
          <w:p w14:paraId="7F331AA0">
            <w:pPr>
              <w:numPr>
                <w:ilvl w:val="0"/>
                <w:numId w:val="6"/>
              </w:numPr>
              <w:ind w:firstLine="0"/>
              <w:rPr>
                <w:rFonts w:ascii="宋体" w:hAnsi="宋体" w:eastAsia="宋体" w:cs="等线"/>
                <w:b/>
                <w:bCs/>
                <w:szCs w:val="21"/>
              </w:rPr>
            </w:pPr>
            <w:r>
              <w:rPr>
                <w:rFonts w:hint="eastAsia" w:ascii="宋体" w:hAnsi="宋体" w:eastAsia="宋体" w:cs="等线"/>
                <w:b/>
                <w:bCs/>
                <w:szCs w:val="21"/>
              </w:rPr>
              <w:t>结构性缺陷模拟</w:t>
            </w:r>
          </w:p>
          <w:p w14:paraId="2C126863">
            <w:pPr>
              <w:rPr>
                <w:rFonts w:ascii="宋体" w:hAnsi="宋体" w:eastAsia="宋体" w:cs="等线"/>
                <w:szCs w:val="21"/>
              </w:rPr>
            </w:pPr>
            <w:r>
              <w:rPr>
                <w:rFonts w:hint="eastAsia" w:ascii="宋体" w:hAnsi="宋体" w:eastAsia="宋体" w:cs="等线"/>
                <w:szCs w:val="21"/>
              </w:rPr>
              <w:t>4.1破裂：对裂痕、裂口、破碎、坍塌等破裂状态进行模拟。</w:t>
            </w:r>
          </w:p>
          <w:p w14:paraId="6B0810D2">
            <w:pPr>
              <w:rPr>
                <w:rFonts w:ascii="宋体" w:hAnsi="宋体" w:eastAsia="宋体" w:cs="等线"/>
                <w:szCs w:val="21"/>
              </w:rPr>
            </w:pPr>
            <w:r>
              <w:rPr>
                <w:rFonts w:hint="eastAsia" w:ascii="宋体" w:hAnsi="宋体" w:eastAsia="宋体" w:cs="等线"/>
                <w:szCs w:val="21"/>
              </w:rPr>
              <w:t>4.2变形：区分变形程度为管径≤5%、5% - 15%、15% - 25%、&gt;25% 这四种情形。</w:t>
            </w:r>
          </w:p>
          <w:p w14:paraId="0E59A063">
            <w:pPr>
              <w:rPr>
                <w:rFonts w:ascii="宋体" w:hAnsi="宋体" w:eastAsia="宋体" w:cs="等线"/>
                <w:szCs w:val="21"/>
              </w:rPr>
            </w:pPr>
            <w:r>
              <w:rPr>
                <w:rFonts w:hint="eastAsia" w:ascii="宋体" w:hAnsi="宋体" w:eastAsia="宋体" w:cs="等线"/>
                <w:szCs w:val="21"/>
              </w:rPr>
              <w:t>4.3腐蚀：模拟轻度、中度、重度三种腐蚀状态。</w:t>
            </w:r>
          </w:p>
          <w:p w14:paraId="5B69AB97">
            <w:pPr>
              <w:rPr>
                <w:rFonts w:ascii="宋体" w:hAnsi="宋体" w:eastAsia="宋体" w:cs="等线"/>
                <w:szCs w:val="21"/>
              </w:rPr>
            </w:pPr>
            <w:r>
              <w:rPr>
                <w:rFonts w:hint="eastAsia" w:ascii="宋体" w:hAnsi="宋体" w:eastAsia="宋体" w:cs="等线"/>
                <w:szCs w:val="21"/>
              </w:rPr>
              <w:t>4.4错口：呈现轻度、中度、重度、严重错口这四种形态。</w:t>
            </w:r>
          </w:p>
          <w:p w14:paraId="6DE37ACC">
            <w:pPr>
              <w:rPr>
                <w:rFonts w:ascii="宋体" w:hAnsi="宋体" w:eastAsia="宋体" w:cs="等线"/>
                <w:szCs w:val="21"/>
              </w:rPr>
            </w:pPr>
            <w:r>
              <w:rPr>
                <w:rFonts w:hint="eastAsia" w:ascii="宋体" w:hAnsi="宋体" w:eastAsia="宋体" w:cs="等线"/>
                <w:szCs w:val="21"/>
              </w:rPr>
              <w:t>4.5起伏：区分起伏高与管径之比≤20%、20% - 35%、35% - 50%、&gt;50% 这四种等级。</w:t>
            </w:r>
          </w:p>
          <w:p w14:paraId="2C61033F">
            <w:pPr>
              <w:rPr>
                <w:rFonts w:ascii="宋体" w:hAnsi="宋体" w:eastAsia="宋体" w:cs="等线"/>
                <w:szCs w:val="21"/>
              </w:rPr>
            </w:pPr>
            <w:r>
              <w:rPr>
                <w:rFonts w:hint="eastAsia" w:ascii="宋体" w:hAnsi="宋体" w:eastAsia="宋体" w:cs="等线"/>
                <w:szCs w:val="21"/>
              </w:rPr>
              <w:t>4.6脱节：模拟轻度、中度、重度、严重脱节这四种状态。</w:t>
            </w:r>
          </w:p>
          <w:p w14:paraId="1DE3125C">
            <w:pPr>
              <w:rPr>
                <w:rFonts w:ascii="宋体" w:hAnsi="宋体" w:eastAsia="宋体" w:cs="等线"/>
                <w:szCs w:val="21"/>
              </w:rPr>
            </w:pPr>
            <w:r>
              <w:rPr>
                <w:rFonts w:hint="eastAsia" w:ascii="宋体" w:hAnsi="宋体" w:eastAsia="宋体" w:cs="等线"/>
                <w:szCs w:val="21"/>
              </w:rPr>
              <w:t>4.7接口材料脱落：区分接口材料上下部可见的不同情形。</w:t>
            </w:r>
          </w:p>
          <w:p w14:paraId="7D1F3839">
            <w:pPr>
              <w:rPr>
                <w:rFonts w:ascii="宋体" w:hAnsi="宋体" w:eastAsia="宋体" w:cs="等线"/>
                <w:szCs w:val="21"/>
              </w:rPr>
            </w:pPr>
            <w:r>
              <w:rPr>
                <w:rFonts w:hint="eastAsia" w:ascii="宋体" w:hAnsi="宋体" w:eastAsia="宋体" w:cs="等线"/>
                <w:szCs w:val="21"/>
              </w:rPr>
              <w:t>4.8支管暗接：区分支管接入长度为≤10%、10% - 20%、&gt;20% 主管直径这三种情况。</w:t>
            </w:r>
          </w:p>
          <w:p w14:paraId="269DFAD9">
            <w:pPr>
              <w:rPr>
                <w:rFonts w:ascii="宋体" w:hAnsi="宋体" w:eastAsia="宋体" w:cs="等线"/>
                <w:szCs w:val="21"/>
              </w:rPr>
            </w:pPr>
            <w:r>
              <w:rPr>
                <w:rFonts w:hint="eastAsia" w:ascii="宋体" w:hAnsi="宋体" w:eastAsia="宋体" w:cs="等线"/>
                <w:szCs w:val="21"/>
              </w:rPr>
              <w:t>4.9导物穿入：区分异物占过水断面比例为≤10%、10% - 30%、&gt;30% 这三种状态。</w:t>
            </w:r>
          </w:p>
          <w:p w14:paraId="72398F14">
            <w:pPr>
              <w:rPr>
                <w:rFonts w:ascii="宋体" w:hAnsi="宋体" w:eastAsia="宋体" w:cs="等线"/>
                <w:szCs w:val="21"/>
              </w:rPr>
            </w:pPr>
            <w:r>
              <w:rPr>
                <w:rFonts w:hint="eastAsia" w:ascii="宋体" w:hAnsi="宋体" w:eastAsia="宋体" w:cs="等线"/>
                <w:szCs w:val="21"/>
              </w:rPr>
              <w:t>4.10渗漏：模拟滴漏、线漏、涌漏、喷漏等现象。</w:t>
            </w:r>
          </w:p>
          <w:p w14:paraId="29286492">
            <w:pPr>
              <w:numPr>
                <w:ilvl w:val="0"/>
                <w:numId w:val="6"/>
              </w:numPr>
              <w:ind w:firstLine="0"/>
              <w:rPr>
                <w:rFonts w:ascii="宋体" w:hAnsi="宋体" w:eastAsia="宋体" w:cs="等线"/>
                <w:b/>
                <w:bCs/>
                <w:szCs w:val="21"/>
              </w:rPr>
            </w:pPr>
            <w:r>
              <w:rPr>
                <w:rFonts w:hint="eastAsia" w:ascii="宋体" w:hAnsi="宋体" w:eastAsia="宋体" w:cs="等线"/>
                <w:b/>
                <w:bCs/>
                <w:szCs w:val="21"/>
              </w:rPr>
              <w:t>功能性缺陷模拟</w:t>
            </w:r>
          </w:p>
          <w:p w14:paraId="695D59AB">
            <w:pPr>
              <w:rPr>
                <w:rFonts w:ascii="宋体" w:hAnsi="宋体" w:eastAsia="宋体" w:cs="等线"/>
                <w:szCs w:val="21"/>
              </w:rPr>
            </w:pPr>
            <w:r>
              <w:rPr>
                <w:rFonts w:hint="eastAsia" w:ascii="宋体" w:hAnsi="宋体" w:eastAsia="宋体" w:cs="等线"/>
                <w:szCs w:val="21"/>
              </w:rPr>
              <w:t>5.1沉积：区分沉积物厚度为管径的 20% - 30%、30% - 40%、40% - 50%、&gt;50% 这四种情形。</w:t>
            </w:r>
          </w:p>
          <w:p w14:paraId="3C357908">
            <w:pPr>
              <w:rPr>
                <w:rFonts w:ascii="宋体" w:hAnsi="宋体" w:eastAsia="宋体" w:cs="等线"/>
                <w:szCs w:val="21"/>
              </w:rPr>
            </w:pPr>
            <w:r>
              <w:rPr>
                <w:rFonts w:hint="eastAsia" w:ascii="宋体" w:hAnsi="宋体" w:eastAsia="宋体" w:cs="等线"/>
                <w:szCs w:val="21"/>
              </w:rPr>
              <w:t>5.2结垢：模拟因硬质、软质结垢导致的过水断面损失情况。</w:t>
            </w:r>
          </w:p>
          <w:p w14:paraId="1E4093C7">
            <w:pPr>
              <w:rPr>
                <w:rFonts w:ascii="宋体" w:hAnsi="宋体" w:eastAsia="宋体" w:cs="等线"/>
                <w:szCs w:val="21"/>
              </w:rPr>
            </w:pPr>
            <w:r>
              <w:rPr>
                <w:rFonts w:hint="eastAsia" w:ascii="宋体" w:hAnsi="宋体" w:eastAsia="宋体" w:cs="等线"/>
                <w:szCs w:val="21"/>
              </w:rPr>
              <w:t>5.3障碍物：区分过水断面损失为≤15%、15% - 25%、25% - 50%、&gt;50% 这四种等级。</w:t>
            </w:r>
          </w:p>
          <w:p w14:paraId="753A7086">
            <w:pPr>
              <w:rPr>
                <w:rFonts w:ascii="宋体" w:hAnsi="宋体" w:eastAsia="宋体" w:cs="等线"/>
                <w:szCs w:val="21"/>
              </w:rPr>
            </w:pPr>
            <w:r>
              <w:rPr>
                <w:rFonts w:hint="eastAsia" w:ascii="宋体" w:hAnsi="宋体" w:eastAsia="宋体" w:cs="等线"/>
                <w:szCs w:val="21"/>
              </w:rPr>
              <w:t>5.4残墙、坝根：区分过水断面损失为≤15%、15% - 25%、25% - 50%、&gt;50% 这四种情形。</w:t>
            </w:r>
          </w:p>
          <w:p w14:paraId="0739858A">
            <w:pPr>
              <w:rPr>
                <w:rFonts w:ascii="宋体" w:hAnsi="宋体" w:eastAsia="宋体" w:cs="等线"/>
                <w:szCs w:val="21"/>
              </w:rPr>
            </w:pPr>
            <w:r>
              <w:rPr>
                <w:rFonts w:hint="eastAsia" w:ascii="宋体" w:hAnsi="宋体" w:eastAsia="宋体" w:cs="等线"/>
                <w:szCs w:val="21"/>
              </w:rPr>
              <w:t>5.5树根：区分过水断面损失为≤15%、15% - 25%、25% - 50%、&gt;50% 这四种状态。</w:t>
            </w:r>
          </w:p>
          <w:p w14:paraId="31361D69">
            <w:pPr>
              <w:rPr>
                <w:rFonts w:ascii="宋体" w:hAnsi="宋体" w:eastAsia="宋体" w:cs="等线"/>
                <w:szCs w:val="21"/>
              </w:rPr>
            </w:pPr>
            <w:r>
              <w:rPr>
                <w:rFonts w:hint="eastAsia" w:ascii="宋体" w:hAnsi="宋体" w:eastAsia="宋体" w:cs="等线"/>
                <w:szCs w:val="21"/>
              </w:rPr>
              <w:t>5.6浮渣：呈现零星、较多、大量漂浮物这三种状态。</w:t>
            </w:r>
          </w:p>
          <w:p w14:paraId="4D3EC579">
            <w:pPr>
              <w:numPr>
                <w:ilvl w:val="0"/>
                <w:numId w:val="6"/>
              </w:numPr>
              <w:ind w:firstLine="0"/>
              <w:rPr>
                <w:rFonts w:ascii="宋体" w:hAnsi="宋体" w:eastAsia="宋体" w:cs="等线"/>
                <w:b/>
                <w:bCs/>
                <w:szCs w:val="21"/>
              </w:rPr>
            </w:pPr>
            <w:r>
              <w:rPr>
                <w:rFonts w:hint="eastAsia" w:ascii="宋体" w:hAnsi="宋体" w:eastAsia="宋体" w:cs="等线"/>
                <w:b/>
                <w:bCs/>
                <w:szCs w:val="21"/>
              </w:rPr>
              <w:t>非开挖管道预处理技术仿真模块</w:t>
            </w:r>
          </w:p>
          <w:p w14:paraId="41109ED0">
            <w:pPr>
              <w:rPr>
                <w:rFonts w:ascii="宋体" w:hAnsi="宋体" w:eastAsia="宋体" w:cs="等线"/>
                <w:szCs w:val="21"/>
              </w:rPr>
            </w:pPr>
            <w:r>
              <w:rPr>
                <w:rFonts w:hint="eastAsia" w:ascii="宋体" w:hAnsi="宋体" w:eastAsia="宋体" w:cs="等线"/>
                <w:szCs w:val="21"/>
              </w:rPr>
              <w:t>6.1气囊封堵仿真教学</w:t>
            </w:r>
          </w:p>
          <w:p w14:paraId="22670A14">
            <w:pPr>
              <w:rPr>
                <w:rFonts w:ascii="宋体" w:hAnsi="宋体" w:eastAsia="宋体" w:cs="等线"/>
                <w:szCs w:val="21"/>
              </w:rPr>
            </w:pPr>
            <w:r>
              <w:rPr>
                <w:rFonts w:hint="eastAsia" w:ascii="宋体" w:hAnsi="宋体" w:eastAsia="宋体" w:cs="等线"/>
                <w:szCs w:val="21"/>
              </w:rPr>
              <w:t>6.1.1涵盖清淤原理、设备组成、配件连接、施工流程及注意事项的模拟。</w:t>
            </w:r>
          </w:p>
          <w:p w14:paraId="530F0224">
            <w:pPr>
              <w:rPr>
                <w:rFonts w:ascii="宋体" w:hAnsi="宋体" w:eastAsia="宋体" w:cs="等线"/>
                <w:szCs w:val="21"/>
              </w:rPr>
            </w:pPr>
            <w:r>
              <w:rPr>
                <w:rFonts w:hint="eastAsia" w:ascii="宋体" w:hAnsi="宋体" w:eastAsia="宋体" w:cs="等线"/>
                <w:szCs w:val="21"/>
              </w:rPr>
              <w:t>6.1.2包含技术要点介绍、施工前准备（如设备组装、气囊检查等）、下井操作（如管径测量、气囊放置）、充气封堵（如气泵启动、阀门控制）等虚拟操作。</w:t>
            </w:r>
          </w:p>
          <w:p w14:paraId="6AB9FA19">
            <w:pPr>
              <w:rPr>
                <w:rFonts w:ascii="宋体" w:hAnsi="宋体" w:eastAsia="宋体" w:cs="等线"/>
                <w:szCs w:val="21"/>
              </w:rPr>
            </w:pPr>
            <w:r>
              <w:rPr>
                <w:rFonts w:hint="eastAsia" w:ascii="宋体" w:hAnsi="宋体" w:eastAsia="宋体" w:cs="等线"/>
                <w:szCs w:val="21"/>
              </w:rPr>
              <w:t>6.2绞车清淤仿真教学</w:t>
            </w:r>
          </w:p>
          <w:p w14:paraId="3D9D878C">
            <w:pPr>
              <w:rPr>
                <w:rFonts w:ascii="宋体" w:hAnsi="宋体" w:eastAsia="宋体" w:cs="等线"/>
                <w:szCs w:val="21"/>
              </w:rPr>
            </w:pPr>
            <w:r>
              <w:rPr>
                <w:rFonts w:hint="eastAsia" w:ascii="宋体" w:hAnsi="宋体" w:eastAsia="宋体" w:cs="等线"/>
                <w:szCs w:val="21"/>
              </w:rPr>
              <w:t>6.2.1能够模拟工作原理、设备构成、施工过程及注意事项。</w:t>
            </w:r>
          </w:p>
          <w:p w14:paraId="26295EEA">
            <w:pPr>
              <w:rPr>
                <w:rFonts w:ascii="宋体" w:hAnsi="宋体" w:eastAsia="宋体" w:cs="等线"/>
                <w:szCs w:val="21"/>
              </w:rPr>
            </w:pPr>
            <w:r>
              <w:rPr>
                <w:rFonts w:hint="eastAsia" w:ascii="宋体" w:hAnsi="宋体" w:eastAsia="宋体" w:cs="等线"/>
                <w:szCs w:val="21"/>
              </w:rPr>
              <w:t>6.2.2可进行技术要点介绍、模拟设备安装、通沟刮泥等虚拟操作。</w:t>
            </w:r>
          </w:p>
          <w:p w14:paraId="2AD7A9FA">
            <w:pPr>
              <w:rPr>
                <w:rFonts w:ascii="宋体" w:hAnsi="宋体" w:eastAsia="宋体" w:cs="等线"/>
                <w:szCs w:val="21"/>
              </w:rPr>
            </w:pPr>
            <w:r>
              <w:rPr>
                <w:rFonts w:hint="eastAsia" w:ascii="宋体" w:hAnsi="宋体" w:eastAsia="宋体" w:cs="等线"/>
                <w:szCs w:val="21"/>
              </w:rPr>
              <w:t>6.3高压水射流清洗仿真教学</w:t>
            </w:r>
          </w:p>
          <w:p w14:paraId="51B080D9">
            <w:pPr>
              <w:rPr>
                <w:rFonts w:ascii="宋体" w:hAnsi="宋体" w:eastAsia="宋体" w:cs="等线"/>
                <w:szCs w:val="21"/>
              </w:rPr>
            </w:pPr>
            <w:r>
              <w:rPr>
                <w:rFonts w:hint="eastAsia" w:ascii="宋体" w:hAnsi="宋体" w:eastAsia="宋体" w:cs="等线"/>
                <w:szCs w:val="21"/>
              </w:rPr>
              <w:t>6.3.1能够模拟清淤原理、设备组成、施工流程及注意事项。</w:t>
            </w:r>
          </w:p>
          <w:p w14:paraId="7EEC8083">
            <w:pPr>
              <w:rPr>
                <w:rFonts w:ascii="宋体" w:hAnsi="宋体" w:eastAsia="宋体" w:cs="等线"/>
                <w:szCs w:val="21"/>
              </w:rPr>
            </w:pPr>
            <w:r>
              <w:rPr>
                <w:rFonts w:hint="eastAsia" w:ascii="宋体" w:hAnsi="宋体" w:eastAsia="宋体" w:cs="等线"/>
                <w:szCs w:val="21"/>
              </w:rPr>
              <w:t>6.3.2可进行技术要点介绍、模拟设备安装、射流清洗管道等虚拟操作。</w:t>
            </w:r>
          </w:p>
          <w:p w14:paraId="501FDED6">
            <w:pPr>
              <w:numPr>
                <w:ilvl w:val="0"/>
                <w:numId w:val="6"/>
              </w:numPr>
              <w:ind w:firstLine="0"/>
              <w:rPr>
                <w:rFonts w:ascii="宋体" w:hAnsi="宋体" w:eastAsia="宋体" w:cs="等线"/>
                <w:b/>
                <w:bCs/>
                <w:szCs w:val="21"/>
              </w:rPr>
            </w:pPr>
            <w:r>
              <w:rPr>
                <w:rFonts w:hint="eastAsia" w:ascii="宋体" w:hAnsi="宋体" w:eastAsia="宋体" w:cs="等线"/>
                <w:b/>
                <w:bCs/>
                <w:szCs w:val="21"/>
              </w:rPr>
              <w:t>非开挖修复技术数字化教学系统</w:t>
            </w:r>
          </w:p>
          <w:p w14:paraId="5BC3D10D">
            <w:pPr>
              <w:rPr>
                <w:rFonts w:ascii="宋体" w:hAnsi="宋体" w:eastAsia="宋体" w:cs="等线"/>
                <w:szCs w:val="21"/>
              </w:rPr>
            </w:pPr>
            <w:r>
              <w:rPr>
                <w:rFonts w:hint="eastAsia" w:ascii="宋体" w:hAnsi="宋体" w:eastAsia="宋体" w:cs="等线"/>
                <w:szCs w:val="21"/>
              </w:rPr>
              <w:t>7.1原位固化法仿真教学</w:t>
            </w:r>
          </w:p>
          <w:p w14:paraId="0BF7E859">
            <w:pPr>
              <w:rPr>
                <w:rFonts w:ascii="宋体" w:hAnsi="宋体" w:eastAsia="宋体" w:cs="等线"/>
                <w:szCs w:val="21"/>
              </w:rPr>
            </w:pPr>
            <w:r>
              <w:rPr>
                <w:rFonts w:hint="eastAsia" w:ascii="宋体" w:hAnsi="宋体" w:eastAsia="宋体" w:cs="等线"/>
                <w:szCs w:val="21"/>
              </w:rPr>
              <w:t>7.1.1模拟修复方法概况、施工流程、注意事项及优缺点。</w:t>
            </w:r>
          </w:p>
          <w:p w14:paraId="13AAADDB">
            <w:pPr>
              <w:rPr>
                <w:rFonts w:ascii="宋体" w:hAnsi="宋体" w:eastAsia="宋体" w:cs="等线"/>
                <w:szCs w:val="21"/>
              </w:rPr>
            </w:pPr>
            <w:r>
              <w:rPr>
                <w:rFonts w:hint="eastAsia" w:ascii="宋体" w:hAnsi="宋体" w:eastAsia="宋体" w:cs="等线"/>
                <w:szCs w:val="21"/>
              </w:rPr>
              <w:t>7.1.2可进行技术要点介绍、模拟设备安装、保护膜铺设、衬管拖拽、紫外灯固化等虚拟操作。</w:t>
            </w:r>
          </w:p>
          <w:p w14:paraId="24BE8BC1">
            <w:pPr>
              <w:rPr>
                <w:rFonts w:ascii="宋体" w:hAnsi="宋体" w:eastAsia="宋体" w:cs="等线"/>
                <w:szCs w:val="21"/>
              </w:rPr>
            </w:pPr>
            <w:r>
              <w:rPr>
                <w:rFonts w:hint="eastAsia" w:ascii="宋体" w:hAnsi="宋体" w:eastAsia="宋体" w:cs="等线"/>
                <w:szCs w:val="21"/>
              </w:rPr>
              <w:t>7.2螺旋管内衬法仿真教学</w:t>
            </w:r>
          </w:p>
          <w:p w14:paraId="223FDC8C">
            <w:pPr>
              <w:rPr>
                <w:rFonts w:ascii="宋体" w:hAnsi="宋体" w:eastAsia="宋体" w:cs="等线"/>
                <w:szCs w:val="21"/>
              </w:rPr>
            </w:pPr>
            <w:r>
              <w:rPr>
                <w:rFonts w:hint="eastAsia" w:ascii="宋体" w:hAnsi="宋体" w:eastAsia="宋体" w:cs="等线"/>
                <w:szCs w:val="21"/>
              </w:rPr>
              <w:t>7.2.1模拟修复方法概况、施工流程、注意事项及优缺点。</w:t>
            </w:r>
          </w:p>
          <w:p w14:paraId="4D0C1E76">
            <w:pPr>
              <w:rPr>
                <w:rFonts w:ascii="宋体" w:hAnsi="宋体" w:eastAsia="宋体" w:cs="等线"/>
                <w:szCs w:val="21"/>
              </w:rPr>
            </w:pPr>
            <w:r>
              <w:rPr>
                <w:rFonts w:hint="eastAsia" w:ascii="宋体" w:hAnsi="宋体" w:eastAsia="宋体" w:cs="等线"/>
                <w:szCs w:val="21"/>
              </w:rPr>
              <w:t>7.2.2可进行技术要点介绍、模拟设备安装、型材缠绕、特种浆注入等虚拟操作。</w:t>
            </w:r>
          </w:p>
          <w:p w14:paraId="08341A79">
            <w:pPr>
              <w:rPr>
                <w:rFonts w:ascii="宋体" w:hAnsi="宋体" w:eastAsia="宋体" w:cs="等线"/>
                <w:szCs w:val="21"/>
              </w:rPr>
            </w:pPr>
            <w:r>
              <w:rPr>
                <w:rFonts w:hint="eastAsia" w:ascii="宋体" w:hAnsi="宋体" w:eastAsia="宋体" w:cs="等线"/>
                <w:szCs w:val="21"/>
              </w:rPr>
              <w:t>7.3缩径内衬法仿真教学</w:t>
            </w:r>
          </w:p>
          <w:p w14:paraId="51298F90">
            <w:pPr>
              <w:rPr>
                <w:rFonts w:ascii="宋体" w:hAnsi="宋体" w:eastAsia="宋体" w:cs="等线"/>
                <w:szCs w:val="21"/>
              </w:rPr>
            </w:pPr>
            <w:r>
              <w:rPr>
                <w:rFonts w:hint="eastAsia" w:ascii="宋体" w:hAnsi="宋体" w:eastAsia="宋体" w:cs="等线"/>
                <w:szCs w:val="21"/>
              </w:rPr>
              <w:t>7.3.1 能够模拟修复方法概况、施工流程、注意事项及优缺点。</w:t>
            </w:r>
          </w:p>
          <w:p w14:paraId="6905027E">
            <w:pPr>
              <w:rPr>
                <w:rFonts w:ascii="宋体" w:hAnsi="宋体" w:eastAsia="宋体" w:cs="等线"/>
                <w:szCs w:val="21"/>
              </w:rPr>
            </w:pPr>
            <w:r>
              <w:rPr>
                <w:rFonts w:hint="eastAsia" w:ascii="宋体" w:hAnsi="宋体" w:eastAsia="宋体" w:cs="等线"/>
                <w:szCs w:val="21"/>
              </w:rPr>
              <w:t>7.3.2 可进行技术要点介绍、模拟设备及 HOPE 管安装、HOPE 管缩径穿插与恢复等虚拟操作。</w:t>
            </w:r>
          </w:p>
          <w:p w14:paraId="76C65FAE">
            <w:pPr>
              <w:numPr>
                <w:ilvl w:val="0"/>
                <w:numId w:val="6"/>
              </w:numPr>
              <w:ind w:firstLine="0"/>
              <w:rPr>
                <w:rFonts w:ascii="宋体" w:hAnsi="宋体" w:eastAsia="宋体" w:cs="等线"/>
                <w:b/>
                <w:bCs/>
                <w:szCs w:val="21"/>
              </w:rPr>
            </w:pPr>
            <w:r>
              <w:rPr>
                <w:rFonts w:hint="eastAsia" w:ascii="宋体" w:hAnsi="宋体" w:eastAsia="宋体" w:cs="等线"/>
                <w:b/>
                <w:bCs/>
                <w:szCs w:val="21"/>
              </w:rPr>
              <w:t>服务及交付要求</w:t>
            </w:r>
          </w:p>
          <w:p w14:paraId="7589E106">
            <w:pPr>
              <w:rPr>
                <w:rFonts w:ascii="宋体" w:hAnsi="宋体" w:eastAsia="宋体" w:cs="等线"/>
                <w:szCs w:val="21"/>
              </w:rPr>
            </w:pPr>
            <w:r>
              <w:rPr>
                <w:rFonts w:hint="eastAsia" w:ascii="宋体" w:hAnsi="宋体" w:eastAsia="宋体" w:cs="等线"/>
                <w:szCs w:val="21"/>
              </w:rPr>
              <w:t>8.1需提供软件质保不少于三年，质保期满后不升级不影响软件正常使用。</w:t>
            </w:r>
          </w:p>
          <w:p w14:paraId="6150C764">
            <w:pPr>
              <w:rPr>
                <w:rFonts w:ascii="宋体" w:hAnsi="宋体" w:eastAsia="宋体" w:cs="等线"/>
                <w:szCs w:val="21"/>
              </w:rPr>
            </w:pPr>
            <w:r>
              <w:rPr>
                <w:rFonts w:hint="eastAsia" w:ascii="宋体" w:hAnsi="宋体" w:eastAsia="宋体" w:cs="等线"/>
                <w:szCs w:val="21"/>
              </w:rPr>
              <w:t>8.2在质量保证期内，需对应用系统的运行、维护提供24小时的实时技术支持。</w:t>
            </w:r>
          </w:p>
          <w:p w14:paraId="6B2DDD28">
            <w:pPr>
              <w:numPr>
                <w:ilvl w:val="0"/>
                <w:numId w:val="1"/>
              </w:numPr>
              <w:ind w:firstLine="0"/>
              <w:rPr>
                <w:rFonts w:ascii="宋体" w:hAnsi="宋体" w:eastAsia="宋体" w:cs="等线"/>
                <w:b/>
                <w:bCs/>
                <w:szCs w:val="21"/>
              </w:rPr>
            </w:pPr>
            <w:r>
              <w:rPr>
                <w:rFonts w:hint="eastAsia" w:ascii="宋体" w:hAnsi="宋体" w:eastAsia="宋体" w:cs="等线"/>
                <w:b/>
                <w:bCs/>
                <w:szCs w:val="21"/>
              </w:rPr>
              <w:t>配套市政管网巡查养护虚拟仿真软件（</w:t>
            </w:r>
            <w:r>
              <w:rPr>
                <w:rFonts w:hint="eastAsia" w:ascii="宋体" w:hAnsi="宋体" w:eastAsia="宋体" w:cs="等线"/>
                <w:szCs w:val="21"/>
              </w:rPr>
              <w:t>70</w:t>
            </w:r>
            <w:r>
              <w:rPr>
                <w:rFonts w:hint="eastAsia" w:ascii="宋体" w:hAnsi="宋体" w:eastAsia="宋体" w:cs="等线"/>
                <w:b/>
                <w:bCs/>
                <w:szCs w:val="21"/>
              </w:rPr>
              <w:t>节点）</w:t>
            </w:r>
          </w:p>
          <w:p w14:paraId="161EEABB">
            <w:pPr>
              <w:ind w:firstLine="0" w:firstLineChars="0"/>
              <w:rPr>
                <w:rFonts w:ascii="宋体" w:hAnsi="宋体" w:eastAsia="宋体" w:cs="等线"/>
                <w:szCs w:val="21"/>
              </w:rPr>
            </w:pPr>
            <w:r>
              <w:rPr>
                <w:rFonts w:hint="eastAsia" w:ascii="宋体" w:hAnsi="宋体" w:eastAsia="宋体" w:cs="等线"/>
                <w:szCs w:val="21"/>
              </w:rPr>
              <w:t>涵盖排水管道巡查技术模块、排水管道日常养护技术模块、排水管道设施设备巡查虚拟仿真模块、雨水管道设施设备巡查虚拟仿真模块、排水管道设施设备维护虚拟仿真模块、雨水管道设施设备维护虚拟仿真模块等模块内容。</w:t>
            </w:r>
          </w:p>
          <w:p w14:paraId="42B5DE1A">
            <w:pPr>
              <w:numPr>
                <w:ilvl w:val="0"/>
                <w:numId w:val="7"/>
              </w:numPr>
              <w:ind w:firstLine="0"/>
              <w:rPr>
                <w:rFonts w:ascii="宋体" w:hAnsi="宋体" w:eastAsia="宋体" w:cs="等线"/>
                <w:b/>
                <w:bCs/>
                <w:szCs w:val="21"/>
              </w:rPr>
            </w:pPr>
            <w:r>
              <w:rPr>
                <w:rFonts w:hint="eastAsia" w:ascii="宋体" w:hAnsi="宋体" w:eastAsia="宋体" w:cs="等线"/>
                <w:b/>
                <w:bCs/>
                <w:szCs w:val="21"/>
              </w:rPr>
              <w:t>排水管道巡查技术模块</w:t>
            </w:r>
          </w:p>
          <w:p w14:paraId="4508962B">
            <w:pPr>
              <w:rPr>
                <w:rFonts w:ascii="宋体" w:hAnsi="宋体" w:eastAsia="宋体" w:cs="等线"/>
                <w:szCs w:val="21"/>
              </w:rPr>
            </w:pPr>
            <w:r>
              <w:rPr>
                <w:rFonts w:hint="eastAsia" w:ascii="宋体" w:hAnsi="宋体" w:eastAsia="宋体" w:cs="等线"/>
                <w:szCs w:val="21"/>
              </w:rPr>
              <w:t>1.1重力管涵巡查</w:t>
            </w:r>
          </w:p>
          <w:p w14:paraId="10E551F0">
            <w:pPr>
              <w:rPr>
                <w:rFonts w:ascii="宋体" w:hAnsi="宋体" w:eastAsia="宋体" w:cs="等线"/>
                <w:szCs w:val="21"/>
              </w:rPr>
            </w:pPr>
            <w:r>
              <w:rPr>
                <w:rFonts w:hint="eastAsia" w:ascii="宋体" w:hAnsi="宋体" w:eastAsia="宋体" w:cs="等线"/>
                <w:szCs w:val="21"/>
              </w:rPr>
              <w:t>实现对管道畅通性（包括壅水、堵塞情况）、地下水渗入状况、违章排放（如工业废水、建筑泥浆排放）、雨污混接等问题的检查模拟；包含在地形坡度影响下易淤积管段及检查井人工检测场景的仿真。</w:t>
            </w:r>
          </w:p>
          <w:p w14:paraId="7F6761DB">
            <w:pPr>
              <w:rPr>
                <w:rFonts w:ascii="宋体" w:hAnsi="宋体" w:eastAsia="宋体" w:cs="等线"/>
                <w:szCs w:val="21"/>
              </w:rPr>
            </w:pPr>
            <w:r>
              <w:rPr>
                <w:rFonts w:hint="eastAsia" w:ascii="宋体" w:hAnsi="宋体" w:eastAsia="宋体" w:cs="等线"/>
                <w:szCs w:val="21"/>
              </w:rPr>
              <w:t>1.2压力管道巡查</w:t>
            </w:r>
          </w:p>
          <w:p w14:paraId="7C1B566B">
            <w:pPr>
              <w:rPr>
                <w:rFonts w:ascii="宋体" w:hAnsi="宋体" w:eastAsia="宋体" w:cs="等线"/>
                <w:szCs w:val="21"/>
              </w:rPr>
            </w:pPr>
            <w:r>
              <w:rPr>
                <w:rFonts w:hint="eastAsia" w:ascii="宋体" w:hAnsi="宋体" w:eastAsia="宋体" w:cs="等线"/>
                <w:szCs w:val="21"/>
              </w:rPr>
              <w:t>开发虚拟仿真功能，模拟透气井浮渣检查、排气阀有效性检测、井盖锈蚀及裂缝查看；体现水锤效应和气体聚集破裂风险的防范场景。</w:t>
            </w:r>
          </w:p>
          <w:p w14:paraId="2C3AB4F2">
            <w:pPr>
              <w:rPr>
                <w:rFonts w:ascii="宋体" w:hAnsi="宋体" w:eastAsia="宋体" w:cs="等线"/>
                <w:szCs w:val="21"/>
              </w:rPr>
            </w:pPr>
            <w:r>
              <w:rPr>
                <w:rFonts w:hint="eastAsia" w:ascii="宋体" w:hAnsi="宋体" w:eastAsia="宋体" w:cs="等线"/>
                <w:szCs w:val="21"/>
              </w:rPr>
              <w:t>1.3路面巡查</w:t>
            </w:r>
          </w:p>
          <w:p w14:paraId="23AB20C3">
            <w:pPr>
              <w:rPr>
                <w:rFonts w:ascii="宋体" w:hAnsi="宋体" w:eastAsia="宋体" w:cs="等线"/>
                <w:szCs w:val="21"/>
              </w:rPr>
            </w:pPr>
            <w:r>
              <w:rPr>
                <w:rFonts w:hint="eastAsia" w:ascii="宋体" w:hAnsi="宋体" w:eastAsia="宋体" w:cs="等线"/>
                <w:szCs w:val="21"/>
              </w:rPr>
              <w:t>开发虚拟仿真功能，模拟井盖完整性（如破损、缺失、松动情况）检查、路面塌陷及污水外溢掏空路基隐患排查；展示每日巡检流程及机动车道井盖承重标准验证。</w:t>
            </w:r>
          </w:p>
          <w:p w14:paraId="6BF9CB65">
            <w:pPr>
              <w:rPr>
                <w:rFonts w:ascii="宋体" w:hAnsi="宋体" w:eastAsia="宋体" w:cs="等线"/>
                <w:szCs w:val="21"/>
              </w:rPr>
            </w:pPr>
            <w:r>
              <w:rPr>
                <w:rFonts w:hint="eastAsia" w:ascii="宋体" w:hAnsi="宋体" w:eastAsia="宋体" w:cs="等线"/>
                <w:szCs w:val="21"/>
              </w:rPr>
              <w:t>1.4截流设施巡查</w:t>
            </w:r>
          </w:p>
          <w:p w14:paraId="0A366504">
            <w:pPr>
              <w:rPr>
                <w:rFonts w:ascii="宋体" w:hAnsi="宋体" w:eastAsia="宋体" w:cs="等线"/>
                <w:szCs w:val="21"/>
              </w:rPr>
            </w:pPr>
            <w:r>
              <w:rPr>
                <w:rFonts w:hint="eastAsia" w:ascii="宋体" w:hAnsi="宋体" w:eastAsia="宋体" w:cs="等线"/>
                <w:szCs w:val="21"/>
              </w:rPr>
              <w:t>开发虚拟仿真功能，模拟雨污分流效能检查、截流堰构筑物完整性检测、闸门工况查看及垃圾清理操作；进行防止晴天污水溢流场景的仿真。</w:t>
            </w:r>
          </w:p>
          <w:p w14:paraId="25A19E12">
            <w:pPr>
              <w:numPr>
                <w:ilvl w:val="0"/>
                <w:numId w:val="7"/>
              </w:numPr>
              <w:ind w:firstLine="0"/>
              <w:rPr>
                <w:rFonts w:ascii="宋体" w:hAnsi="宋体" w:eastAsia="宋体" w:cs="等线"/>
                <w:b/>
                <w:bCs/>
                <w:szCs w:val="21"/>
              </w:rPr>
            </w:pPr>
            <w:r>
              <w:rPr>
                <w:rFonts w:hint="eastAsia" w:ascii="宋体" w:hAnsi="宋体" w:eastAsia="宋体" w:cs="等线"/>
                <w:b/>
                <w:bCs/>
                <w:szCs w:val="21"/>
              </w:rPr>
              <w:t>排水管道日常养护技术模块</w:t>
            </w:r>
          </w:p>
          <w:p w14:paraId="74E671E1">
            <w:pPr>
              <w:rPr>
                <w:rFonts w:ascii="宋体" w:hAnsi="宋体" w:eastAsia="宋体" w:cs="等线"/>
                <w:szCs w:val="21"/>
              </w:rPr>
            </w:pPr>
            <w:r>
              <w:rPr>
                <w:rFonts w:hint="eastAsia" w:ascii="宋体" w:hAnsi="宋体" w:eastAsia="宋体" w:cs="等线"/>
                <w:szCs w:val="21"/>
              </w:rPr>
              <w:t>2.1人工清挖</w:t>
            </w:r>
          </w:p>
          <w:p w14:paraId="6ABF88EC">
            <w:pPr>
              <w:rPr>
                <w:rFonts w:ascii="宋体" w:hAnsi="宋体" w:eastAsia="宋体" w:cs="等线"/>
                <w:szCs w:val="21"/>
              </w:rPr>
            </w:pPr>
            <w:r>
              <w:rPr>
                <w:rFonts w:hint="eastAsia" w:ascii="宋体" w:hAnsi="宋体" w:eastAsia="宋体" w:cs="等线"/>
                <w:szCs w:val="21"/>
              </w:rPr>
              <w:t>开发虚拟仿真功能，模拟检查井浅层淤积场景，实现铁锨、抓斗等工具的清挖操作；体现人工清挖效率低下、安全风险较高的特点。</w:t>
            </w:r>
          </w:p>
          <w:p w14:paraId="78FAAC5E">
            <w:pPr>
              <w:rPr>
                <w:rFonts w:ascii="宋体" w:hAnsi="宋体" w:eastAsia="宋体" w:cs="等线"/>
                <w:szCs w:val="21"/>
              </w:rPr>
            </w:pPr>
            <w:r>
              <w:rPr>
                <w:rFonts w:hint="eastAsia" w:ascii="宋体" w:hAnsi="宋体" w:eastAsia="宋体" w:cs="等线"/>
                <w:szCs w:val="21"/>
              </w:rPr>
              <w:t>2.2机械清疏</w:t>
            </w:r>
          </w:p>
          <w:p w14:paraId="617A6D79">
            <w:pPr>
              <w:rPr>
                <w:rFonts w:ascii="宋体" w:hAnsi="宋体" w:eastAsia="宋体" w:cs="等线"/>
                <w:szCs w:val="21"/>
              </w:rPr>
            </w:pPr>
            <w:r>
              <w:rPr>
                <w:rFonts w:hint="eastAsia" w:ascii="宋体" w:hAnsi="宋体" w:eastAsia="宋体" w:cs="等线"/>
                <w:szCs w:val="21"/>
              </w:rPr>
              <w:t>开发虚拟仿真功能，模拟高压清洗车冲刷管壁、联合吸污车抽运淤泥的作业流程。</w:t>
            </w:r>
          </w:p>
          <w:p w14:paraId="42E6285B">
            <w:pPr>
              <w:rPr>
                <w:rFonts w:ascii="宋体" w:hAnsi="宋体" w:eastAsia="宋体" w:cs="等线"/>
                <w:szCs w:val="21"/>
              </w:rPr>
            </w:pPr>
            <w:r>
              <w:rPr>
                <w:rFonts w:hint="eastAsia" w:ascii="宋体" w:hAnsi="宋体" w:eastAsia="宋体" w:cs="等线"/>
                <w:szCs w:val="21"/>
              </w:rPr>
              <w:t>2.3设施维护</w:t>
            </w:r>
          </w:p>
          <w:p w14:paraId="63D11444">
            <w:pPr>
              <w:rPr>
                <w:rFonts w:ascii="宋体" w:hAnsi="宋体" w:eastAsia="宋体" w:cs="等线"/>
                <w:szCs w:val="21"/>
              </w:rPr>
            </w:pPr>
            <w:r>
              <w:rPr>
                <w:rFonts w:hint="eastAsia" w:ascii="宋体" w:hAnsi="宋体" w:eastAsia="宋体" w:cs="等线"/>
                <w:szCs w:val="21"/>
              </w:rPr>
              <w:t>开发虚拟仿真功能，模拟井盖防坠网更换与加固（针对腐蚀或松脱网体）操作。</w:t>
            </w:r>
          </w:p>
          <w:p w14:paraId="370F3E42">
            <w:pPr>
              <w:numPr>
                <w:ilvl w:val="0"/>
                <w:numId w:val="7"/>
              </w:numPr>
              <w:ind w:firstLine="0"/>
              <w:rPr>
                <w:rFonts w:ascii="宋体" w:hAnsi="宋体" w:eastAsia="宋体" w:cs="等线"/>
                <w:b/>
                <w:bCs/>
                <w:szCs w:val="21"/>
              </w:rPr>
            </w:pPr>
            <w:r>
              <w:rPr>
                <w:rFonts w:hint="eastAsia" w:ascii="宋体" w:hAnsi="宋体" w:eastAsia="宋体" w:cs="等线"/>
                <w:b/>
                <w:bCs/>
                <w:szCs w:val="21"/>
              </w:rPr>
              <w:t>排水管道设施设备巡查虚拟仿真模块</w:t>
            </w:r>
          </w:p>
          <w:p w14:paraId="43C4FE3C">
            <w:pPr>
              <w:rPr>
                <w:rFonts w:ascii="宋体" w:hAnsi="宋体" w:eastAsia="宋体" w:cs="等线"/>
                <w:szCs w:val="21"/>
              </w:rPr>
            </w:pPr>
            <w:r>
              <w:rPr>
                <w:rFonts w:hint="eastAsia" w:ascii="宋体" w:hAnsi="宋体" w:eastAsia="宋体" w:cs="等线"/>
                <w:szCs w:val="21"/>
              </w:rPr>
              <w:t>3.1检查井内部状况巡查</w:t>
            </w:r>
          </w:p>
          <w:p w14:paraId="2A298F9B">
            <w:pPr>
              <w:rPr>
                <w:rFonts w:ascii="宋体" w:hAnsi="宋体" w:eastAsia="宋体" w:cs="等线"/>
                <w:szCs w:val="21"/>
              </w:rPr>
            </w:pPr>
            <w:r>
              <w:rPr>
                <w:rFonts w:hint="eastAsia" w:ascii="宋体" w:hAnsi="宋体" w:eastAsia="宋体" w:cs="等线"/>
                <w:szCs w:val="21"/>
              </w:rPr>
              <w:t>开发虚拟仿真功能，模拟检查井通风、气体检测流程；实现井壁结构（如裂缝、渗漏、剥落情况）、爬梯牢固性、流槽完好性、管口连接状况、沉积物高度及类型检查的模拟。</w:t>
            </w:r>
          </w:p>
          <w:p w14:paraId="3DE17A51">
            <w:pPr>
              <w:rPr>
                <w:rFonts w:ascii="宋体" w:hAnsi="宋体" w:eastAsia="宋体" w:cs="等线"/>
                <w:szCs w:val="21"/>
              </w:rPr>
            </w:pPr>
            <w:r>
              <w:rPr>
                <w:rFonts w:hint="eastAsia" w:ascii="宋体" w:hAnsi="宋体" w:eastAsia="宋体" w:cs="等线"/>
                <w:szCs w:val="21"/>
              </w:rPr>
              <w:t>3.2泵站设备运行巡查</w:t>
            </w:r>
          </w:p>
          <w:p w14:paraId="297EA7BE">
            <w:pPr>
              <w:rPr>
                <w:rFonts w:ascii="宋体" w:hAnsi="宋体" w:eastAsia="宋体" w:cs="等线"/>
                <w:szCs w:val="21"/>
              </w:rPr>
            </w:pPr>
            <w:r>
              <w:rPr>
                <w:rFonts w:hint="eastAsia" w:ascii="宋体" w:hAnsi="宋体" w:eastAsia="宋体" w:cs="等线"/>
                <w:szCs w:val="21"/>
              </w:rPr>
              <w:t>模拟泵站控制室与现场巡查场景，实现水泵运行状态（如振动、噪音、温度情况）、格栅除污机工况、液位计准确性、阀门启闭及渗漏、电气控制柜状态、备用设备待机状态检查的模拟。</w:t>
            </w:r>
          </w:p>
          <w:p w14:paraId="5C89FBC3">
            <w:pPr>
              <w:rPr>
                <w:rFonts w:ascii="宋体" w:hAnsi="宋体" w:eastAsia="宋体" w:cs="等线"/>
                <w:szCs w:val="21"/>
              </w:rPr>
            </w:pPr>
            <w:r>
              <w:rPr>
                <w:rFonts w:hint="eastAsia" w:ascii="宋体" w:hAnsi="宋体" w:eastAsia="宋体" w:cs="等线"/>
                <w:szCs w:val="21"/>
              </w:rPr>
              <w:t>3.3雨水管道设施设备巡查</w:t>
            </w:r>
          </w:p>
          <w:p w14:paraId="789A0406">
            <w:pPr>
              <w:rPr>
                <w:rFonts w:ascii="宋体" w:hAnsi="宋体" w:eastAsia="宋体" w:cs="等线"/>
                <w:szCs w:val="21"/>
              </w:rPr>
            </w:pPr>
            <w:r>
              <w:rPr>
                <w:rFonts w:hint="eastAsia" w:ascii="宋体" w:hAnsi="宋体" w:eastAsia="宋体" w:cs="等线"/>
                <w:szCs w:val="21"/>
              </w:rPr>
              <w:t>开发针对雨水管道系统特性的专项巡查仿真功能，体现降雨影响、地表径流承接场景，模拟内涝及设施损坏预防操作。</w:t>
            </w:r>
          </w:p>
          <w:p w14:paraId="33255232">
            <w:pPr>
              <w:numPr>
                <w:ilvl w:val="0"/>
                <w:numId w:val="7"/>
              </w:numPr>
              <w:ind w:firstLine="0"/>
              <w:rPr>
                <w:rFonts w:ascii="宋体" w:hAnsi="宋体" w:eastAsia="宋体" w:cs="等线"/>
                <w:b/>
                <w:bCs/>
                <w:szCs w:val="21"/>
              </w:rPr>
            </w:pPr>
            <w:r>
              <w:rPr>
                <w:rFonts w:hint="eastAsia" w:ascii="宋体" w:hAnsi="宋体" w:eastAsia="宋体" w:cs="等线"/>
                <w:b/>
                <w:bCs/>
                <w:szCs w:val="21"/>
              </w:rPr>
              <w:t>雨水管道设施设备巡查虚拟仿真模块</w:t>
            </w:r>
          </w:p>
          <w:p w14:paraId="3A92143D">
            <w:pPr>
              <w:rPr>
                <w:rFonts w:ascii="宋体" w:hAnsi="宋体" w:eastAsia="宋体" w:cs="等线"/>
                <w:szCs w:val="21"/>
              </w:rPr>
            </w:pPr>
            <w:r>
              <w:rPr>
                <w:rFonts w:hint="eastAsia" w:ascii="宋体" w:hAnsi="宋体" w:eastAsia="宋体" w:cs="等线"/>
                <w:szCs w:val="21"/>
              </w:rPr>
              <w:t>4.1雨水口/雨水篦子巡查</w:t>
            </w:r>
          </w:p>
          <w:p w14:paraId="7B338395">
            <w:pPr>
              <w:rPr>
                <w:rFonts w:ascii="宋体" w:hAnsi="宋体" w:eastAsia="宋体" w:cs="等线"/>
                <w:szCs w:val="21"/>
              </w:rPr>
            </w:pPr>
            <w:r>
              <w:rPr>
                <w:rFonts w:hint="eastAsia" w:ascii="宋体" w:hAnsi="宋体" w:eastAsia="宋体" w:cs="等线"/>
                <w:szCs w:val="21"/>
              </w:rPr>
              <w:t>模拟雨水篦子堵塞、破损、缺失检查，雨水口内部淤积及连接管畅通性检测；体现降雨前、中、后不同时段的巡查要点。</w:t>
            </w:r>
          </w:p>
          <w:p w14:paraId="7E278401">
            <w:pPr>
              <w:rPr>
                <w:rFonts w:ascii="宋体" w:hAnsi="宋体" w:eastAsia="宋体" w:cs="等线"/>
                <w:szCs w:val="21"/>
              </w:rPr>
            </w:pPr>
            <w:r>
              <w:rPr>
                <w:rFonts w:hint="eastAsia" w:ascii="宋体" w:hAnsi="宋体" w:eastAsia="宋体" w:cs="等线"/>
                <w:szCs w:val="21"/>
              </w:rPr>
              <w:t>4.2雨水调蓄设施巡查</w:t>
            </w:r>
          </w:p>
          <w:p w14:paraId="1722E15E">
            <w:pPr>
              <w:rPr>
                <w:rFonts w:ascii="宋体" w:hAnsi="宋体" w:eastAsia="宋体" w:cs="等线"/>
                <w:szCs w:val="21"/>
              </w:rPr>
            </w:pPr>
            <w:r>
              <w:rPr>
                <w:rFonts w:hint="eastAsia" w:ascii="宋体" w:hAnsi="宋体" w:eastAsia="宋体" w:cs="等线"/>
                <w:szCs w:val="21"/>
              </w:rPr>
              <w:t>模拟雨水调蓄池/塘巡查，实现池体结构安全、水位、进出水设施、淤积程度、水质、排气及防护设施检查的模拟。</w:t>
            </w:r>
          </w:p>
          <w:p w14:paraId="02D80403">
            <w:pPr>
              <w:rPr>
                <w:rFonts w:ascii="宋体" w:hAnsi="宋体" w:eastAsia="宋体" w:cs="等线"/>
                <w:szCs w:val="21"/>
              </w:rPr>
            </w:pPr>
            <w:r>
              <w:rPr>
                <w:rFonts w:hint="eastAsia" w:ascii="宋体" w:hAnsi="宋体" w:eastAsia="宋体" w:cs="等线"/>
                <w:szCs w:val="21"/>
              </w:rPr>
              <w:t>4.3排水管道设施设备养护</w:t>
            </w:r>
          </w:p>
          <w:p w14:paraId="15A803DA">
            <w:pPr>
              <w:rPr>
                <w:rFonts w:ascii="宋体" w:hAnsi="宋体" w:eastAsia="宋体" w:cs="等线"/>
                <w:szCs w:val="21"/>
              </w:rPr>
            </w:pPr>
            <w:r>
              <w:rPr>
                <w:rFonts w:hint="eastAsia" w:ascii="宋体" w:hAnsi="宋体" w:eastAsia="宋体" w:cs="等线"/>
                <w:szCs w:val="21"/>
              </w:rPr>
              <w:t>模拟排水管道设施设备维护保养、小修小补流程，体现延长设备使用寿命、保障运行功能。</w:t>
            </w:r>
          </w:p>
          <w:p w14:paraId="0DDF7682">
            <w:pPr>
              <w:numPr>
                <w:ilvl w:val="0"/>
                <w:numId w:val="7"/>
              </w:numPr>
              <w:ind w:firstLine="0"/>
              <w:rPr>
                <w:rFonts w:ascii="宋体" w:hAnsi="宋体" w:eastAsia="宋体" w:cs="等线"/>
                <w:b/>
                <w:bCs/>
                <w:szCs w:val="21"/>
              </w:rPr>
            </w:pPr>
            <w:r>
              <w:rPr>
                <w:rFonts w:hint="eastAsia" w:ascii="宋体" w:hAnsi="宋体" w:eastAsia="宋体" w:cs="等线"/>
                <w:b/>
                <w:bCs/>
                <w:szCs w:val="21"/>
              </w:rPr>
              <w:t>排水管道设施设备维护虚拟仿真模块</w:t>
            </w:r>
          </w:p>
          <w:p w14:paraId="79E8C290">
            <w:pPr>
              <w:rPr>
                <w:rFonts w:ascii="宋体" w:hAnsi="宋体" w:eastAsia="宋体" w:cs="等线"/>
                <w:szCs w:val="21"/>
              </w:rPr>
            </w:pPr>
            <w:r>
              <w:rPr>
                <w:rFonts w:hint="eastAsia" w:ascii="宋体" w:hAnsi="宋体" w:eastAsia="宋体" w:cs="等线"/>
                <w:szCs w:val="21"/>
              </w:rPr>
              <w:t>5.1检查井维护</w:t>
            </w:r>
          </w:p>
          <w:p w14:paraId="45FD14B2">
            <w:pPr>
              <w:rPr>
                <w:rFonts w:ascii="宋体" w:hAnsi="宋体" w:eastAsia="宋体" w:cs="等线"/>
                <w:szCs w:val="21"/>
              </w:rPr>
            </w:pPr>
            <w:r>
              <w:rPr>
                <w:rFonts w:hint="eastAsia" w:ascii="宋体" w:hAnsi="宋体" w:eastAsia="宋体" w:cs="等线"/>
                <w:szCs w:val="21"/>
              </w:rPr>
              <w:t>模拟井壁破损修补、流槽修复、爬梯除锈防腐、井室清淤（人工/小型机械）操作。</w:t>
            </w:r>
          </w:p>
          <w:p w14:paraId="5A573FB7">
            <w:pPr>
              <w:rPr>
                <w:rFonts w:ascii="宋体" w:hAnsi="宋体" w:eastAsia="宋体" w:cs="等线"/>
                <w:szCs w:val="21"/>
              </w:rPr>
            </w:pPr>
            <w:r>
              <w:rPr>
                <w:rFonts w:hint="eastAsia" w:ascii="宋体" w:hAnsi="宋体" w:eastAsia="宋体" w:cs="等线"/>
                <w:szCs w:val="21"/>
              </w:rPr>
              <w:t>5.2泵站设备日常保养</w:t>
            </w:r>
          </w:p>
          <w:p w14:paraId="37D3953F">
            <w:pPr>
              <w:rPr>
                <w:rFonts w:ascii="宋体" w:hAnsi="宋体" w:eastAsia="宋体" w:cs="等线"/>
                <w:szCs w:val="21"/>
              </w:rPr>
            </w:pPr>
            <w:r>
              <w:rPr>
                <w:rFonts w:hint="eastAsia" w:ascii="宋体" w:hAnsi="宋体" w:eastAsia="宋体" w:cs="等线"/>
                <w:szCs w:val="21"/>
              </w:rPr>
              <w:t>模拟水泵轴承润滑、填料函处理、联轴器检查、格栅维护、阀门保养、控制柜除尘、蓄电池维护等标准化作业。</w:t>
            </w:r>
          </w:p>
          <w:p w14:paraId="07432DE4">
            <w:pPr>
              <w:rPr>
                <w:rFonts w:ascii="宋体" w:hAnsi="宋体" w:eastAsia="宋体" w:cs="等线"/>
                <w:szCs w:val="21"/>
              </w:rPr>
            </w:pPr>
            <w:r>
              <w:rPr>
                <w:rFonts w:hint="eastAsia" w:ascii="宋体" w:hAnsi="宋体" w:eastAsia="宋体" w:cs="等线"/>
                <w:szCs w:val="21"/>
              </w:rPr>
              <w:t>5.3阀门启闭维护</w:t>
            </w:r>
          </w:p>
          <w:p w14:paraId="3F64D4FF">
            <w:pPr>
              <w:rPr>
                <w:rFonts w:ascii="宋体" w:hAnsi="宋体" w:eastAsia="宋体" w:cs="等线"/>
                <w:szCs w:val="21"/>
              </w:rPr>
            </w:pPr>
            <w:r>
              <w:rPr>
                <w:rFonts w:hint="eastAsia" w:ascii="宋体" w:hAnsi="宋体" w:eastAsia="宋体" w:cs="等线"/>
                <w:szCs w:val="21"/>
              </w:rPr>
              <w:t>模拟闸阀、截止阀等周期性启闭操作、盘根更换、阀体除锈刷漆及密封性能检查。</w:t>
            </w:r>
          </w:p>
          <w:p w14:paraId="761CCF63">
            <w:pPr>
              <w:numPr>
                <w:ilvl w:val="0"/>
                <w:numId w:val="7"/>
              </w:numPr>
              <w:ind w:firstLine="0"/>
              <w:rPr>
                <w:rFonts w:ascii="宋体" w:hAnsi="宋体" w:eastAsia="宋体" w:cs="等线"/>
                <w:b/>
                <w:bCs/>
                <w:szCs w:val="21"/>
              </w:rPr>
            </w:pPr>
            <w:r>
              <w:rPr>
                <w:rFonts w:hint="eastAsia" w:ascii="宋体" w:hAnsi="宋体" w:eastAsia="宋体" w:cs="等线"/>
                <w:b/>
                <w:bCs/>
                <w:szCs w:val="21"/>
              </w:rPr>
              <w:t>雨水管道设施设备维护虚拟仿真模块</w:t>
            </w:r>
          </w:p>
          <w:p w14:paraId="21DB323C">
            <w:pPr>
              <w:rPr>
                <w:rFonts w:ascii="宋体" w:hAnsi="宋体" w:eastAsia="宋体" w:cs="等线"/>
                <w:szCs w:val="21"/>
              </w:rPr>
            </w:pPr>
            <w:r>
              <w:rPr>
                <w:rFonts w:hint="eastAsia" w:ascii="宋体" w:hAnsi="宋体" w:eastAsia="宋体" w:cs="等线"/>
                <w:szCs w:val="21"/>
              </w:rPr>
              <w:t>6.1雨水管道设施设备养护</w:t>
            </w:r>
          </w:p>
          <w:p w14:paraId="5C75E0C3">
            <w:pPr>
              <w:rPr>
                <w:rFonts w:ascii="宋体" w:hAnsi="宋体" w:eastAsia="宋体" w:cs="等线"/>
                <w:szCs w:val="21"/>
              </w:rPr>
            </w:pPr>
            <w:r>
              <w:rPr>
                <w:rFonts w:hint="eastAsia" w:ascii="宋体" w:hAnsi="宋体" w:eastAsia="宋体" w:cs="等线"/>
                <w:szCs w:val="21"/>
              </w:rPr>
              <w:t>开发针对雨水管道特有设施维护保养的仿真功能，实现收水、转输、排放功能保障及内涝预防模拟。</w:t>
            </w:r>
          </w:p>
          <w:p w14:paraId="5B269F43">
            <w:pPr>
              <w:rPr>
                <w:rFonts w:ascii="宋体" w:hAnsi="宋体" w:eastAsia="宋体" w:cs="等线"/>
                <w:szCs w:val="21"/>
              </w:rPr>
            </w:pPr>
            <w:r>
              <w:rPr>
                <w:rFonts w:hint="eastAsia" w:ascii="宋体" w:hAnsi="宋体" w:eastAsia="宋体" w:cs="等线"/>
                <w:szCs w:val="21"/>
              </w:rPr>
              <w:t>6.2雨水口/雨水篦子清掏与更换</w:t>
            </w:r>
          </w:p>
          <w:p w14:paraId="5E55648F">
            <w:pPr>
              <w:rPr>
                <w:rFonts w:ascii="宋体" w:hAnsi="宋体" w:eastAsia="宋体" w:cs="等线"/>
                <w:szCs w:val="21"/>
              </w:rPr>
            </w:pPr>
            <w:r>
              <w:rPr>
                <w:rFonts w:hint="eastAsia" w:ascii="宋体" w:hAnsi="宋体" w:eastAsia="宋体" w:cs="等线"/>
                <w:szCs w:val="21"/>
              </w:rPr>
              <w:t>模拟专用工具或小型车辆清掏作业，实现破损雨水篦子及边框更换操作的仿真。</w:t>
            </w:r>
          </w:p>
          <w:p w14:paraId="3D4EBD8E">
            <w:pPr>
              <w:rPr>
                <w:rFonts w:ascii="宋体" w:hAnsi="宋体" w:eastAsia="宋体" w:cs="等线"/>
                <w:szCs w:val="21"/>
              </w:rPr>
            </w:pPr>
            <w:r>
              <w:rPr>
                <w:rFonts w:hint="eastAsia" w:ascii="宋体" w:hAnsi="宋体" w:eastAsia="宋体" w:cs="等线"/>
                <w:szCs w:val="21"/>
              </w:rPr>
              <w:t>6.3雨水调蓄设施清淤与维护</w:t>
            </w:r>
          </w:p>
          <w:p w14:paraId="0BB5C662">
            <w:pPr>
              <w:rPr>
                <w:rFonts w:ascii="宋体" w:hAnsi="宋体" w:eastAsia="宋体" w:cs="等线"/>
                <w:szCs w:val="21"/>
              </w:rPr>
            </w:pPr>
            <w:r>
              <w:rPr>
                <w:rFonts w:hint="eastAsia" w:ascii="宋体" w:hAnsi="宋体" w:eastAsia="宋体" w:cs="等线"/>
                <w:szCs w:val="21"/>
              </w:rPr>
              <w:t>模拟调蓄池/塘清淤（机械清挖、高压冲洗）、设施清理、池壁维护、曝气设备保养操作。</w:t>
            </w:r>
          </w:p>
          <w:p w14:paraId="354E68E0">
            <w:pPr>
              <w:numPr>
                <w:ilvl w:val="0"/>
                <w:numId w:val="7"/>
              </w:numPr>
              <w:ind w:firstLine="0"/>
              <w:rPr>
                <w:rFonts w:ascii="宋体" w:hAnsi="宋体" w:eastAsia="宋体" w:cs="等线"/>
                <w:b/>
                <w:bCs/>
                <w:szCs w:val="21"/>
              </w:rPr>
            </w:pPr>
            <w:r>
              <w:rPr>
                <w:rFonts w:hint="eastAsia" w:ascii="宋体" w:hAnsi="宋体" w:eastAsia="宋体" w:cs="等线"/>
                <w:b/>
                <w:bCs/>
                <w:szCs w:val="21"/>
              </w:rPr>
              <w:t>服务及交付要求</w:t>
            </w:r>
          </w:p>
          <w:p w14:paraId="7659479F">
            <w:pPr>
              <w:rPr>
                <w:rFonts w:ascii="宋体" w:hAnsi="宋体" w:eastAsia="宋体" w:cs="等线"/>
                <w:szCs w:val="21"/>
              </w:rPr>
            </w:pPr>
            <w:r>
              <w:rPr>
                <w:rFonts w:hint="eastAsia" w:ascii="宋体" w:hAnsi="宋体" w:eastAsia="宋体" w:cs="等线"/>
                <w:szCs w:val="21"/>
              </w:rPr>
              <w:t>1.需提供软件质保服务不少于3年，质保期满后不升级不影响软件正常使用。</w:t>
            </w:r>
          </w:p>
          <w:p w14:paraId="429C3001">
            <w:pPr>
              <w:rPr>
                <w:rFonts w:ascii="宋体" w:hAnsi="宋体" w:eastAsia="宋体" w:cs="等线"/>
                <w:szCs w:val="21"/>
              </w:rPr>
            </w:pPr>
            <w:r>
              <w:rPr>
                <w:rFonts w:hint="eastAsia" w:ascii="宋体" w:hAnsi="宋体" w:eastAsia="宋体" w:cs="等线"/>
                <w:szCs w:val="21"/>
              </w:rPr>
              <w:t>2.在质量保证期内，需提供提供对应用系统的运行、维护提供24小时的实时技术支持。</w:t>
            </w:r>
          </w:p>
          <w:p w14:paraId="31F5EF94">
            <w:pPr>
              <w:numPr>
                <w:ilvl w:val="0"/>
                <w:numId w:val="1"/>
              </w:numPr>
              <w:ind w:firstLine="0"/>
              <w:rPr>
                <w:rFonts w:ascii="宋体" w:hAnsi="宋体" w:eastAsia="宋体" w:cs="等线"/>
                <w:b/>
                <w:bCs/>
                <w:szCs w:val="21"/>
              </w:rPr>
            </w:pPr>
            <w:r>
              <w:rPr>
                <w:rFonts w:hint="eastAsia" w:ascii="宋体" w:hAnsi="宋体" w:eastAsia="宋体" w:cs="等线"/>
                <w:b/>
                <w:bCs/>
                <w:szCs w:val="21"/>
              </w:rPr>
              <w:t>配套市政管道数字化施工虚拟仿真软件（</w:t>
            </w:r>
            <w:r>
              <w:rPr>
                <w:rFonts w:hint="eastAsia" w:ascii="宋体" w:hAnsi="宋体" w:eastAsia="宋体" w:cs="等线"/>
                <w:szCs w:val="21"/>
              </w:rPr>
              <w:t>70</w:t>
            </w:r>
            <w:r>
              <w:rPr>
                <w:rFonts w:hint="eastAsia" w:ascii="宋体" w:hAnsi="宋体" w:eastAsia="宋体" w:cs="等线"/>
                <w:b/>
                <w:bCs/>
                <w:szCs w:val="21"/>
              </w:rPr>
              <w:t>节点）</w:t>
            </w:r>
          </w:p>
          <w:p w14:paraId="4E0B31EC">
            <w:pPr>
              <w:rPr>
                <w:rFonts w:ascii="宋体" w:hAnsi="宋体" w:eastAsia="宋体" w:cs="等线"/>
                <w:szCs w:val="21"/>
              </w:rPr>
            </w:pPr>
            <w:r>
              <w:rPr>
                <w:rFonts w:hint="eastAsia" w:ascii="宋体" w:hAnsi="宋体" w:eastAsia="宋体" w:cs="等线"/>
                <w:szCs w:val="21"/>
              </w:rPr>
              <w:t>（一）技术参数</w:t>
            </w:r>
          </w:p>
          <w:p w14:paraId="667E19B1">
            <w:pPr>
              <w:rPr>
                <w:rFonts w:ascii="宋体" w:hAnsi="宋体" w:eastAsia="宋体" w:cs="等线"/>
                <w:szCs w:val="21"/>
              </w:rPr>
            </w:pPr>
            <w:r>
              <w:rPr>
                <w:rFonts w:hint="eastAsia" w:ascii="宋体" w:hAnsi="宋体" w:eastAsia="宋体" w:cs="等线"/>
                <w:szCs w:val="21"/>
              </w:rPr>
              <w:t>1.软件能掌握对工程概况、施工人材机组织、进度计划、施工质量控制要点、施工工艺技术等技能应用考核，完成施工方案编制，基于案例工程完成施工进度计划图、施工操作以及相关施工要点的考核等技能操作理论知识技能。</w:t>
            </w:r>
          </w:p>
          <w:p w14:paraId="1D3AADFC">
            <w:pPr>
              <w:rPr>
                <w:rFonts w:ascii="宋体" w:hAnsi="宋体" w:eastAsia="宋体" w:cs="等线"/>
                <w:szCs w:val="21"/>
              </w:rPr>
            </w:pPr>
            <w:r>
              <w:rPr>
                <w:rFonts w:hint="eastAsia" w:ascii="宋体" w:hAnsi="宋体" w:eastAsia="宋体" w:cs="等线"/>
                <w:szCs w:val="21"/>
              </w:rPr>
              <w:t>2.软件可满足学生日常实训安排，进行每日实训练习，组卷模拟考核等功能，老师可根据学生学习情况，进行针对性知识点选题考核。题库与软件功能模块的核心知识点章节对应。</w:t>
            </w:r>
          </w:p>
          <w:p w14:paraId="3374D097">
            <w:pPr>
              <w:rPr>
                <w:rFonts w:ascii="宋体" w:hAnsi="宋体" w:eastAsia="宋体" w:cs="等线"/>
                <w:szCs w:val="21"/>
              </w:rPr>
            </w:pPr>
            <w:r>
              <w:rPr>
                <w:rFonts w:hint="eastAsia" w:ascii="宋体" w:hAnsi="宋体" w:eastAsia="宋体" w:cs="等线"/>
                <w:szCs w:val="21"/>
              </w:rPr>
              <w:t>3.软件需包含市政管道施工图识读与考核模块、市政管道施工组织设计编制、市政管道数字化施工及验收模拟仿真操作竞赛模块、市政管道非开挖预处理技术模块、市政管道非开挖修复技术模块内容。</w:t>
            </w:r>
          </w:p>
          <w:p w14:paraId="4D965A0E">
            <w:pPr>
              <w:rPr>
                <w:rFonts w:ascii="宋体" w:hAnsi="宋体" w:eastAsia="宋体" w:cs="等线"/>
                <w:szCs w:val="21"/>
              </w:rPr>
            </w:pPr>
            <w:r>
              <w:rPr>
                <w:rFonts w:hint="eastAsia" w:ascii="宋体" w:hAnsi="宋体" w:eastAsia="宋体" w:cs="等线"/>
                <w:szCs w:val="21"/>
              </w:rPr>
              <w:t>3.1市政管道施工图识读与考核模块</w:t>
            </w:r>
          </w:p>
          <w:p w14:paraId="3EC5BD47">
            <w:pPr>
              <w:rPr>
                <w:rFonts w:ascii="宋体" w:hAnsi="宋体" w:eastAsia="宋体" w:cs="等线"/>
                <w:szCs w:val="21"/>
              </w:rPr>
            </w:pPr>
            <w:r>
              <w:rPr>
                <w:rFonts w:hint="eastAsia" w:ascii="宋体" w:hAnsi="宋体" w:eastAsia="宋体" w:cs="等线"/>
                <w:szCs w:val="21"/>
              </w:rPr>
              <w:t>需包含给水图纸识读、排水图纸识读等两个功能模块内容：</w:t>
            </w:r>
          </w:p>
          <w:p w14:paraId="7A6C20BA">
            <w:pPr>
              <w:rPr>
                <w:rFonts w:ascii="宋体" w:hAnsi="宋体" w:eastAsia="宋体" w:cs="等线"/>
                <w:szCs w:val="21"/>
              </w:rPr>
            </w:pPr>
            <w:r>
              <w:rPr>
                <w:rFonts w:hint="eastAsia" w:ascii="宋体" w:hAnsi="宋体" w:eastAsia="宋体" w:cs="等线"/>
                <w:szCs w:val="21"/>
              </w:rPr>
              <w:t>3.1.1给水图纸识读模块：</w:t>
            </w:r>
          </w:p>
          <w:p w14:paraId="7FFD8C95">
            <w:pPr>
              <w:rPr>
                <w:rFonts w:ascii="宋体" w:hAnsi="宋体" w:eastAsia="宋体" w:cs="等线"/>
                <w:szCs w:val="21"/>
              </w:rPr>
            </w:pPr>
            <w:r>
              <w:rPr>
                <w:rFonts w:hint="eastAsia" w:ascii="宋体" w:hAnsi="宋体" w:eastAsia="宋体" w:cs="等线"/>
                <w:szCs w:val="21"/>
              </w:rPr>
              <w:t>需包含一套给水图纸的管位图、平面图、纵断图、大样图等图纸，提供图纸缩放功能，学生点击图上红色标识进行答题，完成一道题的考核后红色标识自动消失，直至每幅图的题答完为止，可得到对应评分，并出现本地实验报告文档，本地文档需汇总考题、选项及答案等评分点明细情况。红色标识点位需不少于50个，每个点位均包含至少1道选择题。</w:t>
            </w:r>
          </w:p>
          <w:p w14:paraId="0F2B3288">
            <w:pPr>
              <w:rPr>
                <w:rFonts w:ascii="宋体" w:hAnsi="宋体" w:eastAsia="宋体" w:cs="等线"/>
                <w:szCs w:val="21"/>
              </w:rPr>
            </w:pPr>
            <w:r>
              <w:rPr>
                <w:rFonts w:hint="eastAsia" w:ascii="宋体" w:hAnsi="宋体" w:eastAsia="宋体" w:cs="等线"/>
                <w:szCs w:val="21"/>
              </w:rPr>
              <w:t>▲3.1.2排水图纸识读模块：需包含一套给水图纸的管位图、平面图、纵断图等图纸，</w:t>
            </w:r>
          </w:p>
          <w:p w14:paraId="03DFA83B">
            <w:pPr>
              <w:rPr>
                <w:rFonts w:ascii="宋体" w:hAnsi="宋体" w:eastAsia="宋体" w:cs="等线"/>
                <w:szCs w:val="21"/>
              </w:rPr>
            </w:pPr>
            <w:r>
              <w:rPr>
                <w:rFonts w:hint="eastAsia" w:ascii="宋体" w:hAnsi="宋体" w:eastAsia="宋体" w:cs="等线"/>
                <w:szCs w:val="21"/>
              </w:rPr>
              <w:t>提供图纸缩放功能，学生点击图上红色标识进行答题，完成一道题的考核后红色标识自动消失，直至每幅图的题答完为止，可得到对应评分，并出现本地实验报告文档，本地文档需汇总考题、选项及答案等评分点明细情况。红色标识点位需不少于50个，每个点位均包含至少1道选择题。</w:t>
            </w:r>
          </w:p>
          <w:p w14:paraId="3E39D560">
            <w:pPr>
              <w:rPr>
                <w:rFonts w:ascii="宋体" w:hAnsi="宋体" w:eastAsia="宋体" w:cs="等线"/>
                <w:szCs w:val="21"/>
              </w:rPr>
            </w:pPr>
            <w:r>
              <w:rPr>
                <w:rFonts w:hint="eastAsia" w:ascii="宋体" w:hAnsi="宋体" w:eastAsia="宋体" w:cs="等线"/>
                <w:szCs w:val="21"/>
              </w:rPr>
              <w:t>3.1.3识图题目考核模块：</w:t>
            </w:r>
          </w:p>
          <w:p w14:paraId="7F1FBE08">
            <w:pPr>
              <w:rPr>
                <w:rFonts w:ascii="宋体" w:hAnsi="宋体" w:eastAsia="宋体" w:cs="等线"/>
                <w:szCs w:val="21"/>
              </w:rPr>
            </w:pPr>
            <w:r>
              <w:rPr>
                <w:rFonts w:hint="eastAsia" w:ascii="宋体" w:hAnsi="宋体" w:eastAsia="宋体" w:cs="等线"/>
                <w:szCs w:val="21"/>
              </w:rPr>
              <w:t>题库总数量需包含不少于50道题目，软件功能进入后随机抽选题库题目作为单次考核题目。</w:t>
            </w:r>
          </w:p>
          <w:p w14:paraId="4FCC5994">
            <w:pPr>
              <w:rPr>
                <w:rFonts w:ascii="宋体" w:hAnsi="宋体" w:eastAsia="宋体" w:cs="等线"/>
                <w:szCs w:val="21"/>
              </w:rPr>
            </w:pPr>
            <w:r>
              <w:rPr>
                <w:rFonts w:hint="eastAsia" w:ascii="宋体" w:hAnsi="宋体" w:eastAsia="宋体" w:cs="等线"/>
                <w:szCs w:val="21"/>
              </w:rPr>
              <w:t>单次考核题目需包含单选题考核点不少于5个的，多选题考核点不少于5个，判断题不少于5个。</w:t>
            </w:r>
          </w:p>
          <w:p w14:paraId="56E8313F">
            <w:pPr>
              <w:rPr>
                <w:rFonts w:ascii="宋体" w:hAnsi="宋体" w:eastAsia="宋体" w:cs="等线"/>
                <w:szCs w:val="21"/>
              </w:rPr>
            </w:pPr>
            <w:r>
              <w:rPr>
                <w:rFonts w:hint="eastAsia" w:ascii="宋体" w:hAnsi="宋体" w:eastAsia="宋体" w:cs="等线"/>
                <w:szCs w:val="21"/>
              </w:rPr>
              <w:t>3.2市政管道施工组织设计编制模块</w:t>
            </w:r>
          </w:p>
          <w:p w14:paraId="39319DDE">
            <w:pPr>
              <w:rPr>
                <w:rFonts w:ascii="宋体" w:hAnsi="宋体" w:eastAsia="宋体" w:cs="等线"/>
                <w:szCs w:val="21"/>
              </w:rPr>
            </w:pPr>
            <w:r>
              <w:rPr>
                <w:rFonts w:hint="eastAsia" w:ascii="宋体" w:hAnsi="宋体" w:eastAsia="宋体" w:cs="等线"/>
                <w:szCs w:val="21"/>
              </w:rPr>
              <w:t>需包含对工程概况、施工准备、施工方案、施工质量控制要点、安全管理，成品保护措施，基于案例工程完成施工进度时标网络图绘制等竞赛题库内容，通过选择点击或划线选择正确选项，完成填空题目，并对弹窗理论题目进行作答。</w:t>
            </w:r>
          </w:p>
          <w:p w14:paraId="46412DFD">
            <w:pPr>
              <w:rPr>
                <w:rFonts w:ascii="宋体" w:hAnsi="宋体" w:eastAsia="宋体" w:cs="等线"/>
                <w:szCs w:val="21"/>
              </w:rPr>
            </w:pPr>
            <w:r>
              <w:rPr>
                <w:rFonts w:hint="eastAsia" w:ascii="宋体" w:hAnsi="宋体" w:eastAsia="宋体" w:cs="等线"/>
                <w:szCs w:val="21"/>
              </w:rPr>
              <w:t>3.2.1工程概况</w:t>
            </w:r>
          </w:p>
          <w:p w14:paraId="788611BE">
            <w:pPr>
              <w:rPr>
                <w:rFonts w:ascii="宋体" w:hAnsi="宋体" w:eastAsia="宋体" w:cs="等线"/>
                <w:szCs w:val="21"/>
              </w:rPr>
            </w:pPr>
            <w:r>
              <w:rPr>
                <w:rFonts w:hint="eastAsia" w:ascii="宋体" w:hAnsi="宋体" w:eastAsia="宋体" w:cs="等线"/>
                <w:szCs w:val="21"/>
              </w:rPr>
              <w:t>需包含一份施工图设计说明，学生对施工图设计说明进行阅读，完成施工程建设概况表的填写。并添加对应的考核题目，考核题目需不少于3道。</w:t>
            </w:r>
          </w:p>
          <w:p w14:paraId="541F7DF6">
            <w:pPr>
              <w:rPr>
                <w:rFonts w:ascii="宋体" w:hAnsi="宋体" w:eastAsia="宋体" w:cs="等线"/>
                <w:szCs w:val="21"/>
              </w:rPr>
            </w:pPr>
            <w:r>
              <w:rPr>
                <w:rFonts w:hint="eastAsia" w:ascii="宋体" w:hAnsi="宋体" w:eastAsia="宋体" w:cs="等线"/>
                <w:szCs w:val="21"/>
              </w:rPr>
              <w:t>3.2.2施工准备</w:t>
            </w:r>
          </w:p>
          <w:p w14:paraId="60C9C158">
            <w:pPr>
              <w:rPr>
                <w:rFonts w:ascii="宋体" w:hAnsi="宋体" w:eastAsia="宋体" w:cs="等线"/>
                <w:szCs w:val="21"/>
              </w:rPr>
            </w:pPr>
            <w:r>
              <w:rPr>
                <w:rFonts w:hint="eastAsia" w:ascii="宋体" w:hAnsi="宋体" w:eastAsia="宋体" w:cs="等线"/>
                <w:szCs w:val="21"/>
              </w:rPr>
              <w:t>需包含施工现场准备的资料内容，需完成对现场准备平面图的填写，并添加对应的考核题目，考核题目需不少于3道。</w:t>
            </w:r>
          </w:p>
          <w:p w14:paraId="19A2B197">
            <w:pPr>
              <w:rPr>
                <w:rFonts w:ascii="宋体" w:hAnsi="宋体" w:eastAsia="宋体" w:cs="等线"/>
                <w:szCs w:val="21"/>
              </w:rPr>
            </w:pPr>
            <w:r>
              <w:rPr>
                <w:rFonts w:hint="eastAsia" w:ascii="宋体" w:hAnsi="宋体" w:eastAsia="宋体" w:cs="等线"/>
                <w:szCs w:val="21"/>
              </w:rPr>
              <w:t>3.2.3施工方案</w:t>
            </w:r>
          </w:p>
          <w:p w14:paraId="667FA733">
            <w:pPr>
              <w:rPr>
                <w:rFonts w:ascii="宋体" w:hAnsi="宋体" w:eastAsia="宋体" w:cs="等线"/>
                <w:szCs w:val="21"/>
              </w:rPr>
            </w:pPr>
            <w:r>
              <w:rPr>
                <w:rFonts w:hint="eastAsia" w:ascii="宋体" w:hAnsi="宋体" w:eastAsia="宋体" w:cs="等线"/>
                <w:szCs w:val="21"/>
              </w:rPr>
              <w:t>需包含给水、排水、燃气、热力等市政管道施工的施工步骤填写，并添加对应的考核题目，考核题目需不少于3道。</w:t>
            </w:r>
          </w:p>
          <w:p w14:paraId="13BFDD50">
            <w:pPr>
              <w:rPr>
                <w:rFonts w:ascii="宋体" w:hAnsi="宋体" w:eastAsia="宋体" w:cs="等线"/>
                <w:szCs w:val="21"/>
              </w:rPr>
            </w:pPr>
            <w:r>
              <w:rPr>
                <w:rFonts w:hint="eastAsia" w:ascii="宋体" w:hAnsi="宋体" w:eastAsia="宋体" w:cs="等线"/>
                <w:szCs w:val="21"/>
              </w:rPr>
              <w:t>3.2.4质量控制要点</w:t>
            </w:r>
          </w:p>
          <w:p w14:paraId="0A69473E">
            <w:pPr>
              <w:rPr>
                <w:rFonts w:ascii="宋体" w:hAnsi="宋体" w:eastAsia="宋体" w:cs="等线"/>
                <w:szCs w:val="21"/>
              </w:rPr>
            </w:pPr>
            <w:r>
              <w:rPr>
                <w:rFonts w:hint="eastAsia" w:ascii="宋体" w:hAnsi="宋体" w:eastAsia="宋体" w:cs="等线"/>
                <w:szCs w:val="21"/>
              </w:rPr>
              <w:t>需包含质量控制要点有关内容，并添加对应的考核题目，考核题目需不少于3道。</w:t>
            </w:r>
          </w:p>
          <w:p w14:paraId="09B22C10">
            <w:pPr>
              <w:rPr>
                <w:rFonts w:ascii="宋体" w:hAnsi="宋体" w:eastAsia="宋体" w:cs="等线"/>
                <w:szCs w:val="21"/>
              </w:rPr>
            </w:pPr>
            <w:r>
              <w:rPr>
                <w:rFonts w:hint="eastAsia" w:ascii="宋体" w:hAnsi="宋体" w:eastAsia="宋体" w:cs="等线"/>
                <w:szCs w:val="21"/>
              </w:rPr>
              <w:t>3.2.5安全管理</w:t>
            </w:r>
          </w:p>
          <w:p w14:paraId="545C9811">
            <w:pPr>
              <w:rPr>
                <w:rFonts w:ascii="宋体" w:hAnsi="宋体" w:eastAsia="宋体" w:cs="等线"/>
                <w:szCs w:val="21"/>
              </w:rPr>
            </w:pPr>
            <w:r>
              <w:rPr>
                <w:rFonts w:hint="eastAsia" w:ascii="宋体" w:hAnsi="宋体" w:eastAsia="宋体" w:cs="等线"/>
                <w:szCs w:val="21"/>
              </w:rPr>
              <w:t>需包含安全管理有关内容，并添加对应的考核题目，考核题目需不少于3道。</w:t>
            </w:r>
          </w:p>
          <w:p w14:paraId="4144B4BF">
            <w:pPr>
              <w:rPr>
                <w:rFonts w:ascii="宋体" w:hAnsi="宋体" w:eastAsia="宋体" w:cs="等线"/>
                <w:szCs w:val="21"/>
              </w:rPr>
            </w:pPr>
            <w:r>
              <w:rPr>
                <w:rFonts w:hint="eastAsia" w:ascii="宋体" w:hAnsi="宋体" w:eastAsia="宋体" w:cs="等线"/>
                <w:szCs w:val="21"/>
              </w:rPr>
              <w:t>3.2.6成品保护措施</w:t>
            </w:r>
          </w:p>
          <w:p w14:paraId="1DB43267">
            <w:pPr>
              <w:rPr>
                <w:rFonts w:ascii="宋体" w:hAnsi="宋体" w:eastAsia="宋体" w:cs="等线"/>
                <w:szCs w:val="21"/>
              </w:rPr>
            </w:pPr>
            <w:r>
              <w:rPr>
                <w:rFonts w:hint="eastAsia" w:ascii="宋体" w:hAnsi="宋体" w:eastAsia="宋体" w:cs="等线"/>
                <w:szCs w:val="21"/>
              </w:rPr>
              <w:t>需包含成品保护措施有关内容，并添加对应的考核题目，考核题目需不少于3道。</w:t>
            </w:r>
          </w:p>
          <w:p w14:paraId="7EE4E95C">
            <w:pPr>
              <w:rPr>
                <w:rFonts w:ascii="宋体" w:hAnsi="宋体" w:eastAsia="宋体" w:cs="等线"/>
                <w:szCs w:val="21"/>
              </w:rPr>
            </w:pPr>
            <w:r>
              <w:rPr>
                <w:rFonts w:hint="eastAsia" w:ascii="宋体" w:hAnsi="宋体" w:eastAsia="宋体" w:cs="等线"/>
                <w:szCs w:val="21"/>
              </w:rPr>
              <w:t>3.2.7施工进度时标网络图绘制</w:t>
            </w:r>
          </w:p>
          <w:p w14:paraId="2BD7CEC4">
            <w:pPr>
              <w:rPr>
                <w:rFonts w:ascii="宋体" w:hAnsi="宋体" w:eastAsia="宋体" w:cs="等线"/>
                <w:szCs w:val="21"/>
              </w:rPr>
            </w:pPr>
            <w:r>
              <w:rPr>
                <w:rFonts w:hint="eastAsia" w:ascii="宋体" w:hAnsi="宋体" w:eastAsia="宋体" w:cs="等线"/>
                <w:szCs w:val="21"/>
              </w:rPr>
              <w:t>需包含施工横道图绘制及双代号网络图的填写功能，并添加对应的考核题目，考核题目需不少于3道。</w:t>
            </w:r>
          </w:p>
          <w:p w14:paraId="0FD5CD90">
            <w:pPr>
              <w:rPr>
                <w:rFonts w:ascii="宋体" w:hAnsi="宋体" w:eastAsia="宋体" w:cs="等线"/>
                <w:szCs w:val="21"/>
              </w:rPr>
            </w:pPr>
            <w:r>
              <w:rPr>
                <w:rFonts w:hint="eastAsia" w:ascii="宋体" w:hAnsi="宋体" w:eastAsia="宋体" w:cs="等线"/>
                <w:szCs w:val="21"/>
              </w:rPr>
              <w:t>3.3市政管道数字化施工及验收仿真模块（给水施工）</w:t>
            </w:r>
          </w:p>
          <w:p w14:paraId="55DD8C8B">
            <w:pPr>
              <w:rPr>
                <w:rFonts w:ascii="宋体" w:hAnsi="宋体" w:eastAsia="宋体" w:cs="等线"/>
                <w:szCs w:val="21"/>
              </w:rPr>
            </w:pPr>
            <w:r>
              <w:rPr>
                <w:rFonts w:hint="eastAsia" w:ascii="宋体" w:hAnsi="宋体" w:eastAsia="宋体" w:cs="等线"/>
                <w:szCs w:val="21"/>
              </w:rPr>
              <w:t>需包含运用虚拟仿真技术手段，建立给水施工虚拟仿真施工安装实训场景，以选择施工工具、指定位置等形式进行仿真实训操作；完成仿真实训操作后进行章节测试题目进行辅助考核。</w:t>
            </w:r>
          </w:p>
          <w:p w14:paraId="2D92264A">
            <w:pPr>
              <w:rPr>
                <w:rFonts w:ascii="宋体" w:hAnsi="宋体" w:eastAsia="宋体" w:cs="等线"/>
                <w:szCs w:val="21"/>
              </w:rPr>
            </w:pPr>
            <w:r>
              <w:rPr>
                <w:rFonts w:hint="eastAsia" w:ascii="宋体" w:hAnsi="宋体" w:eastAsia="宋体" w:cs="等线"/>
                <w:szCs w:val="21"/>
              </w:rPr>
              <w:t>3.3.1沟槽断面选择及土方量计算</w:t>
            </w:r>
          </w:p>
          <w:p w14:paraId="25AB9024">
            <w:pPr>
              <w:rPr>
                <w:rFonts w:ascii="宋体" w:hAnsi="宋体" w:eastAsia="宋体" w:cs="等线"/>
                <w:szCs w:val="21"/>
              </w:rPr>
            </w:pPr>
            <w:r>
              <w:rPr>
                <w:rFonts w:hint="eastAsia" w:ascii="宋体" w:hAnsi="宋体" w:eastAsia="宋体" w:cs="等线"/>
                <w:szCs w:val="21"/>
              </w:rPr>
              <w:t>需包含沟槽断面计算功能，软件添加给水管道纵断面图，学生阅读断面图后，进行对管断的断面计算填写。</w:t>
            </w:r>
          </w:p>
          <w:p w14:paraId="4AD01C9B">
            <w:pPr>
              <w:rPr>
                <w:rFonts w:ascii="宋体" w:hAnsi="宋体" w:eastAsia="宋体" w:cs="等线"/>
                <w:szCs w:val="21"/>
              </w:rPr>
            </w:pPr>
            <w:r>
              <w:rPr>
                <w:rFonts w:hint="eastAsia" w:ascii="宋体" w:hAnsi="宋体" w:eastAsia="宋体" w:cs="等线"/>
                <w:szCs w:val="21"/>
              </w:rPr>
              <w:t>填写内容需包含管长、管径、坡度、起点设计路面标高、终点设计路面标高、起点管中心标高、终点管中心标高、起点管道埋深、终点管道埋深。</w:t>
            </w:r>
          </w:p>
          <w:p w14:paraId="44FE148A">
            <w:pPr>
              <w:rPr>
                <w:rFonts w:ascii="宋体" w:hAnsi="宋体" w:eastAsia="宋体" w:cs="等线"/>
                <w:szCs w:val="21"/>
              </w:rPr>
            </w:pPr>
            <w:r>
              <w:rPr>
                <w:rFonts w:hint="eastAsia" w:ascii="宋体" w:hAnsi="宋体" w:eastAsia="宋体" w:cs="等线"/>
                <w:szCs w:val="21"/>
              </w:rPr>
              <w:t>完成计算后进行章节测试答题，题目内容需包含单选题、多选题、判断题等内容，每类题型需不少2道题目。</w:t>
            </w:r>
          </w:p>
          <w:p w14:paraId="0B4BD03D">
            <w:pPr>
              <w:rPr>
                <w:rFonts w:ascii="宋体" w:hAnsi="宋体" w:eastAsia="宋体" w:cs="等线"/>
                <w:szCs w:val="21"/>
              </w:rPr>
            </w:pPr>
            <w:r>
              <w:rPr>
                <w:rFonts w:hint="eastAsia" w:ascii="宋体" w:hAnsi="宋体" w:eastAsia="宋体" w:cs="等线"/>
                <w:szCs w:val="21"/>
              </w:rPr>
              <w:t>3.3.2管道施工测量与放线</w:t>
            </w:r>
          </w:p>
          <w:p w14:paraId="02DC6C17">
            <w:pPr>
              <w:rPr>
                <w:rFonts w:ascii="宋体" w:hAnsi="宋体" w:eastAsia="宋体" w:cs="等线"/>
                <w:szCs w:val="21"/>
              </w:rPr>
            </w:pPr>
            <w:r>
              <w:rPr>
                <w:rFonts w:hint="eastAsia" w:ascii="宋体" w:hAnsi="宋体" w:eastAsia="宋体" w:cs="等线"/>
                <w:szCs w:val="21"/>
              </w:rPr>
              <w:t>需包含测量中心线、井位桩、沟槽边线、井位控制桩等4个施工步骤内容。</w:t>
            </w:r>
          </w:p>
          <w:p w14:paraId="31CFB642">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仿真操作功能需包含每个步骤点击工具栏，选择正确工具并拖动放置所需物品至指示处，完成虚拟仿真施工实训。虚拟仿真施工实训需不少于8个。</w:t>
            </w:r>
          </w:p>
          <w:p w14:paraId="187662BD">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32710EC3">
            <w:pPr>
              <w:rPr>
                <w:rFonts w:ascii="宋体" w:hAnsi="宋体" w:eastAsia="宋体" w:cs="等线"/>
                <w:szCs w:val="21"/>
              </w:rPr>
            </w:pPr>
            <w:r>
              <w:rPr>
                <w:rFonts w:hint="eastAsia" w:ascii="宋体" w:hAnsi="宋体" w:eastAsia="宋体" w:cs="等线"/>
                <w:szCs w:val="21"/>
              </w:rPr>
              <w:t>3.3.3沟槽断面开挖支护与基底处理</w:t>
            </w:r>
          </w:p>
          <w:p w14:paraId="1D18192F">
            <w:pPr>
              <w:rPr>
                <w:rFonts w:ascii="宋体" w:hAnsi="宋体" w:eastAsia="宋体" w:cs="等线"/>
                <w:szCs w:val="21"/>
              </w:rPr>
            </w:pPr>
            <w:r>
              <w:rPr>
                <w:rFonts w:hint="eastAsia" w:ascii="宋体" w:hAnsi="宋体" w:eastAsia="宋体" w:cs="等线"/>
                <w:szCs w:val="21"/>
              </w:rPr>
              <w:t>需包含包括沟槽断面开挖、人工清底、沟槽验收、砂垫层施工、井基础施工等5个施工步骤内容。</w:t>
            </w:r>
          </w:p>
          <w:p w14:paraId="63D0392F">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仿真操作功能需包含每个步骤点击工具栏，选择正确工具并拖动放置所需物品至指示处，完成虚拟仿真施工实训。虚拟仿真施工实训需不少于8个。</w:t>
            </w:r>
          </w:p>
          <w:p w14:paraId="62EAED62">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51172146">
            <w:pPr>
              <w:rPr>
                <w:rFonts w:ascii="宋体" w:hAnsi="宋体" w:eastAsia="宋体" w:cs="等线"/>
                <w:szCs w:val="21"/>
              </w:rPr>
            </w:pPr>
            <w:r>
              <w:rPr>
                <w:rFonts w:hint="eastAsia" w:ascii="宋体" w:hAnsi="宋体" w:eastAsia="宋体" w:cs="等线"/>
                <w:szCs w:val="21"/>
              </w:rPr>
              <w:t>3.3.4球墨铸铁管道安装</w:t>
            </w:r>
          </w:p>
          <w:p w14:paraId="0DCF4F7A">
            <w:pPr>
              <w:rPr>
                <w:rFonts w:ascii="宋体" w:hAnsi="宋体" w:eastAsia="宋体" w:cs="等线"/>
                <w:szCs w:val="21"/>
              </w:rPr>
            </w:pPr>
            <w:r>
              <w:rPr>
                <w:rFonts w:hint="eastAsia" w:ascii="宋体" w:hAnsi="宋体" w:eastAsia="宋体" w:cs="等线"/>
                <w:szCs w:val="21"/>
              </w:rPr>
              <w:t>需包含管道安装施工的排管、下管、稳管、对口、检查等5个施工步骤内容</w:t>
            </w:r>
          </w:p>
          <w:p w14:paraId="2BB77469">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仿真操作功能需包含每个步骤点击工具栏，选择正确工具并拖动放置所需物品至指示处，完成虚拟仿真施工实训。虚拟仿真施工实训需不少于8个。</w:t>
            </w:r>
          </w:p>
          <w:p w14:paraId="5ED12168">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15320DD4">
            <w:pPr>
              <w:rPr>
                <w:rFonts w:ascii="宋体" w:hAnsi="宋体" w:eastAsia="宋体" w:cs="等线"/>
                <w:szCs w:val="21"/>
              </w:rPr>
            </w:pPr>
            <w:r>
              <w:rPr>
                <w:rFonts w:hint="eastAsia" w:ascii="宋体" w:hAnsi="宋体" w:eastAsia="宋体" w:cs="等线"/>
                <w:szCs w:val="21"/>
              </w:rPr>
              <w:t>▲3.3.5给水管道附属构筑物施工</w:t>
            </w:r>
          </w:p>
          <w:p w14:paraId="710C4ABF">
            <w:pPr>
              <w:rPr>
                <w:rFonts w:ascii="宋体" w:hAnsi="宋体" w:eastAsia="宋体" w:cs="等线"/>
                <w:szCs w:val="21"/>
              </w:rPr>
            </w:pPr>
            <w:r>
              <w:rPr>
                <w:rFonts w:hint="eastAsia" w:ascii="宋体" w:hAnsi="宋体" w:eastAsia="宋体" w:cs="等线"/>
                <w:szCs w:val="21"/>
              </w:rPr>
              <w:t>需包含构筑物施工的阀件安装、阀门井、支护模版、踏步预留、混凝土浇筑、井筒安装、排泥井施工、消火栓安装等8个施工步骤内容</w:t>
            </w:r>
          </w:p>
          <w:p w14:paraId="5FBB9E7F">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仿真操作功能需包含每个步骤点击工具栏，选择正确工具并拖动放置所需物品至指示处，完成虚拟仿真施工实训。虚拟仿真施工实训需不少于10个。</w:t>
            </w:r>
          </w:p>
          <w:p w14:paraId="5097924C">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103E38B1">
            <w:pPr>
              <w:rPr>
                <w:rFonts w:ascii="宋体" w:hAnsi="宋体" w:eastAsia="宋体" w:cs="等线"/>
                <w:szCs w:val="21"/>
              </w:rPr>
            </w:pPr>
            <w:r>
              <w:rPr>
                <w:rFonts w:hint="eastAsia" w:ascii="宋体" w:hAnsi="宋体" w:eastAsia="宋体" w:cs="等线"/>
                <w:szCs w:val="21"/>
              </w:rPr>
              <w:t>3.3.6室外给水管道验收</w:t>
            </w:r>
          </w:p>
          <w:p w14:paraId="13261A4E">
            <w:pPr>
              <w:rPr>
                <w:rFonts w:ascii="宋体" w:hAnsi="宋体" w:eastAsia="宋体" w:cs="等线"/>
                <w:szCs w:val="21"/>
              </w:rPr>
            </w:pPr>
            <w:r>
              <w:rPr>
                <w:rFonts w:hint="eastAsia" w:ascii="宋体" w:hAnsi="宋体" w:eastAsia="宋体" w:cs="等线"/>
                <w:szCs w:val="21"/>
              </w:rPr>
              <w:t>需包含管道验收的水压试验、给水管道的冲洗和消毒等3个施工步骤内容</w:t>
            </w:r>
          </w:p>
          <w:p w14:paraId="08C35F2C">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仿真操作功能需包含每个步骤点击工具栏，选择正确工具并拖动放置所需物品至指示处，完成虚拟仿真施工实训。虚拟仿真施工实训需不少于5个。</w:t>
            </w:r>
          </w:p>
          <w:p w14:paraId="5FE72A5D">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70D574EF">
            <w:pPr>
              <w:rPr>
                <w:rFonts w:ascii="宋体" w:hAnsi="宋体" w:eastAsia="宋体" w:cs="等线"/>
                <w:szCs w:val="21"/>
              </w:rPr>
            </w:pPr>
            <w:r>
              <w:rPr>
                <w:rFonts w:hint="eastAsia" w:ascii="宋体" w:hAnsi="宋体" w:eastAsia="宋体" w:cs="等线"/>
                <w:szCs w:val="21"/>
              </w:rPr>
              <w:t>3.3.7管道沟槽回填</w:t>
            </w:r>
          </w:p>
          <w:p w14:paraId="2783D6CE">
            <w:pPr>
              <w:rPr>
                <w:rFonts w:ascii="宋体" w:hAnsi="宋体" w:eastAsia="宋体" w:cs="等线"/>
                <w:szCs w:val="21"/>
              </w:rPr>
            </w:pPr>
            <w:r>
              <w:rPr>
                <w:rFonts w:hint="eastAsia" w:ascii="宋体" w:hAnsi="宋体" w:eastAsia="宋体" w:cs="等线"/>
                <w:szCs w:val="21"/>
              </w:rPr>
              <w:t>需包含管道沟槽回填施工的沟槽回填施工工序、沟槽回填要求等2个施工步骤内容。</w:t>
            </w:r>
          </w:p>
          <w:p w14:paraId="056E0CCC">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仿真操作功能需包含每个步骤点击工具栏，选择正确工具并拖动放置所需物品至指示处，完成虚拟仿真施工实训。虚拟仿真施工实训需不少于2个。</w:t>
            </w:r>
          </w:p>
          <w:p w14:paraId="426995B8">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2C9414C1">
            <w:pPr>
              <w:rPr>
                <w:rFonts w:ascii="宋体" w:hAnsi="宋体" w:eastAsia="宋体" w:cs="等线"/>
                <w:szCs w:val="21"/>
              </w:rPr>
            </w:pPr>
            <w:r>
              <w:rPr>
                <w:rFonts w:hint="eastAsia" w:ascii="宋体" w:hAnsi="宋体" w:eastAsia="宋体" w:cs="等线"/>
                <w:szCs w:val="21"/>
              </w:rPr>
              <w:t>3.4市政管道数字化施工及验收仿真模块（排水施工）</w:t>
            </w:r>
          </w:p>
          <w:p w14:paraId="006302E4">
            <w:pPr>
              <w:rPr>
                <w:rFonts w:ascii="宋体" w:hAnsi="宋体" w:eastAsia="宋体" w:cs="等线"/>
                <w:szCs w:val="21"/>
              </w:rPr>
            </w:pPr>
            <w:r>
              <w:rPr>
                <w:rFonts w:hint="eastAsia" w:ascii="宋体" w:hAnsi="宋体" w:eastAsia="宋体" w:cs="等线"/>
                <w:szCs w:val="21"/>
              </w:rPr>
              <w:t>需包含运用虚拟仿真技术手段，建立排水施工虚拟仿真施工安装实训场景，以选择施工工具、指定位置等形式进行仿真实训操作；完成仿真实训操作后进行章节测试题目进行辅助考核。</w:t>
            </w:r>
          </w:p>
          <w:p w14:paraId="35CA12CB">
            <w:pPr>
              <w:rPr>
                <w:rFonts w:ascii="宋体" w:hAnsi="宋体" w:eastAsia="宋体" w:cs="等线"/>
                <w:szCs w:val="21"/>
              </w:rPr>
            </w:pPr>
            <w:r>
              <w:rPr>
                <w:rFonts w:hint="eastAsia" w:ascii="宋体" w:hAnsi="宋体" w:eastAsia="宋体" w:cs="等线"/>
                <w:szCs w:val="21"/>
              </w:rPr>
              <w:t>3.4.1沟槽断面选择及土方量计算</w:t>
            </w:r>
          </w:p>
          <w:p w14:paraId="20F32ECB">
            <w:pPr>
              <w:rPr>
                <w:rFonts w:ascii="宋体" w:hAnsi="宋体" w:eastAsia="宋体" w:cs="等线"/>
                <w:szCs w:val="21"/>
              </w:rPr>
            </w:pPr>
            <w:r>
              <w:rPr>
                <w:rFonts w:hint="eastAsia" w:ascii="宋体" w:hAnsi="宋体" w:eastAsia="宋体" w:cs="等线"/>
                <w:szCs w:val="21"/>
              </w:rPr>
              <w:t>需包含沟槽断面计算功能，软件添加给水管道纵断面图，学生阅读断面图后，进行对管断的断面计算填写。</w:t>
            </w:r>
          </w:p>
          <w:p w14:paraId="316DF0D6">
            <w:pPr>
              <w:rPr>
                <w:rFonts w:ascii="宋体" w:hAnsi="宋体" w:eastAsia="宋体" w:cs="等线"/>
                <w:szCs w:val="21"/>
              </w:rPr>
            </w:pPr>
            <w:r>
              <w:rPr>
                <w:rFonts w:hint="eastAsia" w:ascii="宋体" w:hAnsi="宋体" w:eastAsia="宋体" w:cs="等线"/>
                <w:szCs w:val="21"/>
              </w:rPr>
              <w:t>填写内容需包含管长、管径、坡度、起点设计路面标高、终点设计路面标高、起点管中心标高、终点管中心标高、起点管道埋深、终点管道埋深。</w:t>
            </w:r>
          </w:p>
          <w:p w14:paraId="56C32F90">
            <w:pPr>
              <w:rPr>
                <w:rFonts w:ascii="宋体" w:hAnsi="宋体" w:eastAsia="宋体" w:cs="等线"/>
                <w:szCs w:val="21"/>
              </w:rPr>
            </w:pPr>
            <w:r>
              <w:rPr>
                <w:rFonts w:hint="eastAsia" w:ascii="宋体" w:hAnsi="宋体" w:eastAsia="宋体" w:cs="等线"/>
                <w:szCs w:val="21"/>
              </w:rPr>
              <w:t>完成计算后进行章节测试答题，题目内容需包含单选题、多选题、判断题等内容，每类题型需不少2道题目。</w:t>
            </w:r>
          </w:p>
          <w:p w14:paraId="59A988AC">
            <w:pPr>
              <w:rPr>
                <w:rFonts w:ascii="宋体" w:hAnsi="宋体" w:eastAsia="宋体" w:cs="等线"/>
                <w:szCs w:val="21"/>
              </w:rPr>
            </w:pPr>
            <w:r>
              <w:rPr>
                <w:rFonts w:hint="eastAsia" w:ascii="宋体" w:hAnsi="宋体" w:eastAsia="宋体" w:cs="等线"/>
                <w:szCs w:val="21"/>
              </w:rPr>
              <w:t>3.4.2管道施工测量与放线</w:t>
            </w:r>
          </w:p>
          <w:p w14:paraId="424626C8">
            <w:pPr>
              <w:rPr>
                <w:rFonts w:ascii="宋体" w:hAnsi="宋体" w:eastAsia="宋体" w:cs="等线"/>
                <w:szCs w:val="21"/>
              </w:rPr>
            </w:pPr>
            <w:r>
              <w:rPr>
                <w:rFonts w:hint="eastAsia" w:ascii="宋体" w:hAnsi="宋体" w:eastAsia="宋体" w:cs="等线"/>
                <w:szCs w:val="21"/>
              </w:rPr>
              <w:t>需包含测量放线施工的测量中心线、井位桩、沟槽边线、井位控制桩等4个施工步骤内容。</w:t>
            </w:r>
          </w:p>
          <w:p w14:paraId="21EEAF08">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仿真操作功能需包含每个步骤点击工具栏，选择正确工具并拖动放置所需物品至指示处，完成虚拟仿真施工实训。虚拟仿真施工实训需不少于5个。</w:t>
            </w:r>
          </w:p>
          <w:p w14:paraId="3E7AA026">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46112079">
            <w:pPr>
              <w:rPr>
                <w:rFonts w:ascii="宋体" w:hAnsi="宋体" w:eastAsia="宋体" w:cs="等线"/>
                <w:szCs w:val="21"/>
              </w:rPr>
            </w:pPr>
            <w:r>
              <w:rPr>
                <w:rFonts w:hint="eastAsia" w:ascii="宋体" w:hAnsi="宋体" w:eastAsia="宋体" w:cs="等线"/>
                <w:szCs w:val="21"/>
              </w:rPr>
              <w:t>3.4.3沟槽断面开挖支护与基底处理</w:t>
            </w:r>
          </w:p>
          <w:p w14:paraId="45D24899">
            <w:pPr>
              <w:rPr>
                <w:rFonts w:ascii="宋体" w:hAnsi="宋体" w:eastAsia="宋体" w:cs="等线"/>
                <w:szCs w:val="21"/>
              </w:rPr>
            </w:pPr>
            <w:r>
              <w:rPr>
                <w:rFonts w:hint="eastAsia" w:ascii="宋体" w:hAnsi="宋体" w:eastAsia="宋体" w:cs="等线"/>
                <w:szCs w:val="21"/>
              </w:rPr>
              <w:t>需包含包括沟槽断面开挖、人工清底、沟槽验收、基底处理施工等4个施工步骤内容。</w:t>
            </w:r>
          </w:p>
          <w:p w14:paraId="5AF69CA4">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仿真操作功能需包含每个步骤点击工具栏，选择正确工具并拖动放置所需物品至指示处，完成虚拟仿真施工实训。虚拟仿真施工实训需不少于5个。</w:t>
            </w:r>
          </w:p>
          <w:p w14:paraId="7CCBCAE6">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7CDEAD21">
            <w:pPr>
              <w:rPr>
                <w:rFonts w:ascii="宋体" w:hAnsi="宋体" w:eastAsia="宋体" w:cs="等线"/>
                <w:szCs w:val="21"/>
              </w:rPr>
            </w:pPr>
            <w:r>
              <w:rPr>
                <w:rFonts w:hint="eastAsia" w:ascii="宋体" w:hAnsi="宋体" w:eastAsia="宋体" w:cs="等线"/>
                <w:szCs w:val="21"/>
              </w:rPr>
              <w:t>▲3.4.4混凝土管与钢筋混凝土管的安装</w:t>
            </w:r>
          </w:p>
          <w:p w14:paraId="0AD6BABA">
            <w:pPr>
              <w:rPr>
                <w:rFonts w:ascii="宋体" w:hAnsi="宋体" w:eastAsia="宋体" w:cs="等线"/>
                <w:szCs w:val="21"/>
              </w:rPr>
            </w:pPr>
            <w:r>
              <w:rPr>
                <w:rFonts w:hint="eastAsia" w:ascii="宋体" w:hAnsi="宋体" w:eastAsia="宋体" w:cs="等线"/>
                <w:szCs w:val="21"/>
              </w:rPr>
              <w:t>需包含管道安装施工的排管、下管、稳管、对口、检查等5个施工步骤内容。</w:t>
            </w:r>
          </w:p>
          <w:p w14:paraId="2E03D0D5">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仿真操作功能需包含每个步骤点击工具栏，选择正确工具并拖动放置所需物品至指示处，完成虚拟仿真施工实训。虚拟仿真施工实训需不少于5个。</w:t>
            </w:r>
          </w:p>
          <w:p w14:paraId="16C3A4D4">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7E3C90D8">
            <w:pPr>
              <w:rPr>
                <w:rFonts w:ascii="宋体" w:hAnsi="宋体" w:eastAsia="宋体" w:cs="等线"/>
                <w:szCs w:val="21"/>
              </w:rPr>
            </w:pPr>
            <w:r>
              <w:rPr>
                <w:rFonts w:hint="eastAsia" w:ascii="宋体" w:hAnsi="宋体" w:eastAsia="宋体" w:cs="等线"/>
                <w:szCs w:val="21"/>
              </w:rPr>
              <w:t>3.4.5排水管道附属构筑物</w:t>
            </w:r>
          </w:p>
          <w:p w14:paraId="6330E432">
            <w:pPr>
              <w:rPr>
                <w:rFonts w:ascii="宋体" w:hAnsi="宋体" w:eastAsia="宋体" w:cs="等线"/>
                <w:szCs w:val="21"/>
              </w:rPr>
            </w:pPr>
            <w:r>
              <w:rPr>
                <w:rFonts w:hint="eastAsia" w:ascii="宋体" w:hAnsi="宋体" w:eastAsia="宋体" w:cs="等线"/>
                <w:szCs w:val="21"/>
              </w:rPr>
              <w:t>需包含构筑物施工的绑扎钢筋、支护模板、踏步预留、混凝土浇筑、井筒安装等5个施工步骤内容。</w:t>
            </w:r>
          </w:p>
          <w:p w14:paraId="5E935ACA">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仿真操作功能需包含每个步骤点击工具栏，选择正确工具并拖动放置所需物品至指示处，完成虚拟仿真施工实训。虚拟仿真施工实训需不少于5个。</w:t>
            </w:r>
          </w:p>
          <w:p w14:paraId="63E42B36">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2AF49DA6">
            <w:pPr>
              <w:rPr>
                <w:rFonts w:ascii="宋体" w:hAnsi="宋体" w:eastAsia="宋体" w:cs="等线"/>
                <w:szCs w:val="21"/>
              </w:rPr>
            </w:pPr>
            <w:r>
              <w:rPr>
                <w:rFonts w:hint="eastAsia" w:ascii="宋体" w:hAnsi="宋体" w:eastAsia="宋体" w:cs="等线"/>
                <w:szCs w:val="21"/>
              </w:rPr>
              <w:t>3.4.6室外排水管道功能性实验</w:t>
            </w:r>
          </w:p>
          <w:p w14:paraId="4333E49F">
            <w:pPr>
              <w:rPr>
                <w:rFonts w:ascii="宋体" w:hAnsi="宋体" w:eastAsia="宋体" w:cs="等线"/>
                <w:szCs w:val="21"/>
              </w:rPr>
            </w:pPr>
            <w:r>
              <w:rPr>
                <w:rFonts w:hint="eastAsia" w:ascii="宋体" w:hAnsi="宋体" w:eastAsia="宋体" w:cs="等线"/>
                <w:szCs w:val="21"/>
              </w:rPr>
              <w:t>需包含管道功能性试验施工的室外排水管道功能性实验等1个施工步骤内容。</w:t>
            </w:r>
          </w:p>
          <w:p w14:paraId="76F93305">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仿真操作功能需包含每个步骤点击工具栏，选择正确工具并拖动放置所需物品至指示处，完成虚拟仿真施工实训。虚拟仿真施工实训需不少于2个。</w:t>
            </w:r>
          </w:p>
          <w:p w14:paraId="75E167C3">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46C80D92">
            <w:pPr>
              <w:rPr>
                <w:rFonts w:ascii="宋体" w:hAnsi="宋体" w:eastAsia="宋体" w:cs="等线"/>
                <w:szCs w:val="21"/>
              </w:rPr>
            </w:pPr>
            <w:r>
              <w:rPr>
                <w:rFonts w:hint="eastAsia" w:ascii="宋体" w:hAnsi="宋体" w:eastAsia="宋体" w:cs="等线"/>
                <w:szCs w:val="21"/>
              </w:rPr>
              <w:t>3.4.7管道沟槽回填</w:t>
            </w:r>
          </w:p>
          <w:p w14:paraId="345C3CB4">
            <w:pPr>
              <w:rPr>
                <w:rFonts w:ascii="宋体" w:hAnsi="宋体" w:eastAsia="宋体" w:cs="等线"/>
                <w:szCs w:val="21"/>
              </w:rPr>
            </w:pPr>
            <w:r>
              <w:rPr>
                <w:rFonts w:hint="eastAsia" w:ascii="宋体" w:hAnsi="宋体" w:eastAsia="宋体" w:cs="等线"/>
                <w:szCs w:val="21"/>
              </w:rPr>
              <w:t>需包含管道沟槽回填施工的沟槽回填施工工序等1个施工步骤内容。</w:t>
            </w:r>
          </w:p>
          <w:p w14:paraId="21563AA3">
            <w:pPr>
              <w:rPr>
                <w:rFonts w:ascii="宋体" w:hAnsi="宋体" w:eastAsia="宋体" w:cs="等线"/>
                <w:szCs w:val="21"/>
              </w:rPr>
            </w:pPr>
            <w:r>
              <w:rPr>
                <w:rFonts w:hint="eastAsia" w:ascii="宋体" w:hAnsi="宋体" w:eastAsia="宋体" w:cs="等线"/>
                <w:szCs w:val="21"/>
              </w:rPr>
              <w:t>仿真操作功能需包含每个步骤点击工具栏，选择正确工具并拖动放置所需物品至指示处，完成虚拟仿真施工实训。虚拟仿真施工实训需不少于1个。</w:t>
            </w:r>
          </w:p>
          <w:p w14:paraId="04AAE486">
            <w:pPr>
              <w:rPr>
                <w:rFonts w:ascii="宋体" w:hAnsi="宋体" w:eastAsia="宋体" w:cs="等线"/>
                <w:szCs w:val="21"/>
              </w:rPr>
            </w:pPr>
            <w:r>
              <w:rPr>
                <w:rFonts w:hint="eastAsia" w:ascii="宋体" w:hAnsi="宋体" w:eastAsia="宋体" w:cs="等线"/>
                <w:szCs w:val="21"/>
              </w:rPr>
              <w:t>完成施工仿真后进行章节测试答题，题目内容需包含单选题、多选题、判断题等内容，每类题型需不少2道题目。</w:t>
            </w:r>
          </w:p>
          <w:p w14:paraId="5AA95CA8">
            <w:pPr>
              <w:rPr>
                <w:rFonts w:ascii="宋体" w:hAnsi="宋体" w:eastAsia="宋体" w:cs="等线"/>
                <w:szCs w:val="21"/>
              </w:rPr>
            </w:pPr>
            <w:r>
              <w:rPr>
                <w:rFonts w:hint="eastAsia" w:ascii="宋体" w:hAnsi="宋体" w:eastAsia="宋体" w:cs="等线"/>
                <w:szCs w:val="21"/>
              </w:rPr>
              <w:t>二、服务及交付要求</w:t>
            </w:r>
          </w:p>
          <w:p w14:paraId="62488C51">
            <w:pPr>
              <w:rPr>
                <w:rFonts w:ascii="宋体" w:hAnsi="宋体" w:eastAsia="宋体" w:cs="等线"/>
                <w:szCs w:val="21"/>
              </w:rPr>
            </w:pPr>
            <w:r>
              <w:rPr>
                <w:rFonts w:hint="eastAsia" w:ascii="宋体" w:hAnsi="宋体" w:eastAsia="宋体" w:cs="等线"/>
                <w:szCs w:val="21"/>
              </w:rPr>
              <w:t>1.需提供软件质保服务不少于3年，质保期满后不升级不影响软件正常使用。</w:t>
            </w:r>
          </w:p>
          <w:p w14:paraId="314EC98B">
            <w:pPr>
              <w:rPr>
                <w:rFonts w:ascii="宋体" w:hAnsi="宋体" w:eastAsia="宋体" w:cs="等线"/>
                <w:szCs w:val="21"/>
              </w:rPr>
            </w:pPr>
            <w:r>
              <w:rPr>
                <w:rFonts w:hint="eastAsia" w:ascii="宋体" w:hAnsi="宋体" w:eastAsia="宋体" w:cs="等线"/>
                <w:szCs w:val="21"/>
              </w:rPr>
              <w:t>2.在质量保证期内，需提供提供对应用系统的运行、维护提供24小时的实时技术支持。</w:t>
            </w:r>
          </w:p>
          <w:p w14:paraId="025701C3">
            <w:pPr>
              <w:numPr>
                <w:ilvl w:val="0"/>
                <w:numId w:val="1"/>
              </w:numPr>
              <w:ind w:firstLine="0"/>
              <w:rPr>
                <w:rFonts w:ascii="宋体" w:hAnsi="宋体" w:eastAsia="宋体" w:cs="等线"/>
                <w:b/>
                <w:bCs/>
                <w:szCs w:val="21"/>
              </w:rPr>
            </w:pPr>
            <w:r>
              <w:rPr>
                <w:rFonts w:hint="eastAsia" w:ascii="宋体" w:hAnsi="宋体" w:eastAsia="宋体" w:cs="等线"/>
                <w:b/>
                <w:bCs/>
                <w:szCs w:val="21"/>
              </w:rPr>
              <w:t>配套泵与泵站三维虚拟仿真软件（70节点）</w:t>
            </w:r>
          </w:p>
          <w:p w14:paraId="087E668A">
            <w:pPr>
              <w:rPr>
                <w:rFonts w:ascii="宋体" w:hAnsi="宋体" w:eastAsia="宋体" w:cs="等线"/>
                <w:szCs w:val="21"/>
              </w:rPr>
            </w:pPr>
            <w:r>
              <w:rPr>
                <w:rFonts w:hint="eastAsia" w:ascii="宋体" w:hAnsi="宋体" w:eastAsia="宋体" w:cs="等线"/>
                <w:szCs w:val="21"/>
              </w:rPr>
              <w:t>（一）技术参数</w:t>
            </w:r>
          </w:p>
          <w:p w14:paraId="3E30C3E2">
            <w:pPr>
              <w:rPr>
                <w:rFonts w:ascii="宋体" w:hAnsi="宋体" w:eastAsia="宋体" w:cs="等线"/>
                <w:szCs w:val="21"/>
              </w:rPr>
            </w:pPr>
            <w:r>
              <w:rPr>
                <w:rFonts w:hint="eastAsia" w:ascii="宋体" w:hAnsi="宋体" w:eastAsia="宋体" w:cs="等线"/>
                <w:szCs w:val="21"/>
              </w:rPr>
              <w:t>1.泵的认知</w:t>
            </w:r>
          </w:p>
          <w:p w14:paraId="6A5AFDA8">
            <w:pPr>
              <w:rPr>
                <w:rFonts w:ascii="宋体" w:hAnsi="宋体" w:eastAsia="宋体" w:cs="等线"/>
                <w:szCs w:val="21"/>
              </w:rPr>
            </w:pPr>
            <w:r>
              <w:rPr>
                <w:rFonts w:hint="eastAsia" w:ascii="宋体" w:hAnsi="宋体" w:eastAsia="宋体" w:cs="等线"/>
                <w:szCs w:val="21"/>
              </w:rPr>
              <w:t>通过虚拟仿真三维技术对各类泵进行三维仿真模拟，要求包含整体模型及各零部件模型及对应名称，同时需要添加各类泵的初步认知、结构介绍、泵的工作原理等内容的文字介绍，软件需至少包含离心泵、轴流泵、混流泵、射流泵、深井泵、潜水泵等六种模型内容，完成认知后学生需进行答题，题目不少于5道。</w:t>
            </w:r>
          </w:p>
          <w:p w14:paraId="4E02FB17">
            <w:pPr>
              <w:rPr>
                <w:rFonts w:ascii="宋体" w:hAnsi="宋体" w:eastAsia="宋体" w:cs="等线"/>
                <w:szCs w:val="21"/>
              </w:rPr>
            </w:pPr>
            <w:r>
              <w:rPr>
                <w:rFonts w:hint="eastAsia" w:ascii="宋体" w:hAnsi="宋体" w:eastAsia="宋体" w:cs="等线"/>
                <w:szCs w:val="21"/>
              </w:rPr>
              <w:t>(1)离心泵</w:t>
            </w:r>
          </w:p>
          <w:p w14:paraId="09C43BD7">
            <w:pPr>
              <w:rPr>
                <w:rFonts w:ascii="宋体" w:hAnsi="宋体" w:eastAsia="宋体" w:cs="等线"/>
                <w:szCs w:val="21"/>
              </w:rPr>
            </w:pPr>
            <w:r>
              <w:rPr>
                <w:rFonts w:hint="eastAsia" w:ascii="宋体" w:hAnsi="宋体" w:eastAsia="宋体" w:cs="等线"/>
                <w:szCs w:val="21"/>
              </w:rPr>
              <w:t>建立三维离心泵模型、介绍离心泵的初步认知、结构介绍等内容。要求模型具有三维爆炸式拆解功能，三维动态展示泵的各类部件及结构名称，虚拟动态展示离心泵的工作原理，包含水流方向及离心泵动态运行的操作流程。</w:t>
            </w:r>
          </w:p>
          <w:p w14:paraId="2D95C208">
            <w:pPr>
              <w:rPr>
                <w:rFonts w:ascii="宋体" w:hAnsi="宋体" w:eastAsia="宋体" w:cs="等线"/>
                <w:szCs w:val="21"/>
              </w:rPr>
            </w:pPr>
            <w:r>
              <w:rPr>
                <w:rFonts w:hint="eastAsia" w:ascii="宋体" w:hAnsi="宋体" w:eastAsia="宋体" w:cs="等线"/>
                <w:szCs w:val="21"/>
              </w:rPr>
              <w:t>(2)轴流泵</w:t>
            </w:r>
          </w:p>
          <w:p w14:paraId="17553FA0">
            <w:pPr>
              <w:rPr>
                <w:rFonts w:ascii="宋体" w:hAnsi="宋体" w:eastAsia="宋体" w:cs="等线"/>
                <w:szCs w:val="21"/>
              </w:rPr>
            </w:pPr>
            <w:r>
              <w:rPr>
                <w:rFonts w:hint="eastAsia" w:ascii="宋体" w:hAnsi="宋体" w:eastAsia="宋体" w:cs="等线"/>
                <w:szCs w:val="21"/>
              </w:rPr>
              <w:t>建立三维轴流泵模型、介绍轴流泵的初步认知、结构介绍等内容。要求模型具有三维爆炸式拆解功能，三维动态展示泵的各类部件及结构名称，虚拟动态展示轴流泵的工作原理，包含水流方向及轴流泵动态运行的操作流程。</w:t>
            </w:r>
          </w:p>
          <w:p w14:paraId="04409573">
            <w:pPr>
              <w:rPr>
                <w:rFonts w:ascii="宋体" w:hAnsi="宋体" w:eastAsia="宋体" w:cs="等线"/>
                <w:szCs w:val="21"/>
              </w:rPr>
            </w:pPr>
            <w:r>
              <w:rPr>
                <w:rFonts w:hint="eastAsia" w:ascii="宋体" w:hAnsi="宋体" w:eastAsia="宋体" w:cs="等线"/>
                <w:szCs w:val="21"/>
              </w:rPr>
              <w:t>(3)射流泵</w:t>
            </w:r>
          </w:p>
          <w:p w14:paraId="55536F8A">
            <w:pPr>
              <w:rPr>
                <w:rFonts w:ascii="宋体" w:hAnsi="宋体" w:eastAsia="宋体" w:cs="等线"/>
                <w:szCs w:val="21"/>
              </w:rPr>
            </w:pPr>
            <w:r>
              <w:rPr>
                <w:rFonts w:hint="eastAsia" w:ascii="宋体" w:hAnsi="宋体" w:eastAsia="宋体" w:cs="等线"/>
                <w:szCs w:val="21"/>
              </w:rPr>
              <w:t>建立三维射流泵模型、介绍射流泵的初步认知、结构介绍等内容。要求模型具有三维爆炸式拆解功能，三维动态展示泵的各类部件及结构名称，虚拟动态展示射流泵的工作原理，包含水流方向及射流泵动态运行的操作流程。</w:t>
            </w:r>
          </w:p>
          <w:p w14:paraId="54CA35E7">
            <w:pPr>
              <w:rPr>
                <w:rFonts w:ascii="宋体" w:hAnsi="宋体" w:eastAsia="宋体" w:cs="等线"/>
                <w:szCs w:val="21"/>
              </w:rPr>
            </w:pPr>
            <w:r>
              <w:rPr>
                <w:rFonts w:hint="eastAsia" w:ascii="宋体" w:hAnsi="宋体" w:eastAsia="宋体" w:cs="等线"/>
                <w:szCs w:val="21"/>
              </w:rPr>
              <w:t>(4)混流泵</w:t>
            </w:r>
          </w:p>
          <w:p w14:paraId="757ABC23">
            <w:pPr>
              <w:rPr>
                <w:rFonts w:ascii="宋体" w:hAnsi="宋体" w:eastAsia="宋体" w:cs="等线"/>
                <w:szCs w:val="21"/>
              </w:rPr>
            </w:pPr>
            <w:r>
              <w:rPr>
                <w:rFonts w:hint="eastAsia" w:ascii="宋体" w:hAnsi="宋体" w:eastAsia="宋体" w:cs="等线"/>
                <w:szCs w:val="21"/>
              </w:rPr>
              <w:t>建立三维混流泵模型、介绍混流泵的初步认知、结构介绍等内容。要求模型具有三维爆炸式拆解功能，三维动态展示泵的各类部件及结构名称，虚拟动态展示混流泵的工作原理，包含水流方向及混流泵动态运行的操作流程。</w:t>
            </w:r>
          </w:p>
          <w:p w14:paraId="4F0F5AD6">
            <w:pPr>
              <w:rPr>
                <w:rFonts w:ascii="宋体" w:hAnsi="宋体" w:eastAsia="宋体" w:cs="等线"/>
                <w:szCs w:val="21"/>
              </w:rPr>
            </w:pPr>
            <w:r>
              <w:rPr>
                <w:rFonts w:hint="eastAsia" w:ascii="宋体" w:hAnsi="宋体" w:eastAsia="宋体" w:cs="等线"/>
                <w:szCs w:val="21"/>
              </w:rPr>
              <w:t>(5)深井泵</w:t>
            </w:r>
          </w:p>
          <w:p w14:paraId="338FAA90">
            <w:pPr>
              <w:rPr>
                <w:rFonts w:ascii="宋体" w:hAnsi="宋体" w:eastAsia="宋体" w:cs="等线"/>
                <w:szCs w:val="21"/>
              </w:rPr>
            </w:pPr>
            <w:r>
              <w:rPr>
                <w:rFonts w:hint="eastAsia" w:ascii="宋体" w:hAnsi="宋体" w:eastAsia="宋体" w:cs="等线"/>
                <w:szCs w:val="21"/>
              </w:rPr>
              <w:t>建立三维深井泵模型、介绍深井泵的初步认知、结构介绍等内容。要求模型具有三维爆炸式拆解功能，三维动态展示泵的各类部件及结构名称，虚拟动态展示深井泵的工作原理，包含水流方向及深井泵动态运行的操作流程。</w:t>
            </w:r>
          </w:p>
          <w:p w14:paraId="6FEFB1BE">
            <w:pPr>
              <w:rPr>
                <w:rFonts w:ascii="宋体" w:hAnsi="宋体" w:eastAsia="宋体" w:cs="等线"/>
                <w:szCs w:val="21"/>
              </w:rPr>
            </w:pPr>
            <w:r>
              <w:rPr>
                <w:rFonts w:hint="eastAsia" w:ascii="宋体" w:hAnsi="宋体" w:eastAsia="宋体" w:cs="等线"/>
                <w:szCs w:val="21"/>
              </w:rPr>
              <w:t>(6)潜水泵</w:t>
            </w:r>
          </w:p>
          <w:p w14:paraId="68E49715">
            <w:pPr>
              <w:rPr>
                <w:rFonts w:ascii="宋体" w:hAnsi="宋体" w:eastAsia="宋体" w:cs="等线"/>
                <w:szCs w:val="21"/>
              </w:rPr>
            </w:pPr>
            <w:r>
              <w:rPr>
                <w:rFonts w:hint="eastAsia" w:ascii="宋体" w:hAnsi="宋体" w:eastAsia="宋体" w:cs="等线"/>
                <w:szCs w:val="21"/>
              </w:rPr>
              <w:t>建立三维潜水泵模型、介绍潜水泵的初步认知、结构介绍等内容。要求模型具有三维爆炸式拆解功能，三维动态展示泵的各类部件及结构名称，虚拟动态展示潜水泵的工作原理，包含水流方向及潜水泵动态运行的操作流程。</w:t>
            </w:r>
          </w:p>
          <w:p w14:paraId="495A21C8">
            <w:pPr>
              <w:rPr>
                <w:rFonts w:ascii="宋体" w:hAnsi="宋体" w:eastAsia="宋体" w:cs="等线"/>
                <w:szCs w:val="21"/>
              </w:rPr>
            </w:pPr>
            <w:r>
              <w:rPr>
                <w:rFonts w:hint="eastAsia" w:ascii="宋体" w:hAnsi="宋体" w:eastAsia="宋体" w:cs="等线"/>
                <w:szCs w:val="21"/>
              </w:rPr>
              <w:t>▲2.泵的拆装</w:t>
            </w:r>
          </w:p>
          <w:p w14:paraId="610220FD">
            <w:pPr>
              <w:rPr>
                <w:rFonts w:ascii="宋体" w:hAnsi="宋体" w:eastAsia="宋体" w:cs="等线"/>
                <w:szCs w:val="21"/>
              </w:rPr>
            </w:pPr>
            <w:r>
              <w:rPr>
                <w:rFonts w:hint="eastAsia" w:ascii="宋体" w:hAnsi="宋体" w:eastAsia="宋体" w:cs="等线"/>
                <w:szCs w:val="21"/>
              </w:rPr>
              <w:t>(1)拆解模式</w:t>
            </w:r>
          </w:p>
          <w:p w14:paraId="429726C3">
            <w:pPr>
              <w:rPr>
                <w:rFonts w:ascii="宋体" w:hAnsi="宋体" w:eastAsia="宋体" w:cs="等线"/>
                <w:szCs w:val="21"/>
              </w:rPr>
            </w:pPr>
            <w:r>
              <w:rPr>
                <w:rFonts w:hint="eastAsia" w:ascii="宋体" w:hAnsi="宋体" w:eastAsia="宋体" w:cs="等线"/>
                <w:szCs w:val="21"/>
              </w:rPr>
              <w:t>需添加离心泵的拆解流程，学生可操作拆解模式下的各类工具进行泵的拆解，拆解步骤需包含拆卸出水口的法兰螺栓、取下出水口、拆卸支撑架的螺母、拆卸泵体的螺母、拆卸进水口的螺栓、取下进水口、拆卸电机的固定螺母、取下连接盒和电机、拆卸护罩的固定螺、取下护罩、拆卸电机连轴的螺栓、取下电机连轴、拆卸泵体的连接螺栓、取下泵体、取下密封环、拆卸支撑架和轴承盖的连接螺母、取下支撑架和轴承盖、拆卸叶轮的固定螺母、取下叶轮、机封环、卧式离心、用轴承拉马器将支架从轴体上取下、用台钳将承箱与轴体分离等</w:t>
            </w:r>
          </w:p>
          <w:p w14:paraId="6F7E3A63">
            <w:pPr>
              <w:rPr>
                <w:rFonts w:ascii="宋体" w:hAnsi="宋体" w:eastAsia="宋体" w:cs="等线"/>
                <w:szCs w:val="21"/>
              </w:rPr>
            </w:pPr>
            <w:r>
              <w:rPr>
                <w:rFonts w:hint="eastAsia" w:ascii="宋体" w:hAnsi="宋体" w:eastAsia="宋体" w:cs="等线"/>
                <w:szCs w:val="21"/>
              </w:rPr>
              <w:t>(2)组合模式</w:t>
            </w:r>
          </w:p>
          <w:p w14:paraId="6ABDE929">
            <w:pPr>
              <w:rPr>
                <w:rFonts w:ascii="宋体" w:hAnsi="宋体" w:eastAsia="宋体" w:cs="等线"/>
                <w:szCs w:val="21"/>
              </w:rPr>
            </w:pPr>
            <w:r>
              <w:rPr>
                <w:rFonts w:hint="eastAsia" w:ascii="宋体" w:hAnsi="宋体" w:eastAsia="宋体" w:cs="等线"/>
                <w:szCs w:val="21"/>
              </w:rPr>
              <w:t>需添加离心泵零部件，零部件需包含轴承箱、轴承盖、轴体、支撑架、支架、电机轴连、电机轴连、护罩、电机、接线盒、密封圈、机封环、卧式离心、叶轮、泵体、吸入口、吐出口等零件内容，可满足在虚拟仿真环境下进行泵的零件组合操作。</w:t>
            </w:r>
          </w:p>
          <w:p w14:paraId="64B4808A">
            <w:pPr>
              <w:rPr>
                <w:rFonts w:ascii="宋体" w:hAnsi="宋体" w:eastAsia="宋体" w:cs="等线"/>
                <w:szCs w:val="21"/>
              </w:rPr>
            </w:pPr>
            <w:r>
              <w:rPr>
                <w:rFonts w:hint="eastAsia" w:ascii="宋体" w:hAnsi="宋体" w:eastAsia="宋体" w:cs="等线"/>
                <w:szCs w:val="21"/>
              </w:rPr>
              <w:t>3.泵的性能曲线测定</w:t>
            </w:r>
          </w:p>
          <w:p w14:paraId="36D2087A">
            <w:pPr>
              <w:rPr>
                <w:rFonts w:ascii="宋体" w:hAnsi="宋体" w:eastAsia="宋体" w:cs="等线"/>
                <w:szCs w:val="21"/>
              </w:rPr>
            </w:pPr>
            <w:r>
              <w:rPr>
                <w:rFonts w:hint="eastAsia" w:ascii="宋体" w:hAnsi="宋体" w:eastAsia="宋体" w:cs="等线"/>
                <w:szCs w:val="21"/>
              </w:rPr>
              <w:t>(1)构建高精度水力机械试验台整体场景、实现交互式的操作功能；</w:t>
            </w:r>
          </w:p>
          <w:p w14:paraId="4671C85A">
            <w:pPr>
              <w:rPr>
                <w:rFonts w:ascii="宋体" w:hAnsi="宋体" w:eastAsia="宋体" w:cs="等线"/>
                <w:szCs w:val="21"/>
              </w:rPr>
            </w:pPr>
            <w:r>
              <w:rPr>
                <w:rFonts w:hint="eastAsia" w:ascii="宋体" w:hAnsi="宋体" w:eastAsia="宋体" w:cs="等线"/>
                <w:szCs w:val="21"/>
              </w:rPr>
              <w:t>(2)进入仿真实验后的泵装置性能曲线测定试验的操作流程，包含实验介绍、实验装置、实验流程、实验数据处理。</w:t>
            </w:r>
          </w:p>
          <w:p w14:paraId="6BC930B6">
            <w:pPr>
              <w:rPr>
                <w:rFonts w:ascii="宋体" w:hAnsi="宋体" w:eastAsia="宋体" w:cs="等线"/>
                <w:szCs w:val="21"/>
              </w:rPr>
            </w:pPr>
            <w:r>
              <w:rPr>
                <w:rFonts w:hint="eastAsia" w:ascii="宋体" w:hAnsi="宋体" w:eastAsia="宋体" w:cs="等线"/>
                <w:szCs w:val="21"/>
              </w:rPr>
              <w:t>(3)实验流程：1、点击水壶，向漏斗中加水；2、打开阀门，向泵中灌水；3、打开电机开关，启动电机；4、调节流量阀，控制流量。</w:t>
            </w:r>
          </w:p>
          <w:p w14:paraId="2CBB628B">
            <w:pPr>
              <w:rPr>
                <w:rFonts w:ascii="宋体" w:hAnsi="宋体" w:eastAsia="宋体" w:cs="等线"/>
                <w:szCs w:val="21"/>
              </w:rPr>
            </w:pPr>
            <w:r>
              <w:rPr>
                <w:rFonts w:hint="eastAsia" w:ascii="宋体" w:hAnsi="宋体" w:eastAsia="宋体" w:cs="等线"/>
                <w:szCs w:val="21"/>
              </w:rPr>
              <w:t>(4)实现泵装置性能试验数据的实施测试显示（流量、扬程、功率、效率）及数据导出及保存。</w:t>
            </w:r>
          </w:p>
          <w:p w14:paraId="40EF47F7">
            <w:pPr>
              <w:rPr>
                <w:rFonts w:ascii="宋体" w:hAnsi="宋体" w:eastAsia="宋体" w:cs="等线"/>
                <w:szCs w:val="21"/>
              </w:rPr>
            </w:pPr>
            <w:r>
              <w:rPr>
                <w:rFonts w:hint="eastAsia" w:ascii="宋体" w:hAnsi="宋体" w:eastAsia="宋体" w:cs="等线"/>
                <w:szCs w:val="21"/>
              </w:rPr>
              <w:t>(5)实验报告、实验题目的作答。</w:t>
            </w:r>
          </w:p>
          <w:p w14:paraId="1D91BCE4">
            <w:pPr>
              <w:rPr>
                <w:rFonts w:ascii="宋体" w:hAnsi="宋体" w:eastAsia="宋体" w:cs="等线"/>
                <w:szCs w:val="21"/>
              </w:rPr>
            </w:pPr>
            <w:r>
              <w:rPr>
                <w:rFonts w:hint="eastAsia" w:ascii="宋体" w:hAnsi="宋体" w:eastAsia="宋体" w:cs="等线"/>
                <w:szCs w:val="21"/>
              </w:rPr>
              <w:t>(6)在线提交实验报告，可实时反馈，对话。</w:t>
            </w:r>
          </w:p>
          <w:p w14:paraId="5811ED37">
            <w:pPr>
              <w:rPr>
                <w:rFonts w:ascii="宋体" w:hAnsi="宋体" w:eastAsia="宋体" w:cs="等线"/>
                <w:szCs w:val="21"/>
              </w:rPr>
            </w:pPr>
            <w:r>
              <w:rPr>
                <w:rFonts w:hint="eastAsia" w:ascii="宋体" w:hAnsi="宋体" w:eastAsia="宋体" w:cs="等线"/>
                <w:szCs w:val="21"/>
              </w:rPr>
              <w:t>4.泵站认知</w:t>
            </w:r>
          </w:p>
          <w:p w14:paraId="6CD3FF20">
            <w:pPr>
              <w:rPr>
                <w:rFonts w:ascii="宋体" w:hAnsi="宋体" w:eastAsia="宋体" w:cs="等线"/>
                <w:szCs w:val="21"/>
              </w:rPr>
            </w:pPr>
            <w:r>
              <w:rPr>
                <w:rFonts w:hint="eastAsia" w:ascii="宋体" w:hAnsi="宋体" w:eastAsia="宋体" w:cs="等线"/>
                <w:szCs w:val="21"/>
              </w:rPr>
              <w:t>软件需建立泵站三维场景，虚拟仿真泵站内的各项零部件，用户可进行自由漫游及点击对应零部件的名称进行认知、工作情况、工作原理等内容的介绍，零部件需包括：起重机、通风、变配电、电机、基座、管道、泵等。</w:t>
            </w:r>
          </w:p>
          <w:p w14:paraId="60E74CC2">
            <w:pPr>
              <w:rPr>
                <w:rFonts w:ascii="宋体" w:hAnsi="宋体" w:eastAsia="宋体" w:cs="等线"/>
                <w:szCs w:val="21"/>
              </w:rPr>
            </w:pPr>
            <w:r>
              <w:rPr>
                <w:rFonts w:hint="eastAsia" w:ascii="宋体" w:hAnsi="宋体" w:eastAsia="宋体" w:cs="等线"/>
                <w:szCs w:val="21"/>
              </w:rPr>
              <w:t>5.泵站施工</w:t>
            </w:r>
          </w:p>
          <w:p w14:paraId="53943C4A">
            <w:pPr>
              <w:rPr>
                <w:rFonts w:ascii="宋体" w:hAnsi="宋体" w:eastAsia="宋体" w:cs="等线"/>
                <w:szCs w:val="21"/>
              </w:rPr>
            </w:pPr>
            <w:r>
              <w:rPr>
                <w:rFonts w:hint="eastAsia" w:ascii="宋体" w:hAnsi="宋体" w:eastAsia="宋体" w:cs="等线"/>
                <w:szCs w:val="21"/>
              </w:rPr>
              <w:t>需建立泵站施工虚拟仿真场景，能使用三维交互技术完整模拟泵站施工过程，包含：导截流工程、基坑处理工程、泵室工程、闸室工程、下游连接段工程、上游连接段工程、安装工程等步骤及其步骤下的具体操作流程。</w:t>
            </w:r>
          </w:p>
          <w:p w14:paraId="44833F25">
            <w:pPr>
              <w:rPr>
                <w:rFonts w:ascii="宋体" w:hAnsi="宋体" w:eastAsia="宋体" w:cs="等线"/>
                <w:szCs w:val="21"/>
              </w:rPr>
            </w:pPr>
            <w:r>
              <w:rPr>
                <w:rFonts w:hint="eastAsia" w:ascii="宋体" w:hAnsi="宋体" w:eastAsia="宋体" w:cs="等线"/>
                <w:szCs w:val="21"/>
              </w:rPr>
              <w:t>(1)导截流工程：施工测量（用全站仪测出导流渠两岸主要转折点坐标。）、石灰放线（根据“定位图"导流渠两岸转折点连成线形，并用石灰线连接。）、导流挖掘（采用挖掘机在放样范围内进行挖掘,开挖从中间向两边或者从下游往上游开挖。）、建造围堰（把石块倒入河底，进行平抛垫底；用石渣填筑戗堤；用碎石铺筑戗堤顶面；用反铲挖掘机修整边坡的坡度重复之前步骤,直到整个戗堤形成。在戗堤上游处抛投闭气土料,然后用土袋覆盖土料，闭气完成后在上游及时采用钢筋石笼护坡，防止戗堤被淘刷破坏。）、基坑排水（用水泵把基坑内的水和泥浆抽干净，并把杂物和碎石清理掉。）</w:t>
            </w:r>
          </w:p>
          <w:p w14:paraId="304B8B27">
            <w:pPr>
              <w:rPr>
                <w:rFonts w:ascii="宋体" w:hAnsi="宋体" w:eastAsia="宋体" w:cs="等线"/>
                <w:szCs w:val="21"/>
              </w:rPr>
            </w:pPr>
            <w:r>
              <w:rPr>
                <w:rFonts w:hint="eastAsia" w:ascii="宋体" w:hAnsi="宋体" w:eastAsia="宋体" w:cs="等线"/>
                <w:szCs w:val="21"/>
              </w:rPr>
              <w:t>(2)基坑处理工程：施工测量（使用全站仪进行基坑的主要转折点测量。）、石灰放线（以渠中心线为控制用石灰粉连接各个转折角形成开挖线。）、基坑挖掘（利用反铲挖掘机开挖至设计高程以上30cm后，采用人工开挖至设计高程(开挖过程应遵循自上而下，逐层开挖)。）、基坑围护（用打桩机将挡板打入地下，固定挡板，进行基坑围护。）、打桩钻孔（用螺旋钻机向下打孔,及时清孔,清完孔之后，将钢筋笼垂直吊放到孔内，用导管灌注混凝土。）、开挖（向下开挖出混凝土桩深度。）、压力测试（刚性承压板上分级施加荷载，观测各级荷载作用下地基土随压力和变形，并观察仪表盘是否符合施工规范。）、垫层浇筑（用混凝土浇筑垫层，确保地基平稳并符合荷载需求。）</w:t>
            </w:r>
          </w:p>
          <w:p w14:paraId="3EEEE90F">
            <w:pPr>
              <w:rPr>
                <w:rFonts w:ascii="宋体" w:hAnsi="宋体" w:eastAsia="宋体" w:cs="等线"/>
                <w:szCs w:val="21"/>
              </w:rPr>
            </w:pPr>
            <w:r>
              <w:rPr>
                <w:rFonts w:hint="eastAsia" w:ascii="宋体" w:hAnsi="宋体" w:eastAsia="宋体" w:cs="等线"/>
                <w:szCs w:val="21"/>
              </w:rPr>
              <w:t>(3)泵室工程：扎捆钢筋（根据施工设计图纸放置、绑扎钢筋。）、支立模板（支立泵底板模板，支模顺序由下至上，保证接缝严密不漏浆。）、止水铜片（用人工放置止水铜片,保证止水铜片在墙体中线上顺直不得扭曲，开口朝迎水面。）、浇筑底板（使用混凝土泵车运送混凝土，浇筑泵室底板。）、安装模板（按照图纸位置，放置泵模板。）、扎捆钢筋（绑扎泵室胸墙钢筋，主筋与箍筋非转角部分的相交点成梅花交错绑扎。）、安装模板（支立泵室墩墙与胸墙的模板，支模顺序由下至上逐层向上安装，保证构件形状尺寸和相互位置正确,且结构简单,支拆方便,表面平整,接缝严密不漏浆等。）、浇筑闸墩（使用混凝土泵车运输混凝土，浇筑泵室墩墙与胸墙。）、拆除模板（拆除模板，核验砼结构所达到的强度，符合强度后按后支的先拆，先支的后拆，先拆非承重部分，后拆承重部分的顺序拆除。）</w:t>
            </w:r>
          </w:p>
          <w:p w14:paraId="5276C6CA">
            <w:pPr>
              <w:rPr>
                <w:rFonts w:ascii="宋体" w:hAnsi="宋体" w:eastAsia="宋体" w:cs="等线"/>
                <w:szCs w:val="21"/>
              </w:rPr>
            </w:pPr>
            <w:r>
              <w:rPr>
                <w:rFonts w:hint="eastAsia" w:ascii="宋体" w:hAnsi="宋体" w:eastAsia="宋体" w:cs="等线"/>
                <w:szCs w:val="21"/>
              </w:rPr>
              <w:t>(4)闸室工程：安装伸缩缝（放置伸缩缝，防止建筑物构件由于环境条件变化,使结构产生裂缝或破坏。）、扎捆钢筋（根据水闸施工设计图纸放置、捆扎钢筋。）、支立模板（支立闸底板模板，支模顺序由下至上，保证接缝严密不漏浆等。）、止水铜片（用人工放置止水铜片，保证止水铜片在墙体中线上，顺直不得扭曲，开口朝迎水面。）、浇筑底板（使用混凝土泵车运输混凝土，浇筑闸室底板。）、安装模板（支立闸室墩墙与胸墙的模板，支模顺序由下至上,保证接缝严密不漏浆等。）、浇筑闸墩（使用混凝土泵车运输混凝土，浇筑闸墩及胸墙。）、拆除模板（拆除模板，核验砼结构所达到的强度，符合强度后按后支的先拆，先支的后拆，先拆非承重部分，后拆承重部分的顺序拆除。）</w:t>
            </w:r>
          </w:p>
          <w:p w14:paraId="6C29D6E0">
            <w:pPr>
              <w:rPr>
                <w:rFonts w:ascii="宋体" w:hAnsi="宋体" w:eastAsia="宋体" w:cs="等线"/>
                <w:szCs w:val="21"/>
              </w:rPr>
            </w:pPr>
            <w:r>
              <w:rPr>
                <w:rFonts w:hint="eastAsia" w:ascii="宋体" w:hAnsi="宋体" w:eastAsia="宋体" w:cs="等线"/>
                <w:szCs w:val="21"/>
              </w:rPr>
              <w:t>(5)下游连接段工程：浇筑翼墙（根据设计施工图纸，支立翼墙模板，放置钢筋，用混凝土浇筑翼墙。）、放置排水管（在要浇筑进水池及护坦区域放置排水管，预留出护坦的排水孔位置，等待浇筑进水池及下游护坦。）、浇筑进水池（支立模板浇筑出水池,用灌浆车浇筑进水池到设计高程。）、安装伸缩缝（在闸底板与下游护坦之间放置伸缩缝，防止建筑物构件由于环境条件变化，使结构产生裂缝或破坏。）、浇筑护坦（支立模板浇筑护坦，用灌浆车浇筑护坦到设计高程。）</w:t>
            </w:r>
          </w:p>
          <w:p w14:paraId="1CABD61B">
            <w:pPr>
              <w:rPr>
                <w:rFonts w:ascii="宋体" w:hAnsi="宋体" w:eastAsia="宋体" w:cs="等线"/>
                <w:szCs w:val="21"/>
              </w:rPr>
            </w:pPr>
            <w:r>
              <w:rPr>
                <w:rFonts w:hint="eastAsia" w:ascii="宋体" w:hAnsi="宋体" w:eastAsia="宋体" w:cs="等线"/>
                <w:szCs w:val="21"/>
              </w:rPr>
              <w:t>施工测量（使用全站仪测出海漫施工位置,标记出主要转折点。）、石灰放线（使用石灰线连接转折点，布置施工区域。）、放置碎石（将砂砾石倒入河床，分布均匀。）、安装伸缩缝（在下游护坦与海漫之间放置伸缩缝，防止建筑物构件由于环境条件变化，使结构产生裂缝或破坏。）、浇筑海漫（用毛石混凝土进行浇筑海漫。）、施工测量（用全站仪测出下游防冲槽施工位置的主要转折点。）、浇筑防冲槽（用石灰线洒出施工线,安放伸缩缝，抛投石块，并用毛石混凝土浇筑固定。）、放置土工布（清理堤岸两边，保持两岸平整，将土工布顺卷打开牵拉的松紧要合适,不能太紧也不能太松，铺设好土工布以后，要尽快地进行块石砌体。）、砌造护坡（使用砌石建造下游护坡，为保护桥梁和路堤安全，须在凹岸修筑防护建筑物。）</w:t>
            </w:r>
          </w:p>
          <w:p w14:paraId="14306168">
            <w:pPr>
              <w:rPr>
                <w:rFonts w:ascii="宋体" w:hAnsi="宋体" w:eastAsia="宋体" w:cs="等线"/>
                <w:szCs w:val="21"/>
              </w:rPr>
            </w:pPr>
            <w:r>
              <w:rPr>
                <w:rFonts w:hint="eastAsia" w:ascii="宋体" w:hAnsi="宋体" w:eastAsia="宋体" w:cs="等线"/>
                <w:szCs w:val="21"/>
              </w:rPr>
              <w:t>(6)上游连接段工程：浇筑进水池（支立模板，放入捆扎好的钢筋，用灌浆车浇筑上游进水池。）、安装伸缩缝（在闸底板与上游护坦之间放置伸缩缝，防止建筑物构件由于环境条件变化，使结构产生裂缝或破坏。）、浇筑护坦（使用混凝土浇筑上游护坦。）、施工放样（使用全站仪进行测出防冲槽位置的主要转折点。）、石灰放线（使用石灰线连接主要转折点，布置施工区域。）、放置碎石（向河道中倒入碎石。）、浇筑防冲槽（放入伸缩缝，浇筑上游防冲槽。）、放置土工布（清理堤岸两边，保持两岸平整，将土工布顺卷打开牵拉的松紧要合适,不能太紧也不能太松，铺设好土工布以后，要尽快地进行块石砌体。）、放置碎石（使用砌石建造上游护坡为保护桥梁和路堤安全，须在凹岸修筑防护建筑物。）</w:t>
            </w:r>
          </w:p>
          <w:p w14:paraId="2E385607">
            <w:pPr>
              <w:rPr>
                <w:rFonts w:ascii="宋体" w:hAnsi="宋体" w:eastAsia="宋体" w:cs="等线"/>
                <w:szCs w:val="21"/>
              </w:rPr>
            </w:pPr>
            <w:r>
              <w:rPr>
                <w:rFonts w:hint="eastAsia" w:ascii="宋体" w:hAnsi="宋体" w:eastAsia="宋体" w:cs="等线"/>
                <w:szCs w:val="21"/>
              </w:rPr>
              <w:t>（7)尾工阶段工程：安放闸门（使用吊车安放闸门，安装启闭机。）、安放水泵（使用吊车安放水泵与拍门。）、安放拦物栅（使用吊车安放拦物栅与爪钩。）、上层建筑（建造上层建筑。）、疏通围堰（使用反铲挖掘机疏通围堰，先下游，后上游。）、填导流渠（将泥土倒入导流河道,将河流引入水闸河道。）</w:t>
            </w:r>
          </w:p>
          <w:p w14:paraId="5879F8FE">
            <w:pPr>
              <w:numPr>
                <w:ilvl w:val="0"/>
                <w:numId w:val="1"/>
              </w:numPr>
              <w:ind w:firstLine="0"/>
              <w:rPr>
                <w:rFonts w:ascii="宋体" w:hAnsi="宋体" w:eastAsia="宋体" w:cs="等线"/>
                <w:b/>
                <w:bCs/>
                <w:szCs w:val="21"/>
              </w:rPr>
            </w:pPr>
            <w:r>
              <w:rPr>
                <w:rFonts w:hint="eastAsia" w:ascii="宋体" w:hAnsi="宋体" w:eastAsia="宋体" w:cs="等线"/>
                <w:b/>
                <w:bCs/>
                <w:szCs w:val="21"/>
              </w:rPr>
              <w:t>配套水污染与水处理虚拟仿真软件（70节点）</w:t>
            </w:r>
          </w:p>
          <w:p w14:paraId="707B2001">
            <w:pPr>
              <w:rPr>
                <w:rFonts w:ascii="宋体" w:hAnsi="宋体" w:eastAsia="宋体" w:cs="等线"/>
                <w:b/>
                <w:bCs/>
                <w:szCs w:val="21"/>
              </w:rPr>
            </w:pPr>
            <w:r>
              <w:rPr>
                <w:rFonts w:hint="eastAsia" w:ascii="宋体" w:hAnsi="宋体" w:eastAsia="宋体" w:cs="等线"/>
                <w:szCs w:val="21"/>
              </w:rPr>
              <w:t>（一）技术参数</w:t>
            </w:r>
          </w:p>
          <w:p w14:paraId="4C60B374">
            <w:pPr>
              <w:rPr>
                <w:rFonts w:ascii="宋体" w:hAnsi="宋体" w:eastAsia="宋体" w:cs="等线"/>
                <w:szCs w:val="21"/>
              </w:rPr>
            </w:pPr>
            <w:r>
              <w:rPr>
                <w:rFonts w:hint="eastAsia" w:ascii="宋体" w:hAnsi="宋体" w:eastAsia="宋体" w:cs="等线"/>
                <w:szCs w:val="21"/>
              </w:rPr>
              <w:t>基于城镇污水的系统性，将污水收集、污水管网、提升泵站、污水厂集成于一体形成完整的城镇污水系统，展示污水收集、污水管网、提升泵站、污水厂，可通过PC端进行互动式教学、实操训练、学习过程考核等。具备第一视角漫游功能，漫游管廊的任意位置；自动寻路漫游则按照指定的管道节点顺序自动漫游。各种漫游模式可以自动切换，满足不同情景的漫游浏览学习。</w:t>
            </w:r>
          </w:p>
          <w:p w14:paraId="08CB9C06">
            <w:pPr>
              <w:rPr>
                <w:rFonts w:ascii="宋体" w:hAnsi="宋体" w:eastAsia="宋体" w:cs="等线"/>
                <w:szCs w:val="21"/>
              </w:rPr>
            </w:pPr>
            <w:r>
              <w:rPr>
                <w:rFonts w:hint="eastAsia" w:ascii="宋体" w:hAnsi="宋体" w:eastAsia="宋体" w:cs="等线"/>
                <w:szCs w:val="21"/>
              </w:rPr>
              <w:t>1.污水处理工艺认知仿真教学</w:t>
            </w:r>
          </w:p>
          <w:p w14:paraId="13DB7618">
            <w:pPr>
              <w:rPr>
                <w:rFonts w:ascii="宋体" w:hAnsi="宋体" w:eastAsia="宋体" w:cs="等线"/>
                <w:szCs w:val="21"/>
              </w:rPr>
            </w:pPr>
            <w:r>
              <w:rPr>
                <w:rFonts w:hint="eastAsia" w:ascii="宋体" w:hAnsi="宋体" w:eastAsia="宋体" w:cs="等线"/>
                <w:szCs w:val="21"/>
              </w:rPr>
              <w:t>展现在城镇污水处理工艺过程中常见的知识点学习为主，包括城镇生活污水厂处理效率、污水处理基本方法、典型污水处理工艺流程，让学生对污水处理建立整体的知识架构体系，认知污水处理的核心要素。</w:t>
            </w:r>
          </w:p>
          <w:p w14:paraId="2F75851F">
            <w:pPr>
              <w:rPr>
                <w:rFonts w:ascii="宋体" w:hAnsi="宋体" w:eastAsia="宋体" w:cs="等线"/>
                <w:szCs w:val="21"/>
              </w:rPr>
            </w:pPr>
            <w:r>
              <w:rPr>
                <w:rFonts w:hint="eastAsia" w:ascii="宋体" w:hAnsi="宋体" w:eastAsia="宋体" w:cs="等线"/>
                <w:szCs w:val="21"/>
              </w:rPr>
              <w:t>1.1污水处理厂运行设备虚拟仿真</w:t>
            </w:r>
          </w:p>
          <w:p w14:paraId="325D93B6">
            <w:pPr>
              <w:rPr>
                <w:rFonts w:ascii="宋体" w:hAnsi="宋体" w:eastAsia="宋体" w:cs="等线"/>
                <w:szCs w:val="21"/>
              </w:rPr>
            </w:pPr>
            <w:r>
              <w:rPr>
                <w:rFonts w:hint="eastAsia" w:ascii="宋体" w:hAnsi="宋体" w:eastAsia="宋体" w:cs="等线"/>
                <w:szCs w:val="21"/>
              </w:rPr>
              <w:t>此模块需包含污水处理厂相关的格栅、旋流沉砂池、初沉池、生物池、二沉池、深床滤池、紫外线消毒、鼓风机床、污泥处理间等运行设备的虚拟仿真认知内容。</w:t>
            </w:r>
          </w:p>
          <w:p w14:paraId="0BC70A77">
            <w:pPr>
              <w:rPr>
                <w:rFonts w:ascii="宋体" w:hAnsi="宋体" w:eastAsia="宋体" w:cs="等线"/>
                <w:szCs w:val="21"/>
              </w:rPr>
            </w:pPr>
            <w:r>
              <w:rPr>
                <w:rFonts w:hint="eastAsia" w:ascii="宋体" w:hAnsi="宋体" w:eastAsia="宋体" w:cs="等线"/>
                <w:szCs w:val="21"/>
              </w:rPr>
              <w:t>（1）格栅</w:t>
            </w:r>
          </w:p>
          <w:p w14:paraId="01779624">
            <w:pPr>
              <w:rPr>
                <w:rFonts w:ascii="宋体" w:hAnsi="宋体" w:eastAsia="宋体" w:cs="等线"/>
                <w:szCs w:val="21"/>
              </w:rPr>
            </w:pPr>
            <w:r>
              <w:rPr>
                <w:rFonts w:hint="eastAsia" w:ascii="宋体" w:hAnsi="宋体" w:eastAsia="宋体" w:cs="等线"/>
                <w:szCs w:val="21"/>
              </w:rPr>
              <w:t>设备认知：需以文字形式进行格栅的基本内容的介绍。</w:t>
            </w:r>
          </w:p>
          <w:p w14:paraId="03455F2F">
            <w:pPr>
              <w:rPr>
                <w:rFonts w:ascii="宋体" w:hAnsi="宋体" w:eastAsia="宋体" w:cs="等线"/>
                <w:szCs w:val="21"/>
              </w:rPr>
            </w:pPr>
            <w:r>
              <w:rPr>
                <w:rFonts w:hint="eastAsia" w:ascii="宋体" w:hAnsi="宋体" w:eastAsia="宋体" w:cs="等线"/>
                <w:szCs w:val="21"/>
              </w:rPr>
              <w:t>动画原始：需包含不少于10S的动画讲解内容，动画内容需包含格栅仿真模型、文字及人工智能语音配音对格栅内容进行讲解，动画格式为MP4（H.264）。</w:t>
            </w:r>
          </w:p>
          <w:p w14:paraId="42C9567F">
            <w:pPr>
              <w:rPr>
                <w:rFonts w:ascii="宋体" w:hAnsi="宋体" w:eastAsia="宋体" w:cs="等线"/>
                <w:szCs w:val="21"/>
              </w:rPr>
            </w:pPr>
            <w:r>
              <w:rPr>
                <w:rFonts w:hint="eastAsia" w:ascii="宋体" w:hAnsi="宋体" w:eastAsia="宋体" w:cs="等线"/>
                <w:szCs w:val="21"/>
              </w:rPr>
              <w:t>结构展示：需在场景中显示格栅的三维仿真模型，可使用鼠标右键进行任意视角旋转，鼠标滚轮进行指定视角下的拉近拉远，进行整体及局部细节位置的查看。</w:t>
            </w:r>
          </w:p>
          <w:p w14:paraId="392743EB">
            <w:pPr>
              <w:rPr>
                <w:rFonts w:ascii="宋体" w:hAnsi="宋体" w:eastAsia="宋体" w:cs="等线"/>
                <w:szCs w:val="21"/>
              </w:rPr>
            </w:pPr>
            <w:r>
              <w:rPr>
                <w:rFonts w:hint="eastAsia" w:ascii="宋体" w:hAnsi="宋体" w:eastAsia="宋体" w:cs="等线"/>
                <w:szCs w:val="21"/>
              </w:rPr>
              <w:t>（2）旋流沉砂池</w:t>
            </w:r>
          </w:p>
          <w:p w14:paraId="7B4F19BF">
            <w:pPr>
              <w:rPr>
                <w:rFonts w:ascii="宋体" w:hAnsi="宋体" w:eastAsia="宋体" w:cs="等线"/>
                <w:szCs w:val="21"/>
              </w:rPr>
            </w:pPr>
            <w:r>
              <w:rPr>
                <w:rFonts w:hint="eastAsia" w:ascii="宋体" w:hAnsi="宋体" w:eastAsia="宋体" w:cs="等线"/>
                <w:szCs w:val="21"/>
              </w:rPr>
              <w:t>设备认知：需以文字形式进行旋流沉砂池的基本内容的介绍。</w:t>
            </w:r>
          </w:p>
          <w:p w14:paraId="7D2AD72C">
            <w:pPr>
              <w:rPr>
                <w:rFonts w:ascii="宋体" w:hAnsi="宋体" w:eastAsia="宋体" w:cs="等线"/>
                <w:szCs w:val="21"/>
              </w:rPr>
            </w:pPr>
            <w:r>
              <w:rPr>
                <w:rFonts w:hint="eastAsia" w:ascii="宋体" w:hAnsi="宋体" w:eastAsia="宋体" w:cs="等线"/>
                <w:szCs w:val="21"/>
              </w:rPr>
              <w:t>动画原始：需包含不少于10S的动画讲解内容，动画内容需包含旋流沉砂池仿真模型、文字及人工智能语音配音对旋流沉砂池内容进行讲解，动画格式为MP4（H.264）。</w:t>
            </w:r>
          </w:p>
          <w:p w14:paraId="6DE94449">
            <w:pPr>
              <w:rPr>
                <w:rFonts w:ascii="宋体" w:hAnsi="宋体" w:eastAsia="宋体" w:cs="等线"/>
                <w:szCs w:val="21"/>
              </w:rPr>
            </w:pPr>
            <w:r>
              <w:rPr>
                <w:rFonts w:hint="eastAsia" w:ascii="宋体" w:hAnsi="宋体" w:eastAsia="宋体" w:cs="等线"/>
                <w:szCs w:val="21"/>
              </w:rPr>
              <w:t>结构展示：需在场景中显示旋流沉砂池的三维仿真模型，可使用鼠标右键进行任意视角旋转，鼠标滚轮进行指定视角下的拉近拉远，进行整体及局部细节位置的查看。</w:t>
            </w:r>
          </w:p>
          <w:p w14:paraId="6F3962F6">
            <w:pPr>
              <w:rPr>
                <w:rFonts w:ascii="宋体" w:hAnsi="宋体" w:eastAsia="宋体" w:cs="等线"/>
                <w:szCs w:val="21"/>
              </w:rPr>
            </w:pPr>
            <w:r>
              <w:rPr>
                <w:rFonts w:hint="eastAsia" w:ascii="宋体" w:hAnsi="宋体" w:eastAsia="宋体" w:cs="等线"/>
                <w:szCs w:val="21"/>
              </w:rPr>
              <w:t>（3）初沉池</w:t>
            </w:r>
          </w:p>
          <w:p w14:paraId="05024479">
            <w:pPr>
              <w:rPr>
                <w:rFonts w:ascii="宋体" w:hAnsi="宋体" w:eastAsia="宋体" w:cs="等线"/>
                <w:szCs w:val="21"/>
              </w:rPr>
            </w:pPr>
            <w:r>
              <w:rPr>
                <w:rFonts w:hint="eastAsia" w:ascii="宋体" w:hAnsi="宋体" w:eastAsia="宋体" w:cs="等线"/>
                <w:szCs w:val="21"/>
              </w:rPr>
              <w:t>设备认知：需以文字形式进行初沉池的基本内容的介绍。</w:t>
            </w:r>
          </w:p>
          <w:p w14:paraId="15AA4767">
            <w:pPr>
              <w:rPr>
                <w:rFonts w:ascii="宋体" w:hAnsi="宋体" w:eastAsia="宋体" w:cs="等线"/>
                <w:szCs w:val="21"/>
              </w:rPr>
            </w:pPr>
            <w:r>
              <w:rPr>
                <w:rFonts w:hint="eastAsia" w:ascii="宋体" w:hAnsi="宋体" w:eastAsia="宋体" w:cs="等线"/>
                <w:szCs w:val="21"/>
              </w:rPr>
              <w:t>动画原始：需包含不少于10S的动画讲解内容，动画内容需包含初沉池仿真模型、文字及人工智能语音配音对初沉池内容进行讲解。</w:t>
            </w:r>
          </w:p>
          <w:p w14:paraId="294761D2">
            <w:pPr>
              <w:rPr>
                <w:rFonts w:ascii="宋体" w:hAnsi="宋体" w:eastAsia="宋体" w:cs="等线"/>
                <w:szCs w:val="21"/>
              </w:rPr>
            </w:pPr>
            <w:r>
              <w:rPr>
                <w:rFonts w:hint="eastAsia" w:ascii="宋体" w:hAnsi="宋体" w:eastAsia="宋体" w:cs="等线"/>
                <w:szCs w:val="21"/>
              </w:rPr>
              <w:t>结构展示：需在场景中显示初沉池的三维仿真模型，可使用鼠标右键进行任意视角旋转，鼠标滚轮进行指定视角下的拉近拉远，进行整体及局部细节位置的查看。</w:t>
            </w:r>
          </w:p>
          <w:p w14:paraId="3DDE79B4">
            <w:pPr>
              <w:rPr>
                <w:rFonts w:ascii="宋体" w:hAnsi="宋体" w:eastAsia="宋体" w:cs="等线"/>
                <w:szCs w:val="21"/>
              </w:rPr>
            </w:pPr>
            <w:r>
              <w:rPr>
                <w:rFonts w:hint="eastAsia" w:ascii="宋体" w:hAnsi="宋体" w:eastAsia="宋体" w:cs="等线"/>
                <w:szCs w:val="21"/>
              </w:rPr>
              <w:t>（4）生物池</w:t>
            </w:r>
          </w:p>
          <w:p w14:paraId="484AFE36">
            <w:pPr>
              <w:rPr>
                <w:rFonts w:ascii="宋体" w:hAnsi="宋体" w:eastAsia="宋体" w:cs="等线"/>
                <w:szCs w:val="21"/>
              </w:rPr>
            </w:pPr>
            <w:r>
              <w:rPr>
                <w:rFonts w:hint="eastAsia" w:ascii="宋体" w:hAnsi="宋体" w:eastAsia="宋体" w:cs="等线"/>
                <w:szCs w:val="21"/>
              </w:rPr>
              <w:t>设备认知：需以文字形式进行生物池的基本内容的介绍。</w:t>
            </w:r>
          </w:p>
          <w:p w14:paraId="0E87870E">
            <w:pPr>
              <w:rPr>
                <w:rFonts w:ascii="宋体" w:hAnsi="宋体" w:eastAsia="宋体" w:cs="等线"/>
                <w:szCs w:val="21"/>
              </w:rPr>
            </w:pPr>
            <w:r>
              <w:rPr>
                <w:rFonts w:hint="eastAsia" w:ascii="宋体" w:hAnsi="宋体" w:eastAsia="宋体" w:cs="等线"/>
                <w:szCs w:val="21"/>
              </w:rPr>
              <w:t>动画原始：需包含不少于10S的动画讲解内容，动画内容需包含生物池仿真模型、文字及人工智能语音配音对生物池内容进行讲解。</w:t>
            </w:r>
          </w:p>
          <w:p w14:paraId="50020AB0">
            <w:pPr>
              <w:rPr>
                <w:rFonts w:ascii="宋体" w:hAnsi="宋体" w:eastAsia="宋体" w:cs="等线"/>
                <w:szCs w:val="21"/>
              </w:rPr>
            </w:pPr>
            <w:r>
              <w:rPr>
                <w:rFonts w:hint="eastAsia" w:ascii="宋体" w:hAnsi="宋体" w:eastAsia="宋体" w:cs="等线"/>
                <w:szCs w:val="21"/>
              </w:rPr>
              <w:t>结构展示：需在场景中显示生物池的三维仿真模型，可使用鼠标右键进行任意视角旋转，鼠标滚轮进行指定视角下的拉近拉远，进行整体及局部细节位置的查看。</w:t>
            </w:r>
          </w:p>
          <w:p w14:paraId="5BE7C038">
            <w:pPr>
              <w:rPr>
                <w:rFonts w:ascii="宋体" w:hAnsi="宋体" w:eastAsia="宋体" w:cs="等线"/>
                <w:szCs w:val="21"/>
              </w:rPr>
            </w:pPr>
            <w:r>
              <w:rPr>
                <w:rFonts w:hint="eastAsia" w:ascii="宋体" w:hAnsi="宋体" w:eastAsia="宋体" w:cs="等线"/>
                <w:szCs w:val="21"/>
              </w:rPr>
              <w:t>（5）二沉池</w:t>
            </w:r>
          </w:p>
          <w:p w14:paraId="4524D738">
            <w:pPr>
              <w:rPr>
                <w:rFonts w:ascii="宋体" w:hAnsi="宋体" w:eastAsia="宋体" w:cs="等线"/>
                <w:szCs w:val="21"/>
              </w:rPr>
            </w:pPr>
            <w:r>
              <w:rPr>
                <w:rFonts w:hint="eastAsia" w:ascii="宋体" w:hAnsi="宋体" w:eastAsia="宋体" w:cs="等线"/>
                <w:szCs w:val="21"/>
              </w:rPr>
              <w:t>设备认知：需以文字形式进行二沉池的基本内容的介绍。</w:t>
            </w:r>
          </w:p>
          <w:p w14:paraId="56F23288">
            <w:pPr>
              <w:rPr>
                <w:rFonts w:ascii="宋体" w:hAnsi="宋体" w:eastAsia="宋体" w:cs="等线"/>
                <w:szCs w:val="21"/>
              </w:rPr>
            </w:pPr>
            <w:r>
              <w:rPr>
                <w:rFonts w:hint="eastAsia" w:ascii="宋体" w:hAnsi="宋体" w:eastAsia="宋体" w:cs="等线"/>
                <w:szCs w:val="21"/>
              </w:rPr>
              <w:t>动画原始：需包含不少于10S的动画讲解内容，动画内容需包含二沉池仿真模型、文字及人工智能语音配音对二沉池内容进行讲解。</w:t>
            </w:r>
          </w:p>
          <w:p w14:paraId="28D931AF">
            <w:pPr>
              <w:rPr>
                <w:rFonts w:ascii="宋体" w:hAnsi="宋体" w:eastAsia="宋体" w:cs="等线"/>
                <w:szCs w:val="21"/>
              </w:rPr>
            </w:pPr>
            <w:r>
              <w:rPr>
                <w:rFonts w:hint="eastAsia" w:ascii="宋体" w:hAnsi="宋体" w:eastAsia="宋体" w:cs="等线"/>
                <w:szCs w:val="21"/>
              </w:rPr>
              <w:t>结构展示：需在场景中显示二沉池的三维仿真模型，可使用鼠标右键进行任意视角旋转，鼠标滚轮进行指定视角下的拉近拉远，进行整体及局部细节位置的查看。</w:t>
            </w:r>
          </w:p>
          <w:p w14:paraId="68D1121E">
            <w:pPr>
              <w:numPr>
                <w:ilvl w:val="0"/>
                <w:numId w:val="8"/>
              </w:numPr>
              <w:rPr>
                <w:rFonts w:ascii="宋体" w:hAnsi="宋体" w:eastAsia="宋体" w:cs="等线"/>
                <w:szCs w:val="21"/>
              </w:rPr>
            </w:pPr>
            <w:r>
              <w:rPr>
                <w:rFonts w:hint="eastAsia" w:ascii="宋体" w:hAnsi="宋体" w:eastAsia="宋体" w:cs="等线"/>
                <w:szCs w:val="21"/>
              </w:rPr>
              <w:t>深床滤</w:t>
            </w:r>
          </w:p>
          <w:p w14:paraId="53C18C50">
            <w:pPr>
              <w:rPr>
                <w:rFonts w:ascii="宋体" w:hAnsi="宋体" w:eastAsia="宋体" w:cs="等线"/>
                <w:szCs w:val="21"/>
              </w:rPr>
            </w:pPr>
            <w:r>
              <w:rPr>
                <w:rFonts w:hint="eastAsia" w:ascii="宋体" w:hAnsi="宋体" w:eastAsia="宋体" w:cs="等线"/>
                <w:szCs w:val="21"/>
              </w:rPr>
              <w:t>设备认知：需以文字形式进行深床滤池的基本内容的介绍。</w:t>
            </w:r>
          </w:p>
          <w:p w14:paraId="5E8430FE">
            <w:pPr>
              <w:rPr>
                <w:rFonts w:ascii="宋体" w:hAnsi="宋体" w:eastAsia="宋体" w:cs="等线"/>
                <w:szCs w:val="21"/>
              </w:rPr>
            </w:pPr>
            <w:r>
              <w:rPr>
                <w:rFonts w:hint="eastAsia" w:ascii="宋体" w:hAnsi="宋体" w:eastAsia="宋体" w:cs="等线"/>
                <w:szCs w:val="21"/>
              </w:rPr>
              <w:t>动画原始：需包含不少于10S的动画讲解内容，动画内容需包含深床滤池仿真模型、文字及人工智能语音配音对深床滤池内容进行讲解。</w:t>
            </w:r>
          </w:p>
          <w:p w14:paraId="494F2354">
            <w:pPr>
              <w:rPr>
                <w:rFonts w:ascii="宋体" w:hAnsi="宋体" w:eastAsia="宋体" w:cs="等线"/>
                <w:szCs w:val="21"/>
              </w:rPr>
            </w:pPr>
            <w:r>
              <w:rPr>
                <w:rFonts w:hint="eastAsia" w:ascii="宋体" w:hAnsi="宋体" w:eastAsia="宋体" w:cs="等线"/>
                <w:szCs w:val="21"/>
              </w:rPr>
              <w:t>结构展示：需在场景中显示深床滤池的三维仿真模型，可使用鼠标右键进行任意视角旋转，鼠标滚轮进行指定视角下的拉近拉远，进行整体及局部细节位置的查看。</w:t>
            </w:r>
          </w:p>
          <w:p w14:paraId="5B6A8A7C">
            <w:pPr>
              <w:rPr>
                <w:rFonts w:ascii="宋体" w:hAnsi="宋体" w:eastAsia="宋体" w:cs="等线"/>
                <w:szCs w:val="21"/>
              </w:rPr>
            </w:pPr>
            <w:r>
              <w:rPr>
                <w:rFonts w:hint="eastAsia" w:ascii="宋体" w:hAnsi="宋体" w:eastAsia="宋体" w:cs="等线"/>
                <w:szCs w:val="21"/>
              </w:rPr>
              <w:t>（7）紫外线消毒</w:t>
            </w:r>
          </w:p>
          <w:p w14:paraId="14EA21BD">
            <w:pPr>
              <w:rPr>
                <w:rFonts w:ascii="宋体" w:hAnsi="宋体" w:eastAsia="宋体" w:cs="等线"/>
                <w:szCs w:val="21"/>
              </w:rPr>
            </w:pPr>
            <w:r>
              <w:rPr>
                <w:rFonts w:hint="eastAsia" w:ascii="宋体" w:hAnsi="宋体" w:eastAsia="宋体" w:cs="等线"/>
                <w:szCs w:val="21"/>
              </w:rPr>
              <w:t>设备认知：需以文字形式进行紫外线消毒的基本内容的介绍。</w:t>
            </w:r>
          </w:p>
          <w:p w14:paraId="7F45142F">
            <w:pPr>
              <w:rPr>
                <w:rFonts w:ascii="宋体" w:hAnsi="宋体" w:eastAsia="宋体" w:cs="等线"/>
                <w:szCs w:val="21"/>
              </w:rPr>
            </w:pPr>
            <w:r>
              <w:rPr>
                <w:rFonts w:hint="eastAsia" w:ascii="宋体" w:hAnsi="宋体" w:eastAsia="宋体" w:cs="等线"/>
                <w:szCs w:val="21"/>
              </w:rPr>
              <w:t>动画原始：需包含不少于10S的动画讲解内容，动画内容需包含紫外线消毒仿真模型、文字及人工智能语音配音对紫外线消毒内容进行讲解。</w:t>
            </w:r>
          </w:p>
          <w:p w14:paraId="2264C9A6">
            <w:pPr>
              <w:rPr>
                <w:rFonts w:ascii="宋体" w:hAnsi="宋体" w:eastAsia="宋体" w:cs="等线"/>
                <w:szCs w:val="21"/>
              </w:rPr>
            </w:pPr>
            <w:r>
              <w:rPr>
                <w:rFonts w:hint="eastAsia" w:ascii="宋体" w:hAnsi="宋体" w:eastAsia="宋体" w:cs="等线"/>
                <w:szCs w:val="21"/>
              </w:rPr>
              <w:t>结构展示：需在场景中显示紫外线消毒的三维仿真模型，可使用鼠标右键进行任意视角旋转，鼠标滚轮进行指定视角下的拉近拉远，进行整体及局部细节位置的查看。</w:t>
            </w:r>
          </w:p>
          <w:p w14:paraId="0E1A2B7B">
            <w:pPr>
              <w:rPr>
                <w:rFonts w:ascii="宋体" w:hAnsi="宋体" w:eastAsia="宋体" w:cs="等线"/>
                <w:szCs w:val="21"/>
              </w:rPr>
            </w:pPr>
            <w:r>
              <w:rPr>
                <w:rFonts w:hint="eastAsia" w:ascii="宋体" w:hAnsi="宋体" w:eastAsia="宋体" w:cs="等线"/>
                <w:szCs w:val="21"/>
              </w:rPr>
              <w:t>（8）鼓风机床</w:t>
            </w:r>
          </w:p>
          <w:p w14:paraId="69DDBBA1">
            <w:pPr>
              <w:rPr>
                <w:rFonts w:ascii="宋体" w:hAnsi="宋体" w:eastAsia="宋体" w:cs="等线"/>
                <w:szCs w:val="21"/>
              </w:rPr>
            </w:pPr>
            <w:r>
              <w:rPr>
                <w:rFonts w:hint="eastAsia" w:ascii="宋体" w:hAnsi="宋体" w:eastAsia="宋体" w:cs="等线"/>
                <w:szCs w:val="21"/>
              </w:rPr>
              <w:t>设备认知：需以文字形式进行鼓风机床的基本内容的介绍。</w:t>
            </w:r>
          </w:p>
          <w:p w14:paraId="4F49FD33">
            <w:pPr>
              <w:rPr>
                <w:rFonts w:ascii="宋体" w:hAnsi="宋体" w:eastAsia="宋体" w:cs="等线"/>
                <w:szCs w:val="21"/>
              </w:rPr>
            </w:pPr>
            <w:r>
              <w:rPr>
                <w:rFonts w:hint="eastAsia" w:ascii="宋体" w:hAnsi="宋体" w:eastAsia="宋体" w:cs="等线"/>
                <w:szCs w:val="21"/>
              </w:rPr>
              <w:t>动画原始：需包含不少于10S的动画讲解内容，动画内容需包含鼓风机床仿真模型、文字及人工智能语音配音对鼓风机床内容进行讲解。</w:t>
            </w:r>
          </w:p>
          <w:p w14:paraId="03DDC73B">
            <w:pPr>
              <w:rPr>
                <w:rFonts w:ascii="宋体" w:hAnsi="宋体" w:eastAsia="宋体" w:cs="等线"/>
                <w:szCs w:val="21"/>
              </w:rPr>
            </w:pPr>
            <w:r>
              <w:rPr>
                <w:rFonts w:hint="eastAsia" w:ascii="宋体" w:hAnsi="宋体" w:eastAsia="宋体" w:cs="等线"/>
                <w:szCs w:val="21"/>
              </w:rPr>
              <w:t>结构展示：需在场景中显示鼓风机床的三维仿真模型，可使用鼠标右键进行任意视角旋转，鼠标滚轮进行指定视角下的拉近拉远，进行整体及局部细节位置的查看。</w:t>
            </w:r>
          </w:p>
          <w:p w14:paraId="049E7846">
            <w:pPr>
              <w:rPr>
                <w:rFonts w:ascii="宋体" w:hAnsi="宋体" w:eastAsia="宋体" w:cs="等线"/>
                <w:szCs w:val="21"/>
              </w:rPr>
            </w:pPr>
            <w:r>
              <w:rPr>
                <w:rFonts w:hint="eastAsia" w:ascii="宋体" w:hAnsi="宋体" w:eastAsia="宋体" w:cs="等线"/>
                <w:szCs w:val="21"/>
              </w:rPr>
              <w:t>（9）污泥处理间</w:t>
            </w:r>
          </w:p>
          <w:p w14:paraId="46A184FF">
            <w:pPr>
              <w:rPr>
                <w:rFonts w:ascii="宋体" w:hAnsi="宋体" w:eastAsia="宋体" w:cs="等线"/>
                <w:szCs w:val="21"/>
              </w:rPr>
            </w:pPr>
            <w:r>
              <w:rPr>
                <w:rFonts w:hint="eastAsia" w:ascii="宋体" w:hAnsi="宋体" w:eastAsia="宋体" w:cs="等线"/>
                <w:szCs w:val="21"/>
              </w:rPr>
              <w:t>设备认知：需以文字形式进行污泥处理间的基本内容的介绍。</w:t>
            </w:r>
          </w:p>
          <w:p w14:paraId="7E8562C7">
            <w:pPr>
              <w:rPr>
                <w:rFonts w:ascii="宋体" w:hAnsi="宋体" w:eastAsia="宋体" w:cs="等线"/>
                <w:szCs w:val="21"/>
              </w:rPr>
            </w:pPr>
            <w:r>
              <w:rPr>
                <w:rFonts w:hint="eastAsia" w:ascii="宋体" w:hAnsi="宋体" w:eastAsia="宋体" w:cs="等线"/>
                <w:szCs w:val="21"/>
              </w:rPr>
              <w:t>动画原始：需包含不少于10S的动画讲解内容，动画内容需包含污泥处理间仿真模型、文字及人工智能语音配音对污泥处理间内容进行讲解。</w:t>
            </w:r>
          </w:p>
          <w:p w14:paraId="231139FA">
            <w:pPr>
              <w:rPr>
                <w:rFonts w:ascii="宋体" w:hAnsi="宋体" w:eastAsia="宋体" w:cs="等线"/>
                <w:szCs w:val="21"/>
              </w:rPr>
            </w:pPr>
            <w:r>
              <w:rPr>
                <w:rFonts w:hint="eastAsia" w:ascii="宋体" w:hAnsi="宋体" w:eastAsia="宋体" w:cs="等线"/>
                <w:szCs w:val="21"/>
              </w:rPr>
              <w:t>结构展示：需在场景中显示污泥处理间的三维仿真模型，可使用鼠标右键进行任意视角旋转，鼠标滚轮进行指定视角下的拉近拉远，进行整体及局部细节位置的查看。</w:t>
            </w:r>
          </w:p>
          <w:p w14:paraId="649DF505">
            <w:pPr>
              <w:rPr>
                <w:rFonts w:ascii="宋体" w:hAnsi="宋体" w:eastAsia="宋体" w:cs="等线"/>
                <w:szCs w:val="21"/>
              </w:rPr>
            </w:pPr>
            <w:r>
              <w:rPr>
                <w:rFonts w:hint="eastAsia" w:ascii="宋体" w:hAnsi="宋体" w:eastAsia="宋体" w:cs="等线"/>
                <w:szCs w:val="21"/>
              </w:rPr>
              <w:t>1.2城镇生活污水污水厂处理效率</w:t>
            </w:r>
          </w:p>
          <w:p w14:paraId="3684BAF2">
            <w:pPr>
              <w:rPr>
                <w:rFonts w:ascii="宋体" w:hAnsi="宋体" w:eastAsia="宋体" w:cs="等线"/>
                <w:szCs w:val="21"/>
              </w:rPr>
            </w:pPr>
            <w:r>
              <w:rPr>
                <w:rFonts w:hint="eastAsia" w:ascii="宋体" w:hAnsi="宋体" w:eastAsia="宋体" w:cs="等线"/>
                <w:szCs w:val="21"/>
              </w:rPr>
              <w:t>此模块需包含以文字形式进行的城镇污水组成、典型生活污水水质、污水厂处理效率等相关知识点介绍。</w:t>
            </w:r>
          </w:p>
          <w:p w14:paraId="5F1A5B82">
            <w:pPr>
              <w:rPr>
                <w:rFonts w:ascii="宋体" w:hAnsi="宋体" w:eastAsia="宋体" w:cs="等线"/>
                <w:szCs w:val="21"/>
              </w:rPr>
            </w:pPr>
            <w:r>
              <w:rPr>
                <w:rFonts w:hint="eastAsia" w:ascii="宋体" w:hAnsi="宋体" w:eastAsia="宋体" w:cs="等线"/>
                <w:szCs w:val="21"/>
              </w:rPr>
              <w:t>1.3污水处理基本方法</w:t>
            </w:r>
          </w:p>
          <w:p w14:paraId="34ABD410">
            <w:pPr>
              <w:rPr>
                <w:rFonts w:ascii="宋体" w:hAnsi="宋体" w:eastAsia="宋体" w:cs="等线"/>
                <w:szCs w:val="21"/>
              </w:rPr>
            </w:pPr>
            <w:r>
              <w:rPr>
                <w:rFonts w:hint="eastAsia" w:ascii="宋体" w:hAnsi="宋体" w:eastAsia="宋体" w:cs="等线"/>
                <w:szCs w:val="21"/>
              </w:rPr>
              <w:t>此模块需包含以文字形式进行的污水处理基本方法等相关知识点介绍。</w:t>
            </w:r>
          </w:p>
          <w:p w14:paraId="6497E9C0">
            <w:pPr>
              <w:rPr>
                <w:rFonts w:ascii="宋体" w:hAnsi="宋体" w:eastAsia="宋体" w:cs="等线"/>
                <w:szCs w:val="21"/>
              </w:rPr>
            </w:pPr>
            <w:r>
              <w:rPr>
                <w:rFonts w:hint="eastAsia" w:ascii="宋体" w:hAnsi="宋体" w:eastAsia="宋体" w:cs="等线"/>
                <w:szCs w:val="21"/>
              </w:rPr>
              <w:t>1.4典型污水处理工艺流程</w:t>
            </w:r>
          </w:p>
          <w:p w14:paraId="6E53FB1E">
            <w:pPr>
              <w:rPr>
                <w:rFonts w:ascii="宋体" w:hAnsi="宋体" w:eastAsia="宋体" w:cs="等线"/>
                <w:szCs w:val="21"/>
              </w:rPr>
            </w:pPr>
            <w:r>
              <w:rPr>
                <w:rFonts w:hint="eastAsia" w:ascii="宋体" w:hAnsi="宋体" w:eastAsia="宋体" w:cs="等线"/>
                <w:szCs w:val="21"/>
              </w:rPr>
              <w:t>此模块需包含以文字形式进行的以及处理工艺、二级处理工艺、三集处理工艺、再生水处理工艺等相关知识点介绍。</w:t>
            </w:r>
          </w:p>
          <w:p w14:paraId="4BA0E98A">
            <w:pPr>
              <w:rPr>
                <w:rFonts w:ascii="宋体" w:hAnsi="宋体" w:eastAsia="宋体" w:cs="等线"/>
                <w:szCs w:val="21"/>
              </w:rPr>
            </w:pPr>
            <w:r>
              <w:rPr>
                <w:rFonts w:hint="eastAsia" w:ascii="宋体" w:hAnsi="宋体" w:eastAsia="宋体" w:cs="等线"/>
                <w:szCs w:val="21"/>
              </w:rPr>
              <w:t>2.污水厂仿真教学漫游</w:t>
            </w:r>
          </w:p>
          <w:p w14:paraId="4643E752">
            <w:pPr>
              <w:rPr>
                <w:rFonts w:ascii="宋体" w:hAnsi="宋体" w:eastAsia="宋体" w:cs="等线"/>
                <w:szCs w:val="21"/>
              </w:rPr>
            </w:pPr>
            <w:r>
              <w:rPr>
                <w:rFonts w:hint="eastAsia" w:ascii="宋体" w:hAnsi="宋体" w:eastAsia="宋体" w:cs="等线"/>
                <w:szCs w:val="21"/>
              </w:rPr>
              <w:t>污水厂仿真教学漫游，是基于污水厂的污水处理工艺流程，采用高清仿真的三维建模软件生成污水厂的三维模型场景，主要包括格栅、旋流沉砂池、初沉池、生物池、二沉池、深床滤池、紫外线消毒、鼓风机床、污泥处理间等，是城镇污水系统的核心部分，不仅让学生知道污水处理构筑物是什么，还要让学生知道构筑物怎么计算的及其相关的技术要求，从而让学生能够比较全面训练和掌握污水处理全过程。</w:t>
            </w:r>
          </w:p>
          <w:p w14:paraId="2128A97C">
            <w:pPr>
              <w:rPr>
                <w:rFonts w:ascii="宋体" w:hAnsi="宋体" w:eastAsia="宋体" w:cs="等线"/>
                <w:szCs w:val="21"/>
              </w:rPr>
            </w:pPr>
            <w:r>
              <w:rPr>
                <w:rFonts w:hint="eastAsia" w:ascii="宋体" w:hAnsi="宋体" w:eastAsia="宋体" w:cs="等线"/>
                <w:szCs w:val="21"/>
              </w:rPr>
              <w:t>（1）格栅模块</w:t>
            </w:r>
          </w:p>
          <w:p w14:paraId="7F827295">
            <w:pPr>
              <w:rPr>
                <w:rFonts w:ascii="宋体" w:hAnsi="宋体" w:eastAsia="宋体" w:cs="等线"/>
                <w:szCs w:val="21"/>
              </w:rPr>
            </w:pPr>
            <w:r>
              <w:rPr>
                <w:rFonts w:hint="eastAsia" w:ascii="宋体" w:hAnsi="宋体" w:eastAsia="宋体" w:cs="等线"/>
                <w:szCs w:val="21"/>
              </w:rPr>
              <w:t>此模块需建立污水厂三维虚拟仿真场景及格栅仿真模型，使用者可操作键盘操纵仿真人物进行污水厂漫游，移动到格栅指定场景位置，进行漫游查看学习；</w:t>
            </w:r>
          </w:p>
          <w:p w14:paraId="3E67E5A0">
            <w:pPr>
              <w:rPr>
                <w:rFonts w:ascii="宋体" w:hAnsi="宋体" w:eastAsia="宋体" w:cs="等线"/>
                <w:szCs w:val="21"/>
              </w:rPr>
            </w:pPr>
            <w:r>
              <w:rPr>
                <w:rFonts w:hint="eastAsia" w:ascii="宋体" w:hAnsi="宋体" w:eastAsia="宋体" w:cs="等线"/>
                <w:szCs w:val="21"/>
              </w:rPr>
              <w:t>模块可点击格栅位置知识牌进行学习，包括格栅结构、格栅知识点学习和习题考核、计算例题。回答有关格栅知识点习题内容并根据计算例题给定的水厂规模、格栅设计要点和格栅设计公式等内容进行计算格栅尺寸。</w:t>
            </w:r>
          </w:p>
          <w:p w14:paraId="65BE298A">
            <w:pPr>
              <w:rPr>
                <w:rFonts w:ascii="宋体" w:hAnsi="宋体" w:eastAsia="宋体" w:cs="等线"/>
                <w:szCs w:val="21"/>
              </w:rPr>
            </w:pPr>
            <w:r>
              <w:rPr>
                <w:rFonts w:hint="eastAsia" w:ascii="宋体" w:hAnsi="宋体" w:eastAsia="宋体" w:cs="等线"/>
                <w:szCs w:val="21"/>
              </w:rPr>
              <w:t>旋流沉砂池模块</w:t>
            </w:r>
          </w:p>
          <w:p w14:paraId="7879D78B">
            <w:pPr>
              <w:rPr>
                <w:rFonts w:ascii="宋体" w:hAnsi="宋体" w:eastAsia="宋体" w:cs="等线"/>
                <w:szCs w:val="21"/>
              </w:rPr>
            </w:pPr>
            <w:r>
              <w:rPr>
                <w:rFonts w:hint="eastAsia" w:ascii="宋体" w:hAnsi="宋体" w:eastAsia="宋体" w:cs="等线"/>
                <w:szCs w:val="21"/>
              </w:rPr>
              <w:t>此模块需建立污水厂三维虚拟仿真场景及旋流沉砂池仿真模型，使用者可操作键盘操纵仿真人物进行污水厂漫游，移动到旋流沉砂池指定场景位置，进行漫游查看学习；</w:t>
            </w:r>
          </w:p>
          <w:p w14:paraId="1060E712">
            <w:pPr>
              <w:rPr>
                <w:rFonts w:ascii="宋体" w:hAnsi="宋体" w:eastAsia="宋体" w:cs="等线"/>
                <w:szCs w:val="21"/>
              </w:rPr>
            </w:pPr>
            <w:r>
              <w:rPr>
                <w:rFonts w:hint="eastAsia" w:ascii="宋体" w:hAnsi="宋体" w:eastAsia="宋体" w:cs="等线"/>
                <w:szCs w:val="21"/>
              </w:rPr>
              <w:t>模块可点击旋流沉砂池位置知识牌进行学习，包括旋流沉砂池结构、旋流沉砂池知识点学习和习题考核、计算例题。回答有关知识点习题内容并根据计算例题给定的已知条件进行计算并输入结果。</w:t>
            </w:r>
          </w:p>
          <w:p w14:paraId="38218A44">
            <w:pPr>
              <w:rPr>
                <w:rFonts w:ascii="宋体" w:hAnsi="宋体" w:eastAsia="宋体" w:cs="等线"/>
                <w:szCs w:val="21"/>
              </w:rPr>
            </w:pPr>
            <w:r>
              <w:rPr>
                <w:rFonts w:hint="eastAsia" w:ascii="宋体" w:hAnsi="宋体" w:eastAsia="宋体" w:cs="等线"/>
                <w:szCs w:val="21"/>
              </w:rPr>
              <w:t>（2）初沉池模块</w:t>
            </w:r>
          </w:p>
          <w:p w14:paraId="400CE040">
            <w:pPr>
              <w:rPr>
                <w:rFonts w:ascii="宋体" w:hAnsi="宋体" w:eastAsia="宋体" w:cs="等线"/>
                <w:szCs w:val="21"/>
              </w:rPr>
            </w:pPr>
            <w:r>
              <w:rPr>
                <w:rFonts w:hint="eastAsia" w:ascii="宋体" w:hAnsi="宋体" w:eastAsia="宋体" w:cs="等线"/>
                <w:szCs w:val="21"/>
              </w:rPr>
              <w:t>此模块需建立污水厂三维虚拟仿真场景及初沉池仿真模型，使用者可操作键盘操纵仿真人物进行污水厂漫游，移动到初沉池指定场景位置，进行漫游查看学习；</w:t>
            </w:r>
          </w:p>
          <w:p w14:paraId="32FB162F">
            <w:pPr>
              <w:rPr>
                <w:rFonts w:ascii="宋体" w:hAnsi="宋体" w:eastAsia="宋体" w:cs="等线"/>
                <w:szCs w:val="21"/>
              </w:rPr>
            </w:pPr>
            <w:r>
              <w:rPr>
                <w:rFonts w:hint="eastAsia" w:ascii="宋体" w:hAnsi="宋体" w:eastAsia="宋体" w:cs="等线"/>
                <w:szCs w:val="21"/>
              </w:rPr>
              <w:t>模块可点击初沉池位置知识牌进行学习，包括初沉池结构、初沉池知识点学习和习题考核、计算例题。回答有关知识点习题内容并根据计算例题给定的已知条件进行计算并输入结果。</w:t>
            </w:r>
          </w:p>
          <w:p w14:paraId="10BE75F8">
            <w:pPr>
              <w:rPr>
                <w:rFonts w:ascii="宋体" w:hAnsi="宋体" w:eastAsia="宋体" w:cs="等线"/>
                <w:szCs w:val="21"/>
              </w:rPr>
            </w:pPr>
            <w:r>
              <w:rPr>
                <w:rFonts w:hint="eastAsia" w:ascii="宋体" w:hAnsi="宋体" w:eastAsia="宋体" w:cs="等线"/>
                <w:szCs w:val="21"/>
              </w:rPr>
              <w:t>（3）生物池模块</w:t>
            </w:r>
          </w:p>
          <w:p w14:paraId="04A26925">
            <w:pPr>
              <w:rPr>
                <w:rFonts w:ascii="宋体" w:hAnsi="宋体" w:eastAsia="宋体" w:cs="等线"/>
                <w:szCs w:val="21"/>
              </w:rPr>
            </w:pPr>
            <w:r>
              <w:rPr>
                <w:rFonts w:hint="eastAsia" w:ascii="宋体" w:hAnsi="宋体" w:eastAsia="宋体" w:cs="等线"/>
                <w:szCs w:val="21"/>
              </w:rPr>
              <w:t>此模块需建立污水厂三维虚拟仿真场景及生物池仿真模型，使用者可操作键盘操纵仿真人物进行污水厂漫游，移动到生物池指定场景位置，进行漫游查看学习；</w:t>
            </w:r>
          </w:p>
          <w:p w14:paraId="39126570">
            <w:pPr>
              <w:rPr>
                <w:rFonts w:ascii="宋体" w:hAnsi="宋体" w:eastAsia="宋体" w:cs="等线"/>
                <w:szCs w:val="21"/>
              </w:rPr>
            </w:pPr>
            <w:r>
              <w:rPr>
                <w:rFonts w:hint="eastAsia" w:ascii="宋体" w:hAnsi="宋体" w:eastAsia="宋体" w:cs="等线"/>
                <w:szCs w:val="21"/>
              </w:rPr>
              <w:t>模块可点击生物池位置知识牌进行学习，包括生物池结构、生物池知识点学习和习题考核、计算例题。回答有关知识点习题内容并根据计算例题给定的已知条件进行计算并输入结果。</w:t>
            </w:r>
          </w:p>
          <w:p w14:paraId="2155DC6B">
            <w:pPr>
              <w:rPr>
                <w:rFonts w:ascii="宋体" w:hAnsi="宋体" w:eastAsia="宋体" w:cs="等线"/>
                <w:szCs w:val="21"/>
              </w:rPr>
            </w:pPr>
            <w:r>
              <w:rPr>
                <w:rFonts w:hint="eastAsia" w:ascii="宋体" w:hAnsi="宋体" w:eastAsia="宋体" w:cs="等线"/>
                <w:szCs w:val="21"/>
              </w:rPr>
              <w:t>（4）二沉池模块</w:t>
            </w:r>
          </w:p>
          <w:p w14:paraId="057B8A23">
            <w:pPr>
              <w:rPr>
                <w:rFonts w:ascii="宋体" w:hAnsi="宋体" w:eastAsia="宋体" w:cs="等线"/>
                <w:szCs w:val="21"/>
              </w:rPr>
            </w:pPr>
            <w:r>
              <w:rPr>
                <w:rFonts w:hint="eastAsia" w:ascii="宋体" w:hAnsi="宋体" w:eastAsia="宋体" w:cs="等线"/>
                <w:szCs w:val="21"/>
              </w:rPr>
              <w:t>此模块需建立污水厂三维虚拟仿真场景及二沉池仿真模型，使用者可操作键盘操纵仿真人物进行污水厂漫游，移动到二沉池指定场景位置，进行漫游查看学习；</w:t>
            </w:r>
          </w:p>
          <w:p w14:paraId="7EBC835F">
            <w:pPr>
              <w:rPr>
                <w:rFonts w:ascii="宋体" w:hAnsi="宋体" w:eastAsia="宋体" w:cs="等线"/>
                <w:szCs w:val="21"/>
              </w:rPr>
            </w:pPr>
            <w:r>
              <w:rPr>
                <w:rFonts w:hint="eastAsia" w:ascii="宋体" w:hAnsi="宋体" w:eastAsia="宋体" w:cs="等线"/>
                <w:szCs w:val="21"/>
              </w:rPr>
              <w:t>模块可点击二沉池位置知识牌进行学习，包括二沉池结构、二沉池知识点学习和习题考核、计算例题。回答有关知识点习题内容并根据计算例题给定的已知条件进行计算并输入结果。</w:t>
            </w:r>
          </w:p>
          <w:p w14:paraId="147091F3">
            <w:pPr>
              <w:rPr>
                <w:rFonts w:ascii="宋体" w:hAnsi="宋体" w:eastAsia="宋体" w:cs="等线"/>
                <w:szCs w:val="21"/>
              </w:rPr>
            </w:pPr>
            <w:r>
              <w:rPr>
                <w:rFonts w:hint="eastAsia" w:ascii="宋体" w:hAnsi="宋体" w:eastAsia="宋体" w:cs="等线"/>
                <w:szCs w:val="21"/>
              </w:rPr>
              <w:t>（5）深床滤池</w:t>
            </w:r>
          </w:p>
          <w:p w14:paraId="2E84B329">
            <w:pPr>
              <w:rPr>
                <w:rFonts w:ascii="宋体" w:hAnsi="宋体" w:eastAsia="宋体" w:cs="等线"/>
                <w:szCs w:val="21"/>
              </w:rPr>
            </w:pPr>
            <w:r>
              <w:rPr>
                <w:rFonts w:hint="eastAsia" w:ascii="宋体" w:hAnsi="宋体" w:eastAsia="宋体" w:cs="等线"/>
                <w:szCs w:val="21"/>
              </w:rPr>
              <w:t>此模块需建立污水厂三维虚拟仿真场景及深床滤池仿真模型，使用者可操作键盘操纵仿真人物进行污水厂漫游，移动到深床滤池指定场景位置，进行漫游查看学习；</w:t>
            </w:r>
          </w:p>
          <w:p w14:paraId="64AC70F0">
            <w:pPr>
              <w:rPr>
                <w:rFonts w:ascii="宋体" w:hAnsi="宋体" w:eastAsia="宋体" w:cs="等线"/>
                <w:szCs w:val="21"/>
              </w:rPr>
            </w:pPr>
            <w:r>
              <w:rPr>
                <w:rFonts w:hint="eastAsia" w:ascii="宋体" w:hAnsi="宋体" w:eastAsia="宋体" w:cs="等线"/>
                <w:szCs w:val="21"/>
              </w:rPr>
              <w:t>模块可点击深床滤池位置知识牌进行学习，包括深床滤池结构、深床滤池知识点学习和习题考核、计算例题。回答有关知识点习题内容并根据计算例题给定的已知条件进行计算并输入结果。</w:t>
            </w:r>
          </w:p>
          <w:p w14:paraId="56A1EC3C">
            <w:pPr>
              <w:rPr>
                <w:rFonts w:ascii="宋体" w:hAnsi="宋体" w:eastAsia="宋体" w:cs="等线"/>
                <w:szCs w:val="21"/>
              </w:rPr>
            </w:pPr>
            <w:r>
              <w:rPr>
                <w:rFonts w:hint="eastAsia" w:ascii="宋体" w:hAnsi="宋体" w:eastAsia="宋体" w:cs="等线"/>
                <w:szCs w:val="21"/>
              </w:rPr>
              <w:t>（6）紫外线消毒</w:t>
            </w:r>
          </w:p>
          <w:p w14:paraId="3BE3D354">
            <w:pPr>
              <w:rPr>
                <w:rFonts w:ascii="宋体" w:hAnsi="宋体" w:eastAsia="宋体" w:cs="等线"/>
                <w:szCs w:val="21"/>
              </w:rPr>
            </w:pPr>
            <w:r>
              <w:rPr>
                <w:rFonts w:hint="eastAsia" w:ascii="宋体" w:hAnsi="宋体" w:eastAsia="宋体" w:cs="等线"/>
                <w:szCs w:val="21"/>
              </w:rPr>
              <w:t>此模块需建立污水厂三维虚拟仿真场景及紫外线消毒仿真模型，使用者可操作键盘操纵仿真人物进行污水厂漫游，移动到紫外线消毒指定场景位置，进行漫游查看学习；</w:t>
            </w:r>
          </w:p>
          <w:p w14:paraId="43FE9B63">
            <w:pPr>
              <w:rPr>
                <w:rFonts w:ascii="宋体" w:hAnsi="宋体" w:eastAsia="宋体" w:cs="等线"/>
                <w:szCs w:val="21"/>
              </w:rPr>
            </w:pPr>
            <w:r>
              <w:rPr>
                <w:rFonts w:hint="eastAsia" w:ascii="宋体" w:hAnsi="宋体" w:eastAsia="宋体" w:cs="等线"/>
                <w:szCs w:val="21"/>
              </w:rPr>
              <w:t>模块可点击紫外线消毒位置知识牌进行学习，包括紫外线消毒结构、紫外线消毒知识点学习和习题考核、计算例题。回答有关知识点习题内容并根据计算例题给定的已知条件进行计算并输入结果。</w:t>
            </w:r>
          </w:p>
          <w:p w14:paraId="564BA56F">
            <w:pPr>
              <w:numPr>
                <w:ilvl w:val="0"/>
                <w:numId w:val="8"/>
              </w:numPr>
              <w:rPr>
                <w:rFonts w:ascii="宋体" w:hAnsi="宋体" w:eastAsia="宋体" w:cs="等线"/>
                <w:szCs w:val="21"/>
              </w:rPr>
            </w:pPr>
            <w:r>
              <w:rPr>
                <w:rFonts w:hint="eastAsia" w:ascii="宋体" w:hAnsi="宋体" w:eastAsia="宋体" w:cs="等线"/>
                <w:szCs w:val="21"/>
              </w:rPr>
              <w:t>鼓风机房</w:t>
            </w:r>
          </w:p>
          <w:p w14:paraId="2C5A052A">
            <w:pPr>
              <w:rPr>
                <w:rFonts w:ascii="宋体" w:hAnsi="宋体" w:eastAsia="宋体" w:cs="等线"/>
                <w:szCs w:val="21"/>
              </w:rPr>
            </w:pPr>
            <w:r>
              <w:rPr>
                <w:rFonts w:hint="eastAsia" w:ascii="宋体" w:hAnsi="宋体" w:eastAsia="宋体" w:cs="等线"/>
                <w:szCs w:val="21"/>
              </w:rPr>
              <w:t>此模块需建立污水厂三维虚拟仿真场景及鼓风机房仿真模型，使用者可操作键盘操纵仿真人物进行污水厂漫游，移动到鼓风机房指定场景位置，进行漫游查看学习；</w:t>
            </w:r>
          </w:p>
          <w:p w14:paraId="7CD1D8EC">
            <w:pPr>
              <w:rPr>
                <w:rFonts w:ascii="宋体" w:hAnsi="宋体" w:eastAsia="宋体" w:cs="等线"/>
                <w:szCs w:val="21"/>
              </w:rPr>
            </w:pPr>
            <w:r>
              <w:rPr>
                <w:rFonts w:hint="eastAsia" w:ascii="宋体" w:hAnsi="宋体" w:eastAsia="宋体" w:cs="等线"/>
                <w:szCs w:val="21"/>
              </w:rPr>
              <w:t>模块可点击鼓风机房位置知识牌进行学习，包括鼓风机房结构、鼓风机房知识点学习和习题考核、计算例题。回答有关知识点习题内容并根据计算例题给定的已知条件进行计算并输入结果。</w:t>
            </w:r>
          </w:p>
          <w:p w14:paraId="39C6C965">
            <w:pPr>
              <w:numPr>
                <w:ilvl w:val="0"/>
                <w:numId w:val="8"/>
              </w:numPr>
              <w:rPr>
                <w:rFonts w:ascii="宋体" w:hAnsi="宋体" w:eastAsia="宋体" w:cs="等线"/>
                <w:szCs w:val="21"/>
              </w:rPr>
            </w:pPr>
            <w:r>
              <w:rPr>
                <w:rFonts w:hint="eastAsia" w:ascii="宋体" w:hAnsi="宋体" w:eastAsia="宋体" w:cs="等线"/>
                <w:szCs w:val="21"/>
              </w:rPr>
              <w:t>污泥处理间</w:t>
            </w:r>
          </w:p>
          <w:p w14:paraId="690C9F34">
            <w:pPr>
              <w:rPr>
                <w:rFonts w:ascii="宋体" w:hAnsi="宋体" w:eastAsia="宋体" w:cs="等线"/>
                <w:szCs w:val="21"/>
              </w:rPr>
            </w:pPr>
            <w:r>
              <w:rPr>
                <w:rFonts w:hint="eastAsia" w:ascii="宋体" w:hAnsi="宋体" w:eastAsia="宋体" w:cs="等线"/>
                <w:szCs w:val="21"/>
              </w:rPr>
              <w:t>此模块需建立污水厂三维虚拟仿真场景及污泥处理间仿真模型，使用者可操作键盘操纵仿真人物进行污水厂漫游，移动到污泥处理间指定场景位置，进行漫游查看学习；</w:t>
            </w:r>
          </w:p>
          <w:p w14:paraId="356B1CCF">
            <w:pPr>
              <w:rPr>
                <w:rFonts w:ascii="宋体" w:hAnsi="宋体" w:eastAsia="宋体" w:cs="等线"/>
                <w:szCs w:val="21"/>
              </w:rPr>
            </w:pPr>
            <w:r>
              <w:rPr>
                <w:rFonts w:hint="eastAsia" w:ascii="宋体" w:hAnsi="宋体" w:eastAsia="宋体" w:cs="等线"/>
                <w:szCs w:val="21"/>
              </w:rPr>
              <w:t>模块可点击污泥处理间位置知识牌进行学习，包括污泥处理间结构、污泥处理间知识点学习和习题考核、计算例题。回答有关知识点习题内容并根据计算例题给定的已知条件进行计算并输入结果。</w:t>
            </w:r>
          </w:p>
          <w:p w14:paraId="26B9A239">
            <w:pPr>
              <w:numPr>
                <w:ilvl w:val="0"/>
                <w:numId w:val="1"/>
              </w:numPr>
              <w:ind w:firstLine="0"/>
              <w:rPr>
                <w:rFonts w:ascii="宋体" w:hAnsi="宋体" w:eastAsia="宋体" w:cs="等线"/>
                <w:b/>
                <w:bCs/>
                <w:szCs w:val="21"/>
              </w:rPr>
            </w:pPr>
            <w:r>
              <w:rPr>
                <w:rFonts w:hint="eastAsia" w:ascii="宋体" w:hAnsi="宋体" w:eastAsia="宋体" w:cs="等线"/>
                <w:b/>
                <w:bCs/>
                <w:szCs w:val="21"/>
              </w:rPr>
              <w:t>管道全地形检测平台模块2个</w:t>
            </w:r>
          </w:p>
          <w:p w14:paraId="33BA4BD3">
            <w:pPr>
              <w:ind w:firstLine="0" w:firstLineChars="0"/>
              <w:rPr>
                <w:rFonts w:ascii="宋体" w:hAnsi="宋体" w:eastAsia="宋体" w:cs="等线"/>
                <w:szCs w:val="21"/>
              </w:rPr>
            </w:pPr>
            <w:r>
              <w:rPr>
                <w:rFonts w:hint="eastAsia" w:ascii="宋体" w:hAnsi="宋体" w:eastAsia="宋体" w:cs="等线"/>
                <w:szCs w:val="21"/>
              </w:rPr>
              <w:t>具备螺旋滚筒和轮式两种形态，螺旋滚筒爬行器可搭载球机云台，轮式爬行器可搭载常规云台或球机云台；两种形态可共用线缆车、控制终端及配套检测分析软件。每个模块包括螺旋式滚筒爬行器、轮式爬行器各1台，线缆车1台，控制终端1套，检测分析软件1套。</w:t>
            </w:r>
          </w:p>
          <w:p w14:paraId="52A6BE66">
            <w:pPr>
              <w:numPr>
                <w:ilvl w:val="0"/>
                <w:numId w:val="9"/>
              </w:numPr>
              <w:ind w:firstLine="0"/>
              <w:rPr>
                <w:rFonts w:ascii="宋体" w:hAnsi="宋体" w:eastAsia="宋体" w:cs="等线"/>
                <w:b/>
                <w:bCs/>
                <w:szCs w:val="21"/>
              </w:rPr>
            </w:pPr>
            <w:r>
              <w:rPr>
                <w:rFonts w:hint="eastAsia" w:ascii="宋体" w:hAnsi="宋体" w:eastAsia="宋体" w:cs="等线"/>
                <w:b/>
                <w:bCs/>
                <w:szCs w:val="21"/>
              </w:rPr>
              <w:t>总体要求</w:t>
            </w:r>
          </w:p>
          <w:p w14:paraId="05EF3AF1">
            <w:pPr>
              <w:numPr>
                <w:ilvl w:val="0"/>
                <w:numId w:val="10"/>
              </w:numPr>
              <w:ind w:left="454" w:firstLine="0"/>
              <w:rPr>
                <w:rFonts w:ascii="宋体" w:hAnsi="宋体" w:eastAsia="宋体" w:cs="等线"/>
                <w:b/>
                <w:bCs/>
                <w:szCs w:val="21"/>
              </w:rPr>
            </w:pPr>
            <w:r>
              <w:rPr>
                <w:rFonts w:hint="eastAsia" w:ascii="宋体" w:hAnsi="宋体" w:eastAsia="宋体" w:cs="等线"/>
                <w:b/>
                <w:bCs/>
                <w:szCs w:val="21"/>
              </w:rPr>
              <w:t>设备形态</w:t>
            </w:r>
          </w:p>
          <w:p w14:paraId="35B92807">
            <w:pPr>
              <w:rPr>
                <w:rFonts w:ascii="宋体" w:hAnsi="宋体" w:eastAsia="宋体" w:cs="等线"/>
                <w:szCs w:val="21"/>
              </w:rPr>
            </w:pPr>
            <w:r>
              <w:rPr>
                <w:rFonts w:hint="eastAsia" w:ascii="宋体" w:hAnsi="宋体" w:eastAsia="宋体" w:cs="等线"/>
                <w:szCs w:val="21"/>
              </w:rPr>
              <w:t>1.1螺旋滚筒爬行器+球机云台，尺寸与重量：≤800×500×350mm（长x宽x高）、≤15KG（含电池）；适用工况：≥DN600的高水位、高淤积工况。</w:t>
            </w:r>
          </w:p>
          <w:p w14:paraId="61F99F78">
            <w:pPr>
              <w:rPr>
                <w:rFonts w:ascii="宋体" w:hAnsi="宋体" w:eastAsia="宋体" w:cs="等线"/>
                <w:szCs w:val="21"/>
              </w:rPr>
            </w:pPr>
            <w:r>
              <w:rPr>
                <w:rFonts w:hint="eastAsia" w:ascii="宋体" w:hAnsi="宋体" w:eastAsia="宋体" w:cs="等线"/>
                <w:szCs w:val="21"/>
              </w:rPr>
              <w:t>1.2轮式爬行器+球机云台，尺寸与重量：≤500×350×300mm（配5寸轮）、≤25KG（含电池）；适用工况：适合管道、箱涵、明渠等大场景工况</w:t>
            </w:r>
          </w:p>
          <w:p w14:paraId="61489704">
            <w:pPr>
              <w:rPr>
                <w:rFonts w:ascii="宋体" w:hAnsi="宋体" w:eastAsia="宋体" w:cs="等线"/>
                <w:szCs w:val="21"/>
              </w:rPr>
            </w:pPr>
            <w:r>
              <w:rPr>
                <w:rFonts w:hint="eastAsia" w:ascii="宋体" w:hAnsi="宋体" w:eastAsia="宋体" w:cs="等线"/>
                <w:szCs w:val="21"/>
              </w:rPr>
              <w:t>1.3轮式爬行器+常规云台，尺寸与重量：≤750×350×300mm（配5寸轮）、≤35KG（含电池）；适用工况：≥DN400的市政排水管道</w:t>
            </w:r>
          </w:p>
          <w:p w14:paraId="24CA52A5">
            <w:pPr>
              <w:numPr>
                <w:ilvl w:val="0"/>
                <w:numId w:val="10"/>
              </w:numPr>
              <w:ind w:left="454" w:firstLine="0"/>
              <w:rPr>
                <w:rFonts w:ascii="宋体" w:hAnsi="宋体" w:eastAsia="宋体" w:cs="等线"/>
                <w:b/>
                <w:bCs/>
                <w:szCs w:val="21"/>
              </w:rPr>
            </w:pPr>
            <w:r>
              <w:rPr>
                <w:rFonts w:hint="eastAsia" w:ascii="宋体" w:hAnsi="宋体" w:eastAsia="宋体" w:cs="等线"/>
                <w:b/>
                <w:bCs/>
                <w:szCs w:val="21"/>
              </w:rPr>
              <w:t>拓展性</w:t>
            </w:r>
          </w:p>
          <w:p w14:paraId="66D43D99">
            <w:pPr>
              <w:rPr>
                <w:rFonts w:ascii="宋体" w:hAnsi="宋体" w:eastAsia="宋体" w:cs="等线"/>
                <w:szCs w:val="21"/>
              </w:rPr>
            </w:pPr>
            <w:r>
              <w:rPr>
                <w:rFonts w:hint="eastAsia" w:ascii="宋体" w:hAnsi="宋体" w:eastAsia="宋体" w:cs="等线"/>
                <w:szCs w:val="21"/>
              </w:rPr>
              <w:t>2.1可配备声纳装置，实现对水下淤泥高度的实时测算，并对水下管道缺陷进行判别。同时，能够在控制软件界面同步显示实时视频与实时声纳数据，且具备一键生成声纳检测报告的功能。</w:t>
            </w:r>
          </w:p>
          <w:p w14:paraId="38C1A336">
            <w:pPr>
              <w:rPr>
                <w:rFonts w:ascii="宋体" w:hAnsi="宋体" w:eastAsia="宋体" w:cs="等线"/>
                <w:szCs w:val="21"/>
              </w:rPr>
            </w:pPr>
            <w:r>
              <w:rPr>
                <w:rFonts w:hint="eastAsia" w:ascii="宋体" w:hAnsi="宋体" w:eastAsia="宋体" w:cs="等线"/>
                <w:szCs w:val="21"/>
              </w:rPr>
              <w:t>2.2可搭载二维激光雷达与三维激光雷达，用于测绘管道截面数据并进行3D建模。</w:t>
            </w:r>
          </w:p>
          <w:p w14:paraId="5D432609">
            <w:pPr>
              <w:rPr>
                <w:rFonts w:ascii="宋体" w:hAnsi="宋体" w:eastAsia="宋体" w:cs="等线"/>
                <w:szCs w:val="21"/>
              </w:rPr>
            </w:pPr>
            <w:r>
              <w:rPr>
                <w:rFonts w:hint="eastAsia" w:ascii="宋体" w:hAnsi="宋体" w:eastAsia="宋体" w:cs="等线"/>
                <w:szCs w:val="21"/>
              </w:rPr>
              <w:t>2.3可配备四合一气体传感器，用于检测氧气、二氧化碳、一氧化碳、硫化氢、甲烷，可从中任选四种气体进行检测。</w:t>
            </w:r>
          </w:p>
          <w:p w14:paraId="1289A720">
            <w:pPr>
              <w:rPr>
                <w:rFonts w:ascii="宋体" w:hAnsi="宋体" w:eastAsia="宋体" w:cs="等线"/>
                <w:szCs w:val="21"/>
              </w:rPr>
            </w:pPr>
            <w:r>
              <w:rPr>
                <w:rFonts w:hint="eastAsia" w:ascii="宋体" w:hAnsi="宋体" w:eastAsia="宋体" w:cs="等线"/>
                <w:szCs w:val="21"/>
              </w:rPr>
              <w:t>2.4可选择配置长距离扩展底盘，并搭配长距离线缆车，最远可实现2000米的长距离检测。</w:t>
            </w:r>
          </w:p>
          <w:p w14:paraId="70873110">
            <w:pPr>
              <w:numPr>
                <w:ilvl w:val="0"/>
                <w:numId w:val="10"/>
              </w:numPr>
              <w:ind w:left="454" w:firstLine="0"/>
              <w:rPr>
                <w:rFonts w:ascii="宋体" w:hAnsi="宋体" w:eastAsia="宋体" w:cs="等线"/>
                <w:b/>
                <w:bCs/>
                <w:szCs w:val="21"/>
              </w:rPr>
            </w:pPr>
            <w:r>
              <w:rPr>
                <w:rFonts w:hint="eastAsia" w:ascii="宋体" w:hAnsi="宋体" w:eastAsia="宋体" w:cs="等线"/>
                <w:b/>
                <w:bCs/>
                <w:szCs w:val="21"/>
              </w:rPr>
              <w:t>通用性</w:t>
            </w:r>
          </w:p>
          <w:p w14:paraId="1609CAC3">
            <w:pPr>
              <w:rPr>
                <w:rFonts w:ascii="宋体" w:hAnsi="宋体" w:eastAsia="宋体" w:cs="等线"/>
                <w:szCs w:val="21"/>
              </w:rPr>
            </w:pPr>
            <w:r>
              <w:rPr>
                <w:rFonts w:hint="eastAsia" w:ascii="宋体" w:hAnsi="宋体" w:eastAsia="宋体" w:cs="等线"/>
                <w:szCs w:val="21"/>
              </w:rPr>
              <w:t>3.1 螺旋滚筒爬行器与轮式爬行器的供电电池具有通用性，可相互替换，配备电池数量不少于三块</w:t>
            </w:r>
            <w:r>
              <w:rPr>
                <w:rFonts w:hint="eastAsia"/>
              </w:rPr>
              <w:t>，电池容量≥9.6Ah，标准电压22.2V。</w:t>
            </w:r>
          </w:p>
          <w:p w14:paraId="321BC7C4">
            <w:pPr>
              <w:rPr>
                <w:rFonts w:ascii="宋体" w:hAnsi="宋体" w:eastAsia="宋体" w:cs="等线"/>
                <w:szCs w:val="21"/>
              </w:rPr>
            </w:pPr>
            <w:r>
              <w:rPr>
                <w:rFonts w:hint="eastAsia" w:ascii="宋体" w:hAnsi="宋体" w:eastAsia="宋体" w:cs="等线"/>
                <w:szCs w:val="21"/>
              </w:rPr>
              <w:t>3.2 线缆车无需进行调整，即可兼容螺旋滚筒爬行器和轮式爬行器。</w:t>
            </w:r>
          </w:p>
          <w:p w14:paraId="2481A8A3">
            <w:pPr>
              <w:rPr>
                <w:rFonts w:ascii="宋体" w:hAnsi="宋体" w:eastAsia="宋体" w:cs="等线"/>
                <w:szCs w:val="21"/>
              </w:rPr>
            </w:pPr>
            <w:r>
              <w:rPr>
                <w:rFonts w:hint="eastAsia" w:ascii="宋体" w:hAnsi="宋体" w:eastAsia="宋体" w:cs="等线"/>
                <w:szCs w:val="21"/>
              </w:rPr>
              <w:t xml:space="preserve">3.3 控制终端不仅能够支持螺旋滚筒爬行器，同时也可对轮式爬行器提供支持。 </w:t>
            </w:r>
          </w:p>
          <w:p w14:paraId="79B6F6C5">
            <w:pPr>
              <w:numPr>
                <w:ilvl w:val="0"/>
                <w:numId w:val="10"/>
              </w:numPr>
              <w:ind w:left="454" w:firstLine="0"/>
              <w:rPr>
                <w:rFonts w:ascii="宋体" w:hAnsi="宋体" w:eastAsia="宋体" w:cs="等线"/>
                <w:b/>
                <w:bCs/>
                <w:szCs w:val="21"/>
              </w:rPr>
            </w:pPr>
            <w:r>
              <w:rPr>
                <w:rFonts w:hint="eastAsia" w:ascii="宋体" w:hAnsi="宋体" w:eastAsia="宋体" w:cs="等线"/>
                <w:b/>
                <w:bCs/>
                <w:szCs w:val="21"/>
              </w:rPr>
              <w:t>服务及交付要求</w:t>
            </w:r>
          </w:p>
          <w:p w14:paraId="3163AA2B">
            <w:pPr>
              <w:rPr>
                <w:rFonts w:ascii="宋体" w:hAnsi="宋体" w:eastAsia="宋体" w:cs="等线"/>
                <w:szCs w:val="21"/>
              </w:rPr>
            </w:pPr>
            <w:r>
              <w:rPr>
                <w:rFonts w:hint="eastAsia" w:ascii="宋体" w:hAnsi="宋体" w:eastAsia="宋体" w:cs="等线"/>
                <w:szCs w:val="21"/>
              </w:rPr>
              <w:t>4.1硬件设备质保三年以上，软件质保</w:t>
            </w:r>
            <w:r>
              <w:rPr>
                <w:rFonts w:hint="eastAsia"/>
              </w:rPr>
              <w:t>不少于3年，</w:t>
            </w:r>
            <w:r>
              <w:rPr>
                <w:rFonts w:hint="eastAsia" w:ascii="宋体" w:hAnsi="宋体" w:eastAsia="宋体" w:cs="等线"/>
                <w:szCs w:val="21"/>
              </w:rPr>
              <w:t>质保期满后不升级不影响软件正常使用。</w:t>
            </w:r>
          </w:p>
          <w:p w14:paraId="19E9441D">
            <w:pPr>
              <w:rPr>
                <w:rFonts w:ascii="宋体" w:hAnsi="宋体" w:eastAsia="宋体" w:cs="等线"/>
                <w:szCs w:val="21"/>
              </w:rPr>
            </w:pPr>
            <w:r>
              <w:rPr>
                <w:rFonts w:hint="eastAsia" w:ascii="宋体" w:hAnsi="宋体" w:eastAsia="宋体" w:cs="等线"/>
                <w:szCs w:val="21"/>
              </w:rPr>
              <w:t>4.2在质量保证期内，需提供提供对应用系统的运行、维护提供24小时的实时技术支持。</w:t>
            </w:r>
          </w:p>
          <w:p w14:paraId="7E9C9453">
            <w:pPr>
              <w:numPr>
                <w:ilvl w:val="0"/>
                <w:numId w:val="9"/>
              </w:numPr>
              <w:ind w:firstLine="0"/>
              <w:rPr>
                <w:rFonts w:ascii="宋体" w:hAnsi="宋体" w:eastAsia="宋体" w:cs="等线"/>
                <w:b/>
                <w:bCs/>
                <w:szCs w:val="21"/>
              </w:rPr>
            </w:pPr>
            <w:r>
              <w:rPr>
                <w:rFonts w:hint="eastAsia" w:ascii="宋体" w:hAnsi="宋体" w:eastAsia="宋体" w:cs="等线"/>
                <w:b/>
                <w:bCs/>
                <w:szCs w:val="21"/>
              </w:rPr>
              <w:t>螺旋式滚筒爬行器底盘要求</w:t>
            </w:r>
          </w:p>
          <w:p w14:paraId="408BE32D">
            <w:pPr>
              <w:numPr>
                <w:ilvl w:val="0"/>
                <w:numId w:val="11"/>
              </w:numPr>
              <w:ind w:left="454" w:firstLine="0"/>
              <w:rPr>
                <w:rFonts w:ascii="宋体" w:hAnsi="宋体" w:eastAsia="宋体" w:cs="等线"/>
                <w:szCs w:val="21"/>
              </w:rPr>
            </w:pPr>
            <w:r>
              <w:rPr>
                <w:rFonts w:hint="eastAsia" w:ascii="宋体" w:hAnsi="宋体" w:eastAsia="宋体" w:cs="等线"/>
                <w:b/>
                <w:bCs/>
                <w:szCs w:val="21"/>
              </w:rPr>
              <w:t>驱动形式：</w:t>
            </w:r>
            <w:r>
              <w:rPr>
                <w:rFonts w:hint="eastAsia" w:ascii="宋体" w:hAnsi="宋体" w:eastAsia="宋体" w:cs="等线"/>
                <w:szCs w:val="21"/>
              </w:rPr>
              <w:t>螺旋双轮双电机差速驱动</w:t>
            </w:r>
          </w:p>
          <w:p w14:paraId="2AB2C407">
            <w:pPr>
              <w:numPr>
                <w:ilvl w:val="0"/>
                <w:numId w:val="11"/>
              </w:numPr>
              <w:ind w:left="454" w:firstLine="0"/>
              <w:rPr>
                <w:rFonts w:ascii="宋体" w:hAnsi="宋体" w:eastAsia="宋体" w:cs="等线"/>
                <w:b/>
                <w:bCs/>
                <w:szCs w:val="21"/>
              </w:rPr>
            </w:pPr>
            <w:r>
              <w:rPr>
                <w:rFonts w:hint="eastAsia" w:ascii="宋体" w:hAnsi="宋体" w:eastAsia="宋体" w:cs="等线"/>
                <w:b/>
                <w:bCs/>
                <w:szCs w:val="21"/>
              </w:rPr>
              <w:t>防护等级：≥</w:t>
            </w:r>
            <w:r>
              <w:rPr>
                <w:rFonts w:hint="eastAsia" w:ascii="宋体" w:hAnsi="宋体" w:eastAsia="宋体" w:cs="等线"/>
                <w:szCs w:val="21"/>
              </w:rPr>
              <w:t>IP68</w:t>
            </w:r>
          </w:p>
          <w:p w14:paraId="2A44884C">
            <w:pPr>
              <w:numPr>
                <w:ilvl w:val="0"/>
                <w:numId w:val="11"/>
              </w:numPr>
              <w:ind w:left="454" w:firstLine="0"/>
              <w:rPr>
                <w:rFonts w:ascii="宋体" w:hAnsi="宋体" w:eastAsia="宋体" w:cs="等线"/>
                <w:b/>
                <w:bCs/>
                <w:szCs w:val="21"/>
              </w:rPr>
            </w:pPr>
            <w:r>
              <w:rPr>
                <w:rFonts w:hint="eastAsia" w:ascii="宋体" w:hAnsi="宋体" w:eastAsia="宋体" w:cs="等线"/>
                <w:b/>
                <w:bCs/>
                <w:szCs w:val="21"/>
              </w:rPr>
              <w:t>行进速度：</w:t>
            </w:r>
            <w:r>
              <w:rPr>
                <w:rFonts w:hint="eastAsia" w:ascii="宋体" w:hAnsi="宋体" w:eastAsia="宋体" w:cs="等线"/>
                <w:szCs w:val="21"/>
              </w:rPr>
              <w:t>静水中最大速度不低于0.45m/s、逆水中最大速度不低于0.3m/s</w:t>
            </w:r>
          </w:p>
          <w:p w14:paraId="461D7AC6">
            <w:pPr>
              <w:numPr>
                <w:ilvl w:val="0"/>
                <w:numId w:val="11"/>
              </w:numPr>
              <w:ind w:left="454" w:firstLine="0"/>
              <w:rPr>
                <w:rFonts w:ascii="宋体" w:hAnsi="宋体" w:eastAsia="宋体" w:cs="等线"/>
                <w:b/>
                <w:bCs/>
                <w:szCs w:val="21"/>
              </w:rPr>
            </w:pPr>
            <w:r>
              <w:rPr>
                <w:rFonts w:hint="eastAsia" w:ascii="宋体" w:hAnsi="宋体" w:eastAsia="宋体" w:cs="等线"/>
                <w:b/>
                <w:bCs/>
                <w:szCs w:val="21"/>
              </w:rPr>
              <w:t>适用管径：</w:t>
            </w:r>
            <w:r>
              <w:rPr>
                <w:rFonts w:hint="eastAsia" w:ascii="宋体" w:hAnsi="宋体" w:eastAsia="宋体" w:cs="等线"/>
                <w:szCs w:val="21"/>
              </w:rPr>
              <w:t>≥DN600</w:t>
            </w:r>
          </w:p>
          <w:p w14:paraId="5ABF2979">
            <w:pPr>
              <w:numPr>
                <w:ilvl w:val="0"/>
                <w:numId w:val="11"/>
              </w:numPr>
              <w:ind w:left="454" w:firstLine="0"/>
              <w:rPr>
                <w:rFonts w:ascii="宋体" w:hAnsi="宋体" w:eastAsia="宋体" w:cs="等线"/>
                <w:b/>
                <w:bCs/>
                <w:szCs w:val="21"/>
              </w:rPr>
            </w:pPr>
            <w:r>
              <w:rPr>
                <w:rFonts w:hint="eastAsia" w:ascii="宋体" w:hAnsi="宋体" w:eastAsia="宋体" w:cs="等线"/>
                <w:b/>
                <w:bCs/>
                <w:szCs w:val="21"/>
              </w:rPr>
              <w:t>工作时间：</w:t>
            </w:r>
            <w:r>
              <w:rPr>
                <w:rFonts w:hint="eastAsia" w:ascii="宋体" w:hAnsi="宋体" w:eastAsia="宋体" w:cs="等线"/>
                <w:szCs w:val="21"/>
              </w:rPr>
              <w:t>电池供电时工作时间≥2h。</w:t>
            </w:r>
          </w:p>
          <w:p w14:paraId="40097FA7">
            <w:pPr>
              <w:numPr>
                <w:ilvl w:val="0"/>
                <w:numId w:val="11"/>
              </w:numPr>
              <w:ind w:left="454" w:firstLine="0"/>
              <w:rPr>
                <w:rFonts w:eastAsia="宋体"/>
              </w:rPr>
            </w:pPr>
            <w:r>
              <w:rPr>
                <w:rFonts w:hint="eastAsia" w:ascii="宋体" w:hAnsi="宋体" w:eastAsia="宋体" w:cs="等线"/>
                <w:b/>
                <w:bCs/>
                <w:szCs w:val="21"/>
              </w:rPr>
              <w:t>影像系统：</w:t>
            </w:r>
            <w:r>
              <w:rPr>
                <w:rFonts w:hint="eastAsia" w:ascii="宋体" w:hAnsi="宋体" w:eastAsia="宋体" w:cs="等线"/>
                <w:szCs w:val="21"/>
              </w:rPr>
              <w:t>可搭载球机CCTV。</w:t>
            </w:r>
          </w:p>
          <w:p w14:paraId="7D80E3C4">
            <w:pPr>
              <w:numPr>
                <w:ilvl w:val="0"/>
                <w:numId w:val="11"/>
              </w:numPr>
              <w:ind w:left="454" w:firstLine="0"/>
              <w:rPr>
                <w:rFonts w:ascii="宋体" w:hAnsi="宋体" w:eastAsia="宋体" w:cs="等线"/>
                <w:b/>
                <w:bCs/>
                <w:szCs w:val="21"/>
              </w:rPr>
            </w:pPr>
            <w:r>
              <w:rPr>
                <w:rFonts w:hint="eastAsia" w:ascii="宋体" w:hAnsi="宋体" w:eastAsia="宋体" w:cs="等线"/>
                <w:b/>
                <w:bCs/>
                <w:szCs w:val="21"/>
              </w:rPr>
              <w:t>激光测距：</w:t>
            </w:r>
            <w:r>
              <w:rPr>
                <w:rFonts w:hint="eastAsia" w:ascii="宋体" w:hAnsi="宋体" w:eastAsia="宋体" w:cs="等线"/>
                <w:szCs w:val="21"/>
              </w:rPr>
              <w:t>范围0.1—12m 精度±1%</w:t>
            </w:r>
          </w:p>
          <w:p w14:paraId="6DBB4141">
            <w:pPr>
              <w:numPr>
                <w:ilvl w:val="0"/>
                <w:numId w:val="11"/>
              </w:numPr>
              <w:ind w:left="454" w:firstLine="0"/>
              <w:rPr>
                <w:rFonts w:ascii="宋体" w:hAnsi="宋体" w:eastAsia="宋体" w:cs="等线"/>
                <w:b/>
                <w:bCs/>
                <w:szCs w:val="21"/>
              </w:rPr>
            </w:pPr>
            <w:r>
              <w:rPr>
                <w:rFonts w:hint="eastAsia" w:ascii="宋体" w:hAnsi="宋体" w:eastAsia="宋体" w:cs="等线"/>
                <w:b/>
                <w:bCs/>
                <w:szCs w:val="21"/>
              </w:rPr>
              <w:t>其他要求：</w:t>
            </w:r>
            <w:r>
              <w:rPr>
                <w:rFonts w:hint="eastAsia" w:ascii="宋体" w:hAnsi="宋体" w:eastAsia="宋体" w:cs="等线"/>
                <w:szCs w:val="21"/>
              </w:rPr>
              <w:t>配备后视镜头和光源，镜头≥200万像素，光源采用LED灯连续可调亮度</w:t>
            </w:r>
          </w:p>
          <w:p w14:paraId="0E37EADC">
            <w:pPr>
              <w:numPr>
                <w:ilvl w:val="0"/>
                <w:numId w:val="9"/>
              </w:numPr>
              <w:ind w:firstLine="0"/>
              <w:rPr>
                <w:rFonts w:ascii="宋体" w:hAnsi="宋体" w:eastAsia="宋体" w:cs="等线"/>
                <w:b/>
                <w:bCs/>
                <w:szCs w:val="21"/>
              </w:rPr>
            </w:pPr>
            <w:r>
              <w:rPr>
                <w:rFonts w:hint="eastAsia" w:ascii="宋体" w:hAnsi="宋体" w:eastAsia="宋体" w:cs="等线"/>
                <w:b/>
                <w:bCs/>
                <w:szCs w:val="21"/>
              </w:rPr>
              <w:t>轮式爬行器底盘要求</w:t>
            </w:r>
          </w:p>
          <w:p w14:paraId="4A2D51BD">
            <w:pPr>
              <w:numPr>
                <w:ilvl w:val="0"/>
                <w:numId w:val="12"/>
              </w:numPr>
              <w:ind w:left="454" w:firstLine="0"/>
              <w:rPr>
                <w:rFonts w:ascii="宋体" w:hAnsi="宋体" w:eastAsia="宋体" w:cs="等线"/>
                <w:szCs w:val="21"/>
              </w:rPr>
            </w:pPr>
            <w:r>
              <w:rPr>
                <w:rFonts w:hint="eastAsia" w:ascii="宋体" w:hAnsi="宋体" w:eastAsia="宋体" w:cs="等线"/>
                <w:b/>
                <w:bCs/>
                <w:szCs w:val="21"/>
              </w:rPr>
              <w:t>驱动形式：</w:t>
            </w:r>
            <w:r>
              <w:rPr>
                <w:rFonts w:hint="eastAsia" w:ascii="宋体" w:hAnsi="宋体" w:eastAsia="宋体" w:cs="等线"/>
                <w:szCs w:val="21"/>
              </w:rPr>
              <w:t>多轮双电机差速驱动</w:t>
            </w:r>
          </w:p>
          <w:p w14:paraId="42991E97">
            <w:pPr>
              <w:numPr>
                <w:ilvl w:val="0"/>
                <w:numId w:val="12"/>
              </w:numPr>
              <w:ind w:left="454" w:firstLine="0"/>
              <w:rPr>
                <w:rFonts w:ascii="宋体" w:hAnsi="宋体" w:eastAsia="宋体" w:cs="等线"/>
                <w:b/>
                <w:bCs/>
                <w:szCs w:val="21"/>
              </w:rPr>
            </w:pPr>
            <w:r>
              <w:rPr>
                <w:rFonts w:hint="eastAsia" w:ascii="宋体" w:hAnsi="宋体" w:eastAsia="宋体" w:cs="等线"/>
                <w:b/>
                <w:bCs/>
                <w:szCs w:val="21"/>
              </w:rPr>
              <w:t>防护等级：≥</w:t>
            </w:r>
            <w:r>
              <w:rPr>
                <w:rFonts w:hint="eastAsia" w:ascii="宋体" w:hAnsi="宋体" w:eastAsia="宋体" w:cs="等线"/>
                <w:szCs w:val="21"/>
              </w:rPr>
              <w:t>IP68</w:t>
            </w:r>
          </w:p>
          <w:p w14:paraId="4BF40235">
            <w:pPr>
              <w:numPr>
                <w:ilvl w:val="0"/>
                <w:numId w:val="12"/>
              </w:numPr>
              <w:ind w:left="454" w:firstLine="0"/>
              <w:rPr>
                <w:rFonts w:ascii="宋体" w:hAnsi="宋体" w:eastAsia="宋体" w:cs="等线"/>
                <w:b/>
                <w:bCs/>
                <w:szCs w:val="21"/>
              </w:rPr>
            </w:pPr>
            <w:r>
              <w:rPr>
                <w:rFonts w:hint="eastAsia" w:ascii="宋体" w:hAnsi="宋体" w:eastAsia="宋体" w:cs="等线"/>
                <w:b/>
                <w:bCs/>
                <w:szCs w:val="21"/>
              </w:rPr>
              <w:t>爬坡角度：</w:t>
            </w:r>
            <w:r>
              <w:rPr>
                <w:rFonts w:hint="eastAsia" w:ascii="宋体" w:hAnsi="宋体" w:eastAsia="宋体" w:cs="等线"/>
                <w:szCs w:val="21"/>
              </w:rPr>
              <w:t>≥35°</w:t>
            </w:r>
          </w:p>
          <w:p w14:paraId="1169095F">
            <w:pPr>
              <w:numPr>
                <w:ilvl w:val="0"/>
                <w:numId w:val="12"/>
              </w:numPr>
              <w:ind w:left="454" w:firstLine="0"/>
              <w:rPr>
                <w:rFonts w:ascii="宋体" w:hAnsi="宋体" w:eastAsia="宋体" w:cs="等线"/>
                <w:b/>
                <w:bCs/>
                <w:szCs w:val="21"/>
              </w:rPr>
            </w:pPr>
            <w:r>
              <w:rPr>
                <w:rFonts w:hint="eastAsia" w:ascii="宋体" w:hAnsi="宋体" w:eastAsia="宋体" w:cs="等线"/>
                <w:b/>
                <w:bCs/>
                <w:szCs w:val="21"/>
              </w:rPr>
              <w:t>适用管径：</w:t>
            </w:r>
            <w:r>
              <w:rPr>
                <w:rFonts w:hint="eastAsia" w:ascii="宋体" w:hAnsi="宋体" w:eastAsia="宋体" w:cs="等线"/>
                <w:szCs w:val="21"/>
              </w:rPr>
              <w:t>≥DN400</w:t>
            </w:r>
          </w:p>
          <w:p w14:paraId="29071AE6">
            <w:pPr>
              <w:numPr>
                <w:ilvl w:val="0"/>
                <w:numId w:val="12"/>
              </w:numPr>
              <w:ind w:left="454" w:firstLine="0"/>
              <w:rPr>
                <w:rFonts w:ascii="宋体" w:hAnsi="宋体" w:eastAsia="宋体" w:cs="等线"/>
                <w:b/>
                <w:bCs/>
                <w:szCs w:val="21"/>
              </w:rPr>
            </w:pPr>
            <w:r>
              <w:rPr>
                <w:rFonts w:hint="eastAsia" w:ascii="宋体" w:hAnsi="宋体" w:eastAsia="宋体" w:cs="等线"/>
                <w:b/>
                <w:bCs/>
                <w:szCs w:val="21"/>
              </w:rPr>
              <w:t>工作时间：</w:t>
            </w:r>
            <w:r>
              <w:rPr>
                <w:rFonts w:hint="eastAsia" w:ascii="宋体" w:hAnsi="宋体" w:eastAsia="宋体" w:cs="等线"/>
                <w:szCs w:val="21"/>
              </w:rPr>
              <w:t>电池供电时工作时间≥2h。</w:t>
            </w:r>
          </w:p>
          <w:p w14:paraId="31105930">
            <w:pPr>
              <w:ind w:firstLine="0"/>
              <w:rPr>
                <w:rFonts w:ascii="宋体" w:hAnsi="宋体" w:eastAsia="宋体" w:cs="等线"/>
                <w:szCs w:val="21"/>
              </w:rPr>
            </w:pPr>
            <w:r>
              <w:rPr>
                <w:rFonts w:hint="eastAsia" w:ascii="宋体" w:hAnsi="宋体" w:eastAsia="宋体" w:cs="等线"/>
                <w:b/>
                <w:bCs/>
                <w:szCs w:val="21"/>
              </w:rPr>
              <w:t>6.影像系统：</w:t>
            </w:r>
            <w:r>
              <w:rPr>
                <w:rFonts w:hint="eastAsia" w:ascii="宋体" w:hAnsi="宋体" w:eastAsia="宋体" w:cs="等线"/>
                <w:szCs w:val="21"/>
              </w:rPr>
              <w:t>可搭载球机CCTV及常规CCTV。</w:t>
            </w:r>
          </w:p>
          <w:p w14:paraId="4B94E553">
            <w:pPr>
              <w:ind w:firstLine="0"/>
              <w:rPr>
                <w:rFonts w:ascii="宋体" w:hAnsi="宋体" w:eastAsia="宋体" w:cs="等线"/>
                <w:b/>
                <w:bCs/>
                <w:szCs w:val="21"/>
              </w:rPr>
            </w:pPr>
            <w:r>
              <w:rPr>
                <w:rFonts w:hint="eastAsia" w:ascii="宋体" w:hAnsi="宋体" w:eastAsia="宋体" w:cs="等线"/>
                <w:b/>
                <w:bCs/>
                <w:szCs w:val="21"/>
              </w:rPr>
              <w:t>7.激光测距：</w:t>
            </w:r>
            <w:r>
              <w:rPr>
                <w:rFonts w:hint="eastAsia" w:ascii="宋体" w:hAnsi="宋体" w:eastAsia="宋体" w:cs="等线"/>
                <w:szCs w:val="21"/>
              </w:rPr>
              <w:t>范围0.1—12m 精度±1%</w:t>
            </w:r>
          </w:p>
          <w:p w14:paraId="488EA72D">
            <w:pPr>
              <w:ind w:firstLine="0"/>
              <w:rPr>
                <w:rFonts w:ascii="宋体" w:hAnsi="宋体" w:eastAsia="宋体" w:cs="等线"/>
                <w:b/>
                <w:bCs/>
                <w:szCs w:val="21"/>
              </w:rPr>
            </w:pPr>
            <w:r>
              <w:rPr>
                <w:rFonts w:hint="eastAsia" w:ascii="宋体" w:hAnsi="宋体" w:eastAsia="宋体" w:cs="等线"/>
                <w:b/>
                <w:bCs/>
                <w:szCs w:val="21"/>
              </w:rPr>
              <w:t>8.其他要求：</w:t>
            </w:r>
            <w:r>
              <w:rPr>
                <w:rFonts w:hint="eastAsia" w:ascii="宋体" w:hAnsi="宋体" w:eastAsia="宋体" w:cs="等线"/>
                <w:szCs w:val="21"/>
              </w:rPr>
              <w:t>配备后视镜头和光源，镜头≥200万像素，光源采用LED灯连续可调亮度。</w:t>
            </w:r>
          </w:p>
          <w:p w14:paraId="42980EF2">
            <w:pPr>
              <w:numPr>
                <w:ilvl w:val="0"/>
                <w:numId w:val="9"/>
              </w:numPr>
              <w:ind w:firstLine="0"/>
              <w:rPr>
                <w:rFonts w:ascii="宋体" w:hAnsi="宋体" w:eastAsia="宋体" w:cs="等线"/>
                <w:b/>
                <w:bCs/>
                <w:szCs w:val="21"/>
              </w:rPr>
            </w:pPr>
            <w:r>
              <w:rPr>
                <w:rFonts w:hint="eastAsia" w:ascii="宋体" w:hAnsi="宋体" w:eastAsia="宋体" w:cs="等线"/>
                <w:b/>
                <w:bCs/>
                <w:szCs w:val="21"/>
              </w:rPr>
              <w:t>球机CCTV及常规CCTV</w:t>
            </w:r>
          </w:p>
          <w:p w14:paraId="5369A1A7">
            <w:pPr>
              <w:numPr>
                <w:ilvl w:val="0"/>
                <w:numId w:val="13"/>
              </w:numPr>
              <w:ind w:left="454" w:firstLine="0"/>
              <w:rPr>
                <w:rFonts w:ascii="宋体" w:hAnsi="宋体" w:eastAsia="宋体" w:cs="等线"/>
                <w:b/>
                <w:bCs/>
                <w:szCs w:val="21"/>
              </w:rPr>
            </w:pPr>
            <w:r>
              <w:rPr>
                <w:rFonts w:hint="eastAsia" w:ascii="宋体" w:hAnsi="宋体" w:eastAsia="宋体" w:cs="等线"/>
                <w:b/>
                <w:bCs/>
                <w:szCs w:val="21"/>
              </w:rPr>
              <w:t>球机云台：</w:t>
            </w:r>
          </w:p>
          <w:p w14:paraId="49525F58">
            <w:pPr>
              <w:rPr>
                <w:rFonts w:ascii="宋体" w:hAnsi="宋体" w:eastAsia="宋体" w:cs="等线"/>
                <w:szCs w:val="21"/>
              </w:rPr>
            </w:pPr>
            <w:r>
              <w:rPr>
                <w:rFonts w:hint="eastAsia" w:ascii="宋体" w:hAnsi="宋体" w:eastAsia="宋体" w:cs="等线"/>
                <w:szCs w:val="21"/>
              </w:rPr>
              <w:t>1.1▲前视镜头像素≥200W，分辨率≥1920x1080；光学变焦≥4倍；最低照度彩色≤0.05Lux，黑白≤0.01Lux；可自动对焦或手动对焦；</w:t>
            </w:r>
          </w:p>
          <w:p w14:paraId="7570EBB8">
            <w:pPr>
              <w:rPr>
                <w:rFonts w:ascii="宋体" w:hAnsi="宋体" w:eastAsia="宋体" w:cs="等线"/>
                <w:szCs w:val="21"/>
              </w:rPr>
            </w:pPr>
            <w:r>
              <w:rPr>
                <w:rFonts w:hint="eastAsia" w:ascii="宋体" w:hAnsi="宋体" w:eastAsia="宋体" w:cs="等线"/>
                <w:szCs w:val="21"/>
              </w:rPr>
              <w:t>1.2▲后视镜头像素≥200W，分辨率≥1920x1080；最低照度彩色≤0.05Lux，黑白≤0.01Lux；可自动对焦或手动对焦。</w:t>
            </w:r>
          </w:p>
          <w:p w14:paraId="69FF198E">
            <w:pPr>
              <w:rPr>
                <w:rFonts w:ascii="宋体" w:hAnsi="宋体" w:eastAsia="宋体" w:cs="等线"/>
                <w:szCs w:val="21"/>
              </w:rPr>
            </w:pPr>
            <w:r>
              <w:rPr>
                <w:rFonts w:hint="eastAsia" w:ascii="宋体" w:hAnsi="宋体" w:eastAsia="宋体" w:cs="等线"/>
                <w:szCs w:val="21"/>
              </w:rPr>
              <w:t>1.3轴向旋转0~360°，垂直翻转0~90°，具备一键居中复位功能。</w:t>
            </w:r>
          </w:p>
          <w:p w14:paraId="12C257C7">
            <w:pPr>
              <w:rPr>
                <w:rFonts w:ascii="宋体" w:hAnsi="宋体" w:eastAsia="宋体" w:cs="等线"/>
                <w:szCs w:val="21"/>
              </w:rPr>
            </w:pPr>
            <w:r>
              <w:rPr>
                <w:rFonts w:hint="eastAsia" w:ascii="宋体" w:hAnsi="宋体" w:eastAsia="宋体" w:cs="等线"/>
                <w:szCs w:val="21"/>
              </w:rPr>
              <w:t>1.4▲防护等级≥IP68，内置姿态传感器。</w:t>
            </w:r>
          </w:p>
          <w:p w14:paraId="6DE8B8CF">
            <w:pPr>
              <w:rPr>
                <w:rFonts w:ascii="宋体" w:hAnsi="宋体" w:eastAsia="宋体" w:cs="等线"/>
                <w:szCs w:val="21"/>
              </w:rPr>
            </w:pPr>
            <w:r>
              <w:rPr>
                <w:rFonts w:hint="eastAsia" w:ascii="宋体" w:hAnsi="宋体" w:eastAsia="宋体" w:cs="等线"/>
                <w:szCs w:val="21"/>
              </w:rPr>
              <w:t>1.5配置激光模块，有缺陷长度标定功能。</w:t>
            </w:r>
          </w:p>
          <w:p w14:paraId="70C33D9D">
            <w:pPr>
              <w:rPr>
                <w:rFonts w:ascii="宋体" w:hAnsi="宋体" w:eastAsia="宋体" w:cs="等线"/>
                <w:b/>
                <w:bCs/>
                <w:szCs w:val="21"/>
              </w:rPr>
            </w:pPr>
            <w:r>
              <w:rPr>
                <w:rFonts w:hint="eastAsia" w:ascii="宋体" w:hAnsi="宋体" w:eastAsia="宋体" w:cs="等线"/>
                <w:szCs w:val="21"/>
              </w:rPr>
              <w:t>1.6前后照明采用LED光源，光源强度连续可调；前照明总功率≥20W，近光灯数量≥4，远光灯数量≥6，后照明总功率≥3W，数量≥3。</w:t>
            </w:r>
          </w:p>
          <w:p w14:paraId="502921DF">
            <w:pPr>
              <w:numPr>
                <w:ilvl w:val="0"/>
                <w:numId w:val="13"/>
              </w:numPr>
              <w:ind w:left="454" w:firstLine="0"/>
              <w:rPr>
                <w:rFonts w:ascii="宋体" w:hAnsi="宋体" w:eastAsia="宋体" w:cs="等线"/>
                <w:b/>
                <w:bCs/>
                <w:szCs w:val="21"/>
              </w:rPr>
            </w:pPr>
            <w:r>
              <w:rPr>
                <w:rFonts w:hint="eastAsia" w:ascii="宋体" w:hAnsi="宋体" w:eastAsia="宋体" w:cs="等线"/>
                <w:b/>
                <w:bCs/>
                <w:szCs w:val="21"/>
              </w:rPr>
              <w:t>常规云台：</w:t>
            </w:r>
          </w:p>
          <w:p w14:paraId="6E39A990">
            <w:pPr>
              <w:rPr>
                <w:rFonts w:ascii="宋体" w:hAnsi="宋体" w:eastAsia="宋体" w:cs="等线"/>
                <w:szCs w:val="21"/>
              </w:rPr>
            </w:pPr>
            <w:r>
              <w:rPr>
                <w:rFonts w:hint="eastAsia" w:ascii="宋体" w:hAnsi="宋体" w:eastAsia="宋体" w:cs="等线"/>
                <w:szCs w:val="21"/>
              </w:rPr>
              <w:t>2.1▲前视镜头像素≥200W，分辨率≥1920x1080；光学变焦≥10倍；最低照度彩色≤0.05Lux，黑白≤0.01Lux；可自动对焦或手动对焦。</w:t>
            </w:r>
          </w:p>
          <w:p w14:paraId="471DCD3E">
            <w:pPr>
              <w:rPr>
                <w:rFonts w:ascii="宋体" w:hAnsi="宋体" w:eastAsia="宋体" w:cs="等线"/>
                <w:szCs w:val="21"/>
              </w:rPr>
            </w:pPr>
            <w:r>
              <w:rPr>
                <w:rFonts w:hint="eastAsia" w:ascii="宋体" w:hAnsi="宋体" w:eastAsia="宋体" w:cs="等线"/>
                <w:szCs w:val="21"/>
              </w:rPr>
              <w:t>2.2▲后视镜头像素≥200W，分辨率≥1920x1080；最低照度彩色≤0.05Lux，黑白≤0.01Lux；可自动对焦或手动对焦。</w:t>
            </w:r>
          </w:p>
          <w:p w14:paraId="6E5A613B">
            <w:pPr>
              <w:rPr>
                <w:rFonts w:ascii="宋体" w:hAnsi="宋体" w:eastAsia="宋体" w:cs="等线"/>
                <w:szCs w:val="21"/>
              </w:rPr>
            </w:pPr>
            <w:r>
              <w:rPr>
                <w:rFonts w:hint="eastAsia" w:ascii="宋体" w:hAnsi="宋体" w:eastAsia="宋体" w:cs="等线"/>
                <w:szCs w:val="21"/>
              </w:rPr>
              <w:t>2.3配备电动升降机，升降高度≥200mm，可快速拆卸，拆卸后爬行器可与镜头直接连接使用。</w:t>
            </w:r>
          </w:p>
          <w:p w14:paraId="461FCD6D">
            <w:pPr>
              <w:rPr>
                <w:rFonts w:ascii="宋体" w:hAnsi="宋体" w:eastAsia="宋体" w:cs="等线"/>
                <w:szCs w:val="21"/>
              </w:rPr>
            </w:pPr>
            <w:r>
              <w:rPr>
                <w:rFonts w:hint="eastAsia" w:ascii="宋体" w:hAnsi="宋体" w:eastAsia="宋体" w:cs="等线"/>
                <w:szCs w:val="21"/>
              </w:rPr>
              <w:t>2.4轴向旋转0~360°，垂直翻转-90°~90°具备一键居中复位功能。</w:t>
            </w:r>
          </w:p>
          <w:p w14:paraId="3B76F66E">
            <w:pPr>
              <w:rPr>
                <w:rFonts w:ascii="宋体" w:hAnsi="宋体" w:eastAsia="宋体" w:cs="等线"/>
                <w:szCs w:val="21"/>
              </w:rPr>
            </w:pPr>
            <w:r>
              <w:rPr>
                <w:rFonts w:hint="eastAsia" w:ascii="宋体" w:hAnsi="宋体" w:eastAsia="宋体" w:cs="等线"/>
                <w:szCs w:val="21"/>
              </w:rPr>
              <w:t>2.5▲防护等级≥IP68，姿态传感器。</w:t>
            </w:r>
          </w:p>
          <w:p w14:paraId="4240B2FA">
            <w:pPr>
              <w:rPr>
                <w:rFonts w:ascii="宋体" w:hAnsi="宋体" w:eastAsia="宋体" w:cs="等线"/>
                <w:szCs w:val="21"/>
              </w:rPr>
            </w:pPr>
            <w:r>
              <w:rPr>
                <w:rFonts w:hint="eastAsia" w:ascii="宋体" w:hAnsi="宋体" w:eastAsia="宋体" w:cs="等线"/>
                <w:szCs w:val="21"/>
              </w:rPr>
              <w:t>2.6配置激光模块，有缺陷长度标定功能。</w:t>
            </w:r>
          </w:p>
          <w:p w14:paraId="0A44873B">
            <w:pPr>
              <w:rPr>
                <w:rFonts w:ascii="宋体" w:hAnsi="宋体" w:eastAsia="宋体" w:cs="等线"/>
                <w:szCs w:val="21"/>
              </w:rPr>
            </w:pPr>
            <w:r>
              <w:rPr>
                <w:rFonts w:hint="eastAsia" w:ascii="宋体" w:hAnsi="宋体" w:eastAsia="宋体" w:cs="等线"/>
                <w:szCs w:val="21"/>
              </w:rPr>
              <w:t>2.7配置加热除雾功能，且能由检测平台控制终端操作。</w:t>
            </w:r>
          </w:p>
          <w:p w14:paraId="590E9F96">
            <w:pPr>
              <w:rPr>
                <w:rFonts w:ascii="宋体" w:hAnsi="宋体" w:eastAsia="宋体" w:cs="等线"/>
                <w:szCs w:val="21"/>
              </w:rPr>
            </w:pPr>
            <w:r>
              <w:rPr>
                <w:rFonts w:hint="eastAsia" w:ascii="宋体" w:hAnsi="宋体" w:eastAsia="宋体" w:cs="等线"/>
                <w:szCs w:val="21"/>
              </w:rPr>
              <w:t>2.8前后照明采用LED光源，光源强度连续可调；前照明总功率≥18W，近光灯数量≥4，远光灯数量≥10，后照明总功率≥3W，数量≥3。</w:t>
            </w:r>
          </w:p>
          <w:p w14:paraId="0F96DAB5">
            <w:pPr>
              <w:numPr>
                <w:ilvl w:val="0"/>
                <w:numId w:val="9"/>
              </w:numPr>
              <w:ind w:firstLine="0"/>
              <w:rPr>
                <w:rFonts w:ascii="宋体" w:hAnsi="宋体" w:eastAsia="宋体" w:cs="等线"/>
                <w:b/>
                <w:bCs/>
                <w:szCs w:val="21"/>
              </w:rPr>
            </w:pPr>
            <w:r>
              <w:rPr>
                <w:rFonts w:hint="eastAsia" w:ascii="宋体" w:hAnsi="宋体" w:eastAsia="宋体" w:cs="等线"/>
                <w:b/>
                <w:bCs/>
                <w:szCs w:val="21"/>
              </w:rPr>
              <w:t>线缆车要求</w:t>
            </w:r>
          </w:p>
          <w:p w14:paraId="2563B1C3">
            <w:pPr>
              <w:numPr>
                <w:ilvl w:val="0"/>
                <w:numId w:val="14"/>
              </w:numPr>
              <w:ind w:left="454" w:firstLine="0"/>
              <w:jc w:val="left"/>
              <w:rPr>
                <w:rFonts w:ascii="宋体" w:hAnsi="宋体" w:eastAsia="宋体" w:cs="等线"/>
                <w:b/>
                <w:bCs/>
                <w:szCs w:val="21"/>
              </w:rPr>
            </w:pPr>
            <w:r>
              <w:rPr>
                <w:rFonts w:hint="eastAsia" w:ascii="宋体" w:hAnsi="宋体" w:eastAsia="宋体" w:cs="等线"/>
                <w:b/>
                <w:bCs/>
                <w:szCs w:val="21"/>
              </w:rPr>
              <w:t>尺寸重量：</w:t>
            </w:r>
            <w:r>
              <w:rPr>
                <w:rFonts w:hint="eastAsia" w:ascii="宋体" w:hAnsi="宋体" w:eastAsia="宋体" w:cs="等线"/>
                <w:szCs w:val="21"/>
              </w:rPr>
              <w:t>体积≤700mmx450mmx500</w:t>
            </w:r>
            <w:r>
              <w:rPr>
                <w:rFonts w:hint="eastAsia"/>
              </w:rPr>
              <w:t>mm</w:t>
            </w:r>
            <w:r>
              <w:rPr>
                <w:rFonts w:hint="eastAsia" w:ascii="宋体" w:hAnsi="宋体" w:eastAsia="宋体" w:cs="等线"/>
                <w:szCs w:val="21"/>
              </w:rPr>
              <w:t>、重量≤40kg</w:t>
            </w:r>
          </w:p>
          <w:p w14:paraId="689D9A46">
            <w:pPr>
              <w:numPr>
                <w:ilvl w:val="0"/>
                <w:numId w:val="14"/>
              </w:numPr>
              <w:ind w:left="454" w:firstLine="0"/>
              <w:rPr>
                <w:rFonts w:ascii="宋体" w:hAnsi="宋体" w:eastAsia="宋体" w:cs="等线"/>
                <w:b/>
                <w:bCs/>
                <w:szCs w:val="21"/>
              </w:rPr>
            </w:pPr>
            <w:r>
              <w:rPr>
                <w:rFonts w:hint="eastAsia" w:ascii="宋体" w:hAnsi="宋体" w:eastAsia="宋体" w:cs="等线"/>
                <w:b/>
                <w:bCs/>
                <w:szCs w:val="21"/>
              </w:rPr>
              <w:t>线缆长度：</w:t>
            </w:r>
            <w:r>
              <w:rPr>
                <w:rFonts w:hint="eastAsia" w:ascii="宋体" w:hAnsi="宋体" w:eastAsia="宋体" w:cs="等线"/>
                <w:szCs w:val="21"/>
              </w:rPr>
              <w:t>≥300m。</w:t>
            </w:r>
          </w:p>
          <w:p w14:paraId="7C46A295">
            <w:pPr>
              <w:numPr>
                <w:ilvl w:val="0"/>
                <w:numId w:val="14"/>
              </w:numPr>
              <w:ind w:left="454" w:firstLine="0"/>
              <w:rPr>
                <w:rFonts w:ascii="宋体" w:hAnsi="宋体" w:eastAsia="宋体" w:cs="等线"/>
                <w:szCs w:val="21"/>
              </w:rPr>
            </w:pPr>
            <w:r>
              <w:rPr>
                <w:rFonts w:hint="eastAsia" w:ascii="宋体" w:hAnsi="宋体" w:eastAsia="宋体" w:cs="等线"/>
                <w:b/>
                <w:bCs/>
                <w:szCs w:val="21"/>
              </w:rPr>
              <w:t>线缆参数：</w:t>
            </w:r>
            <w:r>
              <w:rPr>
                <w:rFonts w:hint="eastAsia" w:ascii="宋体" w:hAnsi="宋体" w:eastAsia="宋体" w:cs="等线"/>
                <w:szCs w:val="21"/>
              </w:rPr>
              <w:t>2芯浮力线缆，抗拉力≥250kg，防水抗磨耐腐蚀。</w:t>
            </w:r>
          </w:p>
          <w:p w14:paraId="782C5718">
            <w:pPr>
              <w:numPr>
                <w:ilvl w:val="0"/>
                <w:numId w:val="14"/>
              </w:numPr>
              <w:ind w:left="454" w:firstLine="0"/>
              <w:rPr>
                <w:rFonts w:ascii="宋体" w:hAnsi="宋体" w:eastAsia="宋体" w:cs="等线"/>
                <w:b/>
                <w:bCs/>
                <w:szCs w:val="21"/>
              </w:rPr>
            </w:pPr>
            <w:r>
              <w:rPr>
                <w:rFonts w:hint="eastAsia" w:ascii="宋体" w:hAnsi="宋体" w:eastAsia="宋体" w:cs="等线"/>
                <w:b/>
                <w:bCs/>
                <w:szCs w:val="21"/>
              </w:rPr>
              <w:t>计数精度：</w:t>
            </w:r>
            <w:r>
              <w:rPr>
                <w:rFonts w:hint="eastAsia" w:ascii="宋体" w:hAnsi="宋体" w:eastAsia="宋体" w:cs="等线"/>
                <w:szCs w:val="21"/>
              </w:rPr>
              <w:t>±0.5m。</w:t>
            </w:r>
          </w:p>
          <w:p w14:paraId="4E08CDF7">
            <w:pPr>
              <w:numPr>
                <w:ilvl w:val="0"/>
                <w:numId w:val="14"/>
              </w:numPr>
              <w:ind w:left="454" w:firstLine="0"/>
              <w:rPr>
                <w:rFonts w:ascii="宋体" w:hAnsi="宋体" w:eastAsia="宋体" w:cs="等线"/>
                <w:b/>
                <w:bCs/>
                <w:szCs w:val="21"/>
              </w:rPr>
            </w:pPr>
            <w:r>
              <w:rPr>
                <w:rFonts w:hint="eastAsia" w:ascii="宋体" w:hAnsi="宋体" w:eastAsia="宋体" w:cs="等线"/>
                <w:b/>
                <w:bCs/>
                <w:szCs w:val="21"/>
              </w:rPr>
              <w:t>收线盘线：</w:t>
            </w:r>
            <w:r>
              <w:rPr>
                <w:rFonts w:hint="eastAsia" w:ascii="宋体" w:hAnsi="宋体" w:eastAsia="宋体" w:cs="等线"/>
                <w:szCs w:val="21"/>
              </w:rPr>
              <w:t>标配自动收线及盘线功能。</w:t>
            </w:r>
          </w:p>
          <w:p w14:paraId="1F432E0C">
            <w:pPr>
              <w:numPr>
                <w:ilvl w:val="0"/>
                <w:numId w:val="14"/>
              </w:numPr>
              <w:ind w:left="454" w:firstLine="0"/>
              <w:rPr>
                <w:rFonts w:ascii="宋体" w:hAnsi="宋体" w:eastAsia="宋体" w:cs="等线"/>
                <w:szCs w:val="21"/>
              </w:rPr>
            </w:pPr>
            <w:r>
              <w:rPr>
                <w:rFonts w:hint="eastAsia" w:ascii="宋体" w:hAnsi="宋体" w:eastAsia="宋体" w:cs="等线"/>
                <w:b/>
                <w:bCs/>
                <w:szCs w:val="21"/>
              </w:rPr>
              <w:t>供电方式：</w:t>
            </w:r>
            <w:r>
              <w:rPr>
                <w:rFonts w:hint="eastAsia" w:ascii="宋体" w:hAnsi="宋体" w:eastAsia="宋体" w:cs="等线"/>
                <w:szCs w:val="21"/>
              </w:rPr>
              <w:t>220V市电、电池；配备电池一块，容量≥9.6Ah，标准电压22.2V，电池供电时间≥4h。</w:t>
            </w:r>
          </w:p>
          <w:p w14:paraId="64DD012E">
            <w:pPr>
              <w:numPr>
                <w:ilvl w:val="0"/>
                <w:numId w:val="9"/>
              </w:numPr>
              <w:ind w:firstLine="0"/>
              <w:rPr>
                <w:rFonts w:ascii="宋体" w:hAnsi="宋体" w:eastAsia="宋体" w:cs="等线"/>
                <w:b/>
                <w:bCs/>
                <w:szCs w:val="21"/>
              </w:rPr>
            </w:pPr>
            <w:r>
              <w:rPr>
                <w:rFonts w:hint="eastAsia" w:ascii="宋体" w:hAnsi="宋体" w:eastAsia="宋体" w:cs="等线"/>
                <w:b/>
                <w:bCs/>
                <w:szCs w:val="21"/>
              </w:rPr>
              <w:t>控制终端要求</w:t>
            </w:r>
          </w:p>
          <w:p w14:paraId="19074687">
            <w:pPr>
              <w:numPr>
                <w:ilvl w:val="0"/>
                <w:numId w:val="15"/>
              </w:numPr>
              <w:ind w:left="425" w:firstLine="0"/>
              <w:rPr>
                <w:rFonts w:ascii="宋体" w:hAnsi="宋体" w:eastAsia="宋体" w:cs="等线"/>
                <w:szCs w:val="21"/>
              </w:rPr>
            </w:pPr>
            <w:r>
              <w:rPr>
                <w:rFonts w:hint="eastAsia" w:ascii="宋体" w:hAnsi="宋体" w:eastAsia="宋体" w:cs="等线"/>
                <w:b/>
                <w:bCs/>
                <w:szCs w:val="21"/>
              </w:rPr>
              <w:t>人机交互：便携式控制</w:t>
            </w:r>
            <w:r>
              <w:rPr>
                <w:rFonts w:hint="eastAsia" w:ascii="宋体" w:hAnsi="宋体" w:eastAsia="宋体" w:cs="等线"/>
                <w:szCs w:val="21"/>
              </w:rPr>
              <w:t>平板，便携式控制平板要求屏幕尺寸≥10.4寸、分辨率≥1920x1080、存储空间≥128GB；。</w:t>
            </w:r>
          </w:p>
          <w:p w14:paraId="6C43299C">
            <w:pPr>
              <w:numPr>
                <w:ilvl w:val="0"/>
                <w:numId w:val="15"/>
              </w:numPr>
              <w:ind w:left="425" w:firstLine="0"/>
              <w:rPr>
                <w:rFonts w:ascii="宋体" w:hAnsi="宋体" w:eastAsia="宋体" w:cs="等线"/>
                <w:szCs w:val="21"/>
              </w:rPr>
            </w:pPr>
            <w:r>
              <w:rPr>
                <w:rFonts w:hint="eastAsia" w:ascii="宋体" w:hAnsi="宋体" w:eastAsia="宋体" w:cs="等线"/>
                <w:b/>
                <w:bCs/>
                <w:szCs w:val="21"/>
              </w:rPr>
              <w:t>信息显示：</w:t>
            </w:r>
            <w:r>
              <w:rPr>
                <w:rFonts w:hint="eastAsia" w:ascii="宋体" w:hAnsi="宋体" w:eastAsia="宋体" w:cs="等线"/>
                <w:szCs w:val="21"/>
              </w:rPr>
              <w:t>可实时显⽰环境视频、⽇期时间、⻋体状态、速度、⾏驶距离以及 GPS 定位、车体倾角、气压、行走距离、摄像头方位角、镜头离地高度等信息；可对视频添加版头与⾃定义⽂本；实时显示缺陷时钟指示、防倾覆报警、气压报警。</w:t>
            </w:r>
          </w:p>
          <w:p w14:paraId="6FECAB34">
            <w:pPr>
              <w:numPr>
                <w:ilvl w:val="0"/>
                <w:numId w:val="15"/>
              </w:numPr>
              <w:ind w:left="425" w:firstLine="0"/>
              <w:rPr>
                <w:rFonts w:ascii="宋体" w:hAnsi="宋体" w:eastAsia="宋体" w:cs="等线"/>
                <w:b/>
                <w:bCs/>
                <w:szCs w:val="21"/>
              </w:rPr>
            </w:pPr>
            <w:r>
              <w:rPr>
                <w:rFonts w:hint="eastAsia" w:ascii="宋体" w:hAnsi="宋体" w:eastAsia="宋体" w:cs="等线"/>
                <w:b/>
                <w:bCs/>
                <w:szCs w:val="21"/>
              </w:rPr>
              <w:t>控制功能：</w:t>
            </w:r>
            <w:r>
              <w:rPr>
                <w:rFonts w:hint="eastAsia" w:ascii="宋体" w:hAnsi="宋体" w:eastAsia="宋体" w:cs="等线"/>
                <w:szCs w:val="21"/>
              </w:rPr>
              <w:t>摄像头的俯仰动作、居中还原；升降架的下降、抬升动作；相机变倍、变焦，灯光亮度调节，录像、抓拍功能；控制设备：前进、后退、转向、停止、速度调节；激光缺陷测量控制；除雾控制。</w:t>
            </w:r>
          </w:p>
          <w:p w14:paraId="77A91A25">
            <w:pPr>
              <w:numPr>
                <w:ilvl w:val="0"/>
                <w:numId w:val="15"/>
              </w:numPr>
              <w:ind w:left="425" w:firstLine="0"/>
              <w:rPr>
                <w:rFonts w:ascii="宋体" w:hAnsi="宋体" w:eastAsia="宋体" w:cs="等线"/>
                <w:b/>
                <w:bCs/>
                <w:szCs w:val="21"/>
              </w:rPr>
            </w:pPr>
            <w:r>
              <w:rPr>
                <w:rFonts w:hint="eastAsia" w:ascii="宋体" w:hAnsi="宋体" w:eastAsia="宋体" w:cs="等线"/>
                <w:b/>
                <w:bCs/>
                <w:szCs w:val="21"/>
              </w:rPr>
              <w:t>网络连接：</w:t>
            </w:r>
            <w:r>
              <w:rPr>
                <w:rFonts w:hint="eastAsia" w:ascii="宋体" w:hAnsi="宋体" w:eastAsia="宋体" w:cs="等线"/>
                <w:szCs w:val="21"/>
              </w:rPr>
              <w:t>与线缆车通过无线连接，链路速度≥100Mbps。</w:t>
            </w:r>
          </w:p>
          <w:p w14:paraId="577EF4BF">
            <w:pPr>
              <w:numPr>
                <w:ilvl w:val="0"/>
                <w:numId w:val="9"/>
              </w:numPr>
              <w:ind w:firstLine="0"/>
              <w:rPr>
                <w:rFonts w:ascii="宋体" w:hAnsi="宋体" w:eastAsia="宋体" w:cs="等线"/>
                <w:szCs w:val="21"/>
              </w:rPr>
            </w:pPr>
            <w:r>
              <w:rPr>
                <w:rFonts w:hint="eastAsia" w:ascii="宋体" w:hAnsi="宋体" w:eastAsia="宋体" w:cs="等线"/>
                <w:b/>
                <w:bCs/>
                <w:szCs w:val="21"/>
              </w:rPr>
              <w:t>检测分析软件要求</w:t>
            </w:r>
          </w:p>
          <w:p w14:paraId="2AE1FB33">
            <w:pPr>
              <w:numPr>
                <w:ilvl w:val="0"/>
                <w:numId w:val="16"/>
              </w:numPr>
              <w:ind w:left="454" w:firstLine="0"/>
              <w:rPr>
                <w:rFonts w:ascii="宋体" w:hAnsi="宋体" w:eastAsia="宋体" w:cs="等线"/>
                <w:szCs w:val="21"/>
              </w:rPr>
            </w:pPr>
            <w:r>
              <w:rPr>
                <w:rFonts w:hint="eastAsia" w:ascii="宋体" w:hAnsi="宋体" w:eastAsia="宋体" w:cs="等线"/>
                <w:b/>
                <w:bCs/>
                <w:szCs w:val="21"/>
              </w:rPr>
              <w:t>基本功能：</w:t>
            </w:r>
            <w:r>
              <w:rPr>
                <w:rFonts w:hint="eastAsia" w:ascii="宋体" w:hAnsi="宋体" w:eastAsia="宋体" w:cs="等线"/>
                <w:szCs w:val="21"/>
              </w:rPr>
              <w:t>支持数据库建立与管理，资料录入、编辑、检索、打印，信息归类与评估，全中文显示和操作界面。</w:t>
            </w:r>
          </w:p>
          <w:p w14:paraId="53328883">
            <w:pPr>
              <w:numPr>
                <w:ilvl w:val="0"/>
                <w:numId w:val="16"/>
              </w:numPr>
              <w:ind w:left="454" w:firstLine="0"/>
              <w:rPr>
                <w:rFonts w:ascii="宋体" w:hAnsi="宋体" w:eastAsia="宋体" w:cs="等线"/>
                <w:szCs w:val="21"/>
              </w:rPr>
            </w:pPr>
            <w:r>
              <w:rPr>
                <w:rFonts w:hint="eastAsia" w:ascii="宋体" w:hAnsi="宋体" w:eastAsia="宋体" w:cs="等线"/>
                <w:b/>
                <w:bCs/>
                <w:szCs w:val="21"/>
              </w:rPr>
              <w:t>技术标准：</w:t>
            </w:r>
            <w:r>
              <w:rPr>
                <w:rFonts w:hint="eastAsia" w:ascii="宋体" w:hAnsi="宋体" w:eastAsia="宋体" w:cs="等线"/>
                <w:szCs w:val="21"/>
              </w:rPr>
              <w:t>符合《城镇排水管道检测与评估技术规程》（CJJ181-2012）。</w:t>
            </w:r>
          </w:p>
          <w:p w14:paraId="368BDAAA">
            <w:pPr>
              <w:numPr>
                <w:ilvl w:val="0"/>
                <w:numId w:val="16"/>
              </w:numPr>
              <w:ind w:left="454" w:firstLine="0"/>
              <w:rPr>
                <w:rFonts w:ascii="宋体" w:hAnsi="宋体" w:eastAsia="宋体" w:cs="等线"/>
                <w:szCs w:val="21"/>
              </w:rPr>
            </w:pPr>
            <w:r>
              <w:rPr>
                <w:rFonts w:hint="eastAsia" w:ascii="宋体" w:hAnsi="宋体" w:eastAsia="宋体" w:cs="等线"/>
                <w:b/>
                <w:bCs/>
                <w:szCs w:val="21"/>
              </w:rPr>
              <w:t>管道状况分析：</w:t>
            </w:r>
            <w:r>
              <w:rPr>
                <w:rFonts w:hint="eastAsia" w:ascii="宋体" w:hAnsi="宋体" w:eastAsia="宋体" w:cs="等线"/>
                <w:szCs w:val="21"/>
              </w:rPr>
              <w:t>可现场进行缺陷截图，并注明缺陷级别，将缺陷显示在视频上，并可在图片上叠加显示多个缺陷类型，支持缺陷叠加及再次编辑，可对当前缺陷位置进行时钟定位并显示单元显示，自动生成相关的检测结论。</w:t>
            </w:r>
          </w:p>
          <w:p w14:paraId="11DCC07E">
            <w:pPr>
              <w:ind w:firstLine="0"/>
              <w:rPr>
                <w:rFonts w:ascii="宋体" w:hAnsi="宋体" w:eastAsia="宋体" w:cs="等线"/>
                <w:b/>
                <w:bCs/>
                <w:szCs w:val="21"/>
              </w:rPr>
            </w:pPr>
            <w:r>
              <w:rPr>
                <w:rFonts w:hint="eastAsia" w:ascii="宋体" w:hAnsi="宋体" w:eastAsia="宋体" w:cs="等线"/>
                <w:b/>
                <w:bCs/>
                <w:szCs w:val="21"/>
              </w:rPr>
              <w:t>八、配套管道检测（CCTV）模块2个、管道无线潜望模块2个、管网经纬度定位（RTK）模块2个</w:t>
            </w:r>
          </w:p>
          <w:p w14:paraId="45134F2F">
            <w:pPr>
              <w:numPr>
                <w:ilvl w:val="0"/>
                <w:numId w:val="17"/>
              </w:numPr>
              <w:ind w:firstLine="0"/>
              <w:rPr>
                <w:rFonts w:ascii="宋体" w:hAnsi="宋体" w:eastAsia="宋体" w:cs="等线"/>
                <w:b/>
                <w:bCs/>
                <w:szCs w:val="21"/>
              </w:rPr>
            </w:pPr>
            <w:r>
              <w:rPr>
                <w:rFonts w:hint="eastAsia" w:ascii="宋体" w:hAnsi="宋体" w:eastAsia="宋体" w:cs="等线"/>
                <w:b/>
                <w:bCs/>
                <w:szCs w:val="21"/>
              </w:rPr>
              <w:t>管道检测（CCTV）模块参数</w:t>
            </w:r>
          </w:p>
          <w:p w14:paraId="334C9673">
            <w:pPr>
              <w:numPr>
                <w:ilvl w:val="0"/>
                <w:numId w:val="18"/>
              </w:numPr>
              <w:ind w:left="425" w:firstLine="0"/>
              <w:rPr>
                <w:rFonts w:ascii="宋体" w:hAnsi="宋体" w:eastAsia="宋体" w:cs="等线"/>
                <w:szCs w:val="21"/>
              </w:rPr>
            </w:pPr>
            <w:r>
              <w:rPr>
                <w:rFonts w:hint="eastAsia" w:ascii="宋体" w:hAnsi="宋体" w:eastAsia="宋体" w:cs="等线"/>
                <w:b/>
                <w:bCs/>
                <w:szCs w:val="21"/>
              </w:rPr>
              <w:t>总体要求：</w:t>
            </w:r>
          </w:p>
          <w:p w14:paraId="5436FB8E">
            <w:pPr>
              <w:rPr>
                <w:rFonts w:ascii="宋体" w:hAnsi="宋体" w:eastAsia="宋体" w:cs="等线"/>
                <w:szCs w:val="21"/>
              </w:rPr>
            </w:pPr>
            <w:r>
              <w:rPr>
                <w:rFonts w:hint="eastAsia" w:ascii="宋体" w:hAnsi="宋体" w:eastAsia="宋体" w:cs="等线"/>
                <w:szCs w:val="21"/>
              </w:rPr>
              <w:t>1.2适用管径需达到≥DN200的检测范围；工作温度：-20ºC～60ºC;</w:t>
            </w:r>
          </w:p>
          <w:p w14:paraId="63258F26">
            <w:pPr>
              <w:rPr>
                <w:rFonts w:ascii="宋体" w:hAnsi="宋体" w:eastAsia="宋体" w:cs="等线"/>
                <w:szCs w:val="21"/>
              </w:rPr>
            </w:pPr>
            <w:r>
              <w:rPr>
                <w:rFonts w:hint="eastAsia" w:ascii="宋体" w:hAnsi="宋体" w:eastAsia="宋体" w:cs="等线"/>
                <w:szCs w:val="21"/>
              </w:rPr>
              <w:t>1.3▲硬件设备质保三年以上，软件质保</w:t>
            </w:r>
            <w:r>
              <w:rPr>
                <w:rStyle w:val="64"/>
                <w:rFonts w:hint="eastAsia"/>
              </w:rPr>
              <w:t>不少于3年，</w:t>
            </w:r>
            <w:r>
              <w:rPr>
                <w:rFonts w:hint="eastAsia" w:ascii="宋体" w:hAnsi="宋体" w:eastAsia="宋体" w:cs="等线"/>
                <w:szCs w:val="21"/>
              </w:rPr>
              <w:t>质保期内提供软件升级服务，升级费用包含在投标总价中。</w:t>
            </w:r>
          </w:p>
          <w:p w14:paraId="77CEB338">
            <w:pPr>
              <w:rPr>
                <w:rFonts w:ascii="宋体" w:hAnsi="宋体" w:eastAsia="宋体" w:cs="等线"/>
                <w:szCs w:val="21"/>
              </w:rPr>
            </w:pPr>
            <w:r>
              <w:rPr>
                <w:rFonts w:hint="eastAsia" w:ascii="宋体" w:hAnsi="宋体" w:eastAsia="宋体" w:cs="等线"/>
                <w:szCs w:val="21"/>
              </w:rPr>
              <w:t>1.4▲在质量保证期内，需提供提供对应用系统的运行、维护提供24小时的实时技术支持。</w:t>
            </w:r>
          </w:p>
          <w:p w14:paraId="283B189D">
            <w:pPr>
              <w:numPr>
                <w:ilvl w:val="0"/>
                <w:numId w:val="18"/>
              </w:numPr>
              <w:ind w:left="425" w:firstLine="0"/>
              <w:rPr>
                <w:rFonts w:ascii="宋体" w:hAnsi="宋体" w:eastAsia="宋体" w:cs="等线"/>
                <w:szCs w:val="21"/>
              </w:rPr>
            </w:pPr>
            <w:r>
              <w:rPr>
                <w:rFonts w:hint="eastAsia" w:ascii="宋体" w:hAnsi="宋体" w:eastAsia="宋体" w:cs="等线"/>
                <w:b/>
                <w:bCs/>
                <w:szCs w:val="21"/>
              </w:rPr>
              <w:t>常规云台：</w:t>
            </w:r>
          </w:p>
          <w:p w14:paraId="48879B6D">
            <w:pPr>
              <w:rPr>
                <w:rFonts w:ascii="宋体" w:hAnsi="宋体" w:eastAsia="宋体" w:cs="等线"/>
                <w:szCs w:val="21"/>
              </w:rPr>
            </w:pPr>
            <w:r>
              <w:rPr>
                <w:rFonts w:hint="eastAsia" w:ascii="宋体" w:hAnsi="宋体" w:eastAsia="宋体" w:cs="等线"/>
                <w:szCs w:val="21"/>
              </w:rPr>
              <w:t>2.1▲前视镜头像素≥200W，分辨率≥1920x1080；光学变焦≥10倍；最低照度彩色≤0.05Lux，黑白≤0.01Lux；可自动对焦或手动对焦。</w:t>
            </w:r>
          </w:p>
          <w:p w14:paraId="77DD50F2">
            <w:pPr>
              <w:rPr>
                <w:rFonts w:ascii="宋体" w:hAnsi="宋体" w:eastAsia="宋体" w:cs="等线"/>
                <w:szCs w:val="21"/>
              </w:rPr>
            </w:pPr>
            <w:r>
              <w:rPr>
                <w:rFonts w:hint="eastAsia" w:ascii="宋体" w:hAnsi="宋体" w:eastAsia="宋体" w:cs="等线"/>
                <w:szCs w:val="21"/>
              </w:rPr>
              <w:t>2.2▲后视镜头像素≥200W，分辨率≥1920x1080；最低照度彩色≤0.05Lux，黑白≤0.01Lux；可自动对焦或手动对焦。</w:t>
            </w:r>
          </w:p>
          <w:p w14:paraId="5A576F33">
            <w:r>
              <w:rPr>
                <w:rFonts w:hint="eastAsia"/>
              </w:rPr>
              <w:t>2.3 ▲云台下方需有≥10颗环绕式圆形大灯结构；</w:t>
            </w:r>
          </w:p>
          <w:p w14:paraId="13276F86">
            <w:r>
              <w:rPr>
                <w:rFonts w:hint="eastAsia"/>
              </w:rPr>
              <w:t>4.近光灯≥4颗LED冷白光源;远光灯≥10颗LED冷白光源;尾灯≥2颗高亮LED冷白光源；</w:t>
            </w:r>
          </w:p>
          <w:p w14:paraId="36DACC02">
            <w:pPr>
              <w:rPr>
                <w:rFonts w:ascii="宋体" w:hAnsi="宋体" w:eastAsia="宋体" w:cs="等线"/>
                <w:szCs w:val="21"/>
              </w:rPr>
            </w:pPr>
            <w:r>
              <w:rPr>
                <w:rFonts w:hint="eastAsia" w:ascii="宋体" w:hAnsi="宋体" w:eastAsia="宋体" w:cs="等线"/>
                <w:szCs w:val="21"/>
              </w:rPr>
              <w:t>2.4配备电动升降架，升降高度≥200mm，可快速拆卸，拆卸后爬行器可与镜头直接连接使用。</w:t>
            </w:r>
          </w:p>
          <w:p w14:paraId="061802FF">
            <w:pPr>
              <w:rPr>
                <w:rFonts w:ascii="宋体" w:hAnsi="宋体" w:eastAsia="宋体" w:cs="等线"/>
                <w:szCs w:val="21"/>
              </w:rPr>
            </w:pPr>
            <w:r>
              <w:rPr>
                <w:rFonts w:hint="eastAsia" w:ascii="宋体" w:hAnsi="宋体" w:eastAsia="宋体" w:cs="等线"/>
                <w:szCs w:val="21"/>
              </w:rPr>
              <w:t>2.5轴向旋转0~360°，垂直翻转-90°~90°具备一键居中复位功能。</w:t>
            </w:r>
          </w:p>
          <w:p w14:paraId="7C9CE6CD">
            <w:pPr>
              <w:rPr>
                <w:rFonts w:ascii="宋体" w:hAnsi="宋体" w:eastAsia="宋体" w:cs="等线"/>
                <w:szCs w:val="21"/>
              </w:rPr>
            </w:pPr>
            <w:r>
              <w:rPr>
                <w:rFonts w:hint="eastAsia" w:ascii="宋体" w:hAnsi="宋体" w:eastAsia="宋体" w:cs="等线"/>
                <w:szCs w:val="21"/>
              </w:rPr>
              <w:t>2.6▲防护等级≥IP68，内置姿态传感器。</w:t>
            </w:r>
          </w:p>
          <w:p w14:paraId="574E9A79">
            <w:pPr>
              <w:rPr>
                <w:rFonts w:ascii="宋体" w:hAnsi="宋体" w:eastAsia="宋体" w:cs="等线"/>
                <w:szCs w:val="21"/>
              </w:rPr>
            </w:pPr>
            <w:r>
              <w:rPr>
                <w:rFonts w:hint="eastAsia" w:ascii="宋体" w:hAnsi="宋体" w:eastAsia="宋体" w:cs="等线"/>
                <w:szCs w:val="21"/>
              </w:rPr>
              <w:t>2.7配置激光模块，有缺陷长度标定功能。</w:t>
            </w:r>
          </w:p>
          <w:p w14:paraId="4DE76424">
            <w:pPr>
              <w:rPr>
                <w:rFonts w:ascii="宋体" w:hAnsi="宋体" w:eastAsia="宋体" w:cs="等线"/>
                <w:szCs w:val="21"/>
              </w:rPr>
            </w:pPr>
            <w:r>
              <w:rPr>
                <w:rFonts w:hint="eastAsia" w:ascii="宋体" w:hAnsi="宋体" w:eastAsia="宋体" w:cs="等线"/>
                <w:szCs w:val="21"/>
              </w:rPr>
              <w:t>2.8配置加热除雾功能，且能由检测平台控制终端操作。</w:t>
            </w:r>
          </w:p>
          <w:p w14:paraId="27708FF9">
            <w:r>
              <w:rPr>
                <w:rFonts w:hint="eastAsia"/>
              </w:rPr>
              <w:t>2.9▲控制软件具备测量水深高度功能；</w:t>
            </w:r>
          </w:p>
          <w:p w14:paraId="6A21F416">
            <w:pPr>
              <w:rPr>
                <w:rFonts w:ascii="宋体" w:hAnsi="宋体" w:eastAsia="宋体" w:cs="等线"/>
                <w:szCs w:val="21"/>
              </w:rPr>
            </w:pPr>
            <w:r>
              <w:rPr>
                <w:rFonts w:hint="eastAsia" w:ascii="宋体" w:hAnsi="宋体" w:eastAsia="宋体" w:cs="等线"/>
                <w:szCs w:val="21"/>
              </w:rPr>
              <w:t>2.10前后照明采用LED光源，光源强度连续可调；前照明总功率≥19W，近光灯数量≥4，远光灯数量≥10，后照明总功率≥3W，数量≥3。</w:t>
            </w:r>
          </w:p>
          <w:p w14:paraId="05F9FDFF">
            <w:r>
              <w:rPr>
                <w:rFonts w:hint="eastAsia"/>
              </w:rPr>
              <w:t>2.11爬坡能力≥35°；</w:t>
            </w:r>
          </w:p>
          <w:p w14:paraId="6C86606F">
            <w:pPr>
              <w:numPr>
                <w:ilvl w:val="0"/>
                <w:numId w:val="17"/>
              </w:numPr>
              <w:ind w:firstLine="0"/>
              <w:rPr>
                <w:rFonts w:ascii="宋体" w:hAnsi="宋体" w:eastAsia="宋体" w:cs="等线"/>
                <w:b/>
                <w:bCs/>
                <w:szCs w:val="21"/>
              </w:rPr>
            </w:pPr>
            <w:r>
              <w:rPr>
                <w:rFonts w:hint="eastAsia" w:ascii="宋体" w:hAnsi="宋体" w:eastAsia="宋体" w:cs="等线"/>
                <w:b/>
                <w:bCs/>
                <w:szCs w:val="21"/>
              </w:rPr>
              <w:t>管道无线潜望模块（硬件及配套管道检测专业分析软件）参数</w:t>
            </w:r>
          </w:p>
          <w:p w14:paraId="0087B66B">
            <w:pPr>
              <w:numPr>
                <w:ilvl w:val="0"/>
                <w:numId w:val="19"/>
              </w:numPr>
              <w:ind w:left="425" w:firstLine="0"/>
              <w:rPr>
                <w:rFonts w:ascii="宋体" w:hAnsi="宋体" w:eastAsia="宋体" w:cs="等线"/>
                <w:b/>
                <w:bCs/>
                <w:szCs w:val="21"/>
              </w:rPr>
            </w:pPr>
            <w:r>
              <w:rPr>
                <w:rFonts w:hint="eastAsia" w:ascii="宋体" w:hAnsi="宋体" w:eastAsia="宋体" w:cs="等线"/>
                <w:b/>
                <w:bCs/>
                <w:szCs w:val="21"/>
              </w:rPr>
              <w:t>管道无线潜望镜要求</w:t>
            </w:r>
          </w:p>
          <w:p w14:paraId="2E8E595C">
            <w:pPr>
              <w:rPr>
                <w:rFonts w:ascii="宋体" w:hAnsi="宋体" w:eastAsia="宋体" w:cs="等线"/>
                <w:szCs w:val="21"/>
              </w:rPr>
            </w:pPr>
            <w:r>
              <w:rPr>
                <w:rFonts w:hint="eastAsia" w:ascii="宋体" w:hAnsi="宋体" w:eastAsia="宋体" w:cs="等线"/>
                <w:szCs w:val="21"/>
              </w:rPr>
              <w:t>1.1适用管径应处于 DN150 - 3000 的检测区间，工作温度需符合 -20ºC 至 55ºC 的范围；防护等级应不低于 IP68。</w:t>
            </w:r>
          </w:p>
          <w:p w14:paraId="602D5D8A">
            <w:pPr>
              <w:rPr>
                <w:rFonts w:ascii="宋体" w:hAnsi="宋体" w:eastAsia="宋体" w:cs="等线"/>
                <w:szCs w:val="21"/>
              </w:rPr>
            </w:pPr>
            <w:r>
              <w:rPr>
                <w:rFonts w:hint="eastAsia" w:ascii="宋体" w:hAnsi="宋体" w:eastAsia="宋体" w:cs="等线"/>
                <w:szCs w:val="21"/>
              </w:rPr>
              <w:t>1.2 ▲灯光的最低配置要求如下：远光灯功率应不低于 3W，且不少于 2 颗高亮 LED 灯；中灯功率应不低于 9W，不少于 2 颗高亮 LED 冷光灯；近光灯功率应不低于 1.5W，不少于 2 颗高亮 LED 灯。</w:t>
            </w:r>
          </w:p>
          <w:p w14:paraId="59D3EF1F">
            <w:pPr>
              <w:rPr>
                <w:rFonts w:ascii="宋体" w:hAnsi="宋体" w:eastAsia="宋体" w:cs="等线"/>
                <w:szCs w:val="21"/>
              </w:rPr>
            </w:pPr>
            <w:r>
              <w:rPr>
                <w:rFonts w:hint="eastAsia" w:ascii="宋体" w:hAnsi="宋体" w:eastAsia="宋体" w:cs="等线"/>
                <w:szCs w:val="21"/>
              </w:rPr>
              <w:t>1.3潜望镜摄像要求为：像素应不低于 400 万像素，分辨率应不低于 2560×1440，光学变焦应不低于 30 倍，数字变焦应不低于 12 倍；同时需具备自动聚焦与手动调焦功能；应配备一键快速去除镜片水雾的装置。</w:t>
            </w:r>
          </w:p>
          <w:p w14:paraId="48FF3A6A">
            <w:pPr>
              <w:rPr>
                <w:rFonts w:ascii="宋体" w:hAnsi="宋体" w:eastAsia="宋体" w:cs="等线"/>
                <w:szCs w:val="21"/>
              </w:rPr>
            </w:pPr>
            <w:r>
              <w:rPr>
                <w:rFonts w:hint="eastAsia" w:ascii="宋体" w:hAnsi="宋体" w:eastAsia="宋体" w:cs="等线"/>
                <w:szCs w:val="21"/>
              </w:rPr>
              <w:t>1.4▲潜望镜的俯仰角度应不低于 110 度，其中仰视角度应不低于 20 度，俯视角度应不低于 90 度，可实现对井底的垂直观测。</w:t>
            </w:r>
          </w:p>
          <w:p w14:paraId="1CDD631D">
            <w:pPr>
              <w:rPr>
                <w:rFonts w:ascii="宋体" w:hAnsi="宋体" w:eastAsia="宋体" w:cs="等线"/>
                <w:szCs w:val="21"/>
              </w:rPr>
            </w:pPr>
            <w:r>
              <w:rPr>
                <w:rFonts w:hint="eastAsia" w:ascii="宋体" w:hAnsi="宋体" w:eastAsia="宋体" w:cs="等线"/>
                <w:szCs w:val="21"/>
              </w:rPr>
              <w:t>1.5潜望镜的伸缩杆材质需为高强度碳纤维材质，长度最低要求为主杆 5 米加 3 米延长杆（含防撞杆）。</w:t>
            </w:r>
          </w:p>
          <w:p w14:paraId="0632957B">
            <w:pPr>
              <w:rPr>
                <w:rFonts w:ascii="宋体" w:hAnsi="宋体" w:eastAsia="宋体" w:cs="等线"/>
                <w:szCs w:val="21"/>
              </w:rPr>
            </w:pPr>
            <w:r>
              <w:rPr>
                <w:rFonts w:hint="eastAsia" w:ascii="宋体" w:hAnsi="宋体" w:eastAsia="宋体" w:cs="等线"/>
                <w:szCs w:val="21"/>
              </w:rPr>
              <w:t>1.6▲潜望镜应配备“J”型撑防撞杆，长度应不小于 0.8m，且具备减震缓冲功能。</w:t>
            </w:r>
          </w:p>
          <w:p w14:paraId="6C749EFD">
            <w:pPr>
              <w:rPr>
                <w:rFonts w:ascii="宋体" w:hAnsi="宋体" w:eastAsia="宋体" w:cs="等线"/>
                <w:szCs w:val="21"/>
              </w:rPr>
            </w:pPr>
            <w:r>
              <w:rPr>
                <w:rFonts w:hint="eastAsia" w:ascii="宋体" w:hAnsi="宋体" w:eastAsia="宋体" w:cs="等线"/>
                <w:szCs w:val="21"/>
              </w:rPr>
              <w:t>1.7 激光测距的精度为±5cm，测距范围在 1.5 - 100 米。</w:t>
            </w:r>
          </w:p>
          <w:p w14:paraId="2C018307">
            <w:pPr>
              <w:rPr>
                <w:rFonts w:ascii="宋体" w:hAnsi="宋体" w:eastAsia="宋体" w:cs="等线"/>
                <w:szCs w:val="21"/>
              </w:rPr>
            </w:pPr>
            <w:r>
              <w:rPr>
                <w:rFonts w:hint="eastAsia" w:ascii="宋体" w:hAnsi="宋体" w:eastAsia="宋体" w:cs="等线"/>
                <w:szCs w:val="21"/>
              </w:rPr>
              <w:t>1.8潜望镜传输方式：</w:t>
            </w:r>
          </w:p>
          <w:p w14:paraId="6550ACD9">
            <w:pPr>
              <w:rPr>
                <w:rFonts w:ascii="宋体" w:hAnsi="宋体" w:eastAsia="宋体" w:cs="等线"/>
                <w:szCs w:val="21"/>
              </w:rPr>
            </w:pPr>
            <w:r>
              <w:rPr>
                <w:rFonts w:hint="eastAsia" w:ascii="宋体" w:hAnsi="宋体" w:eastAsia="宋体" w:cs="等线"/>
                <w:szCs w:val="21"/>
              </w:rPr>
              <w:t>① 可采用 WiFi 无线传输方式（伸缩杆内禁止穿线连接）。</w:t>
            </w:r>
          </w:p>
          <w:p w14:paraId="5148A293">
            <w:pPr>
              <w:rPr>
                <w:rFonts w:ascii="宋体" w:hAnsi="宋体" w:eastAsia="宋体" w:cs="等线"/>
                <w:szCs w:val="21"/>
              </w:rPr>
            </w:pPr>
            <w:r>
              <w:rPr>
                <w:rFonts w:hint="eastAsia" w:ascii="宋体" w:hAnsi="宋体" w:eastAsia="宋体" w:cs="等线"/>
                <w:szCs w:val="21"/>
              </w:rPr>
              <w:t>② 应满足信号无线传输要求，无需借助中继器传输信号，控制平板与主机需实现直接无线连接。</w:t>
            </w:r>
          </w:p>
          <w:p w14:paraId="0EE44A5F">
            <w:pPr>
              <w:rPr>
                <w:rFonts w:ascii="宋体" w:hAnsi="宋体" w:eastAsia="宋体" w:cs="等线"/>
                <w:szCs w:val="21"/>
              </w:rPr>
            </w:pPr>
            <w:r>
              <w:rPr>
                <w:rFonts w:hint="eastAsia" w:ascii="宋体" w:hAnsi="宋体" w:eastAsia="宋体" w:cs="等线"/>
                <w:szCs w:val="21"/>
              </w:rPr>
              <w:t>1.9潜望镜主机和伸缩杆应分开包装。</w:t>
            </w:r>
          </w:p>
          <w:p w14:paraId="17814D85">
            <w:pPr>
              <w:rPr>
                <w:rFonts w:ascii="宋体" w:hAnsi="宋体" w:eastAsia="宋体" w:cs="等线"/>
                <w:szCs w:val="21"/>
              </w:rPr>
            </w:pPr>
            <w:r>
              <w:rPr>
                <w:rFonts w:hint="eastAsia" w:ascii="宋体" w:hAnsi="宋体" w:eastAsia="宋体" w:cs="等线"/>
                <w:szCs w:val="21"/>
              </w:rPr>
              <w:t>1.10▲拓展功能：潜望镜可拓展搭载 RTK、4G 实时通讯模块。</w:t>
            </w:r>
          </w:p>
          <w:p w14:paraId="6E7749E8">
            <w:pPr>
              <w:rPr>
                <w:rFonts w:ascii="宋体" w:hAnsi="宋体" w:eastAsia="宋体" w:cs="等线"/>
                <w:szCs w:val="21"/>
              </w:rPr>
            </w:pPr>
            <w:r>
              <w:rPr>
                <w:rFonts w:hint="eastAsia" w:ascii="宋体" w:hAnsi="宋体" w:eastAsia="宋体" w:cs="等线"/>
                <w:szCs w:val="21"/>
              </w:rPr>
              <w:t>1.11平板控制终端：</w:t>
            </w:r>
          </w:p>
          <w:p w14:paraId="4F677036">
            <w:pPr>
              <w:rPr>
                <w:rFonts w:ascii="宋体" w:hAnsi="宋体" w:eastAsia="宋体" w:cs="等线"/>
                <w:szCs w:val="21"/>
              </w:rPr>
            </w:pPr>
            <w:r>
              <w:rPr>
                <w:rFonts w:hint="eastAsia" w:ascii="宋体" w:hAnsi="宋体" w:eastAsia="宋体" w:cs="等线"/>
                <w:szCs w:val="21"/>
              </w:rPr>
              <w:t>（1）应配备不小于 10.4 寸的高清高亮显示屏，电容式触控屏幕应不低于 10 点触控，分辨率应不低于 1920×1080。</w:t>
            </w:r>
          </w:p>
          <w:p w14:paraId="368C2A38">
            <w:pPr>
              <w:rPr>
                <w:rFonts w:ascii="宋体" w:hAnsi="宋体" w:eastAsia="宋体" w:cs="等线"/>
                <w:szCs w:val="21"/>
              </w:rPr>
            </w:pPr>
            <w:r>
              <w:rPr>
                <w:rFonts w:hint="eastAsia" w:ascii="宋体" w:hAnsi="宋体" w:eastAsia="宋体" w:cs="等线"/>
                <w:szCs w:val="21"/>
              </w:rPr>
              <w:t>（2）续航时间应不低于 8h。</w:t>
            </w:r>
          </w:p>
          <w:p w14:paraId="444D40CD">
            <w:pPr>
              <w:rPr>
                <w:rFonts w:ascii="宋体" w:hAnsi="宋体" w:eastAsia="宋体" w:cs="等线"/>
                <w:szCs w:val="21"/>
              </w:rPr>
            </w:pPr>
            <w:r>
              <w:rPr>
                <w:rFonts w:hint="eastAsia" w:ascii="宋体" w:hAnsi="宋体" w:eastAsia="宋体" w:cs="等线"/>
                <w:szCs w:val="21"/>
              </w:rPr>
              <w:t>（3）内置 SSD 固态硬盘容量应不低于 128G。</w:t>
            </w:r>
          </w:p>
          <w:p w14:paraId="408F135F">
            <w:pPr>
              <w:rPr>
                <w:rFonts w:ascii="宋体" w:hAnsi="宋体" w:eastAsia="宋体" w:cs="等线"/>
                <w:szCs w:val="21"/>
              </w:rPr>
            </w:pPr>
            <w:r>
              <w:rPr>
                <w:rFonts w:hint="eastAsia" w:ascii="宋体" w:hAnsi="宋体" w:eastAsia="宋体" w:cs="等线"/>
                <w:szCs w:val="21"/>
              </w:rPr>
              <w:t>（4）平板应具备 Type - c 接口、MicroSD 卡槽，以及 2.4G、5.8G WiFi、蓝牙、GPS 定位等功能。</w:t>
            </w:r>
          </w:p>
          <w:p w14:paraId="1E8EBE08">
            <w:pPr>
              <w:rPr>
                <w:rFonts w:ascii="宋体" w:hAnsi="宋体" w:eastAsia="宋体" w:cs="等线"/>
                <w:szCs w:val="21"/>
              </w:rPr>
            </w:pPr>
            <w:r>
              <w:rPr>
                <w:rFonts w:hint="eastAsia" w:ascii="宋体" w:hAnsi="宋体" w:eastAsia="宋体" w:cs="等线"/>
                <w:szCs w:val="21"/>
              </w:rPr>
              <w:t>（5）可实时显示内部环境、日期时间、俯仰角等信息，并可通过功能键对这些信息的显示状态进行设置。</w:t>
            </w:r>
          </w:p>
          <w:p w14:paraId="034EBE00">
            <w:pPr>
              <w:rPr>
                <w:rFonts w:ascii="宋体" w:hAnsi="宋体" w:eastAsia="宋体" w:cs="等线"/>
                <w:szCs w:val="21"/>
              </w:rPr>
            </w:pPr>
            <w:r>
              <w:rPr>
                <w:rFonts w:hint="eastAsia" w:ascii="宋体" w:hAnsi="宋体" w:eastAsia="宋体" w:cs="等线"/>
                <w:szCs w:val="21"/>
              </w:rPr>
              <w:t xml:space="preserve">（6）应具备控制镜头水平、调焦、变倍、录像、抓拍、暂停等功能，能够在拍摄的图片或视频上实时进行文字输入与字符叠加。 </w:t>
            </w:r>
          </w:p>
          <w:p w14:paraId="6B31D238">
            <w:pPr>
              <w:numPr>
                <w:ilvl w:val="0"/>
                <w:numId w:val="19"/>
              </w:numPr>
              <w:ind w:left="425" w:firstLine="0"/>
              <w:rPr>
                <w:rFonts w:ascii="宋体" w:hAnsi="宋体" w:eastAsia="宋体" w:cs="等线"/>
                <w:b/>
                <w:bCs/>
                <w:szCs w:val="21"/>
              </w:rPr>
            </w:pPr>
            <w:r>
              <w:rPr>
                <w:rFonts w:hint="eastAsia" w:ascii="宋体" w:hAnsi="宋体" w:eastAsia="宋体" w:cs="等线"/>
                <w:b/>
                <w:bCs/>
                <w:szCs w:val="21"/>
              </w:rPr>
              <w:t>管道检测分析软件要求</w:t>
            </w:r>
          </w:p>
          <w:p w14:paraId="4B74A1DE">
            <w:pPr>
              <w:rPr>
                <w:rFonts w:ascii="宋体" w:hAnsi="宋体" w:eastAsia="宋体" w:cs="等线"/>
                <w:szCs w:val="21"/>
              </w:rPr>
            </w:pPr>
            <w:r>
              <w:rPr>
                <w:rFonts w:hint="eastAsia" w:ascii="宋体" w:hAnsi="宋体" w:eastAsia="宋体" w:cs="等线"/>
                <w:szCs w:val="21"/>
              </w:rPr>
              <w:t>（1）软件内置评估标准和报告模板符合《CJJ181-2012城镇排水管道检测与评估技术规程》的规定。</w:t>
            </w:r>
          </w:p>
          <w:p w14:paraId="35B8C9AF">
            <w:pPr>
              <w:rPr>
                <w:rFonts w:ascii="宋体" w:hAnsi="宋体" w:eastAsia="宋体" w:cs="等线"/>
                <w:szCs w:val="21"/>
              </w:rPr>
            </w:pPr>
            <w:r>
              <w:rPr>
                <w:rFonts w:hint="eastAsia" w:ascii="宋体" w:hAnsi="宋体" w:eastAsia="宋体" w:cs="等线"/>
                <w:szCs w:val="21"/>
              </w:rPr>
              <w:t>（2）软件可以在手机上安装APP软件后，手机连接主机，观看主机拍摄的视频并可以控制主机。</w:t>
            </w:r>
          </w:p>
          <w:p w14:paraId="54B0ABFC">
            <w:pPr>
              <w:rPr>
                <w:rFonts w:ascii="宋体" w:hAnsi="宋体" w:eastAsia="宋体" w:cs="等线"/>
                <w:szCs w:val="21"/>
              </w:rPr>
            </w:pPr>
            <w:r>
              <w:rPr>
                <w:rFonts w:hint="eastAsia" w:ascii="宋体" w:hAnsi="宋体" w:eastAsia="宋体" w:cs="等线"/>
                <w:szCs w:val="21"/>
              </w:rPr>
              <w:t>（3）具备版头水印自动读取、字段填充内容预设置、填写字段可自由配置、正反拍摄视频自动关联、数据库备份等功能；</w:t>
            </w:r>
          </w:p>
          <w:p w14:paraId="38B07E6D">
            <w:pPr>
              <w:rPr>
                <w:rFonts w:ascii="宋体" w:hAnsi="宋体" w:eastAsia="宋体" w:cs="等线"/>
                <w:szCs w:val="21"/>
              </w:rPr>
            </w:pPr>
            <w:r>
              <w:rPr>
                <w:rFonts w:hint="eastAsia" w:ascii="宋体" w:hAnsi="宋体" w:eastAsia="宋体" w:cs="等线"/>
                <w:szCs w:val="21"/>
              </w:rPr>
              <w:t>（4）兼容.mp4、.avi、.wmv等多种视频格式；</w:t>
            </w:r>
          </w:p>
          <w:p w14:paraId="0A2593E9">
            <w:pPr>
              <w:rPr>
                <w:rFonts w:ascii="宋体" w:hAnsi="宋体" w:eastAsia="宋体" w:cs="等线"/>
                <w:szCs w:val="21"/>
              </w:rPr>
            </w:pPr>
            <w:r>
              <w:rPr>
                <w:rFonts w:hint="eastAsia" w:ascii="宋体" w:hAnsi="宋体" w:eastAsia="宋体" w:cs="等线"/>
                <w:szCs w:val="21"/>
              </w:rPr>
              <w:t>13.服务及交付要求</w:t>
            </w:r>
          </w:p>
          <w:p w14:paraId="1BC4D50A">
            <w:pPr>
              <w:rPr>
                <w:rFonts w:ascii="宋体" w:hAnsi="宋体" w:eastAsia="宋体" w:cs="等线"/>
                <w:szCs w:val="21"/>
              </w:rPr>
            </w:pPr>
            <w:r>
              <w:rPr>
                <w:rFonts w:hint="eastAsia" w:ascii="宋体" w:hAnsi="宋体" w:eastAsia="宋体" w:cs="等线"/>
                <w:szCs w:val="21"/>
              </w:rPr>
              <w:t>（1）硬件设备质保三年以上，软件质保不少于3年，质保期满后不升级不影响软件正常使用。</w:t>
            </w:r>
          </w:p>
          <w:p w14:paraId="09ACE016">
            <w:pPr>
              <w:rPr>
                <w:rFonts w:ascii="宋体" w:hAnsi="宋体" w:eastAsia="宋体" w:cs="等线"/>
                <w:szCs w:val="21"/>
              </w:rPr>
            </w:pPr>
            <w:r>
              <w:rPr>
                <w:rFonts w:hint="eastAsia" w:ascii="宋体" w:hAnsi="宋体" w:eastAsia="宋体" w:cs="等线"/>
                <w:szCs w:val="21"/>
              </w:rPr>
              <w:t>（2）在质量保证期内，需提供提供对应用系统的运行、维护提供24小时的实时技术支持。</w:t>
            </w:r>
          </w:p>
          <w:p w14:paraId="73BE58D8">
            <w:pPr>
              <w:numPr>
                <w:ilvl w:val="0"/>
                <w:numId w:val="17"/>
              </w:numPr>
              <w:ind w:firstLine="0"/>
              <w:rPr>
                <w:rFonts w:ascii="宋体" w:hAnsi="宋体" w:eastAsia="宋体" w:cs="等线"/>
                <w:b/>
                <w:bCs/>
                <w:szCs w:val="21"/>
              </w:rPr>
            </w:pPr>
            <w:r>
              <w:rPr>
                <w:rFonts w:hint="eastAsia" w:ascii="宋体" w:hAnsi="宋体" w:eastAsia="宋体" w:cs="等线"/>
                <w:b/>
                <w:bCs/>
                <w:szCs w:val="21"/>
              </w:rPr>
              <w:t>经纬度定位（RTK）模块</w:t>
            </w:r>
          </w:p>
          <w:p w14:paraId="050FFFA3">
            <w:pPr>
              <w:numPr>
                <w:ilvl w:val="0"/>
                <w:numId w:val="20"/>
              </w:numPr>
              <w:ind w:left="454" w:firstLine="0"/>
              <w:rPr>
                <w:rFonts w:ascii="宋体" w:hAnsi="宋体" w:eastAsia="宋体" w:cs="等线"/>
                <w:szCs w:val="21"/>
              </w:rPr>
            </w:pPr>
            <w:r>
              <w:rPr>
                <w:rFonts w:hint="eastAsia" w:ascii="宋体" w:hAnsi="宋体" w:eastAsia="宋体" w:cs="等线"/>
                <w:b/>
                <w:bCs/>
                <w:szCs w:val="21"/>
              </w:rPr>
              <w:t>工作温度：</w:t>
            </w:r>
            <w:r>
              <w:rPr>
                <w:rFonts w:hint="eastAsia" w:ascii="宋体" w:hAnsi="宋体" w:eastAsia="宋体" w:cs="等线"/>
                <w:szCs w:val="21"/>
              </w:rPr>
              <w:t>-30℃~70℃，防护等级≥IP65.</w:t>
            </w:r>
          </w:p>
          <w:p w14:paraId="087AFEB1">
            <w:pPr>
              <w:numPr>
                <w:ilvl w:val="0"/>
                <w:numId w:val="20"/>
              </w:numPr>
              <w:ind w:left="454" w:firstLine="0"/>
              <w:rPr>
                <w:rFonts w:ascii="宋体" w:hAnsi="宋体" w:eastAsia="宋体" w:cs="等线"/>
                <w:b/>
                <w:bCs/>
                <w:szCs w:val="21"/>
              </w:rPr>
            </w:pPr>
            <w:r>
              <w:rPr>
                <w:rFonts w:hint="eastAsia" w:ascii="宋体" w:hAnsi="宋体" w:eastAsia="宋体" w:cs="等线"/>
                <w:b/>
                <w:bCs/>
                <w:szCs w:val="21"/>
              </w:rPr>
              <w:t>卫星系统：</w:t>
            </w:r>
          </w:p>
          <w:p w14:paraId="4E29B0F7">
            <w:pPr>
              <w:rPr>
                <w:rFonts w:ascii="宋体" w:hAnsi="宋体" w:eastAsia="宋体" w:cs="等线"/>
                <w:szCs w:val="21"/>
              </w:rPr>
            </w:pPr>
            <w:r>
              <w:rPr>
                <w:rFonts w:hint="eastAsia" w:ascii="宋体" w:hAnsi="宋体" w:eastAsia="宋体" w:cs="等线"/>
                <w:szCs w:val="21"/>
              </w:rPr>
              <w:t>①GPS:L1,L2</w:t>
            </w:r>
          </w:p>
          <w:p w14:paraId="6D04DB97">
            <w:pPr>
              <w:rPr>
                <w:rFonts w:ascii="宋体" w:hAnsi="宋体" w:eastAsia="宋体" w:cs="等线"/>
                <w:szCs w:val="21"/>
              </w:rPr>
            </w:pPr>
            <w:r>
              <w:rPr>
                <w:rFonts w:hint="eastAsia" w:ascii="宋体" w:hAnsi="宋体" w:eastAsia="宋体" w:cs="等线"/>
                <w:szCs w:val="21"/>
              </w:rPr>
              <w:t>②北斗：B1,B2</w:t>
            </w:r>
          </w:p>
          <w:p w14:paraId="187410CC">
            <w:pPr>
              <w:rPr>
                <w:rFonts w:ascii="宋体" w:hAnsi="宋体" w:eastAsia="宋体" w:cs="等线"/>
                <w:szCs w:val="21"/>
              </w:rPr>
            </w:pPr>
            <w:r>
              <w:rPr>
                <w:rFonts w:hint="eastAsia" w:ascii="宋体" w:hAnsi="宋体" w:eastAsia="宋体" w:cs="等线"/>
                <w:szCs w:val="21"/>
              </w:rPr>
              <w:t>③GLONASS:G1,G2</w:t>
            </w:r>
          </w:p>
          <w:p w14:paraId="25BF9051">
            <w:pPr>
              <w:rPr>
                <w:rFonts w:ascii="宋体" w:hAnsi="宋体" w:eastAsia="宋体" w:cs="等线"/>
                <w:szCs w:val="21"/>
              </w:rPr>
            </w:pPr>
            <w:r>
              <w:rPr>
                <w:rFonts w:hint="eastAsia" w:ascii="宋体" w:hAnsi="宋体" w:eastAsia="宋体" w:cs="等线"/>
                <w:szCs w:val="21"/>
              </w:rPr>
              <w:t>④Galileo:E1,E5</w:t>
            </w:r>
          </w:p>
          <w:p w14:paraId="2EF20410">
            <w:pPr>
              <w:rPr>
                <w:rFonts w:ascii="宋体" w:hAnsi="宋体" w:eastAsia="宋体" w:cs="等线"/>
                <w:szCs w:val="21"/>
              </w:rPr>
            </w:pPr>
            <w:r>
              <w:rPr>
                <w:rFonts w:hint="eastAsia" w:ascii="宋体" w:hAnsi="宋体" w:eastAsia="宋体" w:cs="等线"/>
                <w:szCs w:val="21"/>
              </w:rPr>
              <w:t>⑤QZSS:L1,L2</w:t>
            </w:r>
          </w:p>
          <w:p w14:paraId="3BB1AEF8">
            <w:pPr>
              <w:numPr>
                <w:ilvl w:val="0"/>
                <w:numId w:val="20"/>
              </w:numPr>
              <w:ind w:left="454" w:firstLine="0"/>
              <w:rPr>
                <w:rFonts w:ascii="宋体" w:hAnsi="宋体" w:eastAsia="宋体" w:cs="等线"/>
                <w:b/>
                <w:bCs/>
                <w:szCs w:val="21"/>
              </w:rPr>
            </w:pPr>
            <w:r>
              <w:rPr>
                <w:rFonts w:hint="eastAsia" w:ascii="宋体" w:hAnsi="宋体" w:eastAsia="宋体" w:cs="等线"/>
                <w:b/>
                <w:bCs/>
                <w:szCs w:val="21"/>
              </w:rPr>
              <w:t>定位精度：</w:t>
            </w:r>
          </w:p>
          <w:p w14:paraId="1FBD52D5">
            <w:pPr>
              <w:rPr>
                <w:rFonts w:ascii="宋体" w:hAnsi="宋体" w:eastAsia="宋体" w:cs="等线"/>
                <w:szCs w:val="21"/>
              </w:rPr>
            </w:pPr>
            <w:r>
              <w:rPr>
                <w:rFonts w:hint="eastAsia" w:ascii="宋体" w:hAnsi="宋体" w:eastAsia="宋体" w:cs="等线"/>
                <w:szCs w:val="21"/>
              </w:rPr>
              <w:t>①水平：≤2cm；</w:t>
            </w:r>
          </w:p>
          <w:p w14:paraId="1253219A">
            <w:pPr>
              <w:rPr>
                <w:rFonts w:ascii="宋体" w:hAnsi="宋体" w:eastAsia="宋体" w:cs="等线"/>
                <w:szCs w:val="21"/>
              </w:rPr>
            </w:pPr>
            <w:r>
              <w:rPr>
                <w:rFonts w:hint="eastAsia" w:ascii="宋体" w:hAnsi="宋体" w:eastAsia="宋体" w:cs="等线"/>
                <w:szCs w:val="21"/>
              </w:rPr>
              <w:t>②高程：≤5cm；</w:t>
            </w:r>
          </w:p>
          <w:p w14:paraId="53A2B17D">
            <w:pPr>
              <w:numPr>
                <w:ilvl w:val="0"/>
                <w:numId w:val="20"/>
              </w:numPr>
              <w:ind w:left="454" w:firstLine="0"/>
              <w:rPr>
                <w:rFonts w:ascii="宋体" w:hAnsi="宋体" w:eastAsia="宋体" w:cs="等线"/>
                <w:szCs w:val="21"/>
              </w:rPr>
            </w:pPr>
            <w:r>
              <w:rPr>
                <w:rFonts w:hint="eastAsia" w:ascii="宋体" w:hAnsi="宋体" w:eastAsia="宋体" w:cs="等线"/>
                <w:b/>
                <w:bCs/>
                <w:szCs w:val="21"/>
              </w:rPr>
              <w:t>差分延迟：</w:t>
            </w:r>
            <w:r>
              <w:rPr>
                <w:rFonts w:hint="eastAsia" w:ascii="宋体" w:hAnsi="宋体" w:eastAsia="宋体" w:cs="等线"/>
                <w:szCs w:val="21"/>
              </w:rPr>
              <w:t>≤3秒，自动重连时间≤46秒（内置重连判断功能），最高回传速率5HZ。</w:t>
            </w:r>
          </w:p>
          <w:p w14:paraId="0306D38C">
            <w:pPr>
              <w:numPr>
                <w:ilvl w:val="0"/>
                <w:numId w:val="20"/>
              </w:numPr>
              <w:ind w:left="454" w:firstLine="0"/>
              <w:rPr>
                <w:rFonts w:ascii="宋体" w:hAnsi="宋体" w:eastAsia="宋体" w:cs="等线"/>
                <w:szCs w:val="21"/>
              </w:rPr>
            </w:pPr>
            <w:r>
              <w:rPr>
                <w:rFonts w:hint="eastAsia" w:ascii="宋体" w:hAnsi="宋体" w:eastAsia="宋体" w:cs="等线"/>
                <w:szCs w:val="21"/>
              </w:rPr>
              <w:t>▲可与无线潜望镜搭配使用，以满足检测需求。</w:t>
            </w:r>
          </w:p>
          <w:p w14:paraId="1478F14A">
            <w:pPr>
              <w:numPr>
                <w:ilvl w:val="0"/>
                <w:numId w:val="20"/>
              </w:numPr>
              <w:ind w:left="454" w:firstLine="0"/>
              <w:rPr>
                <w:rFonts w:ascii="宋体" w:hAnsi="宋体" w:eastAsia="宋体" w:cs="等线"/>
                <w:b/>
                <w:bCs/>
                <w:szCs w:val="21"/>
              </w:rPr>
            </w:pPr>
            <w:r>
              <w:rPr>
                <w:rFonts w:hint="eastAsia" w:ascii="宋体" w:hAnsi="宋体" w:eastAsia="宋体" w:cs="等线"/>
                <w:b/>
                <w:bCs/>
                <w:szCs w:val="21"/>
              </w:rPr>
              <w:t>服务及交付要求：</w:t>
            </w:r>
          </w:p>
          <w:p w14:paraId="7828BBA6">
            <w:pPr>
              <w:rPr>
                <w:rFonts w:ascii="宋体" w:hAnsi="宋体" w:eastAsia="宋体" w:cs="等线"/>
                <w:szCs w:val="21"/>
              </w:rPr>
            </w:pPr>
            <w:r>
              <w:rPr>
                <w:rFonts w:hint="eastAsia" w:ascii="宋体" w:hAnsi="宋体" w:eastAsia="宋体" w:cs="等线"/>
                <w:szCs w:val="21"/>
              </w:rPr>
              <w:t>6.1硬件设备质保三年以上，软件质保不少于3年，质保期内提供软件升级服务，升级费用包含在投标总价中。</w:t>
            </w:r>
          </w:p>
          <w:p w14:paraId="48BAEC37">
            <w:pPr>
              <w:rPr>
                <w:rFonts w:ascii="宋体" w:hAnsi="宋体" w:eastAsia="宋体" w:cs="等线"/>
                <w:szCs w:val="21"/>
              </w:rPr>
            </w:pPr>
            <w:r>
              <w:rPr>
                <w:rFonts w:hint="eastAsia" w:ascii="宋体" w:hAnsi="宋体" w:eastAsia="宋体" w:cs="等线"/>
                <w:szCs w:val="21"/>
              </w:rPr>
              <w:t>6.2在质量保证期内，需提供提供对应用系统的运行、维护提供24小时的实时技术支持。</w:t>
            </w:r>
          </w:p>
          <w:p w14:paraId="3244F288">
            <w:pPr>
              <w:ind w:firstLine="0"/>
              <w:rPr>
                <w:rFonts w:ascii="宋体" w:hAnsi="宋体" w:eastAsia="宋体" w:cs="等线"/>
                <w:b/>
                <w:bCs/>
                <w:szCs w:val="21"/>
              </w:rPr>
            </w:pPr>
            <w:r>
              <w:rPr>
                <w:rFonts w:hint="eastAsia" w:ascii="宋体" w:hAnsi="宋体" w:eastAsia="宋体" w:cs="等线"/>
                <w:b/>
                <w:bCs/>
                <w:szCs w:val="21"/>
              </w:rPr>
              <w:t>九、配套探地雷达波</w:t>
            </w:r>
          </w:p>
          <w:p w14:paraId="5E46AB43">
            <w:pPr>
              <w:rPr>
                <w:rFonts w:ascii="宋体" w:hAnsi="宋体" w:eastAsia="宋体" w:cs="等线"/>
                <w:szCs w:val="21"/>
              </w:rPr>
            </w:pPr>
            <w:r>
              <w:rPr>
                <w:rFonts w:hint="eastAsia" w:ascii="宋体" w:hAnsi="宋体" w:eastAsia="宋体" w:cs="等线"/>
                <w:szCs w:val="21"/>
              </w:rPr>
              <w:t>数量：1套</w:t>
            </w:r>
          </w:p>
          <w:p w14:paraId="63402F19">
            <w:pPr>
              <w:rPr>
                <w:rFonts w:ascii="宋体" w:hAnsi="宋体" w:eastAsia="宋体" w:cs="等线"/>
                <w:szCs w:val="21"/>
              </w:rPr>
            </w:pPr>
            <w:r>
              <w:rPr>
                <w:rFonts w:hint="eastAsia" w:ascii="宋体" w:hAnsi="宋体" w:eastAsia="宋体" w:cs="等线"/>
                <w:szCs w:val="21"/>
              </w:rPr>
              <w:t>1.可确定地下供水、排水、燃气、电力等管线的位置、埋深</w:t>
            </w:r>
          </w:p>
          <w:p w14:paraId="63E7150A">
            <w:pPr>
              <w:rPr>
                <w:rFonts w:ascii="宋体" w:hAnsi="宋体" w:eastAsia="宋体" w:cs="等线"/>
                <w:szCs w:val="21"/>
              </w:rPr>
            </w:pPr>
            <w:r>
              <w:rPr>
                <w:rFonts w:hint="eastAsia" w:ascii="宋体" w:hAnsi="宋体" w:eastAsia="宋体" w:cs="等线"/>
                <w:szCs w:val="21"/>
              </w:rPr>
              <w:t>2.工作模式：脉冲</w:t>
            </w:r>
          </w:p>
          <w:p w14:paraId="0DBEECD8">
            <w:pPr>
              <w:rPr>
                <w:rFonts w:ascii="宋体" w:hAnsi="宋体" w:eastAsia="宋体" w:cs="等线"/>
                <w:szCs w:val="21"/>
              </w:rPr>
            </w:pPr>
            <w:r>
              <w:rPr>
                <w:rFonts w:hint="eastAsia" w:ascii="宋体" w:hAnsi="宋体" w:eastAsia="宋体" w:cs="等线"/>
                <w:szCs w:val="21"/>
              </w:rPr>
              <w:t>3.产品质保期不低于3年；</w:t>
            </w:r>
          </w:p>
          <w:p w14:paraId="5CCE684D">
            <w:pPr>
              <w:rPr>
                <w:rFonts w:ascii="宋体" w:hAnsi="宋体" w:eastAsia="宋体" w:cs="等线"/>
                <w:szCs w:val="21"/>
              </w:rPr>
            </w:pPr>
            <w:r>
              <w:rPr>
                <w:rFonts w:hint="eastAsia" w:ascii="宋体" w:hAnsi="宋体" w:eastAsia="宋体" w:cs="等线"/>
                <w:szCs w:val="21"/>
              </w:rPr>
              <w:t>4.主机参数：</w:t>
            </w:r>
          </w:p>
          <w:p w14:paraId="77AC290B">
            <w:pPr>
              <w:rPr>
                <w:rFonts w:ascii="宋体" w:hAnsi="宋体" w:eastAsia="宋体" w:cs="等线"/>
                <w:szCs w:val="21"/>
              </w:rPr>
            </w:pPr>
            <w:r>
              <w:rPr>
                <w:rFonts w:hint="eastAsia" w:ascii="宋体" w:hAnsi="宋体" w:eastAsia="宋体" w:cs="等线"/>
                <w:szCs w:val="21"/>
              </w:rPr>
              <w:t>（1）屏幕尺寸≥12寸，</w:t>
            </w:r>
          </w:p>
          <w:p w14:paraId="21381DB7">
            <w:pPr>
              <w:rPr>
                <w:rFonts w:ascii="宋体" w:hAnsi="宋体" w:eastAsia="宋体" w:cs="等线"/>
                <w:szCs w:val="21"/>
              </w:rPr>
            </w:pPr>
            <w:r>
              <w:rPr>
                <w:rFonts w:hint="eastAsia" w:ascii="宋体" w:hAnsi="宋体" w:eastAsia="宋体" w:cs="等线"/>
                <w:szCs w:val="21"/>
              </w:rPr>
              <w:t>（2）▲天线4套中心频率200MHz、400MHz、600MHz、 900MHz；可以组合成双频天线雷达。</w:t>
            </w:r>
          </w:p>
          <w:p w14:paraId="39EBA9E9">
            <w:pPr>
              <w:rPr>
                <w:rFonts w:ascii="宋体" w:hAnsi="宋体" w:eastAsia="宋体" w:cs="等线"/>
                <w:szCs w:val="21"/>
              </w:rPr>
            </w:pPr>
            <w:r>
              <w:rPr>
                <w:rFonts w:hint="eastAsia" w:ascii="宋体" w:hAnsi="宋体" w:eastAsia="宋体" w:cs="等线"/>
                <w:szCs w:val="21"/>
              </w:rPr>
              <w:t>（3）▲操作界面可中英切换、支持保存数据大于几组、质保期内提供软件升级服务，升级费用包含在投标总价中。</w:t>
            </w:r>
          </w:p>
          <w:p w14:paraId="1F9F0AD9">
            <w:pPr>
              <w:rPr>
                <w:rFonts w:ascii="宋体" w:hAnsi="宋体" w:eastAsia="宋体" w:cs="等线"/>
                <w:szCs w:val="21"/>
              </w:rPr>
            </w:pPr>
            <w:r>
              <w:rPr>
                <w:rFonts w:hint="eastAsia" w:ascii="宋体" w:hAnsi="宋体" w:eastAsia="宋体" w:cs="等线"/>
                <w:szCs w:val="21"/>
              </w:rPr>
              <w:t>（4）不低于WiFi5通信标准，链接距离大于50米</w:t>
            </w:r>
          </w:p>
          <w:p w14:paraId="20593F17">
            <w:pPr>
              <w:rPr>
                <w:rFonts w:ascii="宋体" w:hAnsi="宋体" w:eastAsia="宋体" w:cs="等线"/>
                <w:szCs w:val="21"/>
              </w:rPr>
            </w:pPr>
            <w:r>
              <w:rPr>
                <w:rFonts w:hint="eastAsia" w:ascii="宋体" w:hAnsi="宋体" w:eastAsia="宋体" w:cs="等线"/>
                <w:szCs w:val="21"/>
              </w:rPr>
              <w:t>（5）▲采样频率：0.2～100GHz无极可调</w:t>
            </w:r>
          </w:p>
          <w:p w14:paraId="66C19011">
            <w:pPr>
              <w:rPr>
                <w:rFonts w:ascii="宋体" w:hAnsi="宋体" w:eastAsia="宋体" w:cs="等线"/>
                <w:szCs w:val="21"/>
              </w:rPr>
            </w:pPr>
            <w:r>
              <w:rPr>
                <w:rFonts w:hint="eastAsia" w:ascii="宋体" w:hAnsi="宋体" w:eastAsia="宋体" w:cs="等线"/>
                <w:szCs w:val="21"/>
              </w:rPr>
              <w:t>（6）时窗范围：10ns～10000ns，连续可调</w:t>
            </w:r>
          </w:p>
          <w:p w14:paraId="54CA5C3E">
            <w:pPr>
              <w:rPr>
                <w:rFonts w:ascii="宋体" w:hAnsi="宋体" w:eastAsia="宋体" w:cs="等线"/>
                <w:szCs w:val="21"/>
              </w:rPr>
            </w:pPr>
            <w:r>
              <w:rPr>
                <w:rFonts w:hint="eastAsia" w:ascii="宋体" w:hAnsi="宋体" w:eastAsia="宋体" w:cs="等线"/>
                <w:szCs w:val="21"/>
              </w:rPr>
              <w:t>（7）▲样点数：大于32000</w:t>
            </w:r>
          </w:p>
          <w:p w14:paraId="78113241">
            <w:pPr>
              <w:rPr>
                <w:rFonts w:ascii="宋体" w:hAnsi="宋体" w:eastAsia="宋体" w:cs="等线"/>
                <w:szCs w:val="21"/>
              </w:rPr>
            </w:pPr>
            <w:r>
              <w:rPr>
                <w:rFonts w:hint="eastAsia" w:ascii="宋体" w:hAnsi="宋体" w:eastAsia="宋体" w:cs="等线"/>
                <w:szCs w:val="21"/>
              </w:rPr>
              <w:t>（8）扫描速率：6-480扫描/秒</w:t>
            </w:r>
          </w:p>
          <w:p w14:paraId="01A72989">
            <w:pPr>
              <w:rPr>
                <w:rFonts w:ascii="宋体" w:hAnsi="宋体" w:eastAsia="宋体" w:cs="等线"/>
                <w:szCs w:val="21"/>
              </w:rPr>
            </w:pPr>
            <w:r>
              <w:rPr>
                <w:rFonts w:hint="eastAsia" w:ascii="宋体" w:hAnsi="宋体" w:eastAsia="宋体" w:cs="等线"/>
                <w:szCs w:val="21"/>
              </w:rPr>
              <w:t>（9）动态范围：≥160dB</w:t>
            </w:r>
          </w:p>
          <w:p w14:paraId="66AF4CB2">
            <w:pPr>
              <w:rPr>
                <w:rFonts w:ascii="宋体" w:hAnsi="宋体" w:eastAsia="宋体" w:cs="等线"/>
                <w:szCs w:val="21"/>
              </w:rPr>
            </w:pPr>
            <w:r>
              <w:rPr>
                <w:rFonts w:hint="eastAsia" w:ascii="宋体" w:hAnsi="宋体" w:eastAsia="宋体" w:cs="等线"/>
                <w:szCs w:val="21"/>
              </w:rPr>
              <w:t>（10）灵敏度：≥-130dBm</w:t>
            </w:r>
          </w:p>
          <w:p w14:paraId="5EDE3230">
            <w:pPr>
              <w:rPr>
                <w:rFonts w:ascii="宋体" w:hAnsi="宋体" w:eastAsia="宋体" w:cs="等线"/>
                <w:szCs w:val="21"/>
              </w:rPr>
            </w:pPr>
            <w:r>
              <w:rPr>
                <w:rFonts w:hint="eastAsia" w:ascii="宋体" w:hAnsi="宋体" w:eastAsia="宋体" w:cs="等线"/>
                <w:szCs w:val="21"/>
              </w:rPr>
              <w:t>（11）A/D转换分辨率：≥18bit</w:t>
            </w:r>
          </w:p>
          <w:p w14:paraId="23F943CC">
            <w:pPr>
              <w:rPr>
                <w:rFonts w:ascii="宋体" w:hAnsi="宋体" w:eastAsia="宋体" w:cs="等线"/>
                <w:szCs w:val="21"/>
              </w:rPr>
            </w:pPr>
            <w:r>
              <w:rPr>
                <w:rFonts w:hint="eastAsia" w:ascii="宋体" w:hAnsi="宋体" w:eastAsia="宋体" w:cs="等线"/>
                <w:szCs w:val="21"/>
              </w:rPr>
              <w:t>（12）连续工作时间：≥8小时</w:t>
            </w:r>
          </w:p>
          <w:p w14:paraId="52347DB5">
            <w:pPr>
              <w:rPr>
                <w:rFonts w:ascii="宋体" w:hAnsi="宋体" w:eastAsia="宋体" w:cs="等线"/>
                <w:szCs w:val="21"/>
              </w:rPr>
            </w:pPr>
            <w:r>
              <w:rPr>
                <w:rFonts w:hint="eastAsia" w:ascii="宋体" w:hAnsi="宋体" w:eastAsia="宋体" w:cs="等线"/>
                <w:szCs w:val="21"/>
              </w:rPr>
              <w:t>（13）▲叠加功能：硬件叠加≥65536次。在采样率10GSPS，点数1024条件下，叠加≥65536次，每道波形用时小于1.0秒。</w:t>
            </w:r>
          </w:p>
          <w:p w14:paraId="1141F1D4">
            <w:pPr>
              <w:rPr>
                <w:rFonts w:ascii="宋体" w:hAnsi="宋体" w:eastAsia="宋体" w:cs="等线"/>
                <w:szCs w:val="21"/>
              </w:rPr>
            </w:pPr>
            <w:r>
              <w:rPr>
                <w:rFonts w:hint="eastAsia" w:ascii="宋体" w:hAnsi="宋体" w:eastAsia="宋体" w:cs="等线"/>
                <w:szCs w:val="21"/>
              </w:rPr>
              <w:t>（14）▲触发方式：逐点测量、距离触发测量、连续测量三种测量方式</w:t>
            </w:r>
          </w:p>
          <w:p w14:paraId="75498C2B">
            <w:pPr>
              <w:rPr>
                <w:rFonts w:ascii="宋体" w:hAnsi="宋体" w:eastAsia="宋体" w:cs="等线"/>
                <w:szCs w:val="21"/>
              </w:rPr>
            </w:pPr>
            <w:r>
              <w:rPr>
                <w:rFonts w:hint="eastAsia" w:ascii="宋体" w:hAnsi="宋体" w:eastAsia="宋体" w:cs="等线"/>
                <w:szCs w:val="21"/>
              </w:rPr>
              <w:t>（15）显示方式：同时提供伪彩图、堆积波形或灰度图等显示方式</w:t>
            </w:r>
          </w:p>
          <w:p w14:paraId="2FF0EE7C">
            <w:pPr>
              <w:rPr>
                <w:rFonts w:ascii="宋体" w:hAnsi="宋体" w:eastAsia="宋体" w:cs="等线"/>
                <w:szCs w:val="21"/>
              </w:rPr>
            </w:pPr>
            <w:r>
              <w:rPr>
                <w:rFonts w:hint="eastAsia" w:ascii="宋体" w:hAnsi="宋体" w:eastAsia="宋体" w:cs="等线"/>
                <w:szCs w:val="21"/>
              </w:rPr>
              <w:t>（16）▲二次开发支持：提供实时数据采集二次开发文档和SDK</w:t>
            </w:r>
          </w:p>
          <w:p w14:paraId="602C4A30">
            <w:pPr>
              <w:rPr>
                <w:rFonts w:ascii="宋体" w:hAnsi="宋体" w:eastAsia="宋体" w:cs="等线"/>
                <w:szCs w:val="21"/>
              </w:rPr>
            </w:pPr>
            <w:r>
              <w:rPr>
                <w:rFonts w:hint="eastAsia" w:ascii="宋体" w:hAnsi="宋体" w:eastAsia="宋体" w:cs="等线"/>
                <w:szCs w:val="21"/>
              </w:rPr>
              <w:t>（17）▲伸缩杆：玻纤杆，长度大于1.2m</w:t>
            </w:r>
          </w:p>
          <w:p w14:paraId="30C2727A">
            <w:pPr>
              <w:rPr>
                <w:rFonts w:ascii="宋体" w:hAnsi="宋体" w:eastAsia="宋体" w:cs="等线"/>
                <w:szCs w:val="21"/>
              </w:rPr>
            </w:pPr>
            <w:r>
              <w:rPr>
                <w:rFonts w:hint="eastAsia" w:ascii="宋体" w:hAnsi="宋体" w:eastAsia="宋体" w:cs="等线"/>
                <w:szCs w:val="21"/>
              </w:rPr>
              <w:t>（18）▲软件兼容性：雷达配套软件可兼容脉冲雷达、步进雷达、钻孔雷达等多系列雷达产品</w:t>
            </w:r>
          </w:p>
          <w:p w14:paraId="6D9E1F28">
            <w:pPr>
              <w:rPr>
                <w:rFonts w:ascii="宋体" w:hAnsi="宋体" w:eastAsia="宋体" w:cs="等线"/>
                <w:szCs w:val="21"/>
              </w:rPr>
            </w:pPr>
            <w:r>
              <w:rPr>
                <w:rFonts w:hint="eastAsia" w:ascii="宋体" w:hAnsi="宋体" w:eastAsia="宋体" w:cs="等线"/>
                <w:szCs w:val="21"/>
              </w:rPr>
              <w:t>（19）▲供货时提供具备省级计量院出具的电磁辐射证书（认证范围需涵盖探地雷达或地质雷达）</w:t>
            </w:r>
          </w:p>
          <w:p w14:paraId="4BB8DEF2">
            <w:pPr>
              <w:rPr>
                <w:rFonts w:ascii="宋体" w:hAnsi="宋体" w:eastAsia="宋体" w:cs="等线"/>
                <w:szCs w:val="21"/>
              </w:rPr>
            </w:pPr>
            <w:r>
              <w:rPr>
                <w:rFonts w:hint="eastAsia" w:ascii="宋体" w:hAnsi="宋体" w:eastAsia="宋体" w:cs="等线"/>
                <w:szCs w:val="21"/>
              </w:rPr>
              <w:t>（20）雷达锂电池采用刀片式接插供电,供电时长大于5小时，</w:t>
            </w:r>
          </w:p>
          <w:p w14:paraId="6663FD61">
            <w:pPr>
              <w:rPr>
                <w:rFonts w:ascii="宋体" w:hAnsi="宋体" w:eastAsia="宋体" w:cs="Times New Roman"/>
                <w:kern w:val="0"/>
                <w:sz w:val="22"/>
              </w:rPr>
            </w:pPr>
            <w:r>
              <w:rPr>
                <w:rFonts w:hint="eastAsia" w:ascii="宋体" w:hAnsi="宋体" w:eastAsia="宋体" w:cs="等线"/>
                <w:szCs w:val="21"/>
              </w:rPr>
              <w:t>（21）操作系统：中控电脑，Windows操作系统，可兼容国产鸿蒙系统，笔记本电脑与雷达主机无线连接，无需线缆</w:t>
            </w:r>
          </w:p>
        </w:tc>
        <w:tc>
          <w:tcPr>
            <w:tcW w:w="429" w:type="dxa"/>
            <w:noWrap/>
            <w:vAlign w:val="center"/>
          </w:tcPr>
          <w:p w14:paraId="73C7BFB3">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1</w:t>
            </w:r>
          </w:p>
        </w:tc>
        <w:tc>
          <w:tcPr>
            <w:tcW w:w="615" w:type="dxa"/>
            <w:noWrap/>
            <w:vAlign w:val="center"/>
          </w:tcPr>
          <w:p w14:paraId="53566B16">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套</w:t>
            </w:r>
          </w:p>
        </w:tc>
        <w:tc>
          <w:tcPr>
            <w:tcW w:w="1482" w:type="dxa"/>
            <w:noWrap/>
            <w:vAlign w:val="center"/>
          </w:tcPr>
          <w:p w14:paraId="2DE63927">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2608000</w:t>
            </w:r>
          </w:p>
        </w:tc>
        <w:tc>
          <w:tcPr>
            <w:tcW w:w="1156" w:type="dxa"/>
            <w:noWrap/>
            <w:vAlign w:val="center"/>
          </w:tcPr>
          <w:p w14:paraId="5ADD2CB8">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2608000</w:t>
            </w:r>
          </w:p>
        </w:tc>
      </w:tr>
      <w:bookmarkEnd w:id="46"/>
    </w:tbl>
    <w:p w14:paraId="682AD699">
      <w:pPr>
        <w:spacing w:after="120"/>
        <w:rPr>
          <w:rFonts w:ascii="宋体" w:hAnsi="宋体" w:eastAsia="宋体" w:cs="Times New Roman"/>
          <w:szCs w:val="24"/>
        </w:rPr>
      </w:pPr>
    </w:p>
    <w:bookmarkEnd w:id="45"/>
    <w:p w14:paraId="40D4557D">
      <w:pPr>
        <w:ind w:firstLine="482" w:firstLineChars="200"/>
        <w:outlineLvl w:val="2"/>
        <w:rPr>
          <w:rFonts w:ascii="宋体" w:hAnsi="宋体" w:eastAsia="宋体" w:cs="仿宋_GB2312"/>
          <w:b/>
          <w:sz w:val="24"/>
          <w:szCs w:val="24"/>
        </w:rPr>
      </w:pPr>
      <w:r>
        <w:rPr>
          <w:rFonts w:hint="eastAsia" w:ascii="宋体" w:hAnsi="宋体" w:eastAsia="宋体" w:cs="仿宋_GB2312"/>
          <w:b/>
          <w:sz w:val="24"/>
          <w:szCs w:val="24"/>
        </w:rPr>
        <w:br w:type="page"/>
      </w:r>
      <w:bookmarkStart w:id="47" w:name="_Toc9209"/>
      <w:r>
        <w:rPr>
          <w:rFonts w:hint="eastAsia" w:ascii="宋体" w:hAnsi="宋体" w:eastAsia="宋体" w:cs="仿宋_GB2312"/>
          <w:b/>
          <w:sz w:val="24"/>
          <w:szCs w:val="24"/>
        </w:rPr>
        <w:t>（二）商务要求</w:t>
      </w:r>
      <w:bookmarkEnd w:id="47"/>
    </w:p>
    <w:tbl>
      <w:tblPr>
        <w:tblStyle w:val="53"/>
        <w:tblW w:w="101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64"/>
        <w:gridCol w:w="7756"/>
      </w:tblGrid>
      <w:tr w14:paraId="00796F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2364" w:type="dxa"/>
            <w:tcBorders>
              <w:top w:val="single" w:color="auto" w:sz="4" w:space="0"/>
              <w:left w:val="single" w:color="auto" w:sz="4" w:space="0"/>
              <w:bottom w:val="single" w:color="auto" w:sz="4" w:space="0"/>
              <w:right w:val="single" w:color="auto" w:sz="4" w:space="0"/>
            </w:tcBorders>
            <w:vAlign w:val="center"/>
          </w:tcPr>
          <w:p w14:paraId="29107D07">
            <w:pPr>
              <w:widowControl/>
              <w:spacing w:line="400" w:lineRule="exact"/>
              <w:ind w:firstLine="0"/>
              <w:jc w:val="both"/>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一）合同签订期</w:t>
            </w:r>
          </w:p>
        </w:tc>
        <w:tc>
          <w:tcPr>
            <w:tcW w:w="7756" w:type="dxa"/>
            <w:tcBorders>
              <w:top w:val="single" w:color="auto" w:sz="4" w:space="0"/>
              <w:left w:val="single" w:color="auto" w:sz="4" w:space="0"/>
              <w:bottom w:val="single" w:color="auto" w:sz="4" w:space="0"/>
              <w:right w:val="single" w:color="auto" w:sz="4" w:space="0"/>
            </w:tcBorders>
            <w:vAlign w:val="center"/>
          </w:tcPr>
          <w:p w14:paraId="01C12228">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自中标通知书发出之日起25日内。</w:t>
            </w:r>
          </w:p>
        </w:tc>
      </w:tr>
      <w:tr w14:paraId="0DAE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2364" w:type="dxa"/>
            <w:tcBorders>
              <w:top w:val="single" w:color="auto" w:sz="4" w:space="0"/>
              <w:left w:val="single" w:color="auto" w:sz="4" w:space="0"/>
              <w:bottom w:val="single" w:color="auto" w:sz="4" w:space="0"/>
              <w:right w:val="single" w:color="auto" w:sz="4" w:space="0"/>
            </w:tcBorders>
            <w:vAlign w:val="center"/>
          </w:tcPr>
          <w:p w14:paraId="5D46DC82">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二）合同履约期限</w:t>
            </w:r>
          </w:p>
        </w:tc>
        <w:tc>
          <w:tcPr>
            <w:tcW w:w="7756" w:type="dxa"/>
            <w:tcBorders>
              <w:top w:val="single" w:color="auto" w:sz="4" w:space="0"/>
              <w:left w:val="single" w:color="auto" w:sz="4" w:space="0"/>
              <w:bottom w:val="single" w:color="auto" w:sz="4" w:space="0"/>
              <w:right w:val="single" w:color="auto" w:sz="4" w:space="0"/>
            </w:tcBorders>
            <w:vAlign w:val="center"/>
          </w:tcPr>
          <w:p w14:paraId="62658DB9">
            <w:pPr>
              <w:spacing w:line="400" w:lineRule="exact"/>
              <w:ind w:firstLine="0" w:firstLineChars="0"/>
              <w:rPr>
                <w:rFonts w:ascii="宋体" w:hAnsi="宋体" w:eastAsia="宋体" w:cs="仿宋_GB2312"/>
                <w:szCs w:val="21"/>
              </w:rPr>
            </w:pPr>
            <w:r>
              <w:rPr>
                <w:rFonts w:hint="eastAsia" w:ascii="宋体" w:hAnsi="宋体" w:eastAsia="宋体" w:cs="仿宋_GB2312"/>
                <w:szCs w:val="21"/>
              </w:rPr>
              <w:t>合同签订后，接到采购人书面通知进场安装起30个日历日内安装调试完毕。</w:t>
            </w:r>
          </w:p>
        </w:tc>
      </w:tr>
      <w:tr w14:paraId="4DF973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2364" w:type="dxa"/>
            <w:tcBorders>
              <w:top w:val="single" w:color="auto" w:sz="4" w:space="0"/>
              <w:left w:val="single" w:color="auto" w:sz="4" w:space="0"/>
              <w:bottom w:val="single" w:color="auto" w:sz="4" w:space="0"/>
              <w:right w:val="single" w:color="auto" w:sz="4" w:space="0"/>
            </w:tcBorders>
            <w:vAlign w:val="center"/>
          </w:tcPr>
          <w:p w14:paraId="64F6415D">
            <w:pPr>
              <w:widowControl/>
              <w:spacing w:line="400" w:lineRule="exact"/>
              <w:ind w:firstLine="0"/>
              <w:jc w:val="both"/>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szCs w:val="21"/>
              </w:rPr>
              <w:t>（三）服务地点</w:t>
            </w:r>
          </w:p>
        </w:tc>
        <w:tc>
          <w:tcPr>
            <w:tcW w:w="7756" w:type="dxa"/>
            <w:tcBorders>
              <w:top w:val="single" w:color="auto" w:sz="4" w:space="0"/>
              <w:left w:val="single" w:color="auto" w:sz="4" w:space="0"/>
              <w:bottom w:val="single" w:color="auto" w:sz="4" w:space="0"/>
              <w:right w:val="single" w:color="auto" w:sz="4" w:space="0"/>
            </w:tcBorders>
            <w:vAlign w:val="center"/>
          </w:tcPr>
          <w:p w14:paraId="661DABD1">
            <w:pPr>
              <w:spacing w:line="400" w:lineRule="exact"/>
              <w:ind w:firstLine="0" w:firstLineChars="0"/>
              <w:rPr>
                <w:rFonts w:ascii="宋体" w:hAnsi="宋体" w:eastAsia="宋体" w:cs="仿宋_GB2312"/>
                <w:szCs w:val="21"/>
              </w:rPr>
            </w:pPr>
            <w:r>
              <w:rPr>
                <w:rFonts w:hint="eastAsia" w:ascii="宋体" w:hAnsi="宋体" w:eastAsia="宋体" w:cs="仿宋_GB2312"/>
                <w:szCs w:val="21"/>
              </w:rPr>
              <w:t>南宁市采购人指定地点。</w:t>
            </w:r>
          </w:p>
        </w:tc>
      </w:tr>
      <w:tr w14:paraId="1D7D4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64" w:type="dxa"/>
            <w:tcBorders>
              <w:top w:val="single" w:color="auto" w:sz="4" w:space="0"/>
              <w:left w:val="single" w:color="auto" w:sz="4" w:space="0"/>
              <w:bottom w:val="single" w:color="auto" w:sz="4" w:space="0"/>
              <w:right w:val="single" w:color="auto" w:sz="4" w:space="0"/>
            </w:tcBorders>
            <w:vAlign w:val="center"/>
          </w:tcPr>
          <w:p w14:paraId="400E8C06">
            <w:pPr>
              <w:widowControl/>
              <w:spacing w:line="400" w:lineRule="exact"/>
              <w:ind w:firstLine="0"/>
              <w:jc w:val="both"/>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（四）</w:t>
            </w:r>
            <w:r>
              <w:rPr>
                <w:rFonts w:hint="eastAsia" w:ascii="宋体" w:hAnsi="宋体" w:eastAsia="宋体" w:cs="仿宋_GB2312"/>
                <w:szCs w:val="21"/>
              </w:rPr>
              <w:t>付款方式</w:t>
            </w:r>
          </w:p>
        </w:tc>
        <w:tc>
          <w:tcPr>
            <w:tcW w:w="7756" w:type="dxa"/>
            <w:tcBorders>
              <w:top w:val="single" w:color="auto" w:sz="4" w:space="0"/>
              <w:left w:val="single" w:color="auto" w:sz="4" w:space="0"/>
              <w:bottom w:val="single" w:color="auto" w:sz="4" w:space="0"/>
              <w:right w:val="single" w:color="auto" w:sz="4" w:space="0"/>
            </w:tcBorders>
          </w:tcPr>
          <w:p w14:paraId="16C12412">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签订合同之日起10个工作日内，招标人向中标人支付合同金额的30%作为预付款；中标人交货安装调试完毕并经招标人验收合格后，由中标人开具有效合格发票，招标人于10个工作日内向中标人支付合同金额的70%。</w:t>
            </w:r>
          </w:p>
        </w:tc>
      </w:tr>
      <w:tr w14:paraId="2F34B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64" w:type="dxa"/>
            <w:tcBorders>
              <w:top w:val="single" w:color="auto" w:sz="4" w:space="0"/>
              <w:left w:val="single" w:color="auto" w:sz="4" w:space="0"/>
              <w:bottom w:val="single" w:color="auto" w:sz="4" w:space="0"/>
              <w:right w:val="single" w:color="auto" w:sz="4" w:space="0"/>
            </w:tcBorders>
            <w:vAlign w:val="center"/>
          </w:tcPr>
          <w:p w14:paraId="2F94906E">
            <w:pPr>
              <w:widowControl/>
              <w:spacing w:line="400" w:lineRule="exact"/>
              <w:ind w:firstLine="0"/>
              <w:jc w:val="both"/>
              <w:rPr>
                <w:rFonts w:ascii="宋体" w:hAnsi="宋体" w:eastAsia="宋体" w:cs="仿宋_GB2312"/>
                <w:b/>
                <w:szCs w:val="21"/>
              </w:rPr>
            </w:pPr>
            <w:r>
              <w:rPr>
                <w:rFonts w:hint="eastAsia" w:ascii="宋体" w:hAnsi="宋体" w:eastAsia="宋体" w:cs="仿宋_GB2312"/>
                <w:b/>
                <w:szCs w:val="21"/>
              </w:rPr>
              <w:t>▲</w:t>
            </w:r>
            <w:r>
              <w:rPr>
                <w:rFonts w:hint="eastAsia" w:ascii="宋体" w:hAnsi="宋体" w:eastAsia="宋体" w:cs="仿宋_GB2312"/>
                <w:bCs/>
                <w:szCs w:val="21"/>
              </w:rPr>
              <w:t>（五）履约保证金</w:t>
            </w:r>
          </w:p>
        </w:tc>
        <w:tc>
          <w:tcPr>
            <w:tcW w:w="7756" w:type="dxa"/>
            <w:tcBorders>
              <w:top w:val="single" w:color="auto" w:sz="4" w:space="0"/>
              <w:left w:val="single" w:color="auto" w:sz="4" w:space="0"/>
              <w:bottom w:val="single" w:color="auto" w:sz="4" w:space="0"/>
              <w:right w:val="single" w:color="auto" w:sz="4" w:space="0"/>
            </w:tcBorders>
          </w:tcPr>
          <w:p w14:paraId="57D7384D">
            <w:pPr>
              <w:spacing w:line="400" w:lineRule="exact"/>
              <w:ind w:firstLine="0" w:firstLineChars="0"/>
              <w:rPr>
                <w:rFonts w:ascii="宋体" w:hAnsi="宋体" w:eastAsia="宋体" w:cs="仿宋_GB2312"/>
                <w:szCs w:val="21"/>
              </w:rPr>
            </w:pPr>
            <w:r>
              <w:rPr>
                <w:rFonts w:hint="eastAsia" w:ascii="宋体" w:hAnsi="宋体" w:eastAsia="宋体" w:cs="仿宋_GB2312"/>
                <w:szCs w:val="21"/>
              </w:rPr>
              <w:t>1.履约保证金金额：履约保证金按合同金额的5%缴纳（如中标供应商为中小企业，按照合同金额的2%收取履约保证金），自中标通知书发出后、签订合同前，中标供应商应将履约保证金缴纳至采购人指定账户，逾期未缴纳的，视为中标供应商放弃中标资格，应赔偿采购人损失。</w:t>
            </w:r>
          </w:p>
          <w:p w14:paraId="2B9237A0">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hint="eastAsia" w:ascii="宋体" w:hAnsi="宋体" w:eastAsia="宋体" w:cs="仿宋_GB2312"/>
                <w:iCs/>
                <w:szCs w:val="21"/>
              </w:rPr>
              <w:t>履约保证金递交方式：中标人在签订合同前以银行转账、支票、汇票、本票或者金融机构、担保机构出具的保函等非现金方式向采购人提交。</w:t>
            </w:r>
          </w:p>
          <w:p w14:paraId="7600DF1F">
            <w:pPr>
              <w:spacing w:line="400" w:lineRule="exact"/>
              <w:ind w:firstLine="0" w:firstLineChars="0"/>
              <w:rPr>
                <w:rFonts w:ascii="宋体" w:hAnsi="宋体" w:eastAsia="宋体" w:cs="仿宋_GB2312"/>
                <w:szCs w:val="21"/>
              </w:rPr>
            </w:pPr>
            <w:r>
              <w:rPr>
                <w:rFonts w:hint="eastAsia" w:ascii="宋体" w:hAnsi="宋体" w:eastAsia="宋体" w:cs="仿宋_GB2312"/>
                <w:szCs w:val="21"/>
              </w:rPr>
              <w:t>3.履约保证金退付方式、时间及条件： 本项目合同履约期限满，中标人履行完服务义务且无违约情况下无息退付。由中标人向履约保证金收取单位提供《广西壮族自治区政府采购项目合同验收书》（详见桂财采〔2015〕22号），采购人在收到合格材料后10个工作日内办理退还手续（不计利息）。</w:t>
            </w:r>
          </w:p>
          <w:p w14:paraId="0683C8B5">
            <w:pPr>
              <w:spacing w:line="400" w:lineRule="exact"/>
              <w:ind w:firstLine="0" w:firstLineChars="0"/>
              <w:rPr>
                <w:rFonts w:ascii="宋体" w:hAnsi="宋体" w:eastAsia="宋体" w:cs="仿宋_GB2312"/>
                <w:szCs w:val="21"/>
              </w:rPr>
            </w:pPr>
            <w:r>
              <w:rPr>
                <w:rFonts w:hint="eastAsia" w:ascii="宋体" w:hAnsi="宋体" w:eastAsia="宋体" w:cs="仿宋_GB2312"/>
                <w:szCs w:val="21"/>
              </w:rPr>
              <w:t>4.履约保证金缴纳账号信息：</w:t>
            </w:r>
          </w:p>
          <w:p w14:paraId="1EF741B0">
            <w:pPr>
              <w:spacing w:line="400" w:lineRule="exact"/>
              <w:ind w:firstLine="0" w:firstLineChars="0"/>
              <w:rPr>
                <w:rFonts w:ascii="宋体" w:hAnsi="宋体" w:eastAsia="宋体" w:cs="仿宋_GB2312"/>
                <w:szCs w:val="21"/>
              </w:rPr>
            </w:pPr>
            <w:r>
              <w:rPr>
                <w:rFonts w:hint="eastAsia" w:ascii="宋体" w:hAnsi="宋体" w:eastAsia="宋体" w:cs="仿宋_GB2312"/>
                <w:szCs w:val="21"/>
              </w:rPr>
              <w:t xml:space="preserve">开户名称：广西交通职业技术学院 </w:t>
            </w:r>
          </w:p>
          <w:p w14:paraId="619C032E">
            <w:pPr>
              <w:spacing w:line="400" w:lineRule="exact"/>
              <w:ind w:firstLine="0" w:firstLineChars="0"/>
              <w:rPr>
                <w:rFonts w:ascii="宋体" w:hAnsi="宋体" w:eastAsia="宋体" w:cs="仿宋_GB2312"/>
                <w:szCs w:val="21"/>
              </w:rPr>
            </w:pPr>
            <w:r>
              <w:rPr>
                <w:rFonts w:hint="eastAsia" w:ascii="宋体" w:hAnsi="宋体" w:eastAsia="宋体" w:cs="仿宋_GB2312"/>
                <w:szCs w:val="21"/>
              </w:rPr>
              <w:t>开户银行：中国建设银行股份有限公司南宁园湖北路支行</w:t>
            </w:r>
          </w:p>
          <w:p w14:paraId="4A617985">
            <w:pPr>
              <w:spacing w:line="400" w:lineRule="exact"/>
              <w:ind w:firstLine="0" w:firstLineChars="0"/>
              <w:rPr>
                <w:rFonts w:ascii="宋体" w:hAnsi="宋体" w:eastAsia="宋体" w:cs="仿宋_GB2312"/>
                <w:szCs w:val="21"/>
              </w:rPr>
            </w:pPr>
            <w:r>
              <w:rPr>
                <w:rFonts w:hint="eastAsia" w:ascii="宋体" w:hAnsi="宋体" w:eastAsia="宋体" w:cs="仿宋_GB2312"/>
                <w:szCs w:val="21"/>
              </w:rPr>
              <w:t>银行账号： 45050160435309888999</w:t>
            </w:r>
          </w:p>
        </w:tc>
      </w:tr>
      <w:tr w14:paraId="3B2CF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64" w:type="dxa"/>
            <w:tcBorders>
              <w:top w:val="single" w:color="auto" w:sz="4" w:space="0"/>
              <w:left w:val="single" w:color="auto" w:sz="4" w:space="0"/>
              <w:bottom w:val="single" w:color="auto" w:sz="4" w:space="0"/>
              <w:right w:val="single" w:color="auto" w:sz="4" w:space="0"/>
            </w:tcBorders>
            <w:vAlign w:val="center"/>
          </w:tcPr>
          <w:p w14:paraId="74084865">
            <w:pPr>
              <w:widowControl/>
              <w:spacing w:line="400" w:lineRule="exact"/>
              <w:jc w:val="center"/>
              <w:rPr>
                <w:rFonts w:ascii="宋体" w:hAnsi="宋体" w:eastAsia="宋体" w:cs="仿宋_GB2312"/>
                <w:szCs w:val="21"/>
              </w:rPr>
            </w:pPr>
            <w:r>
              <w:rPr>
                <w:rFonts w:hint="eastAsia" w:ascii="宋体" w:hAnsi="宋体" w:eastAsia="宋体" w:cs="仿宋_GB2312"/>
                <w:szCs w:val="21"/>
              </w:rPr>
              <w:t>▲（六）验收方法及要求</w:t>
            </w:r>
          </w:p>
        </w:tc>
        <w:tc>
          <w:tcPr>
            <w:tcW w:w="7756" w:type="dxa"/>
            <w:tcBorders>
              <w:top w:val="single" w:color="auto" w:sz="4" w:space="0"/>
              <w:left w:val="single" w:color="auto" w:sz="4" w:space="0"/>
              <w:bottom w:val="single" w:color="auto" w:sz="4" w:space="0"/>
              <w:right w:val="single" w:color="auto" w:sz="4" w:space="0"/>
            </w:tcBorders>
          </w:tcPr>
          <w:p w14:paraId="656B2F49">
            <w:pPr>
              <w:spacing w:line="400" w:lineRule="exact"/>
              <w:ind w:firstLine="0" w:firstLineChars="0"/>
              <w:rPr>
                <w:rFonts w:ascii="宋体" w:hAnsi="宋体" w:eastAsia="宋体" w:cs="仿宋_GB2312"/>
                <w:szCs w:val="21"/>
              </w:rPr>
            </w:pPr>
            <w:r>
              <w:rPr>
                <w:rFonts w:hint="eastAsia" w:ascii="宋体" w:hAnsi="宋体" w:eastAsia="宋体" w:cs="仿宋_GB2312"/>
                <w:szCs w:val="21"/>
              </w:rPr>
              <w:t>1.验收标准、规范：按照《财政部关于进一步加强政府采购需求和履约验收管理的指导意见》（财库〔2016〕205号）、《关于印发广西壮族自治区政府采购项目履约验收管理办法的通知》（桂财采〔2015〕22号）等有关规定执行，并符合相关国家标准、行业标准、地方标准或其他强制性标准及规范、投标文件承诺及招标文件要求。</w:t>
            </w:r>
          </w:p>
          <w:p w14:paraId="17557CC0">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ascii="宋体" w:hAnsi="宋体" w:eastAsia="宋体" w:cs="仿宋_GB2312"/>
                <w:szCs w:val="21"/>
              </w:rPr>
              <w:t>中标人按要求完成交付后，应以书面形式正式向采购人递交验收申请书，采购人收到验收申请书后，按照采购人单位规定流程组织项目验收，验收过程中所产生的一切费用均由成交供应商承担，报价时应考虑相关费用。</w:t>
            </w:r>
          </w:p>
          <w:p w14:paraId="3BB5DE41">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货物验收时由采购人对照采购文件的《技术参数及性能（配置）要求》进行全面核对检验，对所有要求出具的文件和材料的原件进行核查，如不符合采购文件要求或提供虚假承诺的，虚假检测报告等虚假材料的，采购人有权拒绝验收并认定中标人违约，采购人有权单方解除合同，中标人承担所有责任和费用，采购人保留进一步追究责任的权利。</w:t>
            </w:r>
          </w:p>
          <w:p w14:paraId="6E904553">
            <w:pPr>
              <w:spacing w:line="400" w:lineRule="exact"/>
              <w:ind w:firstLine="0" w:firstLineChars="0"/>
              <w:rPr>
                <w:rFonts w:ascii="宋体" w:hAnsi="宋体" w:eastAsia="宋体" w:cs="仿宋_GB2312"/>
                <w:szCs w:val="21"/>
              </w:rPr>
            </w:pPr>
            <w:r>
              <w:rPr>
                <w:rFonts w:hint="eastAsia" w:ascii="宋体" w:hAnsi="宋体" w:eastAsia="宋体" w:cs="仿宋_GB2312"/>
                <w:szCs w:val="21"/>
              </w:rPr>
              <w:t>4</w:t>
            </w:r>
            <w:r>
              <w:rPr>
                <w:rFonts w:ascii="宋体" w:hAnsi="宋体" w:eastAsia="宋体" w:cs="仿宋_GB2312"/>
                <w:szCs w:val="21"/>
              </w:rPr>
              <w:t>.验收按项目要求及技术需求进行验收，包括但不限于全部设备、产品、型号、规格、数量、外型、外观、包装及资料、文件（如装箱单、保修单、随箱介质等）/各项服务等里程碑的交付物，所有产品在验收时应当符合国家法律法规，执行国家相关标准、行业标准，地方标准及招标文件中要求符合的技术标准。当成交供应商未能满足以下全部要求时，属于验收不合格：</w:t>
            </w:r>
          </w:p>
          <w:p w14:paraId="2E64FD7A">
            <w:pPr>
              <w:spacing w:line="400" w:lineRule="exact"/>
              <w:ind w:firstLine="0" w:firstLineChars="0"/>
              <w:rPr>
                <w:rFonts w:ascii="宋体" w:hAnsi="宋体" w:eastAsia="宋体" w:cs="仿宋_GB2312"/>
                <w:szCs w:val="21"/>
              </w:rPr>
            </w:pPr>
            <w:r>
              <w:rPr>
                <w:rFonts w:ascii="宋体" w:hAnsi="宋体" w:eastAsia="宋体" w:cs="仿宋_GB2312"/>
                <w:szCs w:val="21"/>
              </w:rPr>
              <w:t>（1）按照合同规定提供了全部产品及完整的技术资料。</w:t>
            </w:r>
          </w:p>
          <w:p w14:paraId="09117365">
            <w:pPr>
              <w:spacing w:line="400" w:lineRule="exact"/>
              <w:ind w:firstLine="0" w:firstLineChars="0"/>
              <w:rPr>
                <w:rFonts w:ascii="宋体" w:hAnsi="宋体" w:eastAsia="宋体" w:cs="仿宋_GB2312"/>
                <w:szCs w:val="21"/>
              </w:rPr>
            </w:pPr>
            <w:r>
              <w:rPr>
                <w:rFonts w:ascii="宋体" w:hAnsi="宋体" w:eastAsia="宋体" w:cs="仿宋_GB2312"/>
                <w:szCs w:val="21"/>
              </w:rPr>
              <w:t>（2）货物各项参数完全符合《主要技术参数及性能（配置）要求》的要求，性能满足要求，所有系统按要求完成安装调试，正常运行，仿真系统整体运行正常。</w:t>
            </w:r>
          </w:p>
          <w:p w14:paraId="5D251828">
            <w:pPr>
              <w:spacing w:line="400" w:lineRule="exact"/>
              <w:ind w:firstLine="0" w:firstLineChars="0"/>
              <w:rPr>
                <w:rFonts w:ascii="宋体" w:hAnsi="宋体" w:eastAsia="宋体" w:cs="仿宋_GB2312"/>
                <w:szCs w:val="21"/>
              </w:rPr>
            </w:pPr>
            <w:r>
              <w:rPr>
                <w:rFonts w:hint="eastAsia" w:ascii="宋体" w:hAnsi="宋体" w:eastAsia="宋体" w:cs="仿宋_GB2312"/>
                <w:szCs w:val="21"/>
              </w:rPr>
              <w:t>5</w:t>
            </w:r>
            <w:r>
              <w:rPr>
                <w:rFonts w:ascii="宋体" w:hAnsi="宋体" w:eastAsia="宋体" w:cs="仿宋_GB2312"/>
                <w:szCs w:val="21"/>
              </w:rPr>
              <w:t>.验收不合格时，采购人有权责令成交供应商限期整改，或有权拒绝验收并解除合同，相关损失与责任由成交供应商承担，采购人保留进一步追究成交供应商违约责任的权利。如存在争议，双方均有权向相关部门申请鉴定，鉴定费由中标人承担。</w:t>
            </w:r>
          </w:p>
          <w:p w14:paraId="2ABF37CD">
            <w:pPr>
              <w:spacing w:line="400" w:lineRule="exact"/>
              <w:ind w:firstLine="0" w:firstLineChars="0"/>
              <w:rPr>
                <w:rFonts w:ascii="宋体" w:hAnsi="宋体" w:eastAsia="宋体" w:cs="仿宋_GB2312"/>
                <w:szCs w:val="21"/>
              </w:rPr>
            </w:pPr>
            <w:r>
              <w:rPr>
                <w:rFonts w:hint="eastAsia" w:ascii="宋体" w:hAnsi="宋体" w:eastAsia="宋体" w:cs="仿宋_GB2312"/>
                <w:szCs w:val="21"/>
              </w:rPr>
              <w:t>6</w:t>
            </w:r>
            <w:r>
              <w:rPr>
                <w:rFonts w:ascii="宋体" w:hAnsi="宋体" w:eastAsia="宋体" w:cs="仿宋_GB2312"/>
                <w:szCs w:val="21"/>
              </w:rPr>
              <w:t>.在验收过程中发现中标人有违约问题，暂缓资金结算，待违约问题解决后，方可办理资金结算事宜，在此期间，采购人不承担逾期付款责任。</w:t>
            </w:r>
          </w:p>
        </w:tc>
      </w:tr>
      <w:tr w14:paraId="68D3B1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64" w:type="dxa"/>
            <w:tcBorders>
              <w:top w:val="single" w:color="auto" w:sz="4" w:space="0"/>
              <w:left w:val="single" w:color="auto" w:sz="4" w:space="0"/>
              <w:bottom w:val="single" w:color="auto" w:sz="4" w:space="0"/>
              <w:right w:val="single" w:color="auto" w:sz="4" w:space="0"/>
            </w:tcBorders>
            <w:vAlign w:val="center"/>
          </w:tcPr>
          <w:p w14:paraId="79D23D59">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（七）</w:t>
            </w:r>
            <w:r>
              <w:rPr>
                <w:rFonts w:hint="eastAsia" w:ascii="宋体" w:hAnsi="宋体" w:eastAsia="宋体" w:cs="仿宋_GB2312"/>
                <w:szCs w:val="21"/>
              </w:rPr>
              <w:t>售后服务要求</w:t>
            </w:r>
          </w:p>
        </w:tc>
        <w:tc>
          <w:tcPr>
            <w:tcW w:w="7756" w:type="dxa"/>
            <w:tcBorders>
              <w:top w:val="single" w:color="auto" w:sz="4" w:space="0"/>
              <w:left w:val="single" w:color="auto" w:sz="4" w:space="0"/>
              <w:bottom w:val="single" w:color="auto" w:sz="4" w:space="0"/>
              <w:right w:val="single" w:color="auto" w:sz="4" w:space="0"/>
            </w:tcBorders>
          </w:tcPr>
          <w:p w14:paraId="765D9066">
            <w:pPr>
              <w:spacing w:line="400" w:lineRule="exact"/>
              <w:ind w:firstLine="0" w:firstLineChars="0"/>
              <w:rPr>
                <w:rFonts w:ascii="宋体" w:hAnsi="宋体" w:eastAsia="宋体" w:cs="仿宋_GB2312"/>
                <w:szCs w:val="21"/>
              </w:rPr>
            </w:pPr>
            <w:r>
              <w:rPr>
                <w:rFonts w:hint="eastAsia" w:ascii="宋体" w:hAnsi="宋体" w:eastAsia="宋体" w:cs="仿宋_GB2312"/>
                <w:szCs w:val="21"/>
              </w:rPr>
              <w:t>1.按国家有关产品“三包”规定执行“三包”，质保期自货物验收合格之日起计算，软件及硬件设备质保不少于三年，软件在质保期满后不升级不影响正常使用。（“技术参数要求”中有特殊要求除外，若产品生产厂家质保期超过此年限的，合同履行过程中按厂家规定执行；若成交供应商质保期承诺优于产品生产厂家质保年限的，以成交供应商承诺执行），质保期满后仍需维护的，系统维护费用由供应商承担。</w:t>
            </w:r>
          </w:p>
          <w:p w14:paraId="46F9E7D0">
            <w:pPr>
              <w:spacing w:line="400" w:lineRule="exact"/>
              <w:ind w:firstLine="0" w:firstLineChars="0"/>
              <w:rPr>
                <w:rFonts w:ascii="宋体" w:hAnsi="宋体" w:eastAsia="宋体" w:cs="仿宋_GB2312"/>
                <w:szCs w:val="21"/>
              </w:rPr>
            </w:pPr>
            <w:r>
              <w:rPr>
                <w:rFonts w:hint="eastAsia" w:ascii="宋体" w:hAnsi="宋体" w:eastAsia="宋体" w:cs="仿宋_GB2312"/>
                <w:szCs w:val="21"/>
              </w:rPr>
              <w:t>2.成交供应商负责送货上门安装、调试，成交供应商须到采购人指定的现场安装、调试设备，提供完善的现场操作、设备使用、操作及维护培训；</w:t>
            </w:r>
          </w:p>
          <w:p w14:paraId="1515F7FE">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3.质保期内负责定期回访、上门服务、维修、更换损坏的设备和配件及对产品进行维护和保养、货物质量事故和质量缺陷由成交供应商无偿保修，提供终身维修；</w:t>
            </w:r>
          </w:p>
          <w:p w14:paraId="47A3C722">
            <w:pPr>
              <w:spacing w:line="400" w:lineRule="exact"/>
              <w:ind w:firstLine="0" w:firstLineChars="0"/>
              <w:rPr>
                <w:rFonts w:ascii="宋体" w:hAnsi="宋体" w:eastAsia="宋体" w:cs="仿宋_GB2312"/>
                <w:szCs w:val="21"/>
              </w:rPr>
            </w:pPr>
            <w:r>
              <w:rPr>
                <w:rFonts w:hint="eastAsia" w:ascii="宋体" w:hAnsi="宋体" w:eastAsia="宋体" w:cs="仿宋_GB2312"/>
                <w:szCs w:val="21"/>
              </w:rPr>
              <w:t>4.在成交供应商承诺的质保期内，设备保修包换所需要的配件均是原厂原装，不得使用兼容货物；</w:t>
            </w:r>
          </w:p>
          <w:p w14:paraId="1C09C8C4">
            <w:pPr>
              <w:spacing w:line="400" w:lineRule="exact"/>
              <w:ind w:firstLine="0" w:firstLineChars="0"/>
              <w:rPr>
                <w:rFonts w:ascii="宋体" w:hAnsi="宋体" w:eastAsia="宋体" w:cs="仿宋_GB2312"/>
                <w:szCs w:val="21"/>
              </w:rPr>
            </w:pPr>
            <w:r>
              <w:rPr>
                <w:rFonts w:hint="eastAsia" w:ascii="宋体" w:hAnsi="宋体" w:eastAsia="宋体" w:cs="仿宋_GB2312"/>
                <w:szCs w:val="21"/>
              </w:rPr>
              <w:t>5.成交供应商在质保期内应当为采购人提供以下技术支持和服务：</w:t>
            </w:r>
          </w:p>
          <w:p w14:paraId="0C596D49">
            <w:pPr>
              <w:spacing w:line="400" w:lineRule="exact"/>
              <w:ind w:firstLine="0" w:firstLineChars="0"/>
              <w:rPr>
                <w:rFonts w:ascii="宋体" w:hAnsi="宋体" w:eastAsia="宋体" w:cs="仿宋_GB2312"/>
                <w:szCs w:val="21"/>
              </w:rPr>
            </w:pPr>
            <w:r>
              <w:rPr>
                <w:rFonts w:hint="eastAsia" w:ascii="宋体" w:hAnsi="宋体" w:eastAsia="宋体" w:cs="仿宋_GB2312"/>
                <w:szCs w:val="21"/>
              </w:rPr>
              <w:t>提供7×24小时实时技术支持服务，对于设备在使用过程中出现的问题，无法排除故障的，则应提供相应的备用设备以保证采购人的正常使用，上述售后服务费用已包含在合同总价中。</w:t>
            </w:r>
          </w:p>
          <w:p w14:paraId="49613933">
            <w:pPr>
              <w:spacing w:line="400" w:lineRule="exact"/>
              <w:ind w:firstLine="0" w:firstLineChars="0"/>
              <w:rPr>
                <w:rFonts w:ascii="宋体" w:hAnsi="宋体" w:eastAsia="宋体" w:cs="仿宋_GB2312"/>
                <w:szCs w:val="21"/>
              </w:rPr>
            </w:pPr>
            <w:r>
              <w:rPr>
                <w:rFonts w:hint="eastAsia" w:ascii="宋体" w:hAnsi="宋体" w:eastAsia="宋体" w:cs="仿宋_GB2312"/>
                <w:szCs w:val="21"/>
              </w:rPr>
              <w:t>6.质保期外服务要求</w:t>
            </w:r>
          </w:p>
          <w:p w14:paraId="59D9FF42">
            <w:pPr>
              <w:spacing w:line="400" w:lineRule="exact"/>
              <w:ind w:firstLine="0" w:firstLineChars="0"/>
              <w:rPr>
                <w:rFonts w:ascii="宋体" w:hAnsi="宋体" w:eastAsia="宋体" w:cs="仿宋_GB2312"/>
                <w:szCs w:val="21"/>
              </w:rPr>
            </w:pPr>
            <w:r>
              <w:rPr>
                <w:rFonts w:hint="eastAsia" w:ascii="宋体" w:hAnsi="宋体" w:eastAsia="宋体" w:cs="仿宋_GB2312"/>
                <w:szCs w:val="21"/>
              </w:rPr>
              <w:t>软件在质保期满后不升级不影响正常使用，硬件损坏只收取硬件费用。</w:t>
            </w:r>
          </w:p>
          <w:p w14:paraId="6EAB31C4">
            <w:pPr>
              <w:spacing w:line="400" w:lineRule="exact"/>
              <w:ind w:firstLine="0" w:firstLineChars="0"/>
              <w:rPr>
                <w:rFonts w:ascii="宋体" w:hAnsi="宋体" w:eastAsia="宋体" w:cs="仿宋_GB2312"/>
                <w:szCs w:val="21"/>
              </w:rPr>
            </w:pPr>
            <w:r>
              <w:rPr>
                <w:rFonts w:hint="eastAsia" w:ascii="宋体" w:hAnsi="宋体" w:eastAsia="宋体" w:cs="仿宋_GB2312"/>
                <w:szCs w:val="21"/>
              </w:rPr>
              <w:t>7.备品备件及易损件</w:t>
            </w:r>
          </w:p>
          <w:p w14:paraId="7D98F0DD">
            <w:pPr>
              <w:spacing w:line="400" w:lineRule="exact"/>
              <w:ind w:firstLine="0" w:firstLineChars="0"/>
              <w:rPr>
                <w:rFonts w:ascii="宋体" w:hAnsi="宋体" w:eastAsia="宋体" w:cs="仿宋_GB2312"/>
                <w:szCs w:val="21"/>
              </w:rPr>
            </w:pPr>
            <w:r>
              <w:rPr>
                <w:rFonts w:hint="eastAsia" w:ascii="宋体" w:hAnsi="宋体" w:eastAsia="宋体" w:cs="仿宋_GB2312"/>
                <w:szCs w:val="21"/>
              </w:rPr>
              <w:t>成交供应商售后服务中，维修使用的备品备件及易损件应为原厂配件，未经采购人同意不得使用非原厂配件；</w:t>
            </w:r>
          </w:p>
          <w:p w14:paraId="06A17AED">
            <w:pPr>
              <w:spacing w:line="400" w:lineRule="exact"/>
              <w:ind w:firstLine="0" w:firstLineChars="0"/>
              <w:rPr>
                <w:rFonts w:ascii="宋体" w:hAnsi="宋体" w:eastAsia="宋体" w:cs="仿宋_GB2312"/>
                <w:szCs w:val="21"/>
              </w:rPr>
            </w:pPr>
            <w:r>
              <w:rPr>
                <w:rFonts w:hint="eastAsia" w:ascii="宋体" w:hAnsi="宋体" w:eastAsia="宋体" w:cs="仿宋_GB2312"/>
                <w:szCs w:val="21"/>
              </w:rPr>
              <w:t>8.质保期内由于设备本身质量原因造成的任何损伤或损坏或因包装、运输不当引起的设备外观或内部的损坏及错发、漏发的情况，成交供应商负责修理或补发、更换，直到达到性能要求，不再收取任何费用。如果成交供应商在接到通知后没有更换有缺陷的产品，所造成的损失由成交供应商承担。</w:t>
            </w:r>
          </w:p>
        </w:tc>
      </w:tr>
      <w:tr w14:paraId="2A65E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2364" w:type="dxa"/>
            <w:tcBorders>
              <w:top w:val="single" w:color="auto" w:sz="4" w:space="0"/>
              <w:left w:val="single" w:color="auto" w:sz="4" w:space="0"/>
              <w:bottom w:val="single" w:color="auto" w:sz="4" w:space="0"/>
              <w:right w:val="single" w:color="auto" w:sz="4" w:space="0"/>
            </w:tcBorders>
            <w:vAlign w:val="center"/>
          </w:tcPr>
          <w:p w14:paraId="6E0511AE">
            <w:pPr>
              <w:widowControl/>
              <w:spacing w:line="400" w:lineRule="exact"/>
              <w:jc w:val="center"/>
              <w:rPr>
                <w:rFonts w:ascii="宋体" w:hAnsi="宋体" w:eastAsia="宋体" w:cs="仿宋_GB2312"/>
                <w:szCs w:val="21"/>
              </w:rPr>
            </w:pPr>
            <w:r>
              <w:rPr>
                <w:rFonts w:hint="eastAsia" w:ascii="宋体" w:hAnsi="宋体" w:eastAsia="宋体" w:cs="仿宋_GB2312"/>
                <w:szCs w:val="21"/>
              </w:rPr>
              <w:t>▲（八）投标报价要求</w:t>
            </w:r>
          </w:p>
        </w:tc>
        <w:tc>
          <w:tcPr>
            <w:tcW w:w="7756" w:type="dxa"/>
            <w:tcBorders>
              <w:top w:val="single" w:color="auto" w:sz="4" w:space="0"/>
              <w:left w:val="single" w:color="auto" w:sz="4" w:space="0"/>
              <w:bottom w:val="single" w:color="auto" w:sz="4" w:space="0"/>
              <w:right w:val="single" w:color="auto" w:sz="4" w:space="0"/>
            </w:tcBorders>
          </w:tcPr>
          <w:p w14:paraId="1A473070">
            <w:pPr>
              <w:spacing w:line="400" w:lineRule="exact"/>
              <w:ind w:firstLine="0" w:firstLineChars="0"/>
              <w:rPr>
                <w:rFonts w:ascii="宋体" w:hAnsi="宋体" w:eastAsia="宋体" w:cs="Times New Roman"/>
                <w:bCs/>
                <w:szCs w:val="21"/>
              </w:rPr>
            </w:pPr>
            <w:r>
              <w:rPr>
                <w:rFonts w:hint="eastAsia" w:ascii="宋体" w:hAnsi="宋体" w:eastAsia="宋体" w:cs="仿宋_GB2312"/>
                <w:szCs w:val="21"/>
              </w:rPr>
              <w:t>1.投标总报价</w:t>
            </w:r>
            <w:r>
              <w:rPr>
                <w:rFonts w:ascii="宋体" w:hAnsi="宋体" w:eastAsia="宋体" w:cs="Times New Roman"/>
                <w:bCs/>
                <w:szCs w:val="21"/>
              </w:rPr>
              <w:t>为完成采购人全部</w:t>
            </w:r>
            <w:r>
              <w:rPr>
                <w:rFonts w:hint="eastAsia" w:ascii="宋体" w:hAnsi="宋体" w:eastAsia="宋体" w:cs="Times New Roman"/>
                <w:bCs/>
                <w:szCs w:val="21"/>
              </w:rPr>
              <w:t>采购</w:t>
            </w:r>
            <w:r>
              <w:rPr>
                <w:rFonts w:ascii="宋体" w:hAnsi="宋体" w:eastAsia="宋体" w:cs="Times New Roman"/>
                <w:bCs/>
                <w:szCs w:val="21"/>
              </w:rPr>
              <w:t>内容的报价，即履行合同的最终价格，包括</w:t>
            </w:r>
            <w:r>
              <w:rPr>
                <w:rFonts w:hint="eastAsia" w:ascii="宋体" w:hAnsi="宋体" w:eastAsia="宋体" w:cs="Times New Roman"/>
                <w:bCs/>
                <w:szCs w:val="21"/>
              </w:rPr>
              <w:t>中标人</w:t>
            </w:r>
            <w:r>
              <w:rPr>
                <w:rFonts w:ascii="宋体" w:hAnsi="宋体" w:eastAsia="宋体" w:cs="Times New Roman"/>
                <w:bCs/>
                <w:szCs w:val="21"/>
              </w:rPr>
              <w:t>完成本项目所需的一切工作内容而发生的所有费用</w:t>
            </w:r>
            <w:r>
              <w:rPr>
                <w:rFonts w:hint="eastAsia" w:ascii="宋体" w:hAnsi="宋体" w:eastAsia="宋体" w:cs="Times New Roman"/>
                <w:bCs/>
                <w:szCs w:val="21"/>
              </w:rPr>
              <w:t>包括但不限于：</w:t>
            </w:r>
          </w:p>
          <w:p w14:paraId="1BD169CE">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（1）货物及标准附件、备品备件、专用工具的价格；</w:t>
            </w:r>
          </w:p>
          <w:p w14:paraId="33D241E4">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（2）人工、运输、装卸、安装、验收、技术支持、技术服务及培训、售后服务、清洁卫生费、垃圾清运费、保险、税金、其他所有成本费用，以及合同明示或暗示的所有责任、义务和一般风险等一切费用。</w:t>
            </w:r>
          </w:p>
          <w:p w14:paraId="586AB8C3">
            <w:pPr>
              <w:spacing w:line="400" w:lineRule="exact"/>
              <w:ind w:firstLine="0" w:firstLineChars="0"/>
              <w:rPr>
                <w:rFonts w:ascii="宋体" w:hAnsi="宋体" w:eastAsia="宋体" w:cs="仿宋_GB2312"/>
                <w:szCs w:val="21"/>
              </w:rPr>
            </w:pPr>
            <w:r>
              <w:rPr>
                <w:rFonts w:hint="eastAsia" w:ascii="宋体" w:hAnsi="宋体" w:eastAsia="宋体" w:cs="仿宋_GB2312"/>
                <w:szCs w:val="21"/>
              </w:rPr>
              <w:t>2.投标总报价不得高于本标项的最高限价。</w:t>
            </w:r>
          </w:p>
          <w:p w14:paraId="75D31C2A">
            <w:pPr>
              <w:spacing w:line="400" w:lineRule="exact"/>
              <w:ind w:firstLine="0" w:firstLineChars="0"/>
              <w:rPr>
                <w:rFonts w:ascii="宋体" w:hAnsi="宋体" w:eastAsia="宋体" w:cs="仿宋_GB2312"/>
                <w:szCs w:val="21"/>
              </w:rPr>
            </w:pPr>
            <w:r>
              <w:rPr>
                <w:rFonts w:hint="eastAsia" w:ascii="宋体" w:hAnsi="宋体" w:eastAsia="宋体" w:cs="仿宋_GB2312"/>
                <w:szCs w:val="21"/>
              </w:rPr>
              <w:t>3.本项目涉及所有资金往来的币种为人民币。</w:t>
            </w:r>
          </w:p>
          <w:p w14:paraId="29835F37">
            <w:pPr>
              <w:spacing w:line="400" w:lineRule="exact"/>
              <w:ind w:firstLine="0" w:firstLineChars="0"/>
              <w:rPr>
                <w:rFonts w:ascii="宋体" w:hAnsi="宋体" w:eastAsia="宋体" w:cs="Times New Roman"/>
                <w:szCs w:val="21"/>
              </w:rPr>
            </w:pPr>
            <w:r>
              <w:rPr>
                <w:rFonts w:hint="eastAsia" w:ascii="宋体" w:hAnsi="宋体" w:eastAsia="宋体" w:cs="仿宋_GB2312"/>
                <w:szCs w:val="21"/>
              </w:rPr>
              <w:t>4.投标人应充分考虑由于国家政策变化、自然灾害、战争等不可抗力因素造成本合同中断引起损失风险。</w:t>
            </w:r>
          </w:p>
        </w:tc>
      </w:tr>
      <w:tr w14:paraId="0F416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364" w:type="dxa"/>
            <w:tcBorders>
              <w:top w:val="single" w:color="auto" w:sz="4" w:space="0"/>
              <w:left w:val="single" w:color="auto" w:sz="4" w:space="0"/>
              <w:bottom w:val="single" w:color="auto" w:sz="4" w:space="0"/>
              <w:right w:val="single" w:color="auto" w:sz="4" w:space="0"/>
            </w:tcBorders>
            <w:vAlign w:val="center"/>
          </w:tcPr>
          <w:p w14:paraId="7F51AC0C">
            <w:pPr>
              <w:widowControl/>
              <w:spacing w:line="400" w:lineRule="exact"/>
              <w:jc w:val="both"/>
              <w:rPr>
                <w:rFonts w:ascii="宋体" w:hAnsi="宋体" w:eastAsia="宋体" w:cs="仿宋_GB2312"/>
                <w:szCs w:val="21"/>
              </w:rPr>
            </w:pPr>
            <w:r>
              <w:rPr>
                <w:rFonts w:hint="eastAsia" w:ascii="宋体" w:hAnsi="宋体" w:eastAsia="宋体" w:cs="仿宋_GB2312"/>
                <w:szCs w:val="21"/>
              </w:rPr>
              <w:t>▲（九）其他要求</w:t>
            </w:r>
          </w:p>
        </w:tc>
        <w:tc>
          <w:tcPr>
            <w:tcW w:w="7756" w:type="dxa"/>
            <w:tcBorders>
              <w:top w:val="single" w:color="auto" w:sz="4" w:space="0"/>
              <w:left w:val="single" w:color="auto" w:sz="4" w:space="0"/>
              <w:bottom w:val="single" w:color="auto" w:sz="4" w:space="0"/>
              <w:right w:val="single" w:color="auto" w:sz="4" w:space="0"/>
            </w:tcBorders>
          </w:tcPr>
          <w:p w14:paraId="44A75EBD">
            <w:pPr>
              <w:spacing w:line="400" w:lineRule="exact"/>
              <w:ind w:firstLine="0" w:firstLineChars="0"/>
              <w:rPr>
                <w:rFonts w:ascii="宋体" w:hAnsi="宋体" w:eastAsia="宋体" w:cs="仿宋_GB2312"/>
                <w:szCs w:val="21"/>
              </w:rPr>
            </w:pPr>
            <w:r>
              <w:rPr>
                <w:rFonts w:hint="eastAsia" w:ascii="宋体" w:hAnsi="宋体" w:eastAsia="宋体" w:cs="仿宋_GB2312"/>
                <w:szCs w:val="21"/>
              </w:rPr>
              <w:t>1.投标人应保证针对本项目的服务（或货物）所涉及的知识产权和所提供的相关技术资料是合法取得，并享有完整的知识产权，不会因为采购人的使用而被责令停止使用、追偿或要求赔偿损失，如出现此情况，一切经济和法律责任均由投标人承担。</w:t>
            </w:r>
          </w:p>
          <w:p w14:paraId="2BF1D2A9">
            <w:pPr>
              <w:spacing w:line="400" w:lineRule="exact"/>
              <w:ind w:firstLine="0" w:firstLineChars="0"/>
              <w:rPr>
                <w:rFonts w:ascii="宋体" w:hAnsi="宋体" w:eastAsia="宋体" w:cs="仿宋_GB2312"/>
                <w:szCs w:val="21"/>
              </w:rPr>
            </w:pPr>
            <w:r>
              <w:rPr>
                <w:rFonts w:hint="eastAsia" w:ascii="宋体" w:hAnsi="宋体" w:eastAsia="宋体" w:cs="仿宋_GB2312"/>
                <w:szCs w:val="21"/>
              </w:rPr>
              <w:t>2.服务成果经采购人验收通过后，所有权归采购人所有，未经采购人同意中标人不得挪作他用，不得擅自公开相关项目数据或资料文件。</w:t>
            </w:r>
          </w:p>
          <w:p w14:paraId="46CE6EEA">
            <w:pPr>
              <w:spacing w:line="400" w:lineRule="exact"/>
              <w:ind w:firstLine="0" w:firstLineChars="0"/>
              <w:rPr>
                <w:rFonts w:ascii="宋体" w:hAnsi="宋体" w:eastAsia="宋体" w:cs="仿宋_GB2312"/>
                <w:szCs w:val="21"/>
              </w:rPr>
            </w:pPr>
            <w:r>
              <w:rPr>
                <w:rFonts w:hint="eastAsia" w:ascii="宋体" w:hAnsi="宋体" w:eastAsia="宋体" w:cs="仿宋_GB2312"/>
                <w:szCs w:val="21"/>
              </w:rPr>
              <w:t>3.保密要求：工作人员应对本项目中接触到的采购人所有的知识产权、商业秘密、技术成果等信息负保密义务。未经采购人书面同意，不得向社会公众或第三方通过任何途径出示、泄露，不得许可使用，不得对上述信息进行复制、传播、销售；保证不向外泄漏任何相关数据，不向外泄漏任何保密的技术资料。如出现工作人员泄密事件，中标人应依法承担法律责任。</w:t>
            </w:r>
          </w:p>
          <w:p w14:paraId="3161B156">
            <w:pPr>
              <w:spacing w:line="400" w:lineRule="exact"/>
              <w:ind w:firstLine="0" w:firstLineChars="0"/>
              <w:rPr>
                <w:rFonts w:ascii="宋体" w:hAnsi="宋体" w:eastAsia="宋体" w:cs="仿宋_GB2312"/>
                <w:szCs w:val="21"/>
              </w:rPr>
            </w:pPr>
            <w:r>
              <w:rPr>
                <w:rFonts w:hint="eastAsia" w:ascii="宋体" w:hAnsi="宋体" w:eastAsia="宋体" w:cs="仿宋_GB2312"/>
                <w:szCs w:val="21"/>
              </w:rPr>
              <w:t>4. 中标人必须服从招标人现场负责人的指挥，按指定地点进行安装；</w:t>
            </w:r>
          </w:p>
          <w:p w14:paraId="22CBC2BD">
            <w:pPr>
              <w:spacing w:line="400" w:lineRule="exact"/>
              <w:ind w:firstLine="0" w:firstLineChars="0"/>
              <w:rPr>
                <w:rFonts w:ascii="宋体" w:hAnsi="宋体" w:eastAsia="宋体" w:cs="仿宋_GB2312"/>
                <w:szCs w:val="21"/>
              </w:rPr>
            </w:pPr>
            <w:r>
              <w:rPr>
                <w:rFonts w:hint="eastAsia" w:ascii="宋体" w:hAnsi="宋体" w:eastAsia="宋体" w:cs="仿宋_GB2312"/>
                <w:szCs w:val="21"/>
              </w:rPr>
              <w:t>5.安装过程中的所有安全保障由中标人自行负责；</w:t>
            </w:r>
          </w:p>
          <w:p w14:paraId="1DA337D7">
            <w:pPr>
              <w:spacing w:line="400" w:lineRule="exact"/>
              <w:ind w:firstLine="0" w:firstLineChars="0"/>
              <w:rPr>
                <w:rFonts w:ascii="宋体" w:hAnsi="宋体" w:eastAsia="宋体" w:cs="仿宋_GB2312"/>
                <w:szCs w:val="21"/>
              </w:rPr>
            </w:pPr>
            <w:r>
              <w:rPr>
                <w:rFonts w:hint="eastAsia" w:ascii="宋体" w:hAnsi="宋体" w:eastAsia="宋体" w:cs="仿宋_GB2312"/>
                <w:szCs w:val="21"/>
              </w:rPr>
              <w:t>6.严格按投标产品的安装规范要求进行安装，确保安全；</w:t>
            </w:r>
          </w:p>
          <w:p w14:paraId="61DDB886">
            <w:pPr>
              <w:spacing w:line="400" w:lineRule="exact"/>
              <w:ind w:firstLine="0" w:firstLineChars="0"/>
              <w:rPr>
                <w:rFonts w:ascii="宋体" w:hAnsi="宋体" w:eastAsia="宋体" w:cs="仿宋_GB2312"/>
                <w:szCs w:val="21"/>
              </w:rPr>
            </w:pPr>
            <w:r>
              <w:rPr>
                <w:rFonts w:hint="eastAsia" w:ascii="宋体" w:hAnsi="宋体" w:eastAsia="宋体" w:cs="仿宋_GB2312"/>
                <w:szCs w:val="21"/>
              </w:rPr>
              <w:t>7.如设备为特种设备，按照国家规定安装人员需持证上岗的，安装人员必须持证上岗安装。</w:t>
            </w:r>
          </w:p>
        </w:tc>
      </w:tr>
      <w:tr w14:paraId="2036F8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4" w:hRule="atLeast"/>
          <w:jc w:val="center"/>
        </w:trPr>
        <w:tc>
          <w:tcPr>
            <w:tcW w:w="2364" w:type="dxa"/>
            <w:tcBorders>
              <w:top w:val="single" w:color="auto" w:sz="4" w:space="0"/>
              <w:left w:val="single" w:color="auto" w:sz="4" w:space="0"/>
              <w:bottom w:val="single" w:color="auto" w:sz="4" w:space="0"/>
              <w:right w:val="single" w:color="auto" w:sz="4" w:space="0"/>
            </w:tcBorders>
            <w:vAlign w:val="center"/>
          </w:tcPr>
          <w:p w14:paraId="5C62CAE8">
            <w:pPr>
              <w:spacing w:line="400" w:lineRule="exact"/>
              <w:jc w:val="both"/>
              <w:rPr>
                <w:rFonts w:ascii="新宋体" w:hAnsi="Times New Roman" w:eastAsia="新宋体" w:cs="Times New Roman"/>
                <w:szCs w:val="21"/>
              </w:rPr>
            </w:pPr>
            <w:r>
              <w:rPr>
                <w:rFonts w:hint="eastAsia" w:ascii="宋体" w:hAnsi="宋体" w:eastAsia="宋体" w:cs="仿宋_GB2312"/>
                <w:szCs w:val="21"/>
              </w:rPr>
              <w:t>▲（十）</w:t>
            </w:r>
            <w:r>
              <w:rPr>
                <w:rFonts w:hint="eastAsia" w:ascii="新宋体" w:hAnsi="Times New Roman" w:eastAsia="新宋体" w:cs="Times New Roman"/>
                <w:szCs w:val="21"/>
              </w:rPr>
              <w:t>特殊说明</w:t>
            </w:r>
          </w:p>
        </w:tc>
        <w:tc>
          <w:tcPr>
            <w:tcW w:w="7756" w:type="dxa"/>
            <w:tcBorders>
              <w:top w:val="single" w:color="auto" w:sz="4" w:space="0"/>
              <w:left w:val="single" w:color="auto" w:sz="4" w:space="0"/>
              <w:bottom w:val="single" w:color="auto" w:sz="4" w:space="0"/>
              <w:right w:val="single" w:color="auto" w:sz="4" w:space="0"/>
            </w:tcBorders>
            <w:vAlign w:val="center"/>
          </w:tcPr>
          <w:p w14:paraId="47626203">
            <w:pPr>
              <w:spacing w:line="400" w:lineRule="exact"/>
              <w:rPr>
                <w:rFonts w:ascii="宋体" w:hAnsi="宋体" w:eastAsia="宋体" w:cs="Times New Roman"/>
                <w:szCs w:val="21"/>
              </w:rPr>
            </w:pPr>
            <w:r>
              <w:rPr>
                <w:rFonts w:hint="eastAsia" w:ascii="宋体" w:hAnsi="宋体" w:eastAsia="宋体" w:cs="Times New Roman"/>
                <w:szCs w:val="21"/>
              </w:rPr>
              <w:t>本项目不接受进口产品投标，如投标人采用进口产品投标则作无效投标处理。</w:t>
            </w:r>
          </w:p>
        </w:tc>
      </w:tr>
      <w:tr w14:paraId="62F95E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364" w:type="dxa"/>
            <w:tcBorders>
              <w:top w:val="single" w:color="auto" w:sz="4" w:space="0"/>
              <w:left w:val="single" w:color="auto" w:sz="4" w:space="0"/>
              <w:bottom w:val="single" w:color="auto" w:sz="4" w:space="0"/>
              <w:right w:val="single" w:color="auto" w:sz="4" w:space="0"/>
            </w:tcBorders>
            <w:vAlign w:val="center"/>
          </w:tcPr>
          <w:p w14:paraId="2106132D">
            <w:pPr>
              <w:widowControl/>
              <w:spacing w:line="400" w:lineRule="exact"/>
              <w:jc w:val="both"/>
              <w:rPr>
                <w:rFonts w:ascii="宋体" w:hAnsi="宋体" w:eastAsia="宋体" w:cs="仿宋_GB2312"/>
                <w:szCs w:val="21"/>
              </w:rPr>
            </w:pPr>
            <w:r>
              <w:rPr>
                <w:rFonts w:hint="eastAsia" w:ascii="宋体" w:hAnsi="宋体" w:eastAsia="宋体" w:cs="仿宋_GB2312"/>
                <w:szCs w:val="21"/>
              </w:rPr>
              <w:t>▲（十一）核心产品</w:t>
            </w:r>
          </w:p>
        </w:tc>
        <w:tc>
          <w:tcPr>
            <w:tcW w:w="7756" w:type="dxa"/>
            <w:tcBorders>
              <w:top w:val="single" w:color="auto" w:sz="4" w:space="0"/>
              <w:left w:val="single" w:color="auto" w:sz="4" w:space="0"/>
              <w:bottom w:val="single" w:color="auto" w:sz="4" w:space="0"/>
              <w:right w:val="single" w:color="auto" w:sz="4" w:space="0"/>
            </w:tcBorders>
          </w:tcPr>
          <w:p w14:paraId="204C334D">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本标项第 1 项产品“</w:t>
            </w:r>
            <w:r>
              <w:rPr>
                <w:rFonts w:hint="eastAsia" w:ascii="宋体" w:hAnsi="宋体" w:eastAsia="宋体" w:cs="等线"/>
                <w:szCs w:val="21"/>
              </w:rPr>
              <w:t>虚实结合的给水管网综合实训设备1台及仿真软件70节点</w:t>
            </w:r>
            <w:r>
              <w:rPr>
                <w:rFonts w:hint="eastAsia" w:ascii="宋体" w:hAnsi="宋体" w:eastAsia="宋体" w:cs="仿宋_GB2312"/>
                <w:szCs w:val="21"/>
              </w:rPr>
              <w:t>”为核心产品。</w:t>
            </w:r>
          </w:p>
          <w:p w14:paraId="7B9323ED">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多家投标人提供的核心产品品牌相同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14:paraId="11697AF7">
      <w:pPr>
        <w:spacing w:line="400" w:lineRule="exact"/>
        <w:ind w:firstLine="560"/>
        <w:jc w:val="left"/>
        <w:outlineLvl w:val="2"/>
        <w:rPr>
          <w:rFonts w:ascii="宋体" w:hAnsi="宋体" w:eastAsia="宋体" w:cs="Times New Roman"/>
          <w:b/>
          <w:bCs/>
          <w:sz w:val="28"/>
          <w:szCs w:val="28"/>
        </w:rPr>
      </w:pPr>
      <w:r>
        <w:rPr>
          <w:rFonts w:hint="eastAsia" w:ascii="宋体" w:hAnsi="宋体" w:eastAsia="宋体" w:cs="仿宋_GB2312"/>
          <w:b/>
          <w:sz w:val="28"/>
          <w:szCs w:val="28"/>
        </w:rPr>
        <w:br w:type="page"/>
      </w:r>
      <w:bookmarkStart w:id="48" w:name="_Toc19552"/>
      <w:r>
        <w:rPr>
          <w:rFonts w:hint="eastAsia" w:ascii="宋体" w:hAnsi="宋体" w:eastAsia="宋体" w:cs="Times New Roman"/>
          <w:b/>
          <w:bCs/>
          <w:sz w:val="28"/>
          <w:szCs w:val="28"/>
        </w:rPr>
        <w:t>二、</w:t>
      </w:r>
      <w:r>
        <w:rPr>
          <w:rFonts w:hint="eastAsia" w:ascii="宋体" w:hAnsi="宋体" w:eastAsia="宋体" w:cs="仿宋"/>
          <w:b/>
          <w:sz w:val="28"/>
          <w:szCs w:val="28"/>
        </w:rPr>
        <w:t>标项二（2分标：建筑外围护智能监测检测飞机）</w:t>
      </w:r>
      <w:bookmarkEnd w:id="48"/>
    </w:p>
    <w:p w14:paraId="2DAD77B9">
      <w:pPr>
        <w:spacing w:line="400" w:lineRule="exact"/>
        <w:ind w:firstLine="482" w:firstLineChars="200"/>
        <w:outlineLvl w:val="2"/>
        <w:rPr>
          <w:rFonts w:ascii="宋体" w:hAnsi="宋体" w:eastAsia="宋体" w:cs="仿宋_GB2312"/>
          <w:b/>
          <w:sz w:val="24"/>
          <w:szCs w:val="24"/>
        </w:rPr>
      </w:pPr>
      <w:bookmarkStart w:id="49" w:name="_Toc13203"/>
      <w:r>
        <w:rPr>
          <w:rFonts w:hint="eastAsia" w:ascii="宋体" w:hAnsi="宋体" w:eastAsia="宋体" w:cs="仿宋_GB2312"/>
          <w:b/>
          <w:sz w:val="24"/>
          <w:szCs w:val="24"/>
        </w:rPr>
        <w:t>（一）技术要求</w:t>
      </w:r>
      <w:bookmarkEnd w:id="49"/>
    </w:p>
    <w:tbl>
      <w:tblPr>
        <w:tblStyle w:val="53"/>
        <w:tblW w:w="10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015"/>
        <w:gridCol w:w="5823"/>
        <w:gridCol w:w="615"/>
        <w:gridCol w:w="525"/>
        <w:gridCol w:w="1200"/>
        <w:gridCol w:w="1125"/>
      </w:tblGrid>
      <w:tr w14:paraId="69F2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25" w:type="dxa"/>
            <w:noWrap/>
            <w:vAlign w:val="center"/>
          </w:tcPr>
          <w:p w14:paraId="02AB37BF">
            <w:pPr>
              <w:widowControl/>
              <w:ind w:firstLine="0"/>
              <w:jc w:val="center"/>
              <w:rPr>
                <w:rFonts w:ascii="宋体" w:hAnsi="宋体" w:eastAsia="宋体" w:cs="Times New Roman"/>
                <w:kern w:val="0"/>
                <w:sz w:val="22"/>
              </w:rPr>
            </w:pPr>
            <w:r>
              <w:rPr>
                <w:rFonts w:hint="eastAsia" w:ascii="宋体" w:hAnsi="宋体" w:eastAsia="宋体" w:cs="宋体"/>
                <w:kern w:val="0"/>
                <w:sz w:val="22"/>
              </w:rPr>
              <w:t>序号</w:t>
            </w:r>
          </w:p>
        </w:tc>
        <w:tc>
          <w:tcPr>
            <w:tcW w:w="1015" w:type="dxa"/>
            <w:vAlign w:val="center"/>
          </w:tcPr>
          <w:p w14:paraId="46A0D5E3">
            <w:pPr>
              <w:widowControl/>
              <w:ind w:firstLine="0"/>
              <w:jc w:val="center"/>
              <w:rPr>
                <w:rFonts w:ascii="宋体" w:hAnsi="宋体" w:eastAsia="宋体" w:cs="宋体"/>
                <w:kern w:val="0"/>
                <w:sz w:val="22"/>
              </w:rPr>
            </w:pPr>
            <w:r>
              <w:rPr>
                <w:rFonts w:hint="eastAsia" w:ascii="宋体" w:hAnsi="宋体" w:eastAsia="宋体" w:cs="宋体"/>
                <w:kern w:val="0"/>
                <w:sz w:val="22"/>
              </w:rPr>
              <w:t>标的</w:t>
            </w:r>
          </w:p>
          <w:p w14:paraId="1168B7E7">
            <w:pPr>
              <w:widowControl/>
              <w:ind w:firstLine="0"/>
              <w:jc w:val="center"/>
              <w:rPr>
                <w:rFonts w:ascii="宋体" w:hAnsi="宋体" w:eastAsia="宋体" w:cs="Times New Roman"/>
                <w:kern w:val="0"/>
                <w:sz w:val="22"/>
              </w:rPr>
            </w:pPr>
            <w:r>
              <w:rPr>
                <w:rFonts w:hint="eastAsia" w:ascii="宋体" w:hAnsi="宋体" w:eastAsia="宋体" w:cs="宋体"/>
                <w:kern w:val="0"/>
                <w:sz w:val="22"/>
              </w:rPr>
              <w:t>名称</w:t>
            </w:r>
          </w:p>
        </w:tc>
        <w:tc>
          <w:tcPr>
            <w:tcW w:w="5823" w:type="dxa"/>
            <w:noWrap/>
            <w:vAlign w:val="center"/>
          </w:tcPr>
          <w:p w14:paraId="34CB1FD6">
            <w:pPr>
              <w:widowControl/>
              <w:ind w:firstLine="0"/>
              <w:jc w:val="center"/>
              <w:rPr>
                <w:rFonts w:ascii="宋体" w:hAnsi="宋体" w:eastAsia="宋体" w:cs="Times New Roman"/>
                <w:kern w:val="0"/>
                <w:sz w:val="22"/>
              </w:rPr>
            </w:pPr>
            <w:r>
              <w:rPr>
                <w:rFonts w:hint="eastAsia" w:ascii="宋体" w:hAnsi="宋体" w:eastAsia="宋体" w:cs="宋体"/>
                <w:kern w:val="0"/>
                <w:sz w:val="22"/>
              </w:rPr>
              <w:t>技术参数及性能（配置）要求</w:t>
            </w:r>
          </w:p>
        </w:tc>
        <w:tc>
          <w:tcPr>
            <w:tcW w:w="615" w:type="dxa"/>
            <w:noWrap/>
            <w:vAlign w:val="center"/>
          </w:tcPr>
          <w:p w14:paraId="30DB9D6C">
            <w:pPr>
              <w:widowControl/>
              <w:ind w:firstLine="0"/>
              <w:jc w:val="center"/>
              <w:rPr>
                <w:rFonts w:ascii="宋体" w:hAnsi="宋体" w:eastAsia="宋体" w:cs="Times New Roman"/>
                <w:kern w:val="0"/>
                <w:sz w:val="22"/>
              </w:rPr>
            </w:pPr>
            <w:r>
              <w:rPr>
                <w:rFonts w:hint="eastAsia" w:ascii="宋体" w:hAnsi="宋体" w:eastAsia="宋体" w:cs="宋体"/>
                <w:kern w:val="0"/>
                <w:sz w:val="22"/>
              </w:rPr>
              <w:t>数量</w:t>
            </w:r>
          </w:p>
        </w:tc>
        <w:tc>
          <w:tcPr>
            <w:tcW w:w="525" w:type="dxa"/>
            <w:noWrap/>
            <w:vAlign w:val="center"/>
          </w:tcPr>
          <w:p w14:paraId="0B1B2CED">
            <w:pPr>
              <w:widowControl/>
              <w:ind w:firstLine="0"/>
              <w:jc w:val="center"/>
              <w:rPr>
                <w:rFonts w:ascii="宋体" w:hAnsi="宋体" w:eastAsia="宋体" w:cs="Times New Roman"/>
                <w:kern w:val="0"/>
                <w:sz w:val="22"/>
              </w:rPr>
            </w:pPr>
            <w:r>
              <w:rPr>
                <w:rFonts w:hint="eastAsia" w:ascii="宋体" w:hAnsi="宋体" w:eastAsia="宋体" w:cs="宋体"/>
                <w:kern w:val="0"/>
                <w:sz w:val="22"/>
              </w:rPr>
              <w:t>单位</w:t>
            </w:r>
          </w:p>
        </w:tc>
        <w:tc>
          <w:tcPr>
            <w:tcW w:w="1200" w:type="dxa"/>
            <w:vAlign w:val="center"/>
          </w:tcPr>
          <w:p w14:paraId="459793A7">
            <w:pPr>
              <w:widowControl/>
              <w:ind w:firstLine="0"/>
              <w:jc w:val="center"/>
              <w:rPr>
                <w:rFonts w:ascii="宋体" w:hAnsi="宋体" w:eastAsia="宋体" w:cs="Times New Roman"/>
                <w:kern w:val="0"/>
                <w:sz w:val="22"/>
              </w:rPr>
            </w:pPr>
            <w:r>
              <w:rPr>
                <w:rFonts w:hint="eastAsia" w:ascii="宋体" w:hAnsi="宋体" w:eastAsia="宋体" w:cs="宋体"/>
                <w:kern w:val="0"/>
                <w:sz w:val="22"/>
              </w:rPr>
              <w:t>预算单价金额（元）</w:t>
            </w:r>
          </w:p>
        </w:tc>
        <w:tc>
          <w:tcPr>
            <w:tcW w:w="1125" w:type="dxa"/>
            <w:vAlign w:val="center"/>
          </w:tcPr>
          <w:p w14:paraId="4C264F7D">
            <w:pPr>
              <w:widowControl/>
              <w:ind w:firstLine="0"/>
              <w:jc w:val="center"/>
              <w:rPr>
                <w:rFonts w:ascii="宋体" w:hAnsi="宋体" w:eastAsia="宋体" w:cs="Times New Roman"/>
                <w:kern w:val="0"/>
                <w:sz w:val="22"/>
              </w:rPr>
            </w:pPr>
            <w:r>
              <w:rPr>
                <w:rFonts w:hint="eastAsia" w:ascii="宋体" w:hAnsi="宋体" w:eastAsia="宋体" w:cs="宋体"/>
                <w:kern w:val="0"/>
                <w:sz w:val="22"/>
              </w:rPr>
              <w:t>预算金额合计（元）</w:t>
            </w:r>
          </w:p>
        </w:tc>
      </w:tr>
      <w:tr w14:paraId="7796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625" w:type="dxa"/>
            <w:noWrap/>
            <w:vAlign w:val="center"/>
          </w:tcPr>
          <w:p w14:paraId="3A908CA1">
            <w:pPr>
              <w:widowControl/>
              <w:ind w:firstLine="0"/>
              <w:jc w:val="center"/>
              <w:rPr>
                <w:rFonts w:ascii="宋体" w:hAnsi="宋体" w:eastAsia="宋体" w:cs="Times New Roman"/>
                <w:kern w:val="0"/>
                <w:sz w:val="22"/>
              </w:rPr>
            </w:pPr>
            <w:r>
              <w:rPr>
                <w:rFonts w:hint="eastAsia" w:ascii="宋体" w:hAnsi="宋体" w:eastAsia="宋体" w:cs="宋体"/>
                <w:kern w:val="0"/>
                <w:sz w:val="22"/>
              </w:rPr>
              <w:t>1</w:t>
            </w:r>
          </w:p>
        </w:tc>
        <w:tc>
          <w:tcPr>
            <w:tcW w:w="1015" w:type="dxa"/>
            <w:noWrap/>
            <w:vAlign w:val="center"/>
          </w:tcPr>
          <w:p w14:paraId="183C45DB">
            <w:pPr>
              <w:ind w:firstLine="0"/>
              <w:jc w:val="center"/>
              <w:rPr>
                <w:rFonts w:ascii="宋体" w:hAnsi="宋体" w:eastAsia="宋体" w:cs="Times New Roman"/>
                <w:kern w:val="0"/>
                <w:sz w:val="22"/>
              </w:rPr>
            </w:pPr>
            <w:bookmarkStart w:id="50" w:name="OLE_LINK1"/>
            <w:r>
              <w:rPr>
                <w:rFonts w:ascii="宋体" w:hAnsi="宋体" w:eastAsia="宋体" w:cs="等线"/>
                <w:sz w:val="22"/>
                <w:szCs w:val="21"/>
              </w:rPr>
              <w:t>建筑外围护智能监测检测飞机</w:t>
            </w:r>
            <w:bookmarkEnd w:id="50"/>
          </w:p>
        </w:tc>
        <w:tc>
          <w:tcPr>
            <w:tcW w:w="5823" w:type="dxa"/>
            <w:noWrap/>
          </w:tcPr>
          <w:p w14:paraId="2D3D8B0B">
            <w:pPr>
              <w:ind w:firstLine="0"/>
              <w:jc w:val="left"/>
              <w:rPr>
                <w:rFonts w:ascii="宋体" w:hAnsi="宋体" w:eastAsia="宋体" w:cs="Times New Roman"/>
                <w:kern w:val="0"/>
                <w:sz w:val="22"/>
              </w:rPr>
            </w:pPr>
            <w:r>
              <w:rPr>
                <w:rFonts w:ascii="宋体" w:hAnsi="宋体" w:eastAsia="宋体" w:cs="Times New Roman"/>
                <w:kern w:val="0"/>
                <w:sz w:val="22"/>
              </w:rPr>
              <w:t>建筑外围护智能监测检测飞机包括硬件部分及配套软件部分，其中硬件部分为地形航测设备</w:t>
            </w:r>
            <w:r>
              <w:rPr>
                <w:rFonts w:hint="eastAsia" w:ascii="宋体" w:hAnsi="宋体" w:eastAsia="宋体" w:cs="Times New Roman"/>
                <w:kern w:val="0"/>
                <w:sz w:val="22"/>
              </w:rPr>
              <w:t>2个；</w:t>
            </w:r>
            <w:r>
              <w:rPr>
                <w:rFonts w:ascii="宋体" w:hAnsi="宋体" w:eastAsia="宋体" w:cs="Times New Roman"/>
                <w:kern w:val="0"/>
                <w:sz w:val="22"/>
              </w:rPr>
              <w:t>多光谱监测检测模块</w:t>
            </w:r>
            <w:r>
              <w:rPr>
                <w:rFonts w:hint="eastAsia" w:ascii="宋体" w:hAnsi="宋体" w:eastAsia="宋体" w:cs="Times New Roman"/>
                <w:kern w:val="0"/>
                <w:sz w:val="22"/>
              </w:rPr>
              <w:t>2个；</w:t>
            </w:r>
            <w:r>
              <w:rPr>
                <w:rFonts w:ascii="宋体" w:hAnsi="宋体" w:eastAsia="宋体" w:cs="Times New Roman"/>
                <w:kern w:val="0"/>
                <w:sz w:val="22"/>
              </w:rPr>
              <w:t>路面、桥梁监测检测模块</w:t>
            </w:r>
            <w:r>
              <w:rPr>
                <w:rFonts w:hint="eastAsia" w:ascii="宋体" w:hAnsi="宋体" w:eastAsia="宋体" w:cs="Times New Roman"/>
                <w:kern w:val="0"/>
                <w:sz w:val="22"/>
              </w:rPr>
              <w:t>2个；</w:t>
            </w:r>
            <w:r>
              <w:rPr>
                <w:rFonts w:ascii="宋体" w:hAnsi="宋体" w:eastAsia="宋体" w:cs="Times New Roman"/>
                <w:kern w:val="0"/>
                <w:sz w:val="22"/>
              </w:rPr>
              <w:t>便携式地形航测模块</w:t>
            </w:r>
            <w:r>
              <w:rPr>
                <w:rFonts w:hint="eastAsia" w:ascii="宋体" w:hAnsi="宋体" w:eastAsia="宋体" w:cs="Times New Roman"/>
                <w:kern w:val="0"/>
                <w:sz w:val="22"/>
              </w:rPr>
              <w:t>16个；</w:t>
            </w:r>
            <w:r>
              <w:rPr>
                <w:rFonts w:ascii="宋体" w:hAnsi="宋体" w:eastAsia="宋体" w:cs="Times New Roman"/>
                <w:kern w:val="0"/>
                <w:sz w:val="22"/>
              </w:rPr>
              <w:t>机载三维激光检测模块</w:t>
            </w:r>
            <w:r>
              <w:rPr>
                <w:rFonts w:hint="eastAsia" w:ascii="宋体" w:hAnsi="宋体" w:eastAsia="宋体" w:cs="Times New Roman"/>
                <w:kern w:val="0"/>
                <w:sz w:val="22"/>
              </w:rPr>
              <w:t>1个</w:t>
            </w:r>
            <w:r>
              <w:rPr>
                <w:rFonts w:ascii="宋体" w:hAnsi="宋体" w:eastAsia="宋体" w:cs="Times New Roman"/>
                <w:kern w:val="0"/>
                <w:sz w:val="22"/>
              </w:rPr>
              <w:t>，配套软件部分为航测一体化平台软件</w:t>
            </w:r>
            <w:r>
              <w:rPr>
                <w:rFonts w:hint="eastAsia" w:ascii="宋体" w:hAnsi="宋体" w:eastAsia="宋体" w:cs="Times New Roman"/>
                <w:kern w:val="0"/>
                <w:sz w:val="22"/>
              </w:rPr>
              <w:t>66节点；地形地籍成图软件132节点；</w:t>
            </w:r>
            <w:r>
              <w:rPr>
                <w:rFonts w:ascii="宋体" w:hAnsi="宋体" w:eastAsia="宋体" w:cs="Times New Roman"/>
                <w:kern w:val="0"/>
                <w:sz w:val="22"/>
              </w:rPr>
              <w:t>激光点云处理软件</w:t>
            </w:r>
            <w:r>
              <w:rPr>
                <w:rFonts w:hint="eastAsia" w:ascii="宋体" w:hAnsi="宋体" w:eastAsia="宋体" w:cs="Times New Roman"/>
                <w:kern w:val="0"/>
                <w:sz w:val="22"/>
              </w:rPr>
              <w:t>66节点；无人机数据管理模块1个</w:t>
            </w:r>
            <w:r>
              <w:rPr>
                <w:rFonts w:ascii="宋体" w:hAnsi="宋体" w:eastAsia="宋体" w:cs="Times New Roman"/>
                <w:kern w:val="0"/>
                <w:sz w:val="22"/>
              </w:rPr>
              <w:t>。</w:t>
            </w:r>
          </w:p>
          <w:p w14:paraId="0F5E001E">
            <w:pPr>
              <w:ind w:firstLine="0"/>
              <w:jc w:val="left"/>
              <w:rPr>
                <w:rFonts w:ascii="宋体" w:hAnsi="宋体" w:eastAsia="宋体" w:cs="Times New Roman"/>
                <w:b/>
                <w:bCs/>
                <w:kern w:val="0"/>
                <w:sz w:val="22"/>
              </w:rPr>
            </w:pPr>
            <w:r>
              <w:rPr>
                <w:rFonts w:ascii="宋体" w:hAnsi="宋体" w:eastAsia="宋体" w:cs="Times New Roman"/>
                <w:b/>
                <w:bCs/>
                <w:kern w:val="0"/>
                <w:sz w:val="22"/>
              </w:rPr>
              <w:t>一、地形航测设备：</w:t>
            </w:r>
          </w:p>
          <w:p w14:paraId="1F6B2379">
            <w:pPr>
              <w:ind w:firstLine="0"/>
              <w:jc w:val="left"/>
              <w:rPr>
                <w:rFonts w:ascii="宋体" w:hAnsi="宋体" w:eastAsia="宋体" w:cs="Times New Roman"/>
                <w:kern w:val="0"/>
                <w:sz w:val="22"/>
              </w:rPr>
            </w:pPr>
            <w:r>
              <w:rPr>
                <w:rFonts w:ascii="宋体" w:hAnsi="宋体" w:eastAsia="宋体" w:cs="Times New Roman"/>
                <w:kern w:val="0"/>
                <w:sz w:val="22"/>
              </w:rPr>
              <w:t>（1）不带电池：5020 ± 20 克 带电池：9740 ± 40 克</w:t>
            </w:r>
            <w:r>
              <w:rPr>
                <w:rFonts w:hint="eastAsia" w:ascii="宋体" w:hAnsi="宋体" w:eastAsia="宋体" w:cs="Times New Roman"/>
                <w:kern w:val="0"/>
                <w:sz w:val="22"/>
              </w:rPr>
              <w:t>；</w:t>
            </w:r>
          </w:p>
          <w:p w14:paraId="6DA104E5">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w:t>
            </w:r>
            <w:r>
              <w:rPr>
                <w:rFonts w:ascii="宋体" w:hAnsi="宋体" w:eastAsia="宋体" w:cs="Times New Roman"/>
                <w:kern w:val="0"/>
                <w:sz w:val="22"/>
              </w:rPr>
              <w:t>）RTK 定位精度 水平：≥1厘米±1ppm；垂直：≥1.5厘米±1ppm</w:t>
            </w:r>
            <w:r>
              <w:rPr>
                <w:rFonts w:hint="eastAsia" w:ascii="宋体" w:hAnsi="宋体" w:eastAsia="宋体" w:cs="Times New Roman"/>
                <w:kern w:val="0"/>
                <w:sz w:val="22"/>
              </w:rPr>
              <w:t>；</w:t>
            </w:r>
          </w:p>
          <w:p w14:paraId="075A74FD">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w:t>
            </w:r>
            <w:r>
              <w:rPr>
                <w:rFonts w:ascii="宋体" w:hAnsi="宋体" w:eastAsia="宋体" w:cs="Times New Roman"/>
                <w:kern w:val="0"/>
                <w:sz w:val="22"/>
              </w:rPr>
              <w:t>）水平环扫激光雷达，上激光雷达及下三维红外测距传感器</w:t>
            </w:r>
            <w:r>
              <w:rPr>
                <w:rFonts w:hint="eastAsia" w:ascii="宋体" w:hAnsi="宋体" w:eastAsia="宋体" w:cs="Times New Roman"/>
                <w:kern w:val="0"/>
                <w:sz w:val="22"/>
              </w:rPr>
              <w:t>；</w:t>
            </w:r>
          </w:p>
          <w:p w14:paraId="0EE94D90">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4</w:t>
            </w:r>
            <w:r>
              <w:rPr>
                <w:rFonts w:ascii="宋体" w:hAnsi="宋体" w:eastAsia="宋体" w:cs="Times New Roman"/>
                <w:kern w:val="0"/>
                <w:sz w:val="22"/>
              </w:rPr>
              <w:t>）六向毫米波雷达有效使用环境前、后、左、右、上方</w:t>
            </w:r>
            <w:r>
              <w:rPr>
                <w:rFonts w:hint="eastAsia" w:ascii="宋体" w:hAnsi="宋体" w:eastAsia="宋体" w:cs="Times New Roman"/>
                <w:kern w:val="0"/>
                <w:sz w:val="22"/>
              </w:rPr>
              <w:t>；</w:t>
            </w:r>
          </w:p>
          <w:p w14:paraId="711E868C">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5</w:t>
            </w:r>
            <w:r>
              <w:rPr>
                <w:rFonts w:ascii="宋体" w:hAnsi="宋体" w:eastAsia="宋体" w:cs="Times New Roman"/>
                <w:kern w:val="0"/>
                <w:sz w:val="22"/>
              </w:rPr>
              <w:t>）环扫激光雷达</w:t>
            </w:r>
          </w:p>
          <w:p w14:paraId="17C3239C">
            <w:pPr>
              <w:ind w:firstLine="0"/>
              <w:jc w:val="left"/>
              <w:rPr>
                <w:rFonts w:ascii="宋体" w:hAnsi="宋体" w:eastAsia="宋体" w:cs="Times New Roman"/>
                <w:kern w:val="0"/>
                <w:sz w:val="22"/>
              </w:rPr>
            </w:pPr>
            <w:r>
              <w:rPr>
                <w:rFonts w:ascii="宋体" w:hAnsi="宋体" w:eastAsia="宋体" w:cs="Times New Roman"/>
                <w:kern w:val="0"/>
                <w:sz w:val="22"/>
              </w:rPr>
              <w:t>标准量程</w:t>
            </w:r>
            <w:r>
              <w:rPr>
                <w:rFonts w:hint="eastAsia" w:ascii="宋体" w:hAnsi="宋体" w:eastAsia="宋体" w:cs="Times New Roman"/>
                <w:kern w:val="0"/>
                <w:sz w:val="22"/>
              </w:rPr>
              <w:t>不低于</w:t>
            </w:r>
            <w:r>
              <w:rPr>
                <w:rFonts w:ascii="宋体" w:hAnsi="宋体" w:eastAsia="宋体" w:cs="Times New Roman"/>
                <w:kern w:val="0"/>
                <w:sz w:val="22"/>
              </w:rPr>
              <w:t>100 m @ 10% 反射率 @ 100000 lux（反射率 10% 物体）</w:t>
            </w:r>
          </w:p>
          <w:p w14:paraId="09A9E288">
            <w:pPr>
              <w:ind w:firstLine="0"/>
              <w:jc w:val="left"/>
              <w:rPr>
                <w:rFonts w:ascii="宋体" w:hAnsi="宋体" w:eastAsia="宋体" w:cs="Times New Roman"/>
                <w:kern w:val="0"/>
                <w:sz w:val="22"/>
              </w:rPr>
            </w:pPr>
            <w:r>
              <w:rPr>
                <w:rFonts w:ascii="宋体" w:hAnsi="宋体" w:eastAsia="宋体" w:cs="Times New Roman"/>
                <w:kern w:val="0"/>
                <w:sz w:val="22"/>
              </w:rPr>
              <w:t>电线量程：35 m @ 30° @ 10000 lux，相对机身左右方向倾斜角 30° 的 21.6 毫米钢芯铝绞线</w:t>
            </w:r>
          </w:p>
          <w:p w14:paraId="357EA57F">
            <w:pPr>
              <w:ind w:firstLine="0"/>
              <w:jc w:val="left"/>
              <w:rPr>
                <w:rFonts w:ascii="宋体" w:hAnsi="宋体" w:eastAsia="宋体" w:cs="Times New Roman"/>
                <w:kern w:val="0"/>
                <w:sz w:val="22"/>
              </w:rPr>
            </w:pPr>
            <w:r>
              <w:rPr>
                <w:rFonts w:ascii="宋体" w:hAnsi="宋体" w:eastAsia="宋体" w:cs="Times New Roman"/>
                <w:kern w:val="0"/>
                <w:sz w:val="22"/>
              </w:rPr>
              <w:t>视角（FOV）：水平</w:t>
            </w:r>
            <w:r>
              <w:rPr>
                <w:rFonts w:hint="eastAsia" w:ascii="宋体" w:hAnsi="宋体" w:eastAsia="宋体" w:cs="Times New Roman"/>
                <w:kern w:val="0"/>
                <w:sz w:val="22"/>
              </w:rPr>
              <w:t>不低于</w:t>
            </w:r>
            <w:r>
              <w:rPr>
                <w:rFonts w:ascii="宋体" w:hAnsi="宋体" w:eastAsia="宋体" w:cs="Times New Roman"/>
                <w:kern w:val="0"/>
                <w:sz w:val="22"/>
              </w:rPr>
              <w:t xml:space="preserve"> 360°，垂直</w:t>
            </w:r>
            <w:r>
              <w:rPr>
                <w:rFonts w:hint="eastAsia" w:ascii="宋体" w:hAnsi="宋体" w:eastAsia="宋体" w:cs="Times New Roman"/>
                <w:kern w:val="0"/>
                <w:sz w:val="22"/>
              </w:rPr>
              <w:t>不低于</w:t>
            </w:r>
            <w:r>
              <w:rPr>
                <w:rFonts w:ascii="宋体" w:hAnsi="宋体" w:eastAsia="宋体" w:cs="Times New Roman"/>
                <w:kern w:val="0"/>
                <w:sz w:val="22"/>
              </w:rPr>
              <w:t xml:space="preserve"> 58°</w:t>
            </w:r>
          </w:p>
          <w:p w14:paraId="44082EB3">
            <w:pPr>
              <w:ind w:firstLine="0"/>
              <w:jc w:val="left"/>
              <w:rPr>
                <w:rFonts w:ascii="宋体" w:hAnsi="宋体" w:eastAsia="宋体" w:cs="Times New Roman"/>
                <w:kern w:val="0"/>
                <w:sz w:val="22"/>
              </w:rPr>
            </w:pPr>
            <w:r>
              <w:rPr>
                <w:rFonts w:ascii="宋体" w:hAnsi="宋体" w:eastAsia="宋体" w:cs="Times New Roman"/>
                <w:kern w:val="0"/>
                <w:sz w:val="22"/>
              </w:rPr>
              <w:t>点频：≥520000 点/秒</w:t>
            </w:r>
          </w:p>
          <w:p w14:paraId="03F779DF">
            <w:pPr>
              <w:ind w:firstLine="0"/>
              <w:jc w:val="left"/>
              <w:rPr>
                <w:rFonts w:ascii="宋体" w:hAnsi="宋体" w:eastAsia="宋体" w:cs="Times New Roman"/>
                <w:kern w:val="0"/>
                <w:sz w:val="22"/>
              </w:rPr>
            </w:pPr>
            <w:r>
              <w:rPr>
                <w:rFonts w:ascii="宋体" w:hAnsi="宋体" w:eastAsia="宋体" w:cs="Times New Roman"/>
                <w:kern w:val="0"/>
                <w:sz w:val="22"/>
              </w:rPr>
              <w:t>激光波长：≥905 nm</w:t>
            </w:r>
            <w:r>
              <w:rPr>
                <w:rFonts w:hint="eastAsia" w:ascii="宋体" w:hAnsi="宋体" w:eastAsia="宋体" w:cs="Times New Roman"/>
                <w:kern w:val="0"/>
                <w:sz w:val="22"/>
              </w:rPr>
              <w:t>；</w:t>
            </w:r>
          </w:p>
          <w:p w14:paraId="312C5E5B">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6</w:t>
            </w:r>
            <w:r>
              <w:rPr>
                <w:rFonts w:ascii="宋体" w:hAnsi="宋体" w:eastAsia="宋体" w:cs="Times New Roman"/>
                <w:kern w:val="0"/>
                <w:sz w:val="22"/>
              </w:rPr>
              <w:t>）航测五镜头：</w:t>
            </w:r>
          </w:p>
          <w:p w14:paraId="562CF75A">
            <w:pPr>
              <w:ind w:firstLine="0"/>
              <w:jc w:val="left"/>
              <w:rPr>
                <w:rFonts w:ascii="宋体" w:hAnsi="宋体" w:eastAsia="宋体" w:cs="Times New Roman"/>
                <w:kern w:val="0"/>
                <w:sz w:val="22"/>
              </w:rPr>
            </w:pPr>
            <w:r>
              <w:rPr>
                <w:rFonts w:ascii="宋体" w:hAnsi="宋体" w:eastAsia="宋体" w:cs="Times New Roman"/>
                <w:kern w:val="0"/>
                <w:sz w:val="22"/>
              </w:rPr>
              <w:t>总像素：≥1.3 亿；</w:t>
            </w:r>
          </w:p>
          <w:p w14:paraId="6DA12791">
            <w:pPr>
              <w:ind w:firstLine="0"/>
              <w:jc w:val="left"/>
              <w:rPr>
                <w:rFonts w:ascii="宋体" w:hAnsi="宋体" w:eastAsia="宋体" w:cs="Times New Roman"/>
                <w:kern w:val="0"/>
                <w:sz w:val="22"/>
              </w:rPr>
            </w:pPr>
            <w:r>
              <w:rPr>
                <w:rFonts w:ascii="宋体" w:hAnsi="宋体" w:eastAsia="宋体" w:cs="Times New Roman"/>
                <w:kern w:val="0"/>
                <w:sz w:val="22"/>
              </w:rPr>
              <w:t>CMOS数量：≥5pcs；</w:t>
            </w:r>
          </w:p>
          <w:p w14:paraId="55C8E3F9">
            <w:pPr>
              <w:ind w:firstLine="0"/>
              <w:jc w:val="left"/>
              <w:rPr>
                <w:rFonts w:ascii="宋体" w:hAnsi="宋体" w:eastAsia="宋体" w:cs="Times New Roman"/>
                <w:kern w:val="0"/>
                <w:sz w:val="22"/>
              </w:rPr>
            </w:pPr>
            <w:r>
              <w:rPr>
                <w:rFonts w:ascii="宋体" w:hAnsi="宋体" w:eastAsia="宋体" w:cs="Times New Roman"/>
                <w:kern w:val="0"/>
                <w:sz w:val="22"/>
              </w:rPr>
              <w:t>重量：≤630g；</w:t>
            </w:r>
          </w:p>
          <w:p w14:paraId="7E1A4833">
            <w:pPr>
              <w:ind w:firstLine="0"/>
              <w:jc w:val="left"/>
              <w:rPr>
                <w:rFonts w:ascii="宋体" w:hAnsi="宋体" w:eastAsia="宋体" w:cs="Times New Roman"/>
                <w:kern w:val="0"/>
                <w:sz w:val="22"/>
              </w:rPr>
            </w:pPr>
            <w:r>
              <w:rPr>
                <w:rFonts w:ascii="宋体" w:hAnsi="宋体" w:eastAsia="宋体" w:cs="Times New Roman"/>
                <w:kern w:val="0"/>
                <w:sz w:val="22"/>
              </w:rPr>
              <w:t>▲体积：≤105×105×87mm；</w:t>
            </w:r>
          </w:p>
          <w:p w14:paraId="0E9B9FAE">
            <w:pPr>
              <w:ind w:firstLine="0"/>
              <w:jc w:val="left"/>
              <w:rPr>
                <w:rFonts w:ascii="宋体" w:hAnsi="宋体" w:eastAsia="宋体" w:cs="Times New Roman"/>
                <w:kern w:val="0"/>
                <w:sz w:val="22"/>
              </w:rPr>
            </w:pPr>
            <w:r>
              <w:rPr>
                <w:rFonts w:ascii="宋体" w:hAnsi="宋体" w:eastAsia="宋体" w:cs="Times New Roman"/>
                <w:kern w:val="0"/>
                <w:sz w:val="22"/>
              </w:rPr>
              <w:t>▲工作温度：-20°C~65°C</w:t>
            </w:r>
          </w:p>
          <w:p w14:paraId="5E68B845">
            <w:pPr>
              <w:ind w:firstLine="0"/>
              <w:jc w:val="left"/>
              <w:rPr>
                <w:rFonts w:ascii="宋体" w:hAnsi="宋体" w:eastAsia="宋体" w:cs="Times New Roman"/>
                <w:kern w:val="0"/>
                <w:sz w:val="22"/>
              </w:rPr>
            </w:pPr>
            <w:r>
              <w:rPr>
                <w:rFonts w:ascii="宋体" w:hAnsi="宋体" w:eastAsia="宋体" w:cs="Times New Roman"/>
                <w:kern w:val="0"/>
                <w:sz w:val="22"/>
              </w:rPr>
              <w:t>CMOS尺寸：不大于23.5mm*15.6mm；</w:t>
            </w:r>
          </w:p>
          <w:p w14:paraId="38479AFA">
            <w:pPr>
              <w:ind w:firstLine="0"/>
              <w:jc w:val="left"/>
              <w:rPr>
                <w:rFonts w:ascii="宋体" w:hAnsi="宋体" w:eastAsia="宋体" w:cs="Times New Roman"/>
                <w:kern w:val="0"/>
                <w:sz w:val="22"/>
              </w:rPr>
            </w:pPr>
            <w:r>
              <w:rPr>
                <w:rFonts w:ascii="宋体" w:hAnsi="宋体" w:eastAsia="宋体" w:cs="Times New Roman"/>
                <w:kern w:val="0"/>
                <w:sz w:val="22"/>
              </w:rPr>
              <w:t>焦距：≥正视25mm/侧视35mm；</w:t>
            </w:r>
          </w:p>
          <w:p w14:paraId="4B5BE2BD">
            <w:pPr>
              <w:ind w:firstLine="0"/>
              <w:jc w:val="left"/>
              <w:rPr>
                <w:rFonts w:ascii="宋体" w:hAnsi="宋体" w:eastAsia="宋体" w:cs="Times New Roman"/>
                <w:kern w:val="0"/>
                <w:sz w:val="22"/>
              </w:rPr>
            </w:pPr>
            <w:r>
              <w:rPr>
                <w:rFonts w:ascii="宋体" w:hAnsi="宋体" w:eastAsia="宋体" w:cs="Times New Roman"/>
                <w:kern w:val="0"/>
                <w:sz w:val="22"/>
              </w:rPr>
              <w:t>最小曝光间隔：不大于0.5s；</w:t>
            </w:r>
          </w:p>
          <w:p w14:paraId="5480706F">
            <w:pPr>
              <w:ind w:firstLine="0"/>
              <w:jc w:val="left"/>
              <w:rPr>
                <w:rFonts w:ascii="宋体" w:hAnsi="宋体" w:eastAsia="宋体" w:cs="Times New Roman"/>
                <w:kern w:val="0"/>
                <w:sz w:val="22"/>
              </w:rPr>
            </w:pPr>
            <w:r>
              <w:rPr>
                <w:rFonts w:ascii="宋体" w:hAnsi="宋体" w:eastAsia="宋体" w:cs="Times New Roman"/>
                <w:kern w:val="0"/>
                <w:sz w:val="22"/>
              </w:rPr>
              <w:t>三轴稳定云台，云台可自主拆卸；</w:t>
            </w:r>
          </w:p>
          <w:p w14:paraId="7CFFA16F">
            <w:pPr>
              <w:ind w:firstLine="0"/>
              <w:jc w:val="left"/>
              <w:rPr>
                <w:rFonts w:ascii="宋体" w:hAnsi="宋体" w:eastAsia="宋体" w:cs="Times New Roman"/>
                <w:kern w:val="0"/>
                <w:sz w:val="22"/>
              </w:rPr>
            </w:pPr>
            <w:r>
              <w:rPr>
                <w:rFonts w:ascii="宋体" w:hAnsi="宋体" w:eastAsia="宋体" w:cs="Times New Roman"/>
                <w:kern w:val="0"/>
                <w:sz w:val="22"/>
              </w:rPr>
              <w:t>▲数据拷贝速度：≥240MB/s；</w:t>
            </w:r>
          </w:p>
          <w:p w14:paraId="6E08019D">
            <w:pPr>
              <w:ind w:firstLine="0"/>
              <w:jc w:val="left"/>
              <w:rPr>
                <w:rFonts w:ascii="宋体" w:hAnsi="宋体" w:eastAsia="宋体" w:cs="Times New Roman"/>
                <w:kern w:val="0"/>
                <w:sz w:val="22"/>
              </w:rPr>
            </w:pPr>
            <w:r>
              <w:rPr>
                <w:rFonts w:ascii="宋体" w:hAnsi="宋体" w:eastAsia="宋体" w:cs="Times New Roman"/>
                <w:kern w:val="0"/>
                <w:sz w:val="22"/>
              </w:rPr>
              <w:t>存储器模式：外置快拆式高速存储器，支持统一存储数据，统一拷贝数据；</w:t>
            </w:r>
          </w:p>
          <w:p w14:paraId="66779918">
            <w:pPr>
              <w:ind w:firstLine="0"/>
              <w:jc w:val="left"/>
              <w:rPr>
                <w:rFonts w:ascii="宋体" w:hAnsi="宋体" w:eastAsia="宋体" w:cs="Times New Roman"/>
                <w:kern w:val="0"/>
                <w:sz w:val="22"/>
              </w:rPr>
            </w:pPr>
            <w:r>
              <w:rPr>
                <w:rFonts w:ascii="宋体" w:hAnsi="宋体" w:eastAsia="宋体" w:cs="Times New Roman"/>
                <w:kern w:val="0"/>
                <w:sz w:val="22"/>
              </w:rPr>
              <w:t>▲总存储器容量：≥640GB*2</w:t>
            </w:r>
            <w:r>
              <w:rPr>
                <w:rFonts w:hint="eastAsia"/>
              </w:rPr>
              <w:t>个</w:t>
            </w:r>
            <w:r>
              <w:rPr>
                <w:rFonts w:ascii="宋体" w:hAnsi="宋体" w:eastAsia="宋体" w:cs="Times New Roman"/>
                <w:kern w:val="0"/>
                <w:sz w:val="22"/>
              </w:rPr>
              <w:t>；</w:t>
            </w:r>
          </w:p>
          <w:p w14:paraId="329A697D">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7</w:t>
            </w:r>
            <w:r>
              <w:rPr>
                <w:rFonts w:ascii="宋体" w:hAnsi="宋体" w:eastAsia="宋体" w:cs="Times New Roman"/>
                <w:kern w:val="0"/>
                <w:sz w:val="22"/>
              </w:rPr>
              <w:t>）全画幅单镜头：</w:t>
            </w:r>
          </w:p>
          <w:p w14:paraId="6764D369">
            <w:pPr>
              <w:ind w:firstLine="0"/>
              <w:jc w:val="left"/>
              <w:rPr>
                <w:rFonts w:ascii="宋体" w:hAnsi="宋体" w:eastAsia="宋体" w:cs="Times New Roman"/>
                <w:kern w:val="0"/>
                <w:sz w:val="22"/>
              </w:rPr>
            </w:pPr>
            <w:r>
              <w:rPr>
                <w:rFonts w:ascii="宋体" w:hAnsi="宋体" w:eastAsia="宋体" w:cs="Times New Roman"/>
                <w:kern w:val="0"/>
                <w:sz w:val="22"/>
              </w:rPr>
              <w:t>▲重量：负载重量≤800g；</w:t>
            </w:r>
          </w:p>
          <w:p w14:paraId="2F4C8F36">
            <w:pPr>
              <w:ind w:firstLine="0"/>
              <w:jc w:val="left"/>
              <w:rPr>
                <w:rFonts w:ascii="宋体" w:hAnsi="宋体" w:eastAsia="宋体" w:cs="Times New Roman"/>
                <w:kern w:val="0"/>
                <w:sz w:val="22"/>
              </w:rPr>
            </w:pPr>
            <w:r>
              <w:rPr>
                <w:rFonts w:ascii="宋体" w:hAnsi="宋体" w:eastAsia="宋体" w:cs="Times New Roman"/>
                <w:kern w:val="0"/>
                <w:sz w:val="22"/>
              </w:rPr>
              <w:t>增稳云台：具备三轴增稳云台，角度抖动量不超过±0.01°；</w:t>
            </w:r>
          </w:p>
          <w:p w14:paraId="6889B8AD">
            <w:pPr>
              <w:ind w:firstLine="0"/>
              <w:jc w:val="left"/>
              <w:rPr>
                <w:rFonts w:ascii="宋体" w:hAnsi="宋体" w:eastAsia="宋体" w:cs="Times New Roman"/>
                <w:kern w:val="0"/>
                <w:sz w:val="22"/>
              </w:rPr>
            </w:pPr>
            <w:r>
              <w:rPr>
                <w:rFonts w:ascii="宋体" w:hAnsi="宋体" w:eastAsia="宋体" w:cs="Times New Roman"/>
                <w:kern w:val="0"/>
                <w:sz w:val="22"/>
              </w:rPr>
              <w:t>云台转动范围：云台可控转动范围应达到俯仰：-120°至+30°；平移：±320°；</w:t>
            </w:r>
          </w:p>
          <w:p w14:paraId="49BF95EB">
            <w:pPr>
              <w:ind w:firstLine="0"/>
              <w:jc w:val="left"/>
              <w:rPr>
                <w:rFonts w:ascii="宋体" w:hAnsi="宋体" w:eastAsia="宋体" w:cs="Times New Roman"/>
                <w:kern w:val="0"/>
                <w:sz w:val="22"/>
              </w:rPr>
            </w:pPr>
            <w:r>
              <w:rPr>
                <w:rFonts w:ascii="宋体" w:hAnsi="宋体" w:eastAsia="宋体" w:cs="Times New Roman"/>
                <w:kern w:val="0"/>
                <w:sz w:val="22"/>
              </w:rPr>
              <w:t>快拆：负载具备快拆结构，可在30s内完成拆卸/安装；</w:t>
            </w:r>
          </w:p>
          <w:p w14:paraId="7F739D99">
            <w:pPr>
              <w:ind w:firstLine="0"/>
              <w:jc w:val="left"/>
              <w:rPr>
                <w:rFonts w:ascii="宋体" w:hAnsi="宋体" w:eastAsia="宋体" w:cs="Times New Roman"/>
                <w:kern w:val="0"/>
                <w:sz w:val="22"/>
              </w:rPr>
            </w:pPr>
            <w:r>
              <w:rPr>
                <w:rFonts w:ascii="宋体" w:hAnsi="宋体" w:eastAsia="宋体" w:cs="Times New Roman"/>
                <w:kern w:val="0"/>
                <w:sz w:val="22"/>
              </w:rPr>
              <w:t>快门：具备机械快门，快门速度≤1/2000s；</w:t>
            </w:r>
          </w:p>
          <w:p w14:paraId="16C83F7F">
            <w:pPr>
              <w:ind w:firstLine="0"/>
              <w:jc w:val="left"/>
              <w:rPr>
                <w:rFonts w:ascii="宋体" w:hAnsi="宋体" w:eastAsia="宋体" w:cs="Times New Roman"/>
                <w:kern w:val="0"/>
                <w:sz w:val="22"/>
              </w:rPr>
            </w:pPr>
            <w:r>
              <w:rPr>
                <w:rFonts w:ascii="宋体" w:hAnsi="宋体" w:eastAsia="宋体" w:cs="Times New Roman"/>
                <w:kern w:val="0"/>
                <w:sz w:val="22"/>
              </w:rPr>
              <w:t>▲传感器尺寸：具备全画幅传感器，不低于35.9×24 mm；</w:t>
            </w:r>
          </w:p>
          <w:p w14:paraId="484FD4AC">
            <w:pPr>
              <w:ind w:firstLine="0"/>
              <w:jc w:val="left"/>
              <w:rPr>
                <w:rFonts w:ascii="宋体" w:hAnsi="宋体" w:eastAsia="宋体" w:cs="Times New Roman"/>
                <w:kern w:val="0"/>
                <w:sz w:val="22"/>
              </w:rPr>
            </w:pPr>
            <w:r>
              <w:rPr>
                <w:rFonts w:ascii="宋体" w:hAnsi="宋体" w:eastAsia="宋体" w:cs="Times New Roman"/>
                <w:kern w:val="0"/>
                <w:sz w:val="22"/>
              </w:rPr>
              <w:t>▲像素：有效像素≥4500万；</w:t>
            </w:r>
          </w:p>
          <w:p w14:paraId="619B61BB">
            <w:pPr>
              <w:ind w:firstLine="0"/>
              <w:jc w:val="left"/>
              <w:rPr>
                <w:rFonts w:ascii="宋体" w:hAnsi="宋体" w:eastAsia="宋体" w:cs="Times New Roman"/>
                <w:kern w:val="0"/>
                <w:sz w:val="22"/>
              </w:rPr>
            </w:pPr>
            <w:r>
              <w:rPr>
                <w:rFonts w:ascii="宋体" w:hAnsi="宋体" w:eastAsia="宋体" w:cs="Times New Roman"/>
                <w:kern w:val="0"/>
                <w:sz w:val="22"/>
              </w:rPr>
              <w:t>单像元尺寸：像元尺寸≥4.4um；</w:t>
            </w:r>
          </w:p>
          <w:p w14:paraId="667D9875">
            <w:pPr>
              <w:ind w:firstLine="0"/>
              <w:jc w:val="left"/>
              <w:rPr>
                <w:rFonts w:ascii="宋体" w:hAnsi="宋体" w:eastAsia="宋体" w:cs="Times New Roman"/>
                <w:kern w:val="0"/>
                <w:sz w:val="22"/>
              </w:rPr>
            </w:pPr>
            <w:r>
              <w:rPr>
                <w:rFonts w:ascii="宋体" w:hAnsi="宋体" w:eastAsia="宋体" w:cs="Times New Roman"/>
                <w:kern w:val="0"/>
                <w:sz w:val="22"/>
              </w:rPr>
              <w:t>最小拍照间隔：支持间隔拍照的时间间隔≤0.7s；</w:t>
            </w:r>
          </w:p>
          <w:p w14:paraId="62946C30">
            <w:pPr>
              <w:ind w:firstLine="0"/>
              <w:jc w:val="left"/>
              <w:rPr>
                <w:rFonts w:ascii="宋体" w:hAnsi="宋体" w:eastAsia="宋体" w:cs="Times New Roman"/>
                <w:kern w:val="0"/>
                <w:sz w:val="22"/>
              </w:rPr>
            </w:pPr>
            <w:r>
              <w:rPr>
                <w:rFonts w:ascii="宋体" w:hAnsi="宋体" w:eastAsia="宋体" w:cs="Times New Roman"/>
                <w:kern w:val="0"/>
                <w:sz w:val="22"/>
              </w:rPr>
              <w:t>镜头：云台相机的镜头可更换；</w:t>
            </w:r>
          </w:p>
          <w:p w14:paraId="245AF5FD">
            <w:pPr>
              <w:ind w:firstLine="0"/>
              <w:jc w:val="left"/>
              <w:rPr>
                <w:rFonts w:ascii="宋体" w:hAnsi="宋体" w:eastAsia="宋体" w:cs="Times New Roman"/>
                <w:kern w:val="0"/>
                <w:sz w:val="22"/>
              </w:rPr>
            </w:pPr>
            <w:r>
              <w:rPr>
                <w:rFonts w:hint="eastAsia" w:ascii="宋体" w:hAnsi="宋体" w:eastAsia="宋体" w:cs="Times New Roman"/>
                <w:kern w:val="0"/>
                <w:sz w:val="22"/>
              </w:rPr>
              <w:t>（8）地形航测无人机</w:t>
            </w:r>
            <w:r>
              <w:rPr>
                <w:rFonts w:ascii="宋体" w:hAnsi="宋体" w:eastAsia="宋体" w:cs="Times New Roman"/>
                <w:kern w:val="0"/>
                <w:sz w:val="22"/>
              </w:rPr>
              <w:t>提供不低于一年质保，机身险及不低于20万三者险1年版1份。</w:t>
            </w:r>
          </w:p>
          <w:p w14:paraId="157064FF">
            <w:pPr>
              <w:ind w:firstLine="0"/>
              <w:jc w:val="left"/>
              <w:rPr>
                <w:rFonts w:ascii="宋体" w:hAnsi="宋体" w:eastAsia="宋体" w:cs="Times New Roman"/>
                <w:b/>
                <w:bCs/>
                <w:kern w:val="0"/>
                <w:sz w:val="22"/>
              </w:rPr>
            </w:pPr>
            <w:r>
              <w:rPr>
                <w:rFonts w:ascii="宋体" w:hAnsi="宋体" w:eastAsia="宋体" w:cs="Times New Roman"/>
                <w:b/>
                <w:bCs/>
                <w:kern w:val="0"/>
                <w:sz w:val="22"/>
              </w:rPr>
              <w:t>二、多光谱监测检测模块：</w:t>
            </w:r>
          </w:p>
          <w:p w14:paraId="4D119EA6">
            <w:pPr>
              <w:ind w:firstLine="0"/>
              <w:jc w:val="left"/>
              <w:rPr>
                <w:rFonts w:ascii="宋体" w:hAnsi="宋体" w:eastAsia="宋体" w:cs="Times New Roman"/>
                <w:kern w:val="0"/>
                <w:sz w:val="22"/>
              </w:rPr>
            </w:pPr>
            <w:r>
              <w:rPr>
                <w:rFonts w:ascii="宋体" w:hAnsi="宋体" w:eastAsia="宋体" w:cs="Times New Roman"/>
                <w:kern w:val="0"/>
                <w:sz w:val="22"/>
              </w:rPr>
              <w:t>（1）起飞重量（无配件） ≤1000g</w:t>
            </w:r>
            <w:r>
              <w:rPr>
                <w:rFonts w:hint="eastAsia" w:ascii="宋体" w:hAnsi="宋体" w:eastAsia="宋体" w:cs="Times New Roman"/>
                <w:kern w:val="0"/>
                <w:sz w:val="22"/>
              </w:rPr>
              <w:t>；</w:t>
            </w:r>
          </w:p>
          <w:p w14:paraId="648877EF">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w:t>
            </w:r>
            <w:r>
              <w:rPr>
                <w:rFonts w:ascii="宋体" w:hAnsi="宋体" w:eastAsia="宋体" w:cs="Times New Roman"/>
                <w:kern w:val="0"/>
                <w:sz w:val="22"/>
              </w:rPr>
              <w:t>）可见光相机CMOS 具备可见光测绘相机，相机CMOS不低于4/3英寸</w:t>
            </w:r>
            <w:r>
              <w:rPr>
                <w:rFonts w:hint="eastAsia" w:ascii="宋体" w:hAnsi="宋体" w:eastAsia="宋体" w:cs="Times New Roman"/>
                <w:kern w:val="0"/>
                <w:sz w:val="22"/>
              </w:rPr>
              <w:t>；</w:t>
            </w:r>
          </w:p>
          <w:p w14:paraId="534AA5FD">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w:t>
            </w:r>
            <w:r>
              <w:rPr>
                <w:rFonts w:ascii="宋体" w:hAnsi="宋体" w:eastAsia="宋体" w:cs="Times New Roman"/>
                <w:kern w:val="0"/>
                <w:sz w:val="22"/>
              </w:rPr>
              <w:t>）可见光相机像素 有效像素不低于2000万</w:t>
            </w:r>
            <w:r>
              <w:rPr>
                <w:rFonts w:hint="eastAsia" w:ascii="宋体" w:hAnsi="宋体" w:eastAsia="宋体" w:cs="Times New Roman"/>
                <w:kern w:val="0"/>
                <w:sz w:val="22"/>
              </w:rPr>
              <w:t>；</w:t>
            </w:r>
          </w:p>
          <w:p w14:paraId="5B2AC6CE">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4</w:t>
            </w:r>
            <w:r>
              <w:rPr>
                <w:rFonts w:ascii="宋体" w:hAnsi="宋体" w:eastAsia="宋体" w:cs="Times New Roman"/>
                <w:kern w:val="0"/>
                <w:sz w:val="22"/>
              </w:rPr>
              <w:t>）多光谱相机 除可见光相机外，应具备绿、红、红边、近红外多光谱相机</w:t>
            </w:r>
            <w:r>
              <w:rPr>
                <w:rFonts w:hint="eastAsia" w:ascii="宋体" w:hAnsi="宋体" w:eastAsia="宋体" w:cs="Times New Roman"/>
                <w:kern w:val="0"/>
                <w:sz w:val="22"/>
              </w:rPr>
              <w:t>；</w:t>
            </w:r>
          </w:p>
          <w:p w14:paraId="5B56E2B9">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5</w:t>
            </w:r>
            <w:r>
              <w:rPr>
                <w:rFonts w:ascii="宋体" w:hAnsi="宋体" w:eastAsia="宋体" w:cs="Times New Roman"/>
                <w:kern w:val="0"/>
                <w:sz w:val="22"/>
              </w:rPr>
              <w:t>）多光谱相机有效像素 多光谱相机有效像素不低于500万</w:t>
            </w:r>
            <w:r>
              <w:rPr>
                <w:rFonts w:hint="eastAsia" w:ascii="宋体" w:hAnsi="宋体" w:eastAsia="宋体" w:cs="Times New Roman"/>
                <w:kern w:val="0"/>
                <w:sz w:val="22"/>
              </w:rPr>
              <w:t>；</w:t>
            </w:r>
          </w:p>
          <w:p w14:paraId="768934E5">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6</w:t>
            </w:r>
            <w:r>
              <w:rPr>
                <w:rFonts w:ascii="宋体" w:hAnsi="宋体" w:eastAsia="宋体" w:cs="Times New Roman"/>
                <w:kern w:val="0"/>
                <w:sz w:val="22"/>
              </w:rPr>
              <w:t>）主机提供</w:t>
            </w:r>
            <w:r>
              <w:rPr>
                <w:rFonts w:hint="eastAsia" w:ascii="宋体" w:hAnsi="宋体" w:eastAsia="宋体" w:cs="Times New Roman"/>
                <w:kern w:val="0"/>
                <w:sz w:val="22"/>
              </w:rPr>
              <w:t>不低于</w:t>
            </w:r>
            <w:r>
              <w:rPr>
                <w:rFonts w:ascii="宋体" w:hAnsi="宋体" w:eastAsia="宋体" w:cs="Times New Roman"/>
                <w:kern w:val="0"/>
                <w:sz w:val="22"/>
              </w:rPr>
              <w:t>一年质保，机身险及20W三者险1年版1份</w:t>
            </w:r>
            <w:r>
              <w:rPr>
                <w:rFonts w:hint="eastAsia" w:ascii="宋体" w:hAnsi="宋体" w:eastAsia="宋体" w:cs="Times New Roman"/>
                <w:kern w:val="0"/>
                <w:sz w:val="22"/>
              </w:rPr>
              <w:t>。</w:t>
            </w:r>
          </w:p>
          <w:p w14:paraId="3F30F555">
            <w:pPr>
              <w:ind w:firstLine="0"/>
              <w:jc w:val="left"/>
              <w:rPr>
                <w:rFonts w:ascii="宋体" w:hAnsi="宋体" w:eastAsia="宋体" w:cs="Times New Roman"/>
                <w:kern w:val="0"/>
                <w:sz w:val="22"/>
              </w:rPr>
            </w:pPr>
            <w:r>
              <w:rPr>
                <w:rFonts w:ascii="宋体" w:hAnsi="宋体" w:eastAsia="宋体" w:cs="Times New Roman"/>
                <w:b/>
                <w:bCs/>
                <w:kern w:val="0"/>
                <w:sz w:val="22"/>
              </w:rPr>
              <w:t>三、路面、桥梁监测检测模块</w:t>
            </w:r>
            <w:r>
              <w:rPr>
                <w:rFonts w:ascii="宋体" w:hAnsi="宋体" w:eastAsia="宋体" w:cs="Times New Roman"/>
                <w:kern w:val="0"/>
                <w:sz w:val="22"/>
              </w:rPr>
              <w:t>：</w:t>
            </w:r>
          </w:p>
          <w:p w14:paraId="45FA1FF7">
            <w:pPr>
              <w:ind w:firstLine="0"/>
              <w:jc w:val="left"/>
              <w:rPr>
                <w:rFonts w:ascii="宋体" w:hAnsi="宋体" w:eastAsia="宋体" w:cs="Times New Roman"/>
                <w:kern w:val="0"/>
                <w:sz w:val="22"/>
              </w:rPr>
            </w:pPr>
            <w:r>
              <w:rPr>
                <w:rFonts w:ascii="宋体" w:hAnsi="宋体" w:eastAsia="宋体" w:cs="Times New Roman"/>
                <w:kern w:val="0"/>
                <w:sz w:val="22"/>
              </w:rPr>
              <w:t>（1）不带电池：5020±20克带电池：9740±40克</w:t>
            </w:r>
            <w:r>
              <w:rPr>
                <w:rFonts w:hint="eastAsia" w:ascii="宋体" w:hAnsi="宋体" w:eastAsia="宋体" w:cs="Times New Roman"/>
                <w:kern w:val="0"/>
                <w:sz w:val="22"/>
              </w:rPr>
              <w:t>；</w:t>
            </w:r>
          </w:p>
          <w:p w14:paraId="5F52B7EB">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w:t>
            </w:r>
            <w:r>
              <w:rPr>
                <w:rFonts w:ascii="宋体" w:hAnsi="宋体" w:eastAsia="宋体" w:cs="Times New Roman"/>
                <w:kern w:val="0"/>
                <w:sz w:val="22"/>
              </w:rPr>
              <w:t>）RTK 定位精度 水平：≥1 厘米 ± 1 ppm；垂直：≥1.5 厘米 ± 1 ppm</w:t>
            </w:r>
            <w:r>
              <w:rPr>
                <w:rFonts w:hint="eastAsia" w:ascii="宋体" w:hAnsi="宋体" w:eastAsia="宋体" w:cs="Times New Roman"/>
                <w:kern w:val="0"/>
                <w:sz w:val="22"/>
              </w:rPr>
              <w:t>；</w:t>
            </w:r>
          </w:p>
          <w:p w14:paraId="351561C3">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w:t>
            </w:r>
            <w:r>
              <w:rPr>
                <w:rFonts w:ascii="宋体" w:hAnsi="宋体" w:eastAsia="宋体" w:cs="Times New Roman"/>
                <w:kern w:val="0"/>
                <w:sz w:val="22"/>
              </w:rPr>
              <w:t>）水平环扫激光雷达，上激光雷达及下三维红外测距传感器</w:t>
            </w:r>
            <w:r>
              <w:rPr>
                <w:rFonts w:hint="eastAsia" w:ascii="宋体" w:hAnsi="宋体" w:eastAsia="宋体" w:cs="Times New Roman"/>
                <w:kern w:val="0"/>
                <w:sz w:val="22"/>
              </w:rPr>
              <w:t>；</w:t>
            </w:r>
          </w:p>
          <w:p w14:paraId="0D751663">
            <w:pPr>
              <w:ind w:firstLine="0"/>
              <w:jc w:val="left"/>
              <w:rPr>
                <w:rFonts w:ascii="宋体" w:hAnsi="宋体" w:eastAsia="宋体" w:cs="Times New Roman"/>
                <w:kern w:val="0"/>
                <w:sz w:val="24"/>
                <w:szCs w:val="24"/>
              </w:rPr>
            </w:pPr>
            <w:r>
              <w:rPr>
                <w:rFonts w:ascii="宋体" w:hAnsi="宋体" w:eastAsia="宋体" w:cs="Times New Roman"/>
                <w:kern w:val="0"/>
                <w:sz w:val="22"/>
              </w:rPr>
              <w:t>（</w:t>
            </w:r>
            <w:r>
              <w:rPr>
                <w:rFonts w:hint="eastAsia" w:ascii="宋体" w:hAnsi="宋体" w:eastAsia="宋体" w:cs="Times New Roman"/>
                <w:kern w:val="0"/>
                <w:sz w:val="22"/>
              </w:rPr>
              <w:t>4</w:t>
            </w:r>
            <w:r>
              <w:rPr>
                <w:rFonts w:ascii="宋体" w:hAnsi="宋体" w:eastAsia="宋体" w:cs="Times New Roman"/>
                <w:kern w:val="0"/>
                <w:sz w:val="22"/>
              </w:rPr>
              <w:t>）六向毫米波雷达有效使用环境前、后、左、右、上方</w:t>
            </w:r>
            <w:r>
              <w:rPr>
                <w:rFonts w:hint="eastAsia" w:ascii="宋体" w:hAnsi="宋体" w:eastAsia="宋体" w:cs="Times New Roman"/>
                <w:kern w:val="0"/>
                <w:sz w:val="22"/>
              </w:rPr>
              <w:t>；</w:t>
            </w:r>
          </w:p>
          <w:p w14:paraId="32D16C03">
            <w:pPr>
              <w:ind w:firstLine="0"/>
              <w:jc w:val="left"/>
              <w:rPr>
                <w:rFonts w:ascii="宋体" w:hAnsi="宋体" w:eastAsia="宋体" w:cs="Times New Roman"/>
                <w:kern w:val="0"/>
                <w:sz w:val="22"/>
              </w:rPr>
            </w:pPr>
            <w:r>
              <w:rPr>
                <w:rFonts w:ascii="宋体" w:hAnsi="宋体" w:eastAsia="宋体" w:cs="Times New Roman"/>
                <w:kern w:val="0"/>
                <w:sz w:val="24"/>
                <w:szCs w:val="24"/>
              </w:rPr>
              <w:t>（</w:t>
            </w:r>
            <w:r>
              <w:rPr>
                <w:rFonts w:hint="eastAsia" w:ascii="宋体" w:hAnsi="宋体" w:eastAsia="宋体" w:cs="Times New Roman"/>
                <w:kern w:val="0"/>
                <w:sz w:val="24"/>
                <w:szCs w:val="24"/>
              </w:rPr>
              <w:t>5</w:t>
            </w:r>
            <w:r>
              <w:rPr>
                <w:rFonts w:ascii="宋体" w:hAnsi="宋体" w:eastAsia="宋体" w:cs="Times New Roman"/>
                <w:kern w:val="0"/>
                <w:sz w:val="24"/>
                <w:szCs w:val="24"/>
              </w:rPr>
              <w:t>）</w:t>
            </w:r>
            <w:r>
              <w:rPr>
                <w:rFonts w:ascii="宋体" w:hAnsi="宋体" w:eastAsia="宋体" w:cs="Times New Roman"/>
                <w:kern w:val="0"/>
                <w:sz w:val="22"/>
              </w:rPr>
              <w:t>环扫激光雷达</w:t>
            </w:r>
          </w:p>
          <w:p w14:paraId="1B88C882">
            <w:pPr>
              <w:ind w:firstLine="0"/>
              <w:jc w:val="left"/>
              <w:rPr>
                <w:rFonts w:ascii="宋体" w:hAnsi="宋体" w:eastAsia="宋体" w:cs="Times New Roman"/>
                <w:kern w:val="0"/>
                <w:sz w:val="22"/>
              </w:rPr>
            </w:pPr>
            <w:r>
              <w:rPr>
                <w:rFonts w:ascii="宋体" w:hAnsi="宋体" w:eastAsia="宋体" w:cs="Times New Roman"/>
                <w:kern w:val="0"/>
                <w:sz w:val="22"/>
              </w:rPr>
              <w:t>标准量程</w:t>
            </w:r>
            <w:r>
              <w:rPr>
                <w:rFonts w:hint="eastAsia" w:ascii="宋体" w:hAnsi="宋体" w:eastAsia="宋体" w:cs="Times New Roman"/>
                <w:kern w:val="0"/>
                <w:sz w:val="22"/>
              </w:rPr>
              <w:t>不低于</w:t>
            </w:r>
            <w:r>
              <w:rPr>
                <w:rFonts w:ascii="宋体" w:hAnsi="宋体" w:eastAsia="宋体" w:cs="Times New Roman"/>
                <w:kern w:val="0"/>
                <w:sz w:val="22"/>
              </w:rPr>
              <w:t>100 m @ 10% 反射率 @ 100000 lux（反射率 10% 物体）</w:t>
            </w:r>
          </w:p>
          <w:p w14:paraId="562C70F5">
            <w:pPr>
              <w:ind w:firstLine="0"/>
              <w:jc w:val="left"/>
              <w:rPr>
                <w:rFonts w:ascii="宋体" w:hAnsi="宋体" w:eastAsia="宋体" w:cs="Times New Roman"/>
                <w:kern w:val="0"/>
                <w:sz w:val="22"/>
              </w:rPr>
            </w:pPr>
            <w:r>
              <w:rPr>
                <w:rFonts w:ascii="宋体" w:hAnsi="宋体" w:eastAsia="宋体" w:cs="Times New Roman"/>
                <w:kern w:val="0"/>
                <w:sz w:val="22"/>
              </w:rPr>
              <w:t>电线量程：35 m @ 30° @ 10000 lux，相对机身左右方向倾斜角 30° 的 21.6 毫米钢芯铝绞线</w:t>
            </w:r>
          </w:p>
          <w:p w14:paraId="18D13A9C">
            <w:pPr>
              <w:ind w:firstLine="0"/>
              <w:jc w:val="left"/>
              <w:rPr>
                <w:rFonts w:ascii="宋体" w:hAnsi="宋体" w:eastAsia="宋体" w:cs="Times New Roman"/>
                <w:kern w:val="0"/>
                <w:sz w:val="22"/>
              </w:rPr>
            </w:pPr>
            <w:r>
              <w:rPr>
                <w:rFonts w:ascii="宋体" w:hAnsi="宋体" w:eastAsia="宋体" w:cs="Times New Roman"/>
                <w:kern w:val="0"/>
                <w:sz w:val="22"/>
              </w:rPr>
              <w:t>视角（FOV）：水平</w:t>
            </w:r>
            <w:r>
              <w:rPr>
                <w:rFonts w:hint="eastAsia" w:ascii="宋体" w:hAnsi="宋体" w:eastAsia="宋体" w:cs="Times New Roman"/>
                <w:kern w:val="0"/>
                <w:sz w:val="22"/>
              </w:rPr>
              <w:t>不低于</w:t>
            </w:r>
            <w:r>
              <w:rPr>
                <w:rFonts w:ascii="宋体" w:hAnsi="宋体" w:eastAsia="宋体" w:cs="Times New Roman"/>
                <w:kern w:val="0"/>
                <w:sz w:val="22"/>
              </w:rPr>
              <w:t xml:space="preserve"> 360°，垂直</w:t>
            </w:r>
            <w:r>
              <w:rPr>
                <w:rFonts w:hint="eastAsia" w:ascii="宋体" w:hAnsi="宋体" w:eastAsia="宋体" w:cs="Times New Roman"/>
                <w:kern w:val="0"/>
                <w:sz w:val="22"/>
              </w:rPr>
              <w:t>不低于</w:t>
            </w:r>
            <w:r>
              <w:rPr>
                <w:rFonts w:ascii="宋体" w:hAnsi="宋体" w:eastAsia="宋体" w:cs="Times New Roman"/>
                <w:kern w:val="0"/>
                <w:sz w:val="22"/>
              </w:rPr>
              <w:t xml:space="preserve"> 58°</w:t>
            </w:r>
          </w:p>
          <w:p w14:paraId="07C3C3D2">
            <w:pPr>
              <w:ind w:firstLine="0"/>
              <w:jc w:val="left"/>
              <w:rPr>
                <w:rFonts w:ascii="宋体" w:hAnsi="宋体" w:eastAsia="宋体" w:cs="Times New Roman"/>
                <w:kern w:val="0"/>
                <w:sz w:val="22"/>
              </w:rPr>
            </w:pPr>
            <w:r>
              <w:rPr>
                <w:rFonts w:ascii="宋体" w:hAnsi="宋体" w:eastAsia="宋体" w:cs="Times New Roman"/>
                <w:kern w:val="0"/>
                <w:sz w:val="22"/>
              </w:rPr>
              <w:t>点频：≥520000 点/秒</w:t>
            </w:r>
          </w:p>
          <w:p w14:paraId="671C26BC">
            <w:pPr>
              <w:ind w:firstLine="0"/>
              <w:jc w:val="left"/>
              <w:rPr>
                <w:rFonts w:ascii="宋体" w:hAnsi="宋体" w:eastAsia="宋体" w:cs="Times New Roman"/>
                <w:kern w:val="0"/>
                <w:sz w:val="22"/>
              </w:rPr>
            </w:pPr>
            <w:r>
              <w:rPr>
                <w:rFonts w:ascii="宋体" w:hAnsi="宋体" w:eastAsia="宋体" w:cs="Times New Roman"/>
                <w:kern w:val="0"/>
                <w:sz w:val="22"/>
              </w:rPr>
              <w:t>激光波长：≥905 nm</w:t>
            </w:r>
          </w:p>
          <w:p w14:paraId="48B4B296">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6</w:t>
            </w:r>
            <w:r>
              <w:rPr>
                <w:rFonts w:ascii="宋体" w:hAnsi="宋体" w:eastAsia="宋体" w:cs="Times New Roman"/>
                <w:kern w:val="0"/>
                <w:sz w:val="22"/>
              </w:rPr>
              <w:t>）热成像巡检镜头：</w:t>
            </w:r>
          </w:p>
          <w:p w14:paraId="611F7985">
            <w:pPr>
              <w:ind w:firstLine="0"/>
              <w:jc w:val="left"/>
              <w:rPr>
                <w:rFonts w:ascii="宋体" w:hAnsi="宋体" w:eastAsia="宋体" w:cs="Times New Roman"/>
                <w:kern w:val="0"/>
                <w:sz w:val="22"/>
              </w:rPr>
            </w:pPr>
            <w:r>
              <w:rPr>
                <w:rFonts w:ascii="宋体" w:hAnsi="宋体" w:eastAsia="宋体" w:cs="Times New Roman"/>
                <w:kern w:val="0"/>
                <w:sz w:val="22"/>
              </w:rPr>
              <w:t>▲重量：负载重量≤1kg；</w:t>
            </w:r>
          </w:p>
          <w:p w14:paraId="7B0D66B1">
            <w:pPr>
              <w:ind w:firstLine="0"/>
              <w:jc w:val="left"/>
              <w:rPr>
                <w:rFonts w:ascii="宋体" w:hAnsi="宋体" w:eastAsia="宋体" w:cs="Times New Roman"/>
                <w:kern w:val="0"/>
                <w:sz w:val="22"/>
              </w:rPr>
            </w:pPr>
            <w:r>
              <w:rPr>
                <w:rFonts w:ascii="宋体" w:hAnsi="宋体" w:eastAsia="宋体" w:cs="Times New Roman"/>
                <w:kern w:val="0"/>
                <w:sz w:val="22"/>
              </w:rPr>
              <w:t>防护等级：不低于IP54的防护等级；</w:t>
            </w:r>
          </w:p>
          <w:p w14:paraId="734357DB">
            <w:pPr>
              <w:ind w:firstLine="0"/>
              <w:jc w:val="left"/>
              <w:rPr>
                <w:rFonts w:ascii="宋体" w:hAnsi="宋体" w:eastAsia="宋体" w:cs="Times New Roman"/>
                <w:kern w:val="0"/>
                <w:sz w:val="22"/>
              </w:rPr>
            </w:pPr>
            <w:r>
              <w:rPr>
                <w:rFonts w:ascii="宋体" w:hAnsi="宋体" w:eastAsia="宋体" w:cs="Times New Roman"/>
                <w:kern w:val="0"/>
                <w:sz w:val="22"/>
              </w:rPr>
              <w:t>▲工作温度：工作温度区间不小于-20°C至 50°C；</w:t>
            </w:r>
          </w:p>
          <w:p w14:paraId="0521B4D4">
            <w:pPr>
              <w:ind w:firstLine="0"/>
              <w:jc w:val="left"/>
              <w:rPr>
                <w:rFonts w:ascii="宋体" w:hAnsi="宋体" w:eastAsia="宋体" w:cs="Times New Roman"/>
                <w:kern w:val="0"/>
                <w:sz w:val="22"/>
              </w:rPr>
            </w:pPr>
            <w:r>
              <w:rPr>
                <w:rFonts w:ascii="宋体" w:hAnsi="宋体" w:eastAsia="宋体" w:cs="Times New Roman"/>
                <w:kern w:val="0"/>
                <w:sz w:val="22"/>
              </w:rPr>
              <w:t>增稳云台：具备三轴增稳云台，角度抖动量不超过±0.01°；</w:t>
            </w:r>
          </w:p>
          <w:p w14:paraId="64B4BF55">
            <w:pPr>
              <w:ind w:firstLine="0"/>
              <w:jc w:val="left"/>
              <w:rPr>
                <w:rFonts w:ascii="宋体" w:hAnsi="宋体" w:eastAsia="宋体" w:cs="Times New Roman"/>
                <w:kern w:val="0"/>
                <w:sz w:val="22"/>
              </w:rPr>
            </w:pPr>
            <w:r>
              <w:rPr>
                <w:rFonts w:ascii="宋体" w:hAnsi="宋体" w:eastAsia="宋体" w:cs="Times New Roman"/>
                <w:kern w:val="0"/>
                <w:sz w:val="22"/>
              </w:rPr>
              <w:t>云台转动范围：云台可控转动范围应达到俯仰：-120°至+60°；平移：±320°；</w:t>
            </w:r>
          </w:p>
          <w:p w14:paraId="50053EF9">
            <w:pPr>
              <w:ind w:firstLine="0"/>
              <w:jc w:val="left"/>
              <w:rPr>
                <w:rFonts w:ascii="宋体" w:hAnsi="宋体" w:eastAsia="宋体" w:cs="Times New Roman"/>
                <w:kern w:val="0"/>
                <w:sz w:val="22"/>
              </w:rPr>
            </w:pPr>
            <w:r>
              <w:rPr>
                <w:rFonts w:ascii="宋体" w:hAnsi="宋体" w:eastAsia="宋体" w:cs="Times New Roman"/>
                <w:kern w:val="0"/>
                <w:sz w:val="22"/>
              </w:rPr>
              <w:t>支持：可拓展容量≥512GB；</w:t>
            </w:r>
          </w:p>
          <w:p w14:paraId="6569AB5C">
            <w:pPr>
              <w:ind w:firstLine="0"/>
              <w:jc w:val="left"/>
              <w:rPr>
                <w:rFonts w:ascii="宋体" w:hAnsi="宋体" w:eastAsia="宋体" w:cs="Times New Roman"/>
                <w:kern w:val="0"/>
                <w:sz w:val="22"/>
              </w:rPr>
            </w:pPr>
            <w:r>
              <w:rPr>
                <w:rFonts w:ascii="宋体" w:hAnsi="宋体" w:eastAsia="宋体" w:cs="Times New Roman"/>
                <w:kern w:val="0"/>
                <w:sz w:val="22"/>
              </w:rPr>
              <w:t>点云数据率：单回波点云数据率不低于240000pts/s；</w:t>
            </w:r>
          </w:p>
          <w:p w14:paraId="1D05AF47">
            <w:pPr>
              <w:ind w:firstLine="0"/>
              <w:jc w:val="left"/>
              <w:rPr>
                <w:rFonts w:ascii="宋体" w:hAnsi="宋体" w:eastAsia="宋体" w:cs="Times New Roman"/>
                <w:kern w:val="0"/>
                <w:sz w:val="22"/>
              </w:rPr>
            </w:pPr>
            <w:r>
              <w:rPr>
                <w:rFonts w:ascii="宋体" w:hAnsi="宋体" w:eastAsia="宋体" w:cs="Times New Roman"/>
                <w:kern w:val="0"/>
                <w:sz w:val="22"/>
              </w:rPr>
              <w:t>▲像素：广角 有效像素≥4800万，变焦 ≥ 4000万；</w:t>
            </w:r>
          </w:p>
          <w:p w14:paraId="5CFE271D">
            <w:pPr>
              <w:ind w:firstLine="0"/>
              <w:jc w:val="left"/>
              <w:rPr>
                <w:rFonts w:ascii="宋体" w:hAnsi="宋体" w:eastAsia="宋体" w:cs="Times New Roman"/>
                <w:kern w:val="0"/>
                <w:sz w:val="22"/>
              </w:rPr>
            </w:pPr>
            <w:r>
              <w:rPr>
                <w:rFonts w:ascii="宋体" w:hAnsi="宋体" w:eastAsia="宋体" w:cs="Times New Roman"/>
                <w:kern w:val="0"/>
                <w:sz w:val="22"/>
              </w:rPr>
              <w:t>▲相机尺寸：可见光相机具备≥1/1.3 英寸 CMOS传感器；</w:t>
            </w:r>
          </w:p>
          <w:p w14:paraId="4D424207">
            <w:pPr>
              <w:ind w:firstLine="0"/>
              <w:jc w:val="left"/>
              <w:rPr>
                <w:rFonts w:ascii="宋体" w:hAnsi="宋体" w:eastAsia="宋体" w:cs="Times New Roman"/>
                <w:kern w:val="0"/>
                <w:sz w:val="22"/>
              </w:rPr>
            </w:pPr>
            <w:r>
              <w:rPr>
                <w:rFonts w:ascii="宋体" w:hAnsi="宋体" w:eastAsia="宋体" w:cs="Times New Roman"/>
                <w:kern w:val="0"/>
                <w:sz w:val="22"/>
              </w:rPr>
              <w:t>视频分辨率：广角、变焦 ≥3840 × 2160@30fps，红外 视频分辨率≥1280x1024@30fps ；</w:t>
            </w:r>
          </w:p>
          <w:p w14:paraId="2989756B">
            <w:pPr>
              <w:ind w:firstLine="0"/>
              <w:jc w:val="left"/>
              <w:rPr>
                <w:rFonts w:ascii="宋体" w:hAnsi="宋体" w:eastAsia="宋体" w:cs="Times New Roman"/>
                <w:kern w:val="0"/>
                <w:sz w:val="24"/>
                <w:szCs w:val="24"/>
              </w:rPr>
            </w:pPr>
            <w:r>
              <w:rPr>
                <w:rFonts w:ascii="宋体" w:hAnsi="宋体" w:eastAsia="宋体" w:cs="Times New Roman"/>
                <w:kern w:val="0"/>
                <w:sz w:val="22"/>
              </w:rPr>
              <w:t>▲红外变焦相机：光学变焦能力≥32倍；</w:t>
            </w:r>
          </w:p>
          <w:p w14:paraId="7EAE19A1">
            <w:pPr>
              <w:ind w:firstLine="0"/>
              <w:jc w:val="left"/>
              <w:rPr>
                <w:rFonts w:ascii="宋体" w:hAnsi="宋体" w:eastAsia="宋体" w:cs="Times New Roman"/>
                <w:kern w:val="0"/>
                <w:sz w:val="22"/>
              </w:rPr>
            </w:pPr>
            <w:r>
              <w:rPr>
                <w:rFonts w:ascii="宋体" w:hAnsi="宋体" w:eastAsia="宋体" w:cs="Times New Roman"/>
                <w:kern w:val="0"/>
                <w:sz w:val="22"/>
              </w:rPr>
              <w:t>扫描方式：雷达采用框幅式扫描方式，FOV≥70°；</w:t>
            </w:r>
          </w:p>
          <w:p w14:paraId="2E11547B">
            <w:pPr>
              <w:ind w:firstLine="0"/>
              <w:jc w:val="left"/>
              <w:rPr>
                <w:rFonts w:ascii="宋体" w:hAnsi="宋体" w:eastAsia="宋体" w:cs="Times New Roman"/>
                <w:kern w:val="0"/>
                <w:sz w:val="22"/>
              </w:rPr>
            </w:pPr>
            <w:r>
              <w:rPr>
                <w:rFonts w:ascii="宋体" w:hAnsi="宋体" w:eastAsia="宋体" w:cs="Times New Roman"/>
                <w:kern w:val="0"/>
                <w:sz w:val="22"/>
              </w:rPr>
              <w:t>▲激光雷达量程：激光雷达的最大探测距离不低于300m；</w:t>
            </w:r>
          </w:p>
          <w:p w14:paraId="3068968B">
            <w:pPr>
              <w:ind w:firstLine="0"/>
              <w:jc w:val="left"/>
              <w:rPr>
                <w:rFonts w:ascii="宋体" w:hAnsi="宋体" w:eastAsia="宋体" w:cs="Times New Roman"/>
                <w:kern w:val="0"/>
                <w:sz w:val="22"/>
              </w:rPr>
            </w:pPr>
            <w:r>
              <w:rPr>
                <w:rFonts w:ascii="宋体" w:hAnsi="宋体" w:eastAsia="宋体" w:cs="Times New Roman"/>
                <w:kern w:val="0"/>
                <w:sz w:val="22"/>
              </w:rPr>
              <w:t>原始数据存储：支持照片、IMU、点云数据存储</w:t>
            </w:r>
            <w:r>
              <w:rPr>
                <w:rFonts w:hint="eastAsia" w:ascii="宋体" w:hAnsi="宋体" w:eastAsia="宋体" w:cs="Times New Roman"/>
                <w:kern w:val="0"/>
                <w:sz w:val="22"/>
              </w:rPr>
              <w:t>；</w:t>
            </w:r>
          </w:p>
          <w:p w14:paraId="467EDAC8">
            <w:pPr>
              <w:ind w:firstLine="0"/>
              <w:jc w:val="left"/>
              <w:rPr>
                <w:rFonts w:ascii="宋体" w:hAnsi="宋体" w:eastAsia="宋体" w:cs="Times New Roman"/>
                <w:kern w:val="0"/>
                <w:sz w:val="22"/>
              </w:rPr>
            </w:pPr>
            <w:r>
              <w:rPr>
                <w:rFonts w:hint="eastAsia" w:ascii="宋体" w:hAnsi="宋体" w:eastAsia="宋体" w:cs="Times New Roman"/>
                <w:kern w:val="0"/>
                <w:sz w:val="22"/>
              </w:rPr>
              <w:t>路面、桥梁监测检测无人机</w:t>
            </w:r>
            <w:r>
              <w:rPr>
                <w:rFonts w:ascii="宋体" w:hAnsi="宋体" w:eastAsia="宋体" w:cs="Times New Roman"/>
                <w:kern w:val="0"/>
                <w:sz w:val="22"/>
              </w:rPr>
              <w:t>提供不低于一年质保，机身险及不低于20万三者险1年版1份</w:t>
            </w:r>
            <w:r>
              <w:rPr>
                <w:rFonts w:hint="eastAsia" w:ascii="宋体" w:hAnsi="宋体" w:eastAsia="宋体" w:cs="Times New Roman"/>
                <w:kern w:val="0"/>
                <w:sz w:val="22"/>
              </w:rPr>
              <w:t>。</w:t>
            </w:r>
          </w:p>
          <w:p w14:paraId="3BF1B39E">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7</w:t>
            </w:r>
            <w:r>
              <w:rPr>
                <w:rFonts w:ascii="宋体" w:hAnsi="宋体" w:eastAsia="宋体" w:cs="Times New Roman"/>
                <w:kern w:val="0"/>
                <w:sz w:val="22"/>
              </w:rPr>
              <w:t>）检测</w:t>
            </w:r>
            <w:r>
              <w:rPr>
                <w:rFonts w:hint="eastAsia" w:ascii="宋体" w:hAnsi="宋体" w:eastAsia="宋体" w:cs="Times New Roman"/>
                <w:kern w:val="0"/>
                <w:sz w:val="22"/>
              </w:rPr>
              <w:t>平板</w:t>
            </w:r>
            <w:r>
              <w:rPr>
                <w:rFonts w:ascii="宋体" w:hAnsi="宋体" w:eastAsia="宋体" w:cs="Times New Roman"/>
                <w:kern w:val="0"/>
                <w:sz w:val="22"/>
              </w:rPr>
              <w:t>：</w:t>
            </w:r>
          </w:p>
          <w:p w14:paraId="298BAE8E">
            <w:pPr>
              <w:ind w:firstLine="0"/>
              <w:jc w:val="left"/>
              <w:rPr>
                <w:rFonts w:ascii="宋体" w:hAnsi="宋体" w:eastAsia="宋体" w:cs="Times New Roman"/>
                <w:kern w:val="0"/>
                <w:sz w:val="22"/>
              </w:rPr>
            </w:pPr>
            <w:r>
              <w:rPr>
                <w:rFonts w:ascii="宋体" w:hAnsi="宋体" w:eastAsia="宋体" w:cs="Times New Roman"/>
                <w:kern w:val="0"/>
                <w:sz w:val="22"/>
              </w:rPr>
              <w:t>支持无人机多元数据导入，支持自动地理空间配准。</w:t>
            </w:r>
          </w:p>
          <w:p w14:paraId="514BCB16">
            <w:pPr>
              <w:ind w:firstLine="0"/>
              <w:jc w:val="left"/>
              <w:rPr>
                <w:rFonts w:ascii="宋体" w:hAnsi="宋体" w:eastAsia="宋体" w:cs="Times New Roman"/>
                <w:kern w:val="0"/>
                <w:sz w:val="22"/>
              </w:rPr>
            </w:pPr>
            <w:r>
              <w:rPr>
                <w:rFonts w:ascii="宋体" w:hAnsi="宋体" w:eastAsia="宋体" w:cs="Times New Roman"/>
                <w:kern w:val="0"/>
                <w:sz w:val="22"/>
              </w:rPr>
              <w:t>支持图像解析，支持缺陷标注功能。</w:t>
            </w:r>
          </w:p>
          <w:p w14:paraId="069D6F28">
            <w:pPr>
              <w:ind w:firstLine="0"/>
              <w:jc w:val="left"/>
              <w:rPr>
                <w:rFonts w:ascii="宋体" w:hAnsi="宋体" w:eastAsia="宋体" w:cs="Times New Roman"/>
                <w:kern w:val="0"/>
                <w:sz w:val="22"/>
              </w:rPr>
            </w:pPr>
            <w:r>
              <w:rPr>
                <w:rFonts w:ascii="宋体" w:hAnsi="宋体" w:eastAsia="宋体" w:cs="Times New Roman"/>
                <w:kern w:val="0"/>
                <w:sz w:val="22"/>
              </w:rPr>
              <w:t>支持影像叠加显示及缺陷特征对比。</w:t>
            </w:r>
          </w:p>
          <w:p w14:paraId="76FCDF25">
            <w:pPr>
              <w:ind w:firstLine="0"/>
              <w:jc w:val="left"/>
              <w:rPr>
                <w:rFonts w:ascii="宋体" w:hAnsi="宋体" w:eastAsia="宋体" w:cs="Times New Roman"/>
                <w:kern w:val="0"/>
                <w:sz w:val="22"/>
              </w:rPr>
            </w:pPr>
            <w:r>
              <w:rPr>
                <w:rFonts w:ascii="宋体" w:hAnsi="宋体" w:eastAsia="宋体" w:cs="Times New Roman"/>
                <w:kern w:val="0"/>
                <w:sz w:val="22"/>
              </w:rPr>
              <w:t>支持自定义新增缺陷类型。</w:t>
            </w:r>
          </w:p>
          <w:p w14:paraId="56E7097E">
            <w:pPr>
              <w:ind w:firstLine="0"/>
              <w:jc w:val="left"/>
              <w:rPr>
                <w:rFonts w:ascii="宋体" w:hAnsi="宋体" w:eastAsia="宋体" w:cs="Times New Roman"/>
                <w:kern w:val="0"/>
                <w:sz w:val="22"/>
              </w:rPr>
            </w:pPr>
            <w:r>
              <w:rPr>
                <w:rFonts w:ascii="宋体" w:hAnsi="宋体" w:eastAsia="宋体" w:cs="Times New Roman"/>
                <w:kern w:val="0"/>
                <w:sz w:val="22"/>
              </w:rPr>
              <w:t>支持自动读取红外影像温度信息。</w:t>
            </w:r>
          </w:p>
          <w:p w14:paraId="7E4FD8B3">
            <w:pPr>
              <w:ind w:firstLine="0"/>
              <w:jc w:val="left"/>
              <w:rPr>
                <w:rFonts w:ascii="宋体" w:hAnsi="宋体" w:eastAsia="宋体" w:cs="Times New Roman"/>
                <w:kern w:val="0"/>
                <w:sz w:val="22"/>
              </w:rPr>
            </w:pPr>
            <w:r>
              <w:rPr>
                <w:rFonts w:ascii="宋体" w:hAnsi="宋体" w:eastAsia="宋体" w:cs="Times New Roman"/>
                <w:kern w:val="0"/>
                <w:sz w:val="22"/>
              </w:rPr>
              <w:t>可自定义不同缺陷类型显示渲染，缺陷标注完成后自动计算量测面积。</w:t>
            </w:r>
          </w:p>
          <w:p w14:paraId="5B9099CE">
            <w:pPr>
              <w:ind w:firstLine="0"/>
              <w:jc w:val="left"/>
              <w:rPr>
                <w:rFonts w:ascii="宋体" w:hAnsi="宋体" w:eastAsia="宋体" w:cs="Times New Roman"/>
                <w:kern w:val="0"/>
                <w:sz w:val="22"/>
              </w:rPr>
            </w:pPr>
            <w:r>
              <w:rPr>
                <w:rFonts w:ascii="宋体" w:hAnsi="宋体" w:eastAsia="宋体" w:cs="Times New Roman"/>
                <w:kern w:val="0"/>
                <w:sz w:val="22"/>
              </w:rPr>
              <w:t>支持实景三维数据显示及叠加功能，支持影响位姿反演。</w:t>
            </w:r>
          </w:p>
          <w:p w14:paraId="2DCE24AB">
            <w:pPr>
              <w:ind w:firstLine="0"/>
              <w:jc w:val="left"/>
              <w:rPr>
                <w:rFonts w:ascii="宋体" w:hAnsi="宋体" w:eastAsia="宋体" w:cs="Times New Roman"/>
                <w:kern w:val="0"/>
                <w:sz w:val="22"/>
              </w:rPr>
            </w:pPr>
            <w:r>
              <w:rPr>
                <w:rFonts w:ascii="宋体" w:hAnsi="宋体" w:eastAsia="宋体" w:cs="Times New Roman"/>
                <w:kern w:val="0"/>
                <w:sz w:val="22"/>
              </w:rPr>
              <w:t>单击缺陷图标点标注，可调出缺陷点原始影像。</w:t>
            </w:r>
          </w:p>
          <w:p w14:paraId="49D7CBF1">
            <w:pPr>
              <w:ind w:firstLine="0"/>
              <w:jc w:val="left"/>
              <w:rPr>
                <w:rFonts w:ascii="宋体" w:hAnsi="宋体" w:eastAsia="宋体" w:cs="Times New Roman"/>
                <w:kern w:val="0"/>
                <w:sz w:val="22"/>
              </w:rPr>
            </w:pPr>
            <w:r>
              <w:rPr>
                <w:rFonts w:ascii="宋体" w:hAnsi="宋体" w:eastAsia="宋体" w:cs="Times New Roman"/>
                <w:kern w:val="0"/>
                <w:sz w:val="22"/>
              </w:rPr>
              <w:t>自动读取数据库及标注信息，自动生成病害缺陷报告。</w:t>
            </w:r>
          </w:p>
          <w:p w14:paraId="15210C1C">
            <w:pPr>
              <w:ind w:firstLine="0"/>
              <w:jc w:val="left"/>
              <w:rPr>
                <w:rFonts w:ascii="宋体" w:hAnsi="宋体" w:eastAsia="宋体" w:cs="Times New Roman"/>
                <w:kern w:val="0"/>
                <w:sz w:val="22"/>
              </w:rPr>
            </w:pPr>
            <w:r>
              <w:rPr>
                <w:rFonts w:ascii="宋体" w:hAnsi="宋体" w:eastAsia="宋体" w:cs="Times New Roman"/>
                <w:kern w:val="0"/>
                <w:sz w:val="22"/>
              </w:rPr>
              <w:t>报告表头包含病害空间信息、缺陷类型等信息，支持自定义报告内容。</w:t>
            </w:r>
          </w:p>
          <w:p w14:paraId="35240D2C">
            <w:pPr>
              <w:ind w:firstLine="0"/>
              <w:jc w:val="left"/>
              <w:rPr>
                <w:rFonts w:ascii="宋体" w:hAnsi="宋体" w:eastAsia="宋体" w:cs="Times New Roman"/>
                <w:kern w:val="0"/>
                <w:sz w:val="22"/>
              </w:rPr>
            </w:pPr>
            <w:r>
              <w:rPr>
                <w:rFonts w:ascii="宋体" w:hAnsi="宋体" w:eastAsia="宋体" w:cs="Times New Roman"/>
                <w:kern w:val="0"/>
                <w:sz w:val="22"/>
              </w:rPr>
              <w:t>报告包含举证、空间拓扑等信息内容。支持二次开发。</w:t>
            </w:r>
          </w:p>
          <w:p w14:paraId="56EE3F68">
            <w:pPr>
              <w:ind w:firstLine="0"/>
              <w:jc w:val="left"/>
              <w:rPr>
                <w:rFonts w:ascii="宋体" w:hAnsi="宋体" w:eastAsia="宋体" w:cs="Times New Roman"/>
                <w:kern w:val="0"/>
                <w:sz w:val="22"/>
              </w:rPr>
            </w:pPr>
            <w:r>
              <w:rPr>
                <w:rFonts w:ascii="宋体" w:hAnsi="宋体" w:eastAsia="宋体" w:cs="Times New Roman"/>
                <w:b/>
                <w:bCs/>
                <w:kern w:val="0"/>
                <w:sz w:val="22"/>
              </w:rPr>
              <w:t>四、便携式地形航测模块：</w:t>
            </w:r>
          </w:p>
          <w:p w14:paraId="77F516C8">
            <w:pPr>
              <w:ind w:firstLine="0"/>
              <w:jc w:val="left"/>
              <w:rPr>
                <w:rFonts w:ascii="宋体" w:hAnsi="宋体" w:eastAsia="宋体" w:cs="Times New Roman"/>
                <w:kern w:val="0"/>
                <w:sz w:val="22"/>
              </w:rPr>
            </w:pPr>
            <w:r>
              <w:rPr>
                <w:rFonts w:ascii="宋体" w:hAnsi="宋体" w:eastAsia="宋体" w:cs="Times New Roman"/>
                <w:kern w:val="0"/>
                <w:sz w:val="22"/>
              </w:rPr>
              <w:t>▲（1）起飞重量：≤1250 g</w:t>
            </w:r>
          </w:p>
          <w:p w14:paraId="7CCFDE09">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w:t>
            </w:r>
            <w:r>
              <w:rPr>
                <w:rFonts w:ascii="宋体" w:hAnsi="宋体" w:eastAsia="宋体" w:cs="Times New Roman"/>
                <w:kern w:val="0"/>
                <w:sz w:val="22"/>
              </w:rPr>
              <w:t>）最大水平飞行速度：≥18m/s；</w:t>
            </w:r>
          </w:p>
          <w:p w14:paraId="21A2DE20">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w:t>
            </w:r>
            <w:r>
              <w:rPr>
                <w:rFonts w:ascii="宋体" w:hAnsi="宋体" w:eastAsia="宋体" w:cs="Times New Roman"/>
                <w:kern w:val="0"/>
                <w:sz w:val="22"/>
              </w:rPr>
              <w:t>激光测距模块：最远正入射量程1800m；</w:t>
            </w:r>
          </w:p>
          <w:p w14:paraId="03FBE31F">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4</w:t>
            </w:r>
            <w:r>
              <w:rPr>
                <w:rFonts w:ascii="宋体" w:hAnsi="宋体" w:eastAsia="宋体" w:cs="Times New Roman"/>
                <w:kern w:val="0"/>
                <w:sz w:val="22"/>
              </w:rPr>
              <w:t>）可见光相机视频：支持4k30p视频录制；</w:t>
            </w:r>
          </w:p>
          <w:p w14:paraId="51006461">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5</w:t>
            </w:r>
            <w:r>
              <w:rPr>
                <w:rFonts w:ascii="宋体" w:hAnsi="宋体" w:eastAsia="宋体" w:cs="Times New Roman"/>
                <w:kern w:val="0"/>
                <w:sz w:val="22"/>
              </w:rPr>
              <w:t>）航线功能：支持航点、正射、倾斜、航带、仿地等多种航线作业类型；</w:t>
            </w:r>
          </w:p>
          <w:p w14:paraId="10DB74F5">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6</w:t>
            </w:r>
            <w:r>
              <w:rPr>
                <w:rFonts w:ascii="宋体" w:hAnsi="宋体" w:eastAsia="宋体" w:cs="Times New Roman"/>
                <w:kern w:val="0"/>
                <w:sz w:val="22"/>
              </w:rPr>
              <w:t>）主机提供不低于一年质保，机身险及不低于20万三者险1年版1份</w:t>
            </w:r>
            <w:r>
              <w:rPr>
                <w:rFonts w:hint="eastAsia" w:ascii="宋体" w:hAnsi="宋体" w:eastAsia="宋体" w:cs="Times New Roman"/>
                <w:kern w:val="0"/>
                <w:sz w:val="22"/>
              </w:rPr>
              <w:t>。</w:t>
            </w:r>
          </w:p>
          <w:p w14:paraId="540B8A74">
            <w:pPr>
              <w:ind w:firstLine="0"/>
              <w:jc w:val="left"/>
              <w:rPr>
                <w:rFonts w:ascii="宋体" w:hAnsi="宋体" w:eastAsia="宋体" w:cs="Times New Roman"/>
                <w:kern w:val="0"/>
                <w:sz w:val="22"/>
              </w:rPr>
            </w:pPr>
            <w:r>
              <w:rPr>
                <w:rFonts w:ascii="宋体" w:hAnsi="宋体" w:eastAsia="宋体" w:cs="Times New Roman"/>
                <w:kern w:val="0"/>
                <w:sz w:val="22"/>
              </w:rPr>
              <w:t>软件参数：</w:t>
            </w:r>
          </w:p>
          <w:p w14:paraId="3AEEC877">
            <w:pPr>
              <w:ind w:firstLine="0"/>
              <w:jc w:val="left"/>
              <w:rPr>
                <w:rFonts w:ascii="宋体" w:hAnsi="宋体" w:eastAsia="宋体" w:cs="Times New Roman"/>
                <w:kern w:val="0"/>
                <w:sz w:val="22"/>
              </w:rPr>
            </w:pPr>
            <w:r>
              <w:rPr>
                <w:rFonts w:ascii="宋体" w:hAnsi="宋体" w:eastAsia="宋体" w:cs="Times New Roman"/>
                <w:kern w:val="0"/>
                <w:sz w:val="22"/>
              </w:rPr>
              <w:t>（1）三维重建自动分块 当用以重建的照片数量大于当前电脑配置（内存）可支持的照片数量时，算法自动进入分块处理，以满足重建需求</w:t>
            </w:r>
            <w:r>
              <w:rPr>
                <w:rFonts w:hint="eastAsia" w:ascii="宋体" w:hAnsi="宋体" w:eastAsia="宋体" w:cs="Times New Roman"/>
                <w:kern w:val="0"/>
                <w:sz w:val="22"/>
              </w:rPr>
              <w:t>；</w:t>
            </w:r>
          </w:p>
          <w:p w14:paraId="6D36F32A">
            <w:pPr>
              <w:ind w:firstLine="0"/>
              <w:jc w:val="left"/>
              <w:rPr>
                <w:rFonts w:ascii="宋体" w:hAnsi="宋体" w:eastAsia="宋体" w:cs="Times New Roman"/>
                <w:kern w:val="0"/>
                <w:sz w:val="22"/>
              </w:rPr>
            </w:pPr>
            <w:r>
              <w:rPr>
                <w:rFonts w:ascii="宋体" w:hAnsi="宋体" w:eastAsia="宋体" w:cs="Times New Roman"/>
                <w:kern w:val="0"/>
                <w:sz w:val="22"/>
              </w:rPr>
              <w:t>（2）全自动二维/三维重建对于飞行器拍摄的照片，全自动完成二维/三维重建,所有参数均内置，无需用户设定</w:t>
            </w:r>
            <w:r>
              <w:rPr>
                <w:rFonts w:hint="eastAsia" w:ascii="宋体" w:hAnsi="宋体" w:eastAsia="宋体" w:cs="Times New Roman"/>
                <w:kern w:val="0"/>
                <w:sz w:val="22"/>
              </w:rPr>
              <w:t>；</w:t>
            </w:r>
          </w:p>
          <w:p w14:paraId="2AA1A473">
            <w:pPr>
              <w:ind w:firstLine="0"/>
              <w:jc w:val="left"/>
              <w:rPr>
                <w:rFonts w:ascii="宋体" w:hAnsi="宋体" w:eastAsia="宋体" w:cs="Times New Roman"/>
                <w:kern w:val="0"/>
                <w:sz w:val="22"/>
              </w:rPr>
            </w:pPr>
            <w:r>
              <w:rPr>
                <w:rFonts w:ascii="宋体" w:hAnsi="宋体" w:eastAsia="宋体" w:cs="Times New Roman"/>
                <w:kern w:val="0"/>
                <w:sz w:val="22"/>
              </w:rPr>
              <w:t>（3）建模效率高 能够进行快速的三维建模，普通1080Ti配置的PC电脑单机处理100张照片的高精度三维重建耗时不超过1小时</w:t>
            </w:r>
            <w:r>
              <w:rPr>
                <w:rFonts w:hint="eastAsia" w:ascii="宋体" w:hAnsi="宋体" w:eastAsia="宋体" w:cs="Times New Roman"/>
                <w:kern w:val="0"/>
                <w:sz w:val="22"/>
              </w:rPr>
              <w:t>；</w:t>
            </w:r>
          </w:p>
          <w:p w14:paraId="08B2D975">
            <w:pPr>
              <w:ind w:firstLine="0"/>
              <w:jc w:val="left"/>
              <w:rPr>
                <w:rFonts w:ascii="宋体" w:hAnsi="宋体" w:eastAsia="宋体" w:cs="Times New Roman"/>
                <w:kern w:val="0"/>
                <w:sz w:val="22"/>
              </w:rPr>
            </w:pPr>
            <w:r>
              <w:rPr>
                <w:rFonts w:ascii="宋体" w:hAnsi="宋体" w:eastAsia="宋体" w:cs="Times New Roman"/>
                <w:kern w:val="0"/>
                <w:sz w:val="22"/>
              </w:rPr>
              <w:t>（4）支持L1和L2激光雷达数据处理 支持L1和L2激光雷达数据处理，包含轨迹解算、点云与可见光数据精准融合、点云精度优化、点云平滑</w:t>
            </w:r>
            <w:r>
              <w:rPr>
                <w:rFonts w:hint="eastAsia" w:ascii="宋体" w:hAnsi="宋体" w:eastAsia="宋体" w:cs="Times New Roman"/>
                <w:kern w:val="0"/>
                <w:sz w:val="22"/>
              </w:rPr>
              <w:t>；</w:t>
            </w:r>
          </w:p>
          <w:p w14:paraId="3C36940E">
            <w:pPr>
              <w:ind w:firstLine="0"/>
              <w:jc w:val="left"/>
              <w:rPr>
                <w:rFonts w:ascii="宋体" w:hAnsi="宋体" w:eastAsia="宋体" w:cs="Times New Roman"/>
                <w:kern w:val="0"/>
                <w:sz w:val="22"/>
              </w:rPr>
            </w:pPr>
            <w:r>
              <w:rPr>
                <w:rFonts w:ascii="宋体" w:hAnsi="宋体" w:eastAsia="宋体" w:cs="Times New Roman"/>
                <w:kern w:val="0"/>
                <w:sz w:val="22"/>
              </w:rPr>
              <w:t>（5）支持L1和L2激光雷达数据的地面点提取，支持生成DEM 在激光雷达点云任务模块中，支持L1和L2激光雷达数据的地面点提取，并支持生成DEM和等高线</w:t>
            </w:r>
            <w:r>
              <w:rPr>
                <w:rFonts w:hint="eastAsia" w:ascii="宋体" w:hAnsi="宋体" w:eastAsia="宋体" w:cs="Times New Roman"/>
                <w:kern w:val="0"/>
                <w:sz w:val="22"/>
              </w:rPr>
              <w:t>；</w:t>
            </w:r>
          </w:p>
          <w:p w14:paraId="341B07AB">
            <w:pPr>
              <w:ind w:firstLine="0"/>
              <w:jc w:val="left"/>
              <w:rPr>
                <w:rFonts w:ascii="宋体" w:hAnsi="宋体" w:eastAsia="宋体" w:cs="Times New Roman"/>
                <w:kern w:val="0"/>
                <w:sz w:val="22"/>
              </w:rPr>
            </w:pPr>
            <w:r>
              <w:rPr>
                <w:rFonts w:ascii="宋体" w:hAnsi="宋体" w:eastAsia="宋体" w:cs="Times New Roman"/>
                <w:kern w:val="0"/>
                <w:sz w:val="22"/>
              </w:rPr>
              <w:t>（6）支持多光谱数据建模</w:t>
            </w:r>
            <w:r>
              <w:rPr>
                <w:rFonts w:hint="eastAsia" w:ascii="宋体" w:hAnsi="宋体" w:eastAsia="宋体" w:cs="Times New Roman"/>
                <w:kern w:val="0"/>
                <w:sz w:val="22"/>
              </w:rPr>
              <w:t>，</w:t>
            </w:r>
            <w:r>
              <w:rPr>
                <w:rFonts w:ascii="宋体" w:hAnsi="宋体" w:eastAsia="宋体" w:cs="Times New Roman"/>
                <w:kern w:val="0"/>
                <w:sz w:val="22"/>
              </w:rPr>
              <w:t>能直接生成多光谱数据的正射影像和数字高程模型，还能同时支持NDVI、NDRE等植被指数的输出</w:t>
            </w:r>
            <w:r>
              <w:rPr>
                <w:rFonts w:hint="eastAsia" w:ascii="宋体" w:hAnsi="宋体" w:eastAsia="宋体" w:cs="Times New Roman"/>
                <w:kern w:val="0"/>
                <w:sz w:val="22"/>
              </w:rPr>
              <w:t>；</w:t>
            </w:r>
          </w:p>
          <w:p w14:paraId="1F77D047">
            <w:pPr>
              <w:ind w:firstLine="0"/>
              <w:jc w:val="left"/>
              <w:rPr>
                <w:rFonts w:ascii="宋体" w:hAnsi="宋体" w:eastAsia="宋体" w:cs="Times New Roman"/>
                <w:kern w:val="0"/>
                <w:sz w:val="22"/>
              </w:rPr>
            </w:pPr>
            <w:r>
              <w:rPr>
                <w:rFonts w:ascii="宋体" w:hAnsi="宋体" w:eastAsia="宋体" w:cs="Times New Roman"/>
                <w:kern w:val="0"/>
                <w:sz w:val="22"/>
              </w:rPr>
              <w:t>（7）水面平整 在三维重建项目中，水面平整功能，可识别水面区域</w:t>
            </w:r>
            <w:r>
              <w:rPr>
                <w:rFonts w:hint="eastAsia" w:ascii="宋体" w:hAnsi="宋体" w:eastAsia="宋体" w:cs="Times New Roman"/>
                <w:kern w:val="0"/>
                <w:sz w:val="22"/>
              </w:rPr>
              <w:t>。</w:t>
            </w:r>
          </w:p>
          <w:p w14:paraId="17357FA9">
            <w:pPr>
              <w:ind w:firstLine="0"/>
              <w:jc w:val="left"/>
              <w:rPr>
                <w:rFonts w:ascii="宋体" w:hAnsi="宋体" w:eastAsia="宋体" w:cs="Times New Roman"/>
                <w:kern w:val="0"/>
                <w:sz w:val="22"/>
              </w:rPr>
            </w:pPr>
            <w:r>
              <w:rPr>
                <w:rFonts w:hint="eastAsia" w:ascii="宋体" w:hAnsi="宋体" w:eastAsia="宋体" w:cs="Times New Roman"/>
                <w:kern w:val="0"/>
                <w:sz w:val="22"/>
              </w:rPr>
              <w:t>（8）</w:t>
            </w:r>
            <w:r>
              <w:rPr>
                <w:rFonts w:ascii="宋体" w:hAnsi="宋体" w:eastAsia="宋体" w:cs="Times New Roman"/>
                <w:kern w:val="0"/>
                <w:sz w:val="22"/>
              </w:rPr>
              <w:t>质保期</w:t>
            </w:r>
            <w:r>
              <w:rPr>
                <w:rFonts w:hint="eastAsia" w:ascii="宋体" w:hAnsi="宋体" w:eastAsia="宋体" w:cs="Times New Roman"/>
                <w:kern w:val="0"/>
                <w:sz w:val="22"/>
              </w:rPr>
              <w:t>：质保期不少于3年，质保期后不</w:t>
            </w:r>
            <w:r>
              <w:rPr>
                <w:rFonts w:ascii="宋体" w:hAnsi="宋体" w:eastAsia="宋体" w:cs="Times New Roman"/>
                <w:kern w:val="0"/>
                <w:sz w:val="22"/>
              </w:rPr>
              <w:t>升级</w:t>
            </w:r>
            <w:r>
              <w:rPr>
                <w:rFonts w:hint="eastAsia" w:ascii="宋体" w:hAnsi="宋体" w:eastAsia="宋体" w:cs="Times New Roman"/>
                <w:kern w:val="0"/>
                <w:sz w:val="22"/>
              </w:rPr>
              <w:t>不影响软件正常使用</w:t>
            </w:r>
            <w:r>
              <w:rPr>
                <w:rFonts w:ascii="宋体" w:hAnsi="宋体" w:eastAsia="宋体" w:cs="Times New Roman"/>
                <w:kern w:val="0"/>
                <w:sz w:val="22"/>
              </w:rPr>
              <w:t>；</w:t>
            </w:r>
          </w:p>
          <w:p w14:paraId="01337B9F">
            <w:pPr>
              <w:ind w:firstLine="0"/>
              <w:jc w:val="left"/>
              <w:rPr>
                <w:rFonts w:ascii="宋体" w:hAnsi="宋体" w:eastAsia="宋体" w:cs="Times New Roman"/>
                <w:kern w:val="0"/>
                <w:sz w:val="22"/>
              </w:rPr>
            </w:pPr>
            <w:r>
              <w:rPr>
                <w:rFonts w:ascii="宋体" w:hAnsi="宋体" w:eastAsia="宋体" w:cs="Times New Roman"/>
                <w:b/>
                <w:bCs/>
                <w:kern w:val="0"/>
                <w:sz w:val="22"/>
              </w:rPr>
              <w:t>五、机载三维激光检测模块：</w:t>
            </w:r>
          </w:p>
          <w:p w14:paraId="13485826">
            <w:pPr>
              <w:ind w:firstLine="0"/>
              <w:jc w:val="left"/>
              <w:rPr>
                <w:rFonts w:ascii="宋体" w:hAnsi="宋体" w:eastAsia="宋体" w:cs="Times New Roman"/>
                <w:b/>
                <w:bCs/>
                <w:kern w:val="0"/>
                <w:sz w:val="22"/>
              </w:rPr>
            </w:pPr>
            <w:r>
              <w:rPr>
                <w:rFonts w:ascii="宋体" w:hAnsi="宋体" w:eastAsia="宋体" w:cs="Times New Roman"/>
                <w:b/>
                <w:bCs/>
                <w:kern w:val="0"/>
                <w:sz w:val="22"/>
              </w:rPr>
              <w:t>三维激光系统</w:t>
            </w:r>
            <w:r>
              <w:rPr>
                <w:rFonts w:hint="eastAsia" w:ascii="宋体" w:hAnsi="宋体" w:eastAsia="宋体" w:cs="Times New Roman"/>
                <w:b/>
                <w:bCs/>
                <w:kern w:val="0"/>
                <w:sz w:val="22"/>
              </w:rPr>
              <w:t>：</w:t>
            </w:r>
          </w:p>
          <w:p w14:paraId="3883F776">
            <w:pPr>
              <w:ind w:firstLine="0"/>
              <w:jc w:val="left"/>
              <w:rPr>
                <w:rFonts w:ascii="宋体" w:hAnsi="宋体" w:eastAsia="宋体" w:cs="宋体"/>
                <w:sz w:val="22"/>
              </w:rPr>
            </w:pPr>
            <w:r>
              <w:rPr>
                <w:rFonts w:hint="eastAsia" w:ascii="宋体" w:hAnsi="宋体" w:eastAsia="宋体" w:cs="宋体"/>
                <w:sz w:val="22"/>
              </w:rPr>
              <w:t>（1）激光类型：脉冲式；</w:t>
            </w:r>
          </w:p>
          <w:p w14:paraId="52ECE61D">
            <w:pPr>
              <w:ind w:firstLine="0"/>
              <w:jc w:val="left"/>
              <w:rPr>
                <w:rFonts w:ascii="宋体" w:hAnsi="宋体" w:eastAsia="宋体" w:cs="宋体"/>
                <w:sz w:val="22"/>
              </w:rPr>
            </w:pPr>
            <w:r>
              <w:rPr>
                <w:rFonts w:hint="eastAsia" w:ascii="宋体" w:hAnsi="宋体" w:eastAsia="宋体" w:cs="宋体"/>
                <w:b/>
                <w:sz w:val="22"/>
              </w:rPr>
              <w:t>▲</w:t>
            </w:r>
            <w:r>
              <w:rPr>
                <w:rFonts w:hint="eastAsia" w:ascii="宋体" w:hAnsi="宋体" w:eastAsia="宋体" w:cs="宋体"/>
                <w:sz w:val="22"/>
              </w:rPr>
              <w:t>（2）扫描测程：≥1000m；</w:t>
            </w:r>
          </w:p>
          <w:p w14:paraId="3D815A13">
            <w:pPr>
              <w:ind w:firstLine="0"/>
              <w:jc w:val="left"/>
              <w:rPr>
                <w:rFonts w:ascii="宋体" w:hAnsi="宋体" w:eastAsia="宋体" w:cs="宋体"/>
                <w:sz w:val="22"/>
              </w:rPr>
            </w:pPr>
            <w:r>
              <w:rPr>
                <w:rFonts w:hint="eastAsia" w:ascii="宋体" w:hAnsi="宋体" w:eastAsia="宋体" w:cs="宋体"/>
                <w:sz w:val="22"/>
              </w:rPr>
              <w:t>（3）最大测量速率：≥80万点/秒；</w:t>
            </w:r>
          </w:p>
          <w:p w14:paraId="0DD5F87B">
            <w:pPr>
              <w:ind w:firstLine="0"/>
              <w:jc w:val="left"/>
              <w:rPr>
                <w:rFonts w:ascii="宋体" w:hAnsi="宋体" w:eastAsia="宋体" w:cs="宋体"/>
                <w:sz w:val="22"/>
              </w:rPr>
            </w:pPr>
            <w:r>
              <w:rPr>
                <w:rFonts w:hint="eastAsia" w:ascii="宋体" w:hAnsi="宋体" w:eastAsia="宋体" w:cs="宋体"/>
                <w:b/>
                <w:sz w:val="22"/>
              </w:rPr>
              <w:t>▲</w:t>
            </w:r>
            <w:r>
              <w:rPr>
                <w:rFonts w:hint="eastAsia" w:ascii="宋体" w:hAnsi="宋体" w:eastAsia="宋体" w:cs="宋体"/>
                <w:sz w:val="22"/>
              </w:rPr>
              <w:t>（4）激光波长：≥1550nm；</w:t>
            </w:r>
          </w:p>
          <w:p w14:paraId="510AD2D5">
            <w:pPr>
              <w:ind w:firstLine="0"/>
              <w:jc w:val="left"/>
              <w:rPr>
                <w:rFonts w:ascii="宋体" w:hAnsi="宋体" w:eastAsia="宋体" w:cs="宋体"/>
                <w:sz w:val="22"/>
              </w:rPr>
            </w:pPr>
            <w:r>
              <w:rPr>
                <w:rFonts w:hint="eastAsia" w:ascii="宋体" w:hAnsi="宋体" w:eastAsia="宋体" w:cs="宋体"/>
                <w:b/>
                <w:sz w:val="22"/>
              </w:rPr>
              <w:t>▲</w:t>
            </w:r>
            <w:r>
              <w:rPr>
                <w:rFonts w:hint="eastAsia" w:ascii="宋体" w:hAnsi="宋体" w:eastAsia="宋体" w:cs="宋体"/>
                <w:sz w:val="22"/>
              </w:rPr>
              <w:t>（5）视场角：≥360°；</w:t>
            </w:r>
          </w:p>
          <w:p w14:paraId="5614370E">
            <w:pPr>
              <w:ind w:firstLine="0"/>
              <w:jc w:val="left"/>
              <w:rPr>
                <w:rFonts w:ascii="宋体" w:hAnsi="宋体" w:eastAsia="宋体" w:cs="宋体"/>
                <w:sz w:val="22"/>
              </w:rPr>
            </w:pPr>
            <w:r>
              <w:rPr>
                <w:rFonts w:hint="eastAsia" w:ascii="宋体" w:hAnsi="宋体" w:eastAsia="宋体" w:cs="宋体"/>
                <w:b/>
                <w:sz w:val="22"/>
              </w:rPr>
              <w:t>▲</w:t>
            </w:r>
            <w:r>
              <w:rPr>
                <w:rFonts w:hint="eastAsia" w:ascii="宋体" w:hAnsi="宋体" w:eastAsia="宋体" w:cs="宋体"/>
                <w:sz w:val="22"/>
              </w:rPr>
              <w:t>（6）主机重量：≤2.5kg；</w:t>
            </w:r>
          </w:p>
          <w:p w14:paraId="4A4A9473">
            <w:pPr>
              <w:ind w:firstLine="0"/>
              <w:jc w:val="left"/>
              <w:rPr>
                <w:rFonts w:ascii="宋体" w:hAnsi="宋体" w:eastAsia="宋体" w:cs="宋体"/>
                <w:sz w:val="22"/>
              </w:rPr>
            </w:pPr>
            <w:r>
              <w:rPr>
                <w:rFonts w:hint="eastAsia" w:ascii="宋体" w:hAnsi="宋体" w:eastAsia="宋体" w:cs="宋体"/>
                <w:b/>
                <w:sz w:val="22"/>
              </w:rPr>
              <w:t>▲</w:t>
            </w:r>
            <w:r>
              <w:rPr>
                <w:rFonts w:hint="eastAsia" w:ascii="宋体" w:hAnsi="宋体" w:eastAsia="宋体" w:cs="宋体"/>
                <w:sz w:val="22"/>
              </w:rPr>
              <w:t>（7）多目标探测：≥12次；</w:t>
            </w:r>
          </w:p>
          <w:p w14:paraId="797501B7">
            <w:pPr>
              <w:ind w:firstLine="0"/>
              <w:jc w:val="left"/>
              <w:rPr>
                <w:rFonts w:ascii="宋体" w:hAnsi="宋体" w:eastAsia="宋体" w:cs="宋体"/>
                <w:sz w:val="22"/>
              </w:rPr>
            </w:pPr>
            <w:r>
              <w:rPr>
                <w:rFonts w:hint="eastAsia" w:ascii="宋体" w:hAnsi="宋体" w:eastAsia="宋体" w:cs="宋体"/>
                <w:sz w:val="22"/>
              </w:rPr>
              <w:t>（8）绝对精度：≤5cm；</w:t>
            </w:r>
          </w:p>
          <w:p w14:paraId="09A7233A">
            <w:pPr>
              <w:ind w:firstLine="0"/>
              <w:jc w:val="left"/>
              <w:rPr>
                <w:rFonts w:ascii="宋体" w:hAnsi="宋体" w:eastAsia="宋体" w:cs="宋体"/>
                <w:b/>
                <w:sz w:val="22"/>
              </w:rPr>
            </w:pPr>
            <w:r>
              <w:rPr>
                <w:rFonts w:hint="eastAsia" w:ascii="宋体" w:hAnsi="宋体" w:eastAsia="宋体" w:cs="宋体"/>
                <w:b/>
                <w:sz w:val="22"/>
              </w:rPr>
              <w:t>定姿定位系统：</w:t>
            </w:r>
          </w:p>
          <w:p w14:paraId="6D8C2285">
            <w:pPr>
              <w:ind w:firstLine="0"/>
              <w:jc w:val="left"/>
              <w:rPr>
                <w:rFonts w:ascii="宋体" w:hAnsi="宋体" w:eastAsia="宋体" w:cs="宋体"/>
                <w:sz w:val="22"/>
              </w:rPr>
            </w:pPr>
            <w:r>
              <w:rPr>
                <w:rFonts w:hint="eastAsia" w:ascii="宋体" w:hAnsi="宋体" w:eastAsia="宋体" w:cs="宋体"/>
                <w:sz w:val="22"/>
              </w:rPr>
              <w:t>（1）支持五星系统数据；</w:t>
            </w:r>
          </w:p>
          <w:p w14:paraId="64723E19">
            <w:pPr>
              <w:ind w:firstLine="0"/>
              <w:jc w:val="left"/>
              <w:rPr>
                <w:rFonts w:ascii="宋体" w:hAnsi="宋体" w:eastAsia="宋体" w:cs="宋体"/>
                <w:sz w:val="22"/>
              </w:rPr>
            </w:pPr>
            <w:r>
              <w:rPr>
                <w:rFonts w:hint="eastAsia" w:ascii="宋体" w:hAnsi="宋体" w:eastAsia="宋体" w:cs="宋体"/>
                <w:sz w:val="22"/>
              </w:rPr>
              <w:t>（2）数据更新率≥500Hz；</w:t>
            </w:r>
          </w:p>
          <w:p w14:paraId="307006B9">
            <w:pPr>
              <w:ind w:firstLine="0"/>
              <w:jc w:val="left"/>
              <w:rPr>
                <w:rFonts w:ascii="宋体" w:hAnsi="宋体" w:eastAsia="宋体" w:cs="宋体"/>
                <w:sz w:val="22"/>
              </w:rPr>
            </w:pPr>
            <w:r>
              <w:rPr>
                <w:rFonts w:hint="eastAsia" w:ascii="宋体" w:hAnsi="宋体" w:eastAsia="宋体" w:cs="宋体"/>
                <w:sz w:val="22"/>
              </w:rPr>
              <w:t>（3）后处理位置精度：水平≤0.01m、高程≤0.02m；</w:t>
            </w:r>
          </w:p>
          <w:p w14:paraId="62E206C6">
            <w:pPr>
              <w:ind w:firstLine="0"/>
              <w:jc w:val="left"/>
              <w:rPr>
                <w:rFonts w:ascii="宋体" w:hAnsi="宋体" w:eastAsia="宋体" w:cs="宋体"/>
                <w:sz w:val="22"/>
              </w:rPr>
            </w:pPr>
            <w:r>
              <w:rPr>
                <w:rFonts w:hint="eastAsia" w:ascii="宋体" w:hAnsi="宋体" w:eastAsia="宋体" w:cs="宋体"/>
                <w:b/>
                <w:sz w:val="22"/>
              </w:rPr>
              <w:t>▲</w:t>
            </w:r>
            <w:r>
              <w:rPr>
                <w:rFonts w:hint="eastAsia" w:ascii="宋体" w:hAnsi="宋体" w:eastAsia="宋体" w:cs="宋体"/>
                <w:sz w:val="22"/>
              </w:rPr>
              <w:t>（4）后处理姿态精度：Roll/Pitch≤0.006°、Heading≤0.019°；</w:t>
            </w:r>
          </w:p>
          <w:p w14:paraId="4B426136">
            <w:pPr>
              <w:ind w:firstLine="0"/>
              <w:jc w:val="left"/>
              <w:rPr>
                <w:rFonts w:ascii="宋体" w:hAnsi="宋体" w:eastAsia="宋体" w:cs="宋体"/>
                <w:b/>
                <w:sz w:val="22"/>
              </w:rPr>
            </w:pPr>
            <w:r>
              <w:rPr>
                <w:rFonts w:hint="eastAsia" w:ascii="宋体" w:hAnsi="宋体" w:eastAsia="宋体" w:cs="宋体"/>
                <w:b/>
                <w:sz w:val="22"/>
              </w:rPr>
              <w:t>正射相机：</w:t>
            </w:r>
          </w:p>
          <w:p w14:paraId="1D79C26B">
            <w:pPr>
              <w:ind w:firstLine="0"/>
              <w:jc w:val="left"/>
              <w:rPr>
                <w:rFonts w:ascii="宋体" w:hAnsi="宋体" w:eastAsia="宋体" w:cs="宋体"/>
                <w:sz w:val="22"/>
              </w:rPr>
            </w:pPr>
            <w:r>
              <w:rPr>
                <w:rFonts w:hint="eastAsia" w:ascii="宋体" w:hAnsi="宋体" w:eastAsia="宋体" w:cs="宋体"/>
                <w:sz w:val="22"/>
              </w:rPr>
              <w:t>▲（1）正射相机与激光雷达一体化集成；</w:t>
            </w:r>
          </w:p>
          <w:p w14:paraId="3AC42415">
            <w:pPr>
              <w:ind w:firstLine="0"/>
              <w:jc w:val="left"/>
              <w:rPr>
                <w:rFonts w:ascii="等线" w:hAnsi="等线" w:eastAsia="等线" w:cs="等线"/>
                <w:szCs w:val="21"/>
              </w:rPr>
            </w:pPr>
            <w:r>
              <w:rPr>
                <w:rFonts w:hint="eastAsia" w:ascii="宋体" w:hAnsi="宋体" w:eastAsia="宋体" w:cs="宋体"/>
                <w:sz w:val="22"/>
              </w:rPr>
              <w:t>▲（2）有效像素：≥2600万且焦距≤16mm；</w:t>
            </w:r>
          </w:p>
          <w:p w14:paraId="4A261E12">
            <w:pPr>
              <w:ind w:firstLine="0"/>
              <w:jc w:val="left"/>
              <w:rPr>
                <w:rFonts w:ascii="宋体" w:hAnsi="宋体" w:eastAsia="宋体" w:cs="Times New Roman"/>
                <w:kern w:val="0"/>
                <w:sz w:val="22"/>
              </w:rPr>
            </w:pPr>
            <w:r>
              <w:rPr>
                <w:rFonts w:hint="eastAsia" w:ascii="宋体" w:hAnsi="宋体" w:eastAsia="宋体" w:cs="宋体"/>
                <w:sz w:val="22"/>
              </w:rPr>
              <w:t>▲</w:t>
            </w:r>
            <w:r>
              <w:rPr>
                <w:rFonts w:ascii="宋体" w:hAnsi="宋体" w:eastAsia="宋体" w:cs="Times New Roman"/>
                <w:kern w:val="0"/>
                <w:sz w:val="22"/>
              </w:rPr>
              <w:t>为保证采集的数据能够安全顺畅的处理，机载三维激光检测模块与航测一体化平台软件</w:t>
            </w:r>
            <w:r>
              <w:rPr>
                <w:rFonts w:hint="eastAsia" w:ascii="宋体" w:hAnsi="宋体" w:eastAsia="宋体" w:cs="Times New Roman"/>
                <w:kern w:val="0"/>
                <w:sz w:val="22"/>
              </w:rPr>
              <w:t>、</w:t>
            </w:r>
            <w:r>
              <w:rPr>
                <w:rFonts w:ascii="宋体" w:hAnsi="宋体" w:eastAsia="宋体" w:cs="Times New Roman"/>
                <w:kern w:val="0"/>
                <w:sz w:val="22"/>
              </w:rPr>
              <w:t>地形地籍成图软件</w:t>
            </w:r>
            <w:r>
              <w:rPr>
                <w:rFonts w:hint="eastAsia" w:ascii="宋体" w:hAnsi="宋体" w:eastAsia="宋体" w:cs="Times New Roman"/>
                <w:kern w:val="0"/>
                <w:sz w:val="22"/>
              </w:rPr>
              <w:t>、</w:t>
            </w:r>
            <w:r>
              <w:rPr>
                <w:rFonts w:ascii="宋体" w:hAnsi="宋体" w:eastAsia="宋体" w:cs="Times New Roman"/>
                <w:kern w:val="0"/>
                <w:sz w:val="22"/>
              </w:rPr>
              <w:t>激光点云处理软件</w:t>
            </w:r>
            <w:r>
              <w:rPr>
                <w:rFonts w:hint="eastAsia" w:ascii="宋体" w:hAnsi="宋体" w:eastAsia="宋体" w:cs="Times New Roman"/>
                <w:kern w:val="0"/>
                <w:sz w:val="22"/>
              </w:rPr>
              <w:t>、无人机数据管理模块可完全兼容</w:t>
            </w:r>
            <w:r>
              <w:rPr>
                <w:rFonts w:ascii="宋体" w:hAnsi="宋体" w:eastAsia="宋体" w:cs="Times New Roman"/>
                <w:kern w:val="0"/>
                <w:sz w:val="22"/>
              </w:rPr>
              <w:t>。</w:t>
            </w:r>
          </w:p>
          <w:p w14:paraId="150AA2D4">
            <w:pPr>
              <w:ind w:firstLine="0"/>
              <w:jc w:val="left"/>
              <w:rPr>
                <w:rFonts w:ascii="宋体" w:hAnsi="宋体" w:eastAsia="宋体" w:cs="Times New Roman"/>
                <w:b/>
                <w:bCs/>
                <w:kern w:val="0"/>
                <w:sz w:val="22"/>
              </w:rPr>
            </w:pPr>
            <w:r>
              <w:rPr>
                <w:rFonts w:ascii="宋体" w:hAnsi="宋体" w:eastAsia="宋体" w:cs="Times New Roman"/>
                <w:b/>
                <w:bCs/>
                <w:kern w:val="0"/>
                <w:sz w:val="22"/>
              </w:rPr>
              <w:t>六、航测一体化平台软件</w:t>
            </w:r>
            <w:r>
              <w:rPr>
                <w:rFonts w:hint="eastAsia" w:ascii="宋体" w:hAnsi="宋体" w:eastAsia="宋体" w:cs="Times New Roman"/>
                <w:b/>
                <w:bCs/>
                <w:kern w:val="0"/>
                <w:sz w:val="22"/>
              </w:rPr>
              <w:t>66节点</w:t>
            </w:r>
            <w:r>
              <w:rPr>
                <w:rFonts w:ascii="宋体" w:hAnsi="宋体" w:eastAsia="宋体" w:cs="Times New Roman"/>
                <w:b/>
                <w:bCs/>
                <w:kern w:val="0"/>
                <w:sz w:val="22"/>
              </w:rPr>
              <w:t>：</w:t>
            </w:r>
          </w:p>
          <w:p w14:paraId="174989D7">
            <w:pPr>
              <w:ind w:firstLine="0"/>
              <w:jc w:val="left"/>
              <w:rPr>
                <w:rFonts w:ascii="宋体" w:hAnsi="宋体" w:eastAsia="宋体" w:cs="Times New Roman"/>
                <w:kern w:val="0"/>
                <w:sz w:val="22"/>
              </w:rPr>
            </w:pPr>
            <w:r>
              <w:rPr>
                <w:rFonts w:ascii="宋体" w:hAnsi="宋体" w:eastAsia="宋体" w:cs="Times New Roman"/>
                <w:kern w:val="0"/>
                <w:sz w:val="22"/>
              </w:rPr>
              <w:t>（1）数据整理。软件配置</w:t>
            </w:r>
            <w:r>
              <w:rPr>
                <w:rFonts w:hint="eastAsia" w:ascii="宋体" w:hAnsi="宋体" w:eastAsia="宋体" w:cs="Times New Roman"/>
                <w:kern w:val="0"/>
                <w:sz w:val="22"/>
              </w:rPr>
              <w:t>66</w:t>
            </w:r>
            <w:r>
              <w:rPr>
                <w:rFonts w:ascii="宋体" w:hAnsi="宋体" w:eastAsia="宋体" w:cs="Times New Roman"/>
                <w:kern w:val="0"/>
                <w:sz w:val="22"/>
              </w:rPr>
              <w:t>个节点。针对虚拟仿真相片数据进行流程化整理，整理过程自动识别五路POS点，自动识别地面POS点，自动识别废片和可能存在的漏片位置。高速拷贝或剪切照片，同时支持POS数据、焦距写入照片和照片重命名等功能，整理完成后可在三维地球展示POS点</w:t>
            </w:r>
            <w:r>
              <w:rPr>
                <w:rFonts w:hint="eastAsia" w:ascii="宋体" w:hAnsi="宋体" w:eastAsia="宋体" w:cs="Times New Roman"/>
                <w:kern w:val="0"/>
                <w:sz w:val="22"/>
              </w:rPr>
              <w:t>；</w:t>
            </w:r>
          </w:p>
          <w:p w14:paraId="6C04250A">
            <w:pPr>
              <w:ind w:firstLine="0"/>
              <w:jc w:val="left"/>
              <w:rPr>
                <w:rFonts w:ascii="宋体" w:hAnsi="宋体" w:eastAsia="宋体" w:cs="Times New Roman"/>
                <w:kern w:val="0"/>
                <w:sz w:val="22"/>
              </w:rPr>
            </w:pPr>
            <w:r>
              <w:rPr>
                <w:rFonts w:ascii="宋体" w:hAnsi="宋体" w:eastAsia="宋体" w:cs="Times New Roman"/>
                <w:kern w:val="0"/>
                <w:sz w:val="22"/>
              </w:rPr>
              <w:t>（2）多元数据叠加。支持在三维地球中进行多源数据叠加浏览，包括在线地图、KML、SHP、CAD等格式的矢量数据、TIF等格式的栅格数据、OSGB的倾斜实景数据、OBJ等的人工模型数据，提供三维测量分析、坐标转换工具</w:t>
            </w:r>
            <w:r>
              <w:rPr>
                <w:rFonts w:hint="eastAsia" w:ascii="宋体" w:hAnsi="宋体" w:eastAsia="宋体" w:cs="Times New Roman"/>
                <w:kern w:val="0"/>
                <w:sz w:val="22"/>
              </w:rPr>
              <w:t>；</w:t>
            </w:r>
          </w:p>
          <w:p w14:paraId="4E559F07">
            <w:pPr>
              <w:ind w:firstLine="0"/>
              <w:jc w:val="left"/>
              <w:rPr>
                <w:rFonts w:ascii="宋体" w:hAnsi="宋体" w:eastAsia="宋体" w:cs="Times New Roman"/>
                <w:kern w:val="0"/>
                <w:sz w:val="22"/>
              </w:rPr>
            </w:pPr>
            <w:r>
              <w:rPr>
                <w:rFonts w:ascii="宋体" w:hAnsi="宋体" w:eastAsia="宋体" w:cs="Times New Roman"/>
                <w:kern w:val="0"/>
                <w:sz w:val="22"/>
              </w:rPr>
              <w:t>（3）数据浏览功能。支持同一区域的模型能够同时进行查看和浏览；模型精度检查功能，并生成精度报告</w:t>
            </w:r>
            <w:r>
              <w:rPr>
                <w:rFonts w:hint="eastAsia" w:ascii="宋体" w:hAnsi="宋体" w:eastAsia="宋体" w:cs="Times New Roman"/>
                <w:kern w:val="0"/>
                <w:sz w:val="22"/>
              </w:rPr>
              <w:t>；</w:t>
            </w:r>
          </w:p>
          <w:p w14:paraId="0CA53E71">
            <w:pPr>
              <w:ind w:firstLine="0"/>
              <w:jc w:val="left"/>
              <w:rPr>
                <w:rFonts w:ascii="宋体" w:hAnsi="宋体" w:eastAsia="宋体" w:cs="Times New Roman"/>
                <w:kern w:val="0"/>
                <w:sz w:val="22"/>
              </w:rPr>
            </w:pPr>
            <w:r>
              <w:rPr>
                <w:rFonts w:ascii="宋体" w:hAnsi="宋体" w:eastAsia="宋体" w:cs="Times New Roman"/>
                <w:kern w:val="0"/>
                <w:sz w:val="22"/>
              </w:rPr>
              <w:t>（4）软件支持像幅像素不低于1亿像素，工程总量无限制，且支持多机的并行计算；</w:t>
            </w:r>
          </w:p>
          <w:p w14:paraId="58893BA3">
            <w:pPr>
              <w:ind w:firstLine="0"/>
              <w:jc w:val="left"/>
              <w:rPr>
                <w:rFonts w:ascii="宋体" w:hAnsi="宋体" w:eastAsia="宋体" w:cs="Times New Roman"/>
                <w:kern w:val="0"/>
                <w:sz w:val="22"/>
              </w:rPr>
            </w:pPr>
            <w:r>
              <w:rPr>
                <w:rFonts w:ascii="宋体" w:hAnsi="宋体" w:eastAsia="宋体" w:cs="Times New Roman"/>
                <w:kern w:val="0"/>
                <w:sz w:val="22"/>
              </w:rPr>
              <w:t>（5）自由网平差。支持单镜头、双镜头、三镜头及任意镜头组采集的影像数据，针对少数量的相片进行一键自由网空三计算，并对空三进度进行显示</w:t>
            </w:r>
            <w:r>
              <w:rPr>
                <w:rFonts w:hint="eastAsia" w:ascii="宋体" w:hAnsi="宋体" w:eastAsia="宋体" w:cs="Times New Roman"/>
                <w:kern w:val="0"/>
                <w:sz w:val="22"/>
              </w:rPr>
              <w:t>；</w:t>
            </w:r>
          </w:p>
          <w:p w14:paraId="126540A5">
            <w:pPr>
              <w:ind w:firstLine="0"/>
              <w:jc w:val="left"/>
              <w:rPr>
                <w:rFonts w:ascii="宋体" w:hAnsi="宋体" w:eastAsia="宋体" w:cs="Times New Roman"/>
                <w:kern w:val="0"/>
                <w:sz w:val="22"/>
              </w:rPr>
            </w:pPr>
            <w:r>
              <w:rPr>
                <w:rFonts w:ascii="宋体" w:hAnsi="宋体" w:eastAsia="宋体" w:cs="Times New Roman"/>
                <w:kern w:val="0"/>
                <w:sz w:val="22"/>
              </w:rPr>
              <w:t>▲（6）支持无限空三，</w:t>
            </w:r>
            <w:r>
              <w:rPr>
                <w:rFonts w:hint="eastAsia" w:ascii="宋体" w:hAnsi="宋体" w:eastAsia="宋体" w:cs="Times New Roman"/>
                <w:kern w:val="0"/>
                <w:sz w:val="22"/>
              </w:rPr>
              <w:t>不低于</w:t>
            </w:r>
            <w:r>
              <w:rPr>
                <w:rFonts w:ascii="宋体" w:hAnsi="宋体" w:eastAsia="宋体" w:cs="Times New Roman"/>
                <w:kern w:val="0"/>
                <w:sz w:val="22"/>
              </w:rPr>
              <w:t>64GB内存能整体平差处理30万以上照片，实现全流程集群并行处理；</w:t>
            </w:r>
          </w:p>
          <w:p w14:paraId="5873136F">
            <w:pPr>
              <w:ind w:firstLine="0"/>
              <w:jc w:val="left"/>
              <w:rPr>
                <w:rFonts w:ascii="宋体" w:hAnsi="宋体" w:eastAsia="宋体" w:cs="Times New Roman"/>
                <w:kern w:val="0"/>
                <w:sz w:val="22"/>
              </w:rPr>
            </w:pPr>
            <w:r>
              <w:rPr>
                <w:rFonts w:ascii="宋体" w:hAnsi="宋体" w:eastAsia="宋体" w:cs="Times New Roman"/>
                <w:kern w:val="0"/>
                <w:sz w:val="22"/>
              </w:rPr>
              <w:t>（7）空三智能分块。大范围空三自动智能分块，提高空三效率</w:t>
            </w:r>
            <w:r>
              <w:rPr>
                <w:rFonts w:hint="eastAsia" w:ascii="宋体" w:hAnsi="宋体" w:eastAsia="宋体" w:cs="Times New Roman"/>
                <w:kern w:val="0"/>
                <w:sz w:val="22"/>
              </w:rPr>
              <w:t>；</w:t>
            </w:r>
          </w:p>
          <w:p w14:paraId="55AA57A2">
            <w:pPr>
              <w:ind w:firstLine="0"/>
              <w:jc w:val="left"/>
              <w:rPr>
                <w:rFonts w:ascii="宋体" w:hAnsi="宋体" w:eastAsia="宋体" w:cs="Times New Roman"/>
                <w:kern w:val="0"/>
                <w:sz w:val="22"/>
              </w:rPr>
            </w:pPr>
            <w:r>
              <w:rPr>
                <w:rFonts w:ascii="宋体" w:hAnsi="宋体" w:eastAsia="宋体" w:cs="Times New Roman"/>
                <w:kern w:val="0"/>
                <w:sz w:val="22"/>
              </w:rPr>
              <w:t>▲（8）控制网平差。导入像控点进行刺点，支持协同刺点，刺点完成后进行一键控制网平差 ，完成后自动弹出精度报告</w:t>
            </w:r>
            <w:r>
              <w:rPr>
                <w:rFonts w:hint="eastAsia" w:ascii="宋体" w:hAnsi="宋体" w:eastAsia="宋体" w:cs="Times New Roman"/>
                <w:kern w:val="0"/>
                <w:sz w:val="22"/>
              </w:rPr>
              <w:t>；</w:t>
            </w:r>
          </w:p>
          <w:p w14:paraId="39240C9C">
            <w:pPr>
              <w:ind w:firstLine="0"/>
              <w:jc w:val="left"/>
              <w:rPr>
                <w:rFonts w:ascii="宋体" w:hAnsi="宋体" w:eastAsia="宋体" w:cs="Times New Roman"/>
                <w:kern w:val="0"/>
                <w:sz w:val="22"/>
              </w:rPr>
            </w:pPr>
            <w:r>
              <w:rPr>
                <w:rFonts w:ascii="宋体" w:hAnsi="宋体" w:eastAsia="宋体" w:cs="Times New Roman"/>
                <w:kern w:val="0"/>
                <w:sz w:val="22"/>
              </w:rPr>
              <w:t>▲（9）小图斑批量空三建模。多个区块一键提交空三建模，降低重复操作提交工作量</w:t>
            </w:r>
            <w:r>
              <w:rPr>
                <w:rFonts w:hint="eastAsia" w:ascii="宋体" w:hAnsi="宋体" w:eastAsia="宋体" w:cs="Times New Roman"/>
                <w:kern w:val="0"/>
                <w:sz w:val="22"/>
              </w:rPr>
              <w:t>；</w:t>
            </w:r>
          </w:p>
          <w:p w14:paraId="139F91E7">
            <w:pPr>
              <w:ind w:firstLine="0"/>
              <w:jc w:val="left"/>
              <w:rPr>
                <w:rFonts w:ascii="宋体" w:hAnsi="宋体" w:eastAsia="宋体" w:cs="Times New Roman"/>
                <w:kern w:val="0"/>
                <w:sz w:val="22"/>
              </w:rPr>
            </w:pPr>
            <w:r>
              <w:rPr>
                <w:rFonts w:ascii="宋体" w:hAnsi="宋体" w:eastAsia="宋体" w:cs="Times New Roman"/>
                <w:kern w:val="0"/>
                <w:sz w:val="22"/>
              </w:rPr>
              <w:t>▲（10）建模。可进行单机建模，支持选择模型输出坐标系，可输出OSGB、OBJ、LAS、3DTiles格式模型，输出无畸变影像和DOM\DSM正射影像，并支持OSGB格式成果加载；支持AI智能补水面功能，减少人工补水面工作</w:t>
            </w:r>
            <w:r>
              <w:rPr>
                <w:rFonts w:hint="eastAsia" w:ascii="宋体" w:hAnsi="宋体" w:eastAsia="宋体" w:cs="Times New Roman"/>
                <w:kern w:val="0"/>
                <w:sz w:val="22"/>
              </w:rPr>
              <w:t>；</w:t>
            </w:r>
          </w:p>
          <w:p w14:paraId="2231BA51">
            <w:pPr>
              <w:ind w:firstLine="0"/>
              <w:jc w:val="left"/>
              <w:rPr>
                <w:rFonts w:ascii="宋体" w:hAnsi="宋体" w:eastAsia="宋体" w:cs="Times New Roman"/>
                <w:kern w:val="0"/>
                <w:sz w:val="22"/>
              </w:rPr>
            </w:pPr>
            <w:r>
              <w:rPr>
                <w:rFonts w:ascii="宋体" w:hAnsi="宋体" w:eastAsia="宋体" w:cs="Times New Roman"/>
                <w:kern w:val="0"/>
                <w:sz w:val="22"/>
              </w:rPr>
              <w:t>▲（11）架次解算。直接针对多架次批量后差分解算，支持常用观测文件格式，并支持记录通用格式、无人机观测数据；基站仪器高、天线与相机相位差信息可在差分计算中直接改正</w:t>
            </w:r>
            <w:r>
              <w:rPr>
                <w:rFonts w:hint="eastAsia" w:ascii="宋体" w:hAnsi="宋体" w:eastAsia="宋体" w:cs="Times New Roman"/>
                <w:kern w:val="0"/>
                <w:sz w:val="22"/>
              </w:rPr>
              <w:t>；</w:t>
            </w:r>
          </w:p>
          <w:p w14:paraId="21D6089B">
            <w:pPr>
              <w:ind w:firstLine="0"/>
              <w:jc w:val="left"/>
              <w:rPr>
                <w:rFonts w:ascii="宋体" w:hAnsi="宋体" w:eastAsia="宋体" w:cs="Times New Roman"/>
                <w:kern w:val="0"/>
                <w:sz w:val="22"/>
              </w:rPr>
            </w:pPr>
            <w:r>
              <w:rPr>
                <w:rFonts w:ascii="宋体" w:hAnsi="宋体" w:eastAsia="宋体" w:cs="Times New Roman"/>
                <w:kern w:val="0"/>
                <w:sz w:val="22"/>
              </w:rPr>
              <w:t>（12）提供测区范围绘制。提供多种绘制测区范围的方式，包括一键导入kml等数据格式的文件作为测区范围、导入dwg作为底图来提取测区范围及自绘测区，丰富多样的测区绘制方式能最大程度的满足各种测区类型的绘制需求</w:t>
            </w:r>
            <w:r>
              <w:rPr>
                <w:rFonts w:hint="eastAsia" w:ascii="宋体" w:hAnsi="宋体" w:eastAsia="宋体" w:cs="Times New Roman"/>
                <w:kern w:val="0"/>
                <w:sz w:val="22"/>
              </w:rPr>
              <w:t>；</w:t>
            </w:r>
          </w:p>
          <w:p w14:paraId="645376A2">
            <w:pPr>
              <w:ind w:firstLine="0"/>
              <w:jc w:val="left"/>
              <w:rPr>
                <w:rFonts w:ascii="宋体" w:hAnsi="宋体" w:eastAsia="宋体" w:cs="Times New Roman"/>
                <w:kern w:val="0"/>
                <w:sz w:val="22"/>
              </w:rPr>
            </w:pPr>
            <w:r>
              <w:rPr>
                <w:rFonts w:ascii="宋体" w:hAnsi="宋体" w:eastAsia="宋体" w:cs="Times New Roman"/>
                <w:kern w:val="0"/>
                <w:sz w:val="22"/>
              </w:rPr>
              <w:t>（13）支持大测区分割和航线规划。支持大测区的自动分割及航线规划，可实时调整各个小测区的航线具体参数，支持</w:t>
            </w:r>
            <w:r>
              <w:rPr>
                <w:rFonts w:hint="eastAsia" w:ascii="宋体" w:hAnsi="宋体" w:eastAsia="宋体" w:cs="Times New Roman"/>
                <w:kern w:val="0"/>
                <w:sz w:val="22"/>
              </w:rPr>
              <w:t>仿</w:t>
            </w:r>
            <w:r>
              <w:rPr>
                <w:rFonts w:ascii="宋体" w:hAnsi="宋体" w:eastAsia="宋体" w:cs="Times New Roman"/>
                <w:kern w:val="0"/>
                <w:sz w:val="22"/>
              </w:rPr>
              <w:t>地飞行、定高飞行多种飞行方式，自动联网获取测区的真实高程数据，并且可预览航线的三维立体效果</w:t>
            </w:r>
            <w:r>
              <w:rPr>
                <w:rFonts w:hint="eastAsia" w:ascii="宋体" w:hAnsi="宋体" w:eastAsia="宋体" w:cs="Times New Roman"/>
                <w:kern w:val="0"/>
                <w:sz w:val="22"/>
              </w:rPr>
              <w:t>；</w:t>
            </w:r>
          </w:p>
          <w:p w14:paraId="3DEDB0C0">
            <w:pPr>
              <w:ind w:firstLine="0"/>
              <w:jc w:val="left"/>
              <w:rPr>
                <w:rFonts w:ascii="宋体" w:hAnsi="宋体" w:eastAsia="宋体" w:cs="Times New Roman"/>
                <w:kern w:val="0"/>
                <w:sz w:val="22"/>
              </w:rPr>
            </w:pPr>
            <w:r>
              <w:rPr>
                <w:rFonts w:ascii="宋体" w:hAnsi="宋体" w:eastAsia="宋体" w:cs="Times New Roman"/>
                <w:kern w:val="0"/>
                <w:sz w:val="22"/>
              </w:rPr>
              <w:t>▲（14）支持自定义像控格网和预采像控位置。支持自定义像控格网的大小，可在地图上自定义标注预采像控点的位置，一键导出kml等常用数据格式的像控点文件，并且支持通过直连像控点采集设备进行照片的快速整理及生成点</w:t>
            </w:r>
            <w:r>
              <w:rPr>
                <w:rFonts w:hint="eastAsia" w:ascii="宋体" w:hAnsi="宋体" w:eastAsia="宋体" w:cs="Times New Roman"/>
                <w:kern w:val="0"/>
                <w:sz w:val="22"/>
              </w:rPr>
              <w:t>注记</w:t>
            </w:r>
            <w:r>
              <w:rPr>
                <w:rFonts w:ascii="宋体" w:hAnsi="宋体" w:eastAsia="宋体" w:cs="Times New Roman"/>
                <w:kern w:val="0"/>
                <w:sz w:val="22"/>
              </w:rPr>
              <w:t>文件</w:t>
            </w:r>
            <w:r>
              <w:rPr>
                <w:rFonts w:hint="eastAsia" w:ascii="宋体" w:hAnsi="宋体" w:eastAsia="宋体" w:cs="Times New Roman"/>
                <w:kern w:val="0"/>
                <w:sz w:val="22"/>
              </w:rPr>
              <w:t>；</w:t>
            </w:r>
          </w:p>
          <w:p w14:paraId="7ABF32AE">
            <w:pPr>
              <w:ind w:firstLine="0"/>
              <w:jc w:val="left"/>
              <w:rPr>
                <w:rFonts w:ascii="宋体" w:hAnsi="宋体" w:eastAsia="宋体" w:cs="Times New Roman"/>
                <w:kern w:val="0"/>
                <w:sz w:val="22"/>
              </w:rPr>
            </w:pPr>
            <w:r>
              <w:rPr>
                <w:rFonts w:ascii="宋体" w:hAnsi="宋体" w:eastAsia="宋体" w:cs="Times New Roman"/>
                <w:kern w:val="0"/>
                <w:sz w:val="22"/>
              </w:rPr>
              <w:t>（15）航测数据一键上传云平台。支持测区、航线、像控及格网等航测数据一键上传至云平台，及一键下载文件到本地数据库，可通过云数据管理功能进行云数据的更新，数据的规划和下发都通过一个公共的平台进行，并且每个测区任务的完成进度可以统一在一个面板中实时查看，使得航测作业更加专业化、规范化、流程化和透明化，可有效提高航测作业效率</w:t>
            </w:r>
            <w:r>
              <w:rPr>
                <w:rFonts w:hint="eastAsia" w:ascii="宋体" w:hAnsi="宋体" w:eastAsia="宋体" w:cs="Times New Roman"/>
                <w:kern w:val="0"/>
                <w:sz w:val="22"/>
              </w:rPr>
              <w:t>；</w:t>
            </w:r>
          </w:p>
          <w:p w14:paraId="3E3047A1">
            <w:pPr>
              <w:ind w:firstLine="0"/>
              <w:jc w:val="left"/>
              <w:rPr>
                <w:rFonts w:ascii="宋体" w:hAnsi="宋体" w:eastAsia="宋体" w:cs="Times New Roman"/>
                <w:kern w:val="0"/>
                <w:sz w:val="22"/>
              </w:rPr>
            </w:pPr>
            <w:r>
              <w:rPr>
                <w:rFonts w:ascii="宋体" w:hAnsi="宋体" w:eastAsia="宋体" w:cs="Times New Roman"/>
                <w:kern w:val="0"/>
                <w:sz w:val="22"/>
              </w:rPr>
              <w:t>（16）空三成果导出。支持将空三成果导出XML格式，导出过程中各种参数（如相机参数）均按照严格模型进行高精度转换，导出成果在其他软件中可不经处理直接进行后续建模等工作</w:t>
            </w:r>
            <w:r>
              <w:rPr>
                <w:rFonts w:hint="eastAsia" w:ascii="宋体" w:hAnsi="宋体" w:eastAsia="宋体" w:cs="Times New Roman"/>
                <w:kern w:val="0"/>
                <w:sz w:val="22"/>
              </w:rPr>
              <w:t>；</w:t>
            </w:r>
          </w:p>
          <w:p w14:paraId="19095A4F">
            <w:pPr>
              <w:ind w:firstLine="0"/>
              <w:jc w:val="left"/>
              <w:rPr>
                <w:rFonts w:ascii="宋体" w:hAnsi="宋体" w:eastAsia="宋体" w:cs="Times New Roman"/>
                <w:kern w:val="0"/>
                <w:sz w:val="22"/>
              </w:rPr>
            </w:pPr>
            <w:r>
              <w:rPr>
                <w:rFonts w:ascii="宋体" w:hAnsi="宋体" w:eastAsia="宋体" w:cs="Times New Roman"/>
                <w:kern w:val="0"/>
                <w:sz w:val="22"/>
              </w:rPr>
              <w:t>（17）相机内参数自检校。支持相机内参数自检校，用户只需输入粗略的焦距值，其他参数均在空三过程中自动检校获得</w:t>
            </w:r>
            <w:r>
              <w:rPr>
                <w:rFonts w:hint="eastAsia" w:ascii="宋体" w:hAnsi="宋体" w:eastAsia="宋体" w:cs="Times New Roman"/>
                <w:kern w:val="0"/>
                <w:sz w:val="22"/>
              </w:rPr>
              <w:t>；</w:t>
            </w:r>
          </w:p>
          <w:p w14:paraId="7485651F">
            <w:pPr>
              <w:ind w:firstLine="0"/>
              <w:jc w:val="left"/>
              <w:rPr>
                <w:rFonts w:ascii="宋体" w:hAnsi="宋体" w:eastAsia="宋体" w:cs="Times New Roman"/>
                <w:kern w:val="0"/>
                <w:sz w:val="22"/>
              </w:rPr>
            </w:pPr>
            <w:r>
              <w:rPr>
                <w:rFonts w:ascii="宋体" w:hAnsi="宋体" w:eastAsia="宋体" w:cs="Times New Roman"/>
                <w:kern w:val="0"/>
                <w:sz w:val="22"/>
              </w:rPr>
              <w:t>（18）项目分享。支持一键生成二维码及快捷信息进行项目的分享，团队成员可通过选择二维码或者填写项目管理员账号及分享码的方式快速加入项目中，进行数据的下载及后续工作</w:t>
            </w:r>
            <w:r>
              <w:rPr>
                <w:rFonts w:hint="eastAsia" w:ascii="宋体" w:hAnsi="宋体" w:eastAsia="宋体" w:cs="Times New Roman"/>
                <w:kern w:val="0"/>
                <w:sz w:val="22"/>
              </w:rPr>
              <w:t>；</w:t>
            </w:r>
          </w:p>
          <w:p w14:paraId="24C0E54D">
            <w:pPr>
              <w:ind w:firstLine="0"/>
              <w:jc w:val="left"/>
              <w:rPr>
                <w:rFonts w:ascii="宋体" w:hAnsi="宋体" w:eastAsia="宋体" w:cs="Times New Roman"/>
                <w:kern w:val="0"/>
                <w:sz w:val="22"/>
              </w:rPr>
            </w:pPr>
            <w:r>
              <w:rPr>
                <w:rFonts w:ascii="宋体" w:hAnsi="宋体" w:eastAsia="宋体" w:cs="Times New Roman"/>
                <w:kern w:val="0"/>
                <w:sz w:val="22"/>
              </w:rPr>
              <w:t>（19）OSGB模型坐标转化。支持OSGB模型的坐标转换，转换方式包括无需椭球转换、直接平移法、四参数转换和七参数转换，可手动设置转换后的坐标原点</w:t>
            </w:r>
            <w:r>
              <w:rPr>
                <w:rFonts w:hint="eastAsia" w:ascii="宋体" w:hAnsi="宋体" w:eastAsia="宋体" w:cs="Times New Roman"/>
                <w:kern w:val="0"/>
                <w:sz w:val="22"/>
              </w:rPr>
              <w:t>；</w:t>
            </w:r>
          </w:p>
          <w:p w14:paraId="5425B98A">
            <w:pPr>
              <w:ind w:firstLine="0"/>
              <w:jc w:val="left"/>
              <w:rPr>
                <w:rFonts w:ascii="宋体" w:hAnsi="宋体" w:eastAsia="宋体" w:cs="Times New Roman"/>
                <w:kern w:val="0"/>
                <w:sz w:val="22"/>
              </w:rPr>
            </w:pPr>
            <w:r>
              <w:rPr>
                <w:rFonts w:ascii="宋体" w:hAnsi="宋体" w:eastAsia="宋体" w:cs="Times New Roman"/>
                <w:kern w:val="0"/>
                <w:sz w:val="22"/>
              </w:rPr>
              <w:t>（20）质保期</w:t>
            </w:r>
            <w:r>
              <w:rPr>
                <w:rFonts w:hint="eastAsia" w:ascii="宋体" w:hAnsi="宋体" w:eastAsia="宋体" w:cs="Times New Roman"/>
                <w:kern w:val="0"/>
                <w:sz w:val="22"/>
              </w:rPr>
              <w:t>：质保期不少于3年，质保期后不</w:t>
            </w:r>
            <w:r>
              <w:rPr>
                <w:rFonts w:ascii="宋体" w:hAnsi="宋体" w:eastAsia="宋体" w:cs="Times New Roman"/>
                <w:kern w:val="0"/>
                <w:sz w:val="22"/>
              </w:rPr>
              <w:t>升级</w:t>
            </w:r>
            <w:r>
              <w:rPr>
                <w:rFonts w:hint="eastAsia" w:ascii="宋体" w:hAnsi="宋体" w:eastAsia="宋体" w:cs="Times New Roman"/>
                <w:kern w:val="0"/>
                <w:sz w:val="22"/>
              </w:rPr>
              <w:t>不影响软件正常使用</w:t>
            </w:r>
            <w:r>
              <w:rPr>
                <w:rFonts w:ascii="宋体" w:hAnsi="宋体" w:eastAsia="宋体" w:cs="Times New Roman"/>
                <w:kern w:val="0"/>
                <w:sz w:val="22"/>
              </w:rPr>
              <w:t>；</w:t>
            </w:r>
          </w:p>
          <w:p w14:paraId="67A96384">
            <w:pPr>
              <w:ind w:firstLine="0"/>
              <w:jc w:val="left"/>
              <w:rPr>
                <w:rFonts w:ascii="宋体" w:hAnsi="宋体" w:eastAsia="宋体" w:cs="Times New Roman"/>
                <w:kern w:val="0"/>
                <w:sz w:val="22"/>
              </w:rPr>
            </w:pPr>
            <w:r>
              <w:rPr>
                <w:rFonts w:ascii="宋体" w:hAnsi="宋体" w:eastAsia="宋体" w:cs="Times New Roman"/>
                <w:kern w:val="0"/>
                <w:sz w:val="22"/>
              </w:rPr>
              <w:t>▲（21）为保证采集的数据能够安全顺畅的处理，该软件须与机载三维激光检测模块</w:t>
            </w:r>
            <w:r>
              <w:rPr>
                <w:rFonts w:hint="eastAsia" w:ascii="宋体" w:hAnsi="宋体" w:eastAsia="宋体" w:cs="Times New Roman"/>
                <w:kern w:val="0"/>
                <w:sz w:val="22"/>
              </w:rPr>
              <w:t>、</w:t>
            </w:r>
            <w:r>
              <w:rPr>
                <w:rFonts w:ascii="宋体" w:hAnsi="宋体" w:eastAsia="宋体" w:cs="Times New Roman"/>
                <w:kern w:val="0"/>
                <w:sz w:val="22"/>
              </w:rPr>
              <w:t>地形地籍成图软件</w:t>
            </w:r>
            <w:r>
              <w:rPr>
                <w:rFonts w:hint="eastAsia" w:ascii="宋体" w:hAnsi="宋体" w:eastAsia="宋体" w:cs="Times New Roman"/>
                <w:kern w:val="0"/>
                <w:sz w:val="22"/>
              </w:rPr>
              <w:t>、</w:t>
            </w:r>
            <w:r>
              <w:rPr>
                <w:rFonts w:ascii="宋体" w:hAnsi="宋体" w:eastAsia="宋体" w:cs="Times New Roman"/>
                <w:kern w:val="0"/>
                <w:sz w:val="22"/>
              </w:rPr>
              <w:t>激光点云处理软件</w:t>
            </w:r>
            <w:r>
              <w:rPr>
                <w:rFonts w:hint="eastAsia" w:ascii="宋体" w:hAnsi="宋体" w:eastAsia="宋体" w:cs="Times New Roman"/>
                <w:kern w:val="0"/>
                <w:sz w:val="22"/>
              </w:rPr>
              <w:t>、无人机数据管理模块可完全兼容</w:t>
            </w:r>
            <w:r>
              <w:rPr>
                <w:rFonts w:ascii="宋体" w:hAnsi="宋体" w:eastAsia="宋体" w:cs="Times New Roman"/>
                <w:kern w:val="0"/>
                <w:sz w:val="22"/>
              </w:rPr>
              <w:t>。</w:t>
            </w:r>
          </w:p>
          <w:p w14:paraId="4A709E23">
            <w:pPr>
              <w:ind w:firstLine="0"/>
              <w:jc w:val="left"/>
              <w:rPr>
                <w:rFonts w:ascii="宋体" w:hAnsi="宋体" w:eastAsia="宋体" w:cs="Times New Roman"/>
                <w:b/>
                <w:bCs/>
                <w:kern w:val="0"/>
                <w:sz w:val="22"/>
              </w:rPr>
            </w:pPr>
            <w:r>
              <w:rPr>
                <w:rFonts w:ascii="宋体" w:hAnsi="宋体" w:eastAsia="宋体" w:cs="Times New Roman"/>
                <w:b/>
                <w:bCs/>
                <w:kern w:val="0"/>
                <w:sz w:val="22"/>
              </w:rPr>
              <w:t>七、地形地籍成图软件</w:t>
            </w:r>
            <w:r>
              <w:rPr>
                <w:rFonts w:hint="eastAsia" w:ascii="宋体" w:hAnsi="宋体" w:eastAsia="宋体" w:cs="Times New Roman"/>
                <w:b/>
                <w:bCs/>
                <w:kern w:val="0"/>
                <w:sz w:val="22"/>
              </w:rPr>
              <w:t>132节点</w:t>
            </w:r>
            <w:r>
              <w:rPr>
                <w:rFonts w:ascii="宋体" w:hAnsi="宋体" w:eastAsia="宋体" w:cs="Times New Roman"/>
                <w:b/>
                <w:bCs/>
                <w:kern w:val="0"/>
                <w:sz w:val="22"/>
              </w:rPr>
              <w:t>：</w:t>
            </w:r>
          </w:p>
          <w:p w14:paraId="04D1A6C1">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1</w:t>
            </w:r>
            <w:r>
              <w:rPr>
                <w:rFonts w:ascii="宋体" w:hAnsi="宋体" w:eastAsia="宋体" w:cs="Times New Roman"/>
                <w:kern w:val="0"/>
                <w:sz w:val="22"/>
              </w:rPr>
              <w:t>）基于 CAD图形平台，支持主流CAD软件。</w:t>
            </w:r>
          </w:p>
          <w:p w14:paraId="51521970">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w:t>
            </w:r>
            <w:r>
              <w:rPr>
                <w:rFonts w:ascii="宋体" w:hAnsi="宋体" w:eastAsia="宋体" w:cs="Times New Roman"/>
                <w:kern w:val="0"/>
                <w:sz w:val="22"/>
              </w:rPr>
              <w:t>）运行操作系统平台：windows7/ windows10/Linux</w:t>
            </w:r>
            <w:r>
              <w:rPr>
                <w:rFonts w:hint="eastAsia" w:ascii="宋体" w:hAnsi="宋体" w:eastAsia="宋体" w:cs="Times New Roman"/>
                <w:kern w:val="0"/>
                <w:sz w:val="22"/>
              </w:rPr>
              <w:t>。</w:t>
            </w:r>
          </w:p>
          <w:p w14:paraId="0BC4A0D7">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w:t>
            </w:r>
            <w:r>
              <w:rPr>
                <w:rFonts w:ascii="宋体" w:hAnsi="宋体" w:eastAsia="宋体" w:cs="Times New Roman"/>
                <w:kern w:val="0"/>
                <w:sz w:val="22"/>
              </w:rPr>
              <w:t>）支持传输野外采集数据。</w:t>
            </w:r>
          </w:p>
          <w:p w14:paraId="2E0B65A4">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4</w:t>
            </w:r>
            <w:r>
              <w:rPr>
                <w:rFonts w:ascii="宋体" w:hAnsi="宋体" w:eastAsia="宋体" w:cs="Times New Roman"/>
                <w:kern w:val="0"/>
                <w:sz w:val="22"/>
              </w:rPr>
              <w:t>）支持dat、txt、csv、xls、xlsx多种坐标文件格式。</w:t>
            </w:r>
          </w:p>
          <w:p w14:paraId="7B27D00B">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5</w:t>
            </w:r>
            <w:r>
              <w:rPr>
                <w:rFonts w:ascii="宋体" w:hAnsi="宋体" w:eastAsia="宋体" w:cs="Times New Roman"/>
                <w:kern w:val="0"/>
                <w:sz w:val="22"/>
              </w:rPr>
              <w:t>）支持矢量数据：DWG 、MDB、Shapefile、DXF等；正射影像：TIF、IMG、JPG等。</w:t>
            </w:r>
          </w:p>
          <w:p w14:paraId="47B96076">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6</w:t>
            </w:r>
            <w:r>
              <w:rPr>
                <w:rFonts w:ascii="宋体" w:hAnsi="宋体" w:eastAsia="宋体" w:cs="Times New Roman"/>
                <w:kern w:val="0"/>
                <w:sz w:val="22"/>
              </w:rPr>
              <w:t>）能够读取智能全站仪外业gpkg数据直接成图；读取云平台工程数据成图；读取*.cas/*.sou格式交换文件成图；对野外测量数据进行展点处理成图。</w:t>
            </w:r>
          </w:p>
          <w:p w14:paraId="49FA7B91">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7</w:t>
            </w:r>
            <w:r>
              <w:rPr>
                <w:rFonts w:ascii="宋体" w:hAnsi="宋体" w:eastAsia="宋体" w:cs="Times New Roman"/>
                <w:kern w:val="0"/>
                <w:sz w:val="22"/>
              </w:rPr>
              <w:t>）通过匿名分享、指定用户和群组分享等方式与工程之星实现dat和dwg数据共享，同时支持数据备份至云平台。</w:t>
            </w:r>
          </w:p>
          <w:p w14:paraId="7B4C8055">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8</w:t>
            </w:r>
            <w:r>
              <w:rPr>
                <w:rFonts w:ascii="宋体" w:hAnsi="宋体" w:eastAsia="宋体" w:cs="Times New Roman"/>
                <w:kern w:val="0"/>
                <w:sz w:val="22"/>
              </w:rPr>
              <w:t>）满足国家GB/T 20257.1-2017国家基本比例尺地图图式，能够支持 1:500、1:1000、1:2000 地形图绘制；具有完善的地形图式符号库，完全符合国家的最新地形图式标准，提供自定义符号接口。</w:t>
            </w:r>
          </w:p>
          <w:p w14:paraId="3D48C2AA">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9</w:t>
            </w:r>
            <w:r>
              <w:rPr>
                <w:rFonts w:ascii="宋体" w:hAnsi="宋体" w:eastAsia="宋体" w:cs="Times New Roman"/>
                <w:kern w:val="0"/>
                <w:sz w:val="22"/>
              </w:rPr>
              <w:t>）满足GB/T 30428.2-2013数字化城市管理信息系统第2部分：管理部件和事件；能够绘制公用设施、交通设施、市容环境设施、园林绿化设施及其他市政部件符号。</w:t>
            </w:r>
          </w:p>
          <w:p w14:paraId="7977F876">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0</w:t>
            </w:r>
            <w:r>
              <w:rPr>
                <w:rFonts w:ascii="宋体" w:hAnsi="宋体" w:eastAsia="宋体" w:cs="Times New Roman"/>
                <w:kern w:val="0"/>
                <w:sz w:val="22"/>
              </w:rPr>
              <w:t>）数据入库编码参考规范GB/T 20258.1-2019基础地理信息要素数据字典第1部分：15001100012000比例尺，GB/T 13923-2022基础地理信息要素分类与代码。</w:t>
            </w:r>
          </w:p>
          <w:p w14:paraId="0EABE2B8">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1</w:t>
            </w:r>
            <w:r>
              <w:rPr>
                <w:rFonts w:ascii="宋体" w:hAnsi="宋体" w:eastAsia="宋体" w:cs="Times New Roman"/>
                <w:kern w:val="0"/>
                <w:sz w:val="22"/>
              </w:rPr>
              <w:t>）提供标准绘图、快速绘图、自动绘图等方式，提供简码识别、编码引导、源码识别等方式实现高效绘图。</w:t>
            </w:r>
          </w:p>
          <w:p w14:paraId="22F56A03">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2</w:t>
            </w:r>
            <w:r>
              <w:rPr>
                <w:rFonts w:ascii="宋体" w:hAnsi="宋体" w:eastAsia="宋体" w:cs="Times New Roman"/>
                <w:kern w:val="0"/>
                <w:sz w:val="22"/>
              </w:rPr>
              <w:t>）提供图形编辑处理的工具箱，集成绘图处理、属性赋值、高程点处理、坐标提取、断面坡度标注、批量标注、等高线处理等工具；包括独立符号压线消隐、污水篦子方向自动调整、高程点内插、等高线等距离滤波、悬挂点处理、围墙裁剪角等功能。</w:t>
            </w:r>
          </w:p>
          <w:p w14:paraId="5BF86B33">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3</w:t>
            </w:r>
            <w:r>
              <w:rPr>
                <w:rFonts w:ascii="宋体" w:hAnsi="宋体" w:eastAsia="宋体" w:cs="Times New Roman"/>
                <w:kern w:val="0"/>
                <w:sz w:val="22"/>
              </w:rPr>
              <w:t>）满足最新地图图式的图幅输出，地图分幅处理及添加多种规格图幅，包含标准图幅、任意图幅、批量分幅等。</w:t>
            </w:r>
          </w:p>
          <w:p w14:paraId="4A01FCDA">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4</w:t>
            </w:r>
            <w:r>
              <w:rPr>
                <w:rFonts w:ascii="宋体" w:hAnsi="宋体" w:eastAsia="宋体" w:cs="Times New Roman"/>
                <w:kern w:val="0"/>
                <w:sz w:val="22"/>
              </w:rPr>
              <w:t>）提供图形绘制工具，可通过调用CAD命令，绘制多种不同类型的形状，包括圆、弧、直线、复合线、多段线等。</w:t>
            </w:r>
          </w:p>
          <w:p w14:paraId="3C25BC82">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5</w:t>
            </w:r>
            <w:r>
              <w:rPr>
                <w:rFonts w:ascii="宋体" w:hAnsi="宋体" w:eastAsia="宋体" w:cs="Times New Roman"/>
                <w:kern w:val="0"/>
                <w:sz w:val="22"/>
              </w:rPr>
              <w:t>）具备丰富的图形编辑功能，移动、旋转、伸展、缩放、图形复制、偏移拷贝等。</w:t>
            </w:r>
          </w:p>
          <w:p w14:paraId="51B08FF0">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6</w:t>
            </w:r>
            <w:r>
              <w:rPr>
                <w:rFonts w:ascii="宋体" w:hAnsi="宋体" w:eastAsia="宋体" w:cs="Times New Roman"/>
                <w:kern w:val="0"/>
                <w:sz w:val="22"/>
              </w:rPr>
              <w:t>）具备多种测量数据处理方法和工具，包括前方交会、后方交会等多种交会，属性编辑、导线平差、原始坐标格式转换、坐标换带等。</w:t>
            </w:r>
          </w:p>
          <w:p w14:paraId="154D7250">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7</w:t>
            </w:r>
            <w:r>
              <w:rPr>
                <w:rFonts w:ascii="宋体" w:hAnsi="宋体" w:eastAsia="宋体" w:cs="Times New Roman"/>
                <w:kern w:val="0"/>
                <w:sz w:val="22"/>
              </w:rPr>
              <w:t>）具备坐标转换功能，通过四参数或七参数，将图形或数据，在两个坐标系间转换。</w:t>
            </w:r>
          </w:p>
          <w:p w14:paraId="16078A45">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8</w:t>
            </w:r>
            <w:r>
              <w:rPr>
                <w:rFonts w:ascii="宋体" w:hAnsi="宋体" w:eastAsia="宋体" w:cs="Times New Roman"/>
                <w:kern w:val="0"/>
                <w:sz w:val="22"/>
              </w:rPr>
              <w:t>）具备丰富的地物编辑功能，对图上地物图形要素有全面的编辑能力。修改墙宽、坎高、复合线处理、房檐改正、批量裁剪等一系列丰富的地物编辑功能。</w:t>
            </w:r>
          </w:p>
          <w:p w14:paraId="26085257">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19</w:t>
            </w:r>
            <w:r>
              <w:rPr>
                <w:rFonts w:ascii="宋体" w:hAnsi="宋体" w:eastAsia="宋体" w:cs="Times New Roman"/>
                <w:kern w:val="0"/>
                <w:sz w:val="22"/>
              </w:rPr>
              <w:t>）支持多种批量处理操作，包括批量分幅，批量选择、删剪、剪切，批量修改坐标等操作。</w:t>
            </w:r>
          </w:p>
          <w:p w14:paraId="5BE2C5FD">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0</w:t>
            </w:r>
            <w:r>
              <w:rPr>
                <w:rFonts w:ascii="宋体" w:hAnsi="宋体" w:eastAsia="宋体" w:cs="Times New Roman"/>
                <w:kern w:val="0"/>
                <w:sz w:val="22"/>
              </w:rPr>
              <w:t>）支持一键读取智能全站仪导线测量数据。</w:t>
            </w:r>
          </w:p>
          <w:p w14:paraId="29AB6D77">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1</w:t>
            </w:r>
            <w:r>
              <w:rPr>
                <w:rFonts w:ascii="宋体" w:hAnsi="宋体" w:eastAsia="宋体" w:cs="Times New Roman"/>
                <w:kern w:val="0"/>
                <w:sz w:val="22"/>
              </w:rPr>
              <w:t>）支持导线控制测量数据自动录入、概算、平差并输出平差报告和控制点成果坐标文件。</w:t>
            </w:r>
          </w:p>
          <w:p w14:paraId="5801904A">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2</w:t>
            </w:r>
            <w:r>
              <w:rPr>
                <w:rFonts w:ascii="宋体" w:hAnsi="宋体" w:eastAsia="宋体" w:cs="Times New Roman"/>
                <w:kern w:val="0"/>
                <w:sz w:val="22"/>
              </w:rPr>
              <w:t>）支持计算平面网国家二等、国家三等、国家四等、城市一级、城市二级、城市三级、图根。计算高程网国家二等、国家三等、国家四等、图根水准。</w:t>
            </w:r>
          </w:p>
          <w:p w14:paraId="680ECD43">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3</w:t>
            </w:r>
            <w:r>
              <w:rPr>
                <w:rFonts w:ascii="宋体" w:hAnsi="宋体" w:eastAsia="宋体" w:cs="Times New Roman"/>
                <w:kern w:val="0"/>
                <w:sz w:val="22"/>
              </w:rPr>
              <w:t>）支持输入控制测量数据的坐标、高程、差值等自动计算,并辅以网图动态显示。自动求解控制网各种路线闭合差并进行误差分析。输出成果标准齐全:控制网属性、控制网概况、闭合差统计表、方向观测成果表、距离观测成果表、高差观测成果表、平面点位误差表、点间误差表、控制点成果表等并以表格形式输出。</w:t>
            </w:r>
          </w:p>
          <w:p w14:paraId="45975CC4">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4</w:t>
            </w:r>
            <w:r>
              <w:rPr>
                <w:rFonts w:ascii="宋体" w:hAnsi="宋体" w:eastAsia="宋体" w:cs="Times New Roman"/>
                <w:kern w:val="0"/>
                <w:sz w:val="22"/>
              </w:rPr>
              <w:t>）高效建立三角网，自动绘制等高线、等深线，可以对等高线进行灵活修剪及注记。自动处理地性线，对地性线自动插点，构建三角网更加精确。自动处理地性线，对地性线自动插点，构建三角网更加精确。</w:t>
            </w:r>
          </w:p>
          <w:p w14:paraId="3946B0EB">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5</w:t>
            </w:r>
            <w:r>
              <w:rPr>
                <w:rFonts w:ascii="宋体" w:hAnsi="宋体" w:eastAsia="宋体" w:cs="Times New Roman"/>
                <w:kern w:val="0"/>
                <w:sz w:val="22"/>
              </w:rPr>
              <w:t>）能够根据测量数据进行地形信息的呈现、处理；采用拓扑结构DTM，增删顶点能自动重新组网，可自动生成等高线支持地形三维模型呈现及坡度分析。</w:t>
            </w:r>
          </w:p>
          <w:p w14:paraId="21F7BBB0">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6</w:t>
            </w:r>
            <w:r>
              <w:rPr>
                <w:rFonts w:ascii="宋体" w:hAnsi="宋体" w:eastAsia="宋体" w:cs="Times New Roman"/>
                <w:kern w:val="0"/>
                <w:sz w:val="22"/>
              </w:rPr>
              <w:t>）多种完善的土方计算方法，集三维立体化展示、模型数据种类多样、成果快速生成、智能化操作计算等优点于一身，适用于山坡、土堆、基坑、道路、航道、沟渠等各类型土方工程。具有三角网法、方格网法、断面法、等高线法等计算方法。</w:t>
            </w:r>
          </w:p>
          <w:p w14:paraId="7306FAE8">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7</w:t>
            </w:r>
            <w:r>
              <w:rPr>
                <w:rFonts w:ascii="宋体" w:hAnsi="宋体" w:eastAsia="宋体" w:cs="Times New Roman"/>
                <w:kern w:val="0"/>
                <w:sz w:val="22"/>
              </w:rPr>
              <w:t>）方格网法土方算法，支持扣岛计算、多级边坡处理、转角处理，方格网节点移动、方格网裁剪、忽略地形放坡到指定高度、土方量汇总。</w:t>
            </w:r>
          </w:p>
          <w:p w14:paraId="44DB5E7F">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8</w:t>
            </w:r>
            <w:r>
              <w:rPr>
                <w:rFonts w:ascii="宋体" w:hAnsi="宋体" w:eastAsia="宋体" w:cs="Times New Roman"/>
                <w:kern w:val="0"/>
                <w:sz w:val="22"/>
              </w:rPr>
              <w:t>）土方三维模型。多角度浏览自然面、设计面、合成面土方三维模型，直观分析开挖前后的土方场景。</w:t>
            </w:r>
          </w:p>
          <w:p w14:paraId="2B778B54">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29</w:t>
            </w:r>
            <w:r>
              <w:rPr>
                <w:rFonts w:ascii="宋体" w:hAnsi="宋体" w:eastAsia="宋体" w:cs="Times New Roman"/>
                <w:kern w:val="0"/>
                <w:sz w:val="22"/>
              </w:rPr>
              <w:t>）提供断面图绘制、公路曲线设计等工程应用功能，公路曲线同时支持交点法和线元法；道桥隧智能全站仪设计和采集的曲线数据，支持直接读取，自动输出报表。</w:t>
            </w:r>
          </w:p>
          <w:p w14:paraId="2A38C0FB">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0</w:t>
            </w:r>
            <w:r>
              <w:rPr>
                <w:rFonts w:ascii="宋体" w:hAnsi="宋体" w:eastAsia="宋体" w:cs="Times New Roman"/>
                <w:kern w:val="0"/>
                <w:sz w:val="22"/>
              </w:rPr>
              <w:t>）任意断面可直接读取设计文件，分别设计各断面中桩高程。</w:t>
            </w:r>
          </w:p>
          <w:p w14:paraId="5CC63964">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1</w:t>
            </w:r>
            <w:r>
              <w:rPr>
                <w:rFonts w:ascii="宋体" w:hAnsi="宋体" w:eastAsia="宋体" w:cs="Times New Roman"/>
                <w:kern w:val="0"/>
                <w:sz w:val="22"/>
              </w:rPr>
              <w:t>）任意断面支持动态显示设计线</w:t>
            </w:r>
            <w:r>
              <w:rPr>
                <w:rFonts w:hint="eastAsia" w:ascii="宋体" w:hAnsi="宋体" w:eastAsia="宋体" w:cs="Times New Roman"/>
                <w:kern w:val="0"/>
                <w:sz w:val="22"/>
              </w:rPr>
              <w:t>。</w:t>
            </w:r>
          </w:p>
          <w:p w14:paraId="209D1BF2">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2</w:t>
            </w:r>
            <w:r>
              <w:rPr>
                <w:rFonts w:ascii="宋体" w:hAnsi="宋体" w:eastAsia="宋体" w:cs="Times New Roman"/>
                <w:kern w:val="0"/>
                <w:sz w:val="22"/>
              </w:rPr>
              <w:t>）支持绘制多期横断面图</w:t>
            </w:r>
            <w:r>
              <w:rPr>
                <w:rFonts w:hint="eastAsia" w:ascii="宋体" w:hAnsi="宋体" w:eastAsia="宋体" w:cs="Times New Roman"/>
                <w:kern w:val="0"/>
                <w:sz w:val="22"/>
              </w:rPr>
              <w:t>。</w:t>
            </w:r>
          </w:p>
          <w:p w14:paraId="4DACAABF">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3</w:t>
            </w:r>
            <w:r>
              <w:rPr>
                <w:rFonts w:ascii="宋体" w:hAnsi="宋体" w:eastAsia="宋体" w:cs="Times New Roman"/>
                <w:kern w:val="0"/>
                <w:sz w:val="22"/>
              </w:rPr>
              <w:t>）具有地物信息（长度、距离、方位、面积等）的查询、统计等功能；支持通过图面内容生成各类数据文件。</w:t>
            </w:r>
          </w:p>
          <w:p w14:paraId="383A4534">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4</w:t>
            </w:r>
            <w:r>
              <w:rPr>
                <w:rFonts w:ascii="宋体" w:hAnsi="宋体" w:eastAsia="宋体" w:cs="Times New Roman"/>
                <w:kern w:val="0"/>
                <w:sz w:val="22"/>
              </w:rPr>
              <w:t>）严格依据最新地籍调查规程，具有权属线绘制、界址点（线）编辑、界址线类别自动判别、修改宗地属性、添加宗地四至、宗地重排、宗地重构等功能，高效输出地籍调查表、界址点成果表、宗地图等地籍成果并可定制。</w:t>
            </w:r>
          </w:p>
          <w:p w14:paraId="333460F8">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5</w:t>
            </w:r>
            <w:r>
              <w:rPr>
                <w:rFonts w:ascii="宋体" w:hAnsi="宋体" w:eastAsia="宋体" w:cs="Times New Roman"/>
                <w:kern w:val="0"/>
                <w:sz w:val="22"/>
              </w:rPr>
              <w:t>）可自动生成地类图斑，并计算图斑面积，按最新土地利用现状分类标准进行面积分类统计，输出勘测定界报告书。</w:t>
            </w:r>
          </w:p>
          <w:p w14:paraId="537AFF45">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6</w:t>
            </w:r>
            <w:r>
              <w:rPr>
                <w:rFonts w:ascii="宋体" w:hAnsi="宋体" w:eastAsia="宋体" w:cs="Times New Roman"/>
                <w:kern w:val="0"/>
                <w:sz w:val="22"/>
              </w:rPr>
              <w:t>）可将绘制好并经过检查的地形地籍图完整地输出面向GIS库的mdb和shp格式数据，也可导入mdb或shp成图。</w:t>
            </w:r>
          </w:p>
          <w:p w14:paraId="2FB19EB4">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7</w:t>
            </w:r>
            <w:r>
              <w:rPr>
                <w:rFonts w:ascii="宋体" w:hAnsi="宋体" w:eastAsia="宋体" w:cs="Times New Roman"/>
                <w:kern w:val="0"/>
                <w:sz w:val="22"/>
              </w:rPr>
              <w:t>）支持导入导出谷歌地球KML文件；</w:t>
            </w:r>
          </w:p>
          <w:p w14:paraId="73D75C83">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8</w:t>
            </w:r>
            <w:r>
              <w:rPr>
                <w:rFonts w:ascii="宋体" w:hAnsi="宋体" w:eastAsia="宋体" w:cs="Times New Roman"/>
                <w:kern w:val="0"/>
                <w:sz w:val="22"/>
              </w:rPr>
              <w:t>）提供编图质检、逻辑关系检查、拓扑关系检查等质检方案，并支持自定义质检方案集。</w:t>
            </w:r>
          </w:p>
          <w:p w14:paraId="6E8F1683">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39</w:t>
            </w:r>
            <w:r>
              <w:rPr>
                <w:rFonts w:ascii="宋体" w:hAnsi="宋体" w:eastAsia="宋体" w:cs="Times New Roman"/>
                <w:kern w:val="0"/>
                <w:sz w:val="22"/>
              </w:rPr>
              <w:t>）支持建立成果目录树状管理，自动生成成果文件台账。以目录树形式展示指定路径下所有文件，dwg图形双击可加载。</w:t>
            </w:r>
          </w:p>
          <w:p w14:paraId="37DD468F">
            <w:pPr>
              <w:ind w:firstLine="0"/>
              <w:jc w:val="left"/>
              <w:rPr>
                <w:rFonts w:ascii="宋体" w:hAnsi="宋体" w:eastAsia="宋体" w:cs="Times New Roman"/>
                <w:kern w:val="0"/>
                <w:sz w:val="22"/>
              </w:rPr>
            </w:pPr>
            <w:r>
              <w:rPr>
                <w:rFonts w:hint="eastAsia" w:ascii="宋体" w:hAnsi="宋体" w:eastAsia="宋体" w:cs="Times New Roman"/>
                <w:kern w:val="0"/>
                <w:sz w:val="22"/>
              </w:rPr>
              <w:t>质保期：质保期不少于3年，质保期后不</w:t>
            </w:r>
            <w:r>
              <w:rPr>
                <w:rFonts w:ascii="宋体" w:hAnsi="宋体" w:eastAsia="宋体" w:cs="Times New Roman"/>
                <w:kern w:val="0"/>
                <w:sz w:val="22"/>
              </w:rPr>
              <w:t>升级</w:t>
            </w:r>
            <w:r>
              <w:rPr>
                <w:rFonts w:hint="eastAsia" w:ascii="宋体" w:hAnsi="宋体" w:eastAsia="宋体" w:cs="Times New Roman"/>
                <w:kern w:val="0"/>
                <w:sz w:val="22"/>
              </w:rPr>
              <w:t>不影响软件正常使用。</w:t>
            </w:r>
          </w:p>
          <w:p w14:paraId="1AD74E98">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（41）</w:t>
            </w:r>
            <w:r>
              <w:rPr>
                <w:rFonts w:ascii="宋体" w:hAnsi="宋体" w:eastAsia="宋体" w:cs="Times New Roman"/>
                <w:kern w:val="0"/>
                <w:sz w:val="22"/>
              </w:rPr>
              <w:t>为保证采集的数据能够安全顺畅的处理，该软件须与机载三维激光检测模块</w:t>
            </w:r>
            <w:r>
              <w:rPr>
                <w:rFonts w:hint="eastAsia" w:ascii="宋体" w:hAnsi="宋体" w:eastAsia="宋体" w:cs="Times New Roman"/>
                <w:kern w:val="0"/>
                <w:sz w:val="22"/>
              </w:rPr>
              <w:t>、</w:t>
            </w:r>
            <w:r>
              <w:rPr>
                <w:rFonts w:ascii="宋体" w:hAnsi="宋体" w:eastAsia="宋体" w:cs="Times New Roman"/>
                <w:kern w:val="0"/>
                <w:sz w:val="22"/>
              </w:rPr>
              <w:t>航测一体化平台软件</w:t>
            </w:r>
            <w:r>
              <w:rPr>
                <w:rFonts w:hint="eastAsia" w:ascii="宋体" w:hAnsi="宋体" w:eastAsia="宋体" w:cs="Times New Roman"/>
                <w:kern w:val="0"/>
                <w:sz w:val="22"/>
              </w:rPr>
              <w:t>、</w:t>
            </w:r>
            <w:r>
              <w:rPr>
                <w:rFonts w:ascii="宋体" w:hAnsi="宋体" w:eastAsia="宋体" w:cs="Times New Roman"/>
                <w:kern w:val="0"/>
                <w:sz w:val="22"/>
              </w:rPr>
              <w:t>激光点云处理软件</w:t>
            </w:r>
            <w:r>
              <w:rPr>
                <w:rFonts w:hint="eastAsia" w:ascii="宋体" w:hAnsi="宋体" w:eastAsia="宋体" w:cs="Times New Roman"/>
                <w:kern w:val="0"/>
                <w:sz w:val="22"/>
              </w:rPr>
              <w:t>、无人机数据管理模块可完全兼容</w:t>
            </w:r>
            <w:r>
              <w:rPr>
                <w:rFonts w:ascii="宋体" w:hAnsi="宋体" w:eastAsia="宋体" w:cs="Times New Roman"/>
                <w:kern w:val="0"/>
                <w:sz w:val="22"/>
              </w:rPr>
              <w:t>。</w:t>
            </w:r>
          </w:p>
          <w:p w14:paraId="4EEFC173">
            <w:pPr>
              <w:ind w:firstLine="0"/>
              <w:jc w:val="left"/>
              <w:rPr>
                <w:rFonts w:ascii="宋体" w:hAnsi="宋体" w:eastAsia="宋体" w:cs="Times New Roman"/>
                <w:b/>
                <w:bCs/>
                <w:kern w:val="0"/>
                <w:sz w:val="22"/>
              </w:rPr>
            </w:pPr>
            <w:r>
              <w:rPr>
                <w:rFonts w:ascii="宋体" w:hAnsi="宋体" w:eastAsia="宋体" w:cs="Times New Roman"/>
                <w:b/>
                <w:bCs/>
                <w:kern w:val="0"/>
                <w:sz w:val="22"/>
              </w:rPr>
              <w:t>八、激光点云处理软件</w:t>
            </w:r>
            <w:r>
              <w:rPr>
                <w:rFonts w:hint="eastAsia" w:ascii="宋体" w:hAnsi="宋体" w:eastAsia="宋体" w:cs="Times New Roman"/>
                <w:b/>
                <w:bCs/>
                <w:kern w:val="0"/>
                <w:sz w:val="22"/>
              </w:rPr>
              <w:t>66节点</w:t>
            </w:r>
            <w:r>
              <w:rPr>
                <w:rFonts w:ascii="宋体" w:hAnsi="宋体" w:eastAsia="宋体" w:cs="Times New Roman"/>
                <w:b/>
                <w:bCs/>
                <w:kern w:val="0"/>
                <w:sz w:val="22"/>
              </w:rPr>
              <w:t>：</w:t>
            </w:r>
          </w:p>
          <w:p w14:paraId="6511B862">
            <w:pPr>
              <w:ind w:firstLine="0"/>
              <w:jc w:val="left"/>
              <w:rPr>
                <w:rFonts w:ascii="宋体" w:hAnsi="宋体" w:eastAsia="宋体" w:cs="Times New Roman"/>
                <w:kern w:val="0"/>
                <w:sz w:val="22"/>
              </w:rPr>
            </w:pPr>
            <w:r>
              <w:rPr>
                <w:rFonts w:hint="eastAsia" w:ascii="宋体" w:hAnsi="宋体" w:eastAsia="宋体" w:cs="Times New Roman"/>
                <w:kern w:val="0"/>
                <w:sz w:val="22"/>
              </w:rPr>
              <w:t>1.软件参数：</w:t>
            </w:r>
          </w:p>
          <w:p w14:paraId="593D84FF">
            <w:pPr>
              <w:ind w:firstLine="0"/>
              <w:jc w:val="left"/>
              <w:rPr>
                <w:rFonts w:ascii="宋体" w:hAnsi="宋体" w:eastAsia="宋体" w:cs="Times New Roman"/>
                <w:kern w:val="0"/>
                <w:sz w:val="22"/>
              </w:rPr>
            </w:pPr>
            <w:r>
              <w:rPr>
                <w:rFonts w:hint="eastAsia" w:ascii="宋体" w:hAnsi="宋体" w:eastAsia="宋体" w:cs="Times New Roman"/>
                <w:kern w:val="0"/>
                <w:sz w:val="22"/>
              </w:rPr>
              <w:t>（1）</w:t>
            </w:r>
            <w:r>
              <w:rPr>
                <w:rFonts w:ascii="宋体" w:hAnsi="宋体" w:eastAsia="宋体" w:cs="Times New Roman"/>
                <w:kern w:val="0"/>
                <w:sz w:val="22"/>
              </w:rPr>
              <w:t>知识产权：具有国家版权局颁发的</w:t>
            </w:r>
            <w:r>
              <w:rPr>
                <w:rFonts w:hint="eastAsia" w:ascii="宋体" w:hAnsi="宋体" w:eastAsia="宋体" w:cs="Times New Roman"/>
                <w:kern w:val="0"/>
                <w:sz w:val="22"/>
              </w:rPr>
              <w:t>“</w:t>
            </w:r>
            <w:r>
              <w:rPr>
                <w:rFonts w:ascii="宋体" w:hAnsi="宋体" w:eastAsia="宋体" w:cs="Times New Roman"/>
                <w:kern w:val="0"/>
                <w:sz w:val="22"/>
              </w:rPr>
              <w:t>计算机软件著作权登记证书</w:t>
            </w:r>
            <w:r>
              <w:rPr>
                <w:rFonts w:hint="eastAsia" w:ascii="宋体" w:hAnsi="宋体" w:eastAsia="宋体" w:cs="Times New Roman"/>
                <w:kern w:val="0"/>
                <w:sz w:val="22"/>
              </w:rPr>
              <w:t>”</w:t>
            </w:r>
            <w:r>
              <w:rPr>
                <w:rFonts w:ascii="宋体" w:hAnsi="宋体" w:eastAsia="宋体" w:cs="Times New Roman"/>
                <w:kern w:val="0"/>
                <w:sz w:val="22"/>
              </w:rPr>
              <w:t xml:space="preserve">和自主知识产权。 </w:t>
            </w:r>
          </w:p>
          <w:p w14:paraId="0BE85BE0">
            <w:pPr>
              <w:ind w:firstLine="0"/>
              <w:jc w:val="left"/>
              <w:rPr>
                <w:rFonts w:ascii="宋体" w:hAnsi="宋体" w:eastAsia="宋体" w:cs="Times New Roman"/>
                <w:kern w:val="0"/>
                <w:sz w:val="22"/>
              </w:rPr>
            </w:pPr>
            <w:r>
              <w:rPr>
                <w:rFonts w:hint="eastAsia" w:ascii="宋体" w:hAnsi="宋体" w:eastAsia="宋体" w:cs="Times New Roman"/>
                <w:kern w:val="0"/>
                <w:sz w:val="22"/>
              </w:rPr>
              <w:t>（2）</w:t>
            </w:r>
            <w:r>
              <w:rPr>
                <w:rFonts w:ascii="宋体" w:hAnsi="宋体" w:eastAsia="宋体" w:cs="Times New Roman"/>
                <w:kern w:val="0"/>
                <w:sz w:val="22"/>
              </w:rPr>
              <w:t>通过云平台技术，支持数据共享和数据备份；</w:t>
            </w:r>
          </w:p>
          <w:p w14:paraId="363CEC53">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w:t>
            </w:r>
            <w:r>
              <w:rPr>
                <w:rFonts w:ascii="宋体" w:hAnsi="宋体" w:eastAsia="宋体" w:cs="Times New Roman"/>
                <w:kern w:val="0"/>
                <w:sz w:val="22"/>
              </w:rPr>
              <w:t xml:space="preserve">支持POS解算功能，且为全中文界面；  </w:t>
            </w:r>
          </w:p>
          <w:p w14:paraId="5FC77A98">
            <w:pPr>
              <w:ind w:firstLine="0"/>
              <w:jc w:val="left"/>
              <w:rPr>
                <w:rFonts w:ascii="宋体" w:hAnsi="宋体" w:eastAsia="宋体" w:cs="Times New Roman"/>
                <w:kern w:val="0"/>
                <w:sz w:val="22"/>
              </w:rPr>
            </w:pPr>
            <w:r>
              <w:rPr>
                <w:rFonts w:hint="eastAsia" w:ascii="宋体" w:hAnsi="宋体" w:eastAsia="宋体" w:cs="Times New Roman"/>
                <w:kern w:val="0"/>
                <w:sz w:val="22"/>
              </w:rPr>
              <w:t>（4）</w:t>
            </w:r>
            <w:r>
              <w:rPr>
                <w:rFonts w:ascii="宋体" w:hAnsi="宋体" w:eastAsia="宋体" w:cs="Times New Roman"/>
                <w:kern w:val="0"/>
                <w:sz w:val="22"/>
              </w:rPr>
              <w:t>具备多架次POS解算功能，向导式解算流程，支持一键解算、一键点云融合，支持多架次间解算参数、基站信息同步；</w:t>
            </w:r>
          </w:p>
          <w:p w14:paraId="747DCD47">
            <w:pPr>
              <w:ind w:firstLine="0"/>
              <w:jc w:val="left"/>
              <w:rPr>
                <w:rFonts w:ascii="宋体" w:hAnsi="宋体" w:eastAsia="宋体" w:cs="Times New Roman"/>
                <w:kern w:val="0"/>
                <w:sz w:val="22"/>
              </w:rPr>
            </w:pPr>
            <w:r>
              <w:rPr>
                <w:rFonts w:hint="eastAsia" w:ascii="宋体" w:hAnsi="宋体" w:eastAsia="宋体" w:cs="Times New Roman"/>
                <w:kern w:val="0"/>
                <w:sz w:val="22"/>
              </w:rPr>
              <w:t>（5）</w:t>
            </w:r>
            <w:r>
              <w:rPr>
                <w:rFonts w:ascii="宋体" w:hAnsi="宋体" w:eastAsia="宋体" w:cs="Times New Roman"/>
                <w:kern w:val="0"/>
                <w:sz w:val="22"/>
              </w:rPr>
              <w:t>支持自定义POS解算参数模板，支持自定义设备系统参数模板；</w:t>
            </w:r>
          </w:p>
          <w:p w14:paraId="259B9B2E">
            <w:pPr>
              <w:ind w:firstLine="0"/>
              <w:jc w:val="left"/>
              <w:rPr>
                <w:rFonts w:ascii="宋体" w:hAnsi="宋体" w:eastAsia="宋体" w:cs="Times New Roman"/>
                <w:kern w:val="0"/>
                <w:sz w:val="22"/>
              </w:rPr>
            </w:pPr>
            <w:r>
              <w:rPr>
                <w:rFonts w:hint="eastAsia" w:ascii="宋体" w:hAnsi="宋体" w:eastAsia="宋体" w:cs="Times New Roman"/>
                <w:kern w:val="0"/>
                <w:sz w:val="22"/>
              </w:rPr>
              <w:t>（6）</w:t>
            </w:r>
            <w:r>
              <w:rPr>
                <w:rFonts w:ascii="宋体" w:hAnsi="宋体" w:eastAsia="宋体" w:cs="Times New Roman"/>
                <w:kern w:val="0"/>
                <w:sz w:val="22"/>
              </w:rPr>
              <w:t>支持查看卫星数、位置几何精度因子、质量因子等轨迹解算质量；</w:t>
            </w:r>
          </w:p>
          <w:p w14:paraId="15D9F134">
            <w:pPr>
              <w:ind w:firstLine="0"/>
              <w:jc w:val="left"/>
              <w:rPr>
                <w:rFonts w:ascii="宋体" w:hAnsi="宋体" w:eastAsia="宋体" w:cs="Times New Roman"/>
                <w:kern w:val="0"/>
                <w:sz w:val="22"/>
              </w:rPr>
            </w:pPr>
            <w:r>
              <w:rPr>
                <w:rFonts w:hint="eastAsia" w:ascii="宋体" w:hAnsi="宋体" w:eastAsia="宋体" w:cs="Times New Roman"/>
                <w:kern w:val="0"/>
                <w:sz w:val="22"/>
              </w:rPr>
              <w:t>（7）</w:t>
            </w:r>
            <w:r>
              <w:rPr>
                <w:rFonts w:ascii="宋体" w:hAnsi="宋体" w:eastAsia="宋体" w:cs="Times New Roman"/>
                <w:kern w:val="0"/>
                <w:sz w:val="22"/>
              </w:rPr>
              <w:t>支持调用云基站数据进行轨迹解算，支持自动读取基站坐标、高程等信息；</w:t>
            </w:r>
          </w:p>
          <w:p w14:paraId="6D8C0AAC">
            <w:pPr>
              <w:ind w:firstLine="0"/>
              <w:jc w:val="left"/>
              <w:rPr>
                <w:rFonts w:ascii="宋体" w:hAnsi="宋体" w:eastAsia="宋体" w:cs="Times New Roman"/>
                <w:kern w:val="0"/>
                <w:sz w:val="22"/>
              </w:rPr>
            </w:pPr>
            <w:r>
              <w:rPr>
                <w:rFonts w:hint="eastAsia" w:ascii="宋体" w:hAnsi="宋体" w:eastAsia="宋体" w:cs="Times New Roman"/>
                <w:kern w:val="0"/>
                <w:sz w:val="22"/>
              </w:rPr>
              <w:t>（8）</w:t>
            </w:r>
            <w:r>
              <w:rPr>
                <w:rFonts w:ascii="宋体" w:hAnsi="宋体" w:eastAsia="宋体" w:cs="Times New Roman"/>
                <w:kern w:val="0"/>
                <w:sz w:val="22"/>
              </w:rPr>
              <w:t>支持世界不同国家、地区坐标系下的点云融合解算；</w:t>
            </w:r>
          </w:p>
          <w:p w14:paraId="2CB752FB">
            <w:pPr>
              <w:ind w:firstLine="0"/>
              <w:jc w:val="left"/>
              <w:rPr>
                <w:rFonts w:ascii="宋体" w:hAnsi="宋体" w:eastAsia="宋体" w:cs="Times New Roman"/>
                <w:kern w:val="0"/>
                <w:sz w:val="22"/>
              </w:rPr>
            </w:pPr>
            <w:r>
              <w:rPr>
                <w:rFonts w:hint="eastAsia" w:ascii="宋体" w:hAnsi="宋体" w:eastAsia="宋体" w:cs="Times New Roman"/>
                <w:kern w:val="0"/>
                <w:sz w:val="22"/>
              </w:rPr>
              <w:t>（9）</w:t>
            </w:r>
            <w:r>
              <w:rPr>
                <w:rFonts w:ascii="宋体" w:hAnsi="宋体" w:eastAsia="宋体" w:cs="Times New Roman"/>
                <w:kern w:val="0"/>
                <w:sz w:val="22"/>
              </w:rPr>
              <w:t>支持四参数、高程拟合、七参数等多种方式对点云进行坐标转换；</w:t>
            </w:r>
          </w:p>
          <w:p w14:paraId="43C0B7C9">
            <w:pPr>
              <w:ind w:firstLine="0"/>
              <w:jc w:val="left"/>
              <w:rPr>
                <w:rFonts w:ascii="宋体" w:hAnsi="宋体" w:eastAsia="宋体" w:cs="Times New Roman"/>
                <w:kern w:val="0"/>
                <w:sz w:val="22"/>
              </w:rPr>
            </w:pPr>
            <w:r>
              <w:rPr>
                <w:rFonts w:hint="eastAsia" w:ascii="宋体" w:hAnsi="宋体" w:eastAsia="宋体" w:cs="Times New Roman"/>
                <w:kern w:val="0"/>
                <w:sz w:val="22"/>
              </w:rPr>
              <w:t>（10）</w:t>
            </w:r>
            <w:r>
              <w:rPr>
                <w:rFonts w:ascii="宋体" w:hAnsi="宋体" w:eastAsia="宋体" w:cs="Times New Roman"/>
                <w:kern w:val="0"/>
                <w:sz w:val="22"/>
              </w:rPr>
              <w:t>支持画刷、时间、多边形框选等多种方式进行航迹分割，并支持航迹一键还原；</w:t>
            </w:r>
          </w:p>
          <w:p w14:paraId="7E2AEFB4">
            <w:pPr>
              <w:ind w:firstLine="0"/>
              <w:jc w:val="left"/>
              <w:rPr>
                <w:rFonts w:ascii="宋体" w:hAnsi="宋体" w:eastAsia="宋体" w:cs="Times New Roman"/>
                <w:kern w:val="0"/>
                <w:sz w:val="22"/>
              </w:rPr>
            </w:pPr>
            <w:r>
              <w:rPr>
                <w:rFonts w:hint="eastAsia" w:ascii="宋体" w:hAnsi="宋体" w:eastAsia="宋体" w:cs="Times New Roman"/>
                <w:kern w:val="0"/>
                <w:sz w:val="22"/>
              </w:rPr>
              <w:t>（11）</w:t>
            </w:r>
            <w:r>
              <w:rPr>
                <w:rFonts w:ascii="宋体" w:hAnsi="宋体" w:eastAsia="宋体" w:cs="Times New Roman"/>
                <w:kern w:val="0"/>
                <w:sz w:val="22"/>
              </w:rPr>
              <w:t>支持按照航迹、大小等方式生成点云文件；</w:t>
            </w:r>
          </w:p>
          <w:p w14:paraId="0A5FB458">
            <w:pPr>
              <w:ind w:firstLine="0"/>
              <w:jc w:val="left"/>
              <w:rPr>
                <w:rFonts w:ascii="宋体" w:hAnsi="宋体" w:eastAsia="宋体" w:cs="Times New Roman"/>
                <w:kern w:val="0"/>
                <w:sz w:val="22"/>
              </w:rPr>
            </w:pPr>
            <w:r>
              <w:rPr>
                <w:rFonts w:hint="eastAsia" w:ascii="宋体" w:hAnsi="宋体" w:eastAsia="宋体" w:cs="Times New Roman"/>
                <w:kern w:val="0"/>
                <w:sz w:val="22"/>
              </w:rPr>
              <w:t>（12）</w:t>
            </w:r>
            <w:r>
              <w:rPr>
                <w:rFonts w:ascii="宋体" w:hAnsi="宋体" w:eastAsia="宋体" w:cs="Times New Roman"/>
                <w:kern w:val="0"/>
                <w:sz w:val="22"/>
              </w:rPr>
              <w:t>支持手动调整系统安置角，支持实时查看误差纠正后的点云效果；</w:t>
            </w:r>
          </w:p>
          <w:p w14:paraId="47179F7C">
            <w:pPr>
              <w:ind w:firstLine="0"/>
              <w:jc w:val="left"/>
              <w:rPr>
                <w:rFonts w:ascii="宋体" w:hAnsi="宋体" w:eastAsia="宋体" w:cs="Times New Roman"/>
                <w:kern w:val="0"/>
                <w:sz w:val="22"/>
              </w:rPr>
            </w:pPr>
            <w:r>
              <w:rPr>
                <w:rFonts w:hint="eastAsia" w:ascii="宋体" w:hAnsi="宋体" w:eastAsia="宋体" w:cs="Times New Roman"/>
                <w:kern w:val="0"/>
                <w:sz w:val="22"/>
              </w:rPr>
              <w:t>（13）</w:t>
            </w:r>
            <w:r>
              <w:rPr>
                <w:rFonts w:ascii="宋体" w:hAnsi="宋体" w:eastAsia="宋体" w:cs="Times New Roman"/>
                <w:kern w:val="0"/>
                <w:sz w:val="22"/>
              </w:rPr>
              <w:t>支持航带平差，解决航带分层；</w:t>
            </w:r>
          </w:p>
          <w:p w14:paraId="37CC321B">
            <w:pPr>
              <w:ind w:firstLine="0"/>
              <w:jc w:val="left"/>
              <w:rPr>
                <w:rFonts w:ascii="宋体" w:hAnsi="宋体" w:eastAsia="宋体" w:cs="Times New Roman"/>
                <w:kern w:val="0"/>
                <w:sz w:val="22"/>
              </w:rPr>
            </w:pPr>
            <w:r>
              <w:rPr>
                <w:rFonts w:hint="eastAsia" w:ascii="宋体" w:hAnsi="宋体" w:eastAsia="宋体" w:cs="Times New Roman"/>
                <w:kern w:val="0"/>
                <w:sz w:val="22"/>
              </w:rPr>
              <w:t>（14）</w:t>
            </w:r>
            <w:r>
              <w:rPr>
                <w:rFonts w:ascii="宋体" w:hAnsi="宋体" w:eastAsia="宋体" w:cs="Times New Roman"/>
                <w:kern w:val="0"/>
                <w:sz w:val="22"/>
              </w:rPr>
              <w:t>支持点云精度检查及报告输出，并支持高程调整；</w:t>
            </w:r>
          </w:p>
          <w:p w14:paraId="29A505D9">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（15）</w:t>
            </w:r>
            <w:r>
              <w:rPr>
                <w:rFonts w:ascii="宋体" w:hAnsi="宋体" w:eastAsia="宋体" w:cs="Times New Roman"/>
                <w:kern w:val="0"/>
                <w:sz w:val="22"/>
              </w:rPr>
              <w:t>支持影像数据与点云数据配准，可无需正射影像一键生成彩色点云；</w:t>
            </w:r>
          </w:p>
          <w:p w14:paraId="7F87F095">
            <w:pPr>
              <w:ind w:firstLine="0"/>
              <w:jc w:val="left"/>
              <w:rPr>
                <w:rFonts w:ascii="宋体" w:hAnsi="宋体" w:eastAsia="宋体" w:cs="Times New Roman"/>
                <w:kern w:val="0"/>
                <w:sz w:val="22"/>
              </w:rPr>
            </w:pPr>
            <w:r>
              <w:rPr>
                <w:rFonts w:hint="eastAsia" w:ascii="宋体" w:hAnsi="宋体" w:eastAsia="宋体" w:cs="Times New Roman"/>
                <w:kern w:val="0"/>
                <w:sz w:val="22"/>
              </w:rPr>
              <w:t>（16）</w:t>
            </w:r>
            <w:r>
              <w:rPr>
                <w:rFonts w:ascii="宋体" w:hAnsi="宋体" w:eastAsia="宋体" w:cs="Times New Roman"/>
                <w:kern w:val="0"/>
                <w:sz w:val="22"/>
              </w:rPr>
              <w:t>支持las、ply、pcd、e57、xyz等格式点云导出，导出前支持对点云的裁剪、抽稀；</w:t>
            </w:r>
          </w:p>
          <w:p w14:paraId="7B3E4496">
            <w:pPr>
              <w:ind w:firstLine="0"/>
              <w:jc w:val="left"/>
              <w:rPr>
                <w:rFonts w:ascii="宋体" w:hAnsi="宋体" w:eastAsia="宋体" w:cs="Times New Roman"/>
                <w:kern w:val="0"/>
                <w:sz w:val="22"/>
              </w:rPr>
            </w:pPr>
            <w:r>
              <w:rPr>
                <w:rFonts w:hint="eastAsia" w:ascii="宋体" w:hAnsi="宋体" w:eastAsia="宋体" w:cs="Times New Roman"/>
                <w:kern w:val="0"/>
                <w:sz w:val="22"/>
              </w:rPr>
              <w:t>（17）</w:t>
            </w:r>
            <w:r>
              <w:rPr>
                <w:rFonts w:ascii="宋体" w:hAnsi="宋体" w:eastAsia="宋体" w:cs="Times New Roman"/>
                <w:kern w:val="0"/>
                <w:sz w:val="22"/>
              </w:rPr>
              <w:t>支持海量点云浏览，支持前视图、顶视图、剖面视图等方式查看；</w:t>
            </w:r>
          </w:p>
          <w:p w14:paraId="685D0707">
            <w:pPr>
              <w:ind w:firstLine="0"/>
              <w:jc w:val="left"/>
              <w:rPr>
                <w:rFonts w:ascii="宋体" w:hAnsi="宋体" w:eastAsia="宋体" w:cs="Times New Roman"/>
                <w:kern w:val="0"/>
                <w:sz w:val="22"/>
              </w:rPr>
            </w:pPr>
            <w:r>
              <w:rPr>
                <w:rFonts w:hint="eastAsia" w:ascii="宋体" w:hAnsi="宋体" w:eastAsia="宋体" w:cs="Times New Roman"/>
                <w:kern w:val="0"/>
                <w:sz w:val="22"/>
              </w:rPr>
              <w:t>（18）</w:t>
            </w:r>
            <w:r>
              <w:rPr>
                <w:rFonts w:ascii="宋体" w:hAnsi="宋体" w:eastAsia="宋体" w:cs="Times New Roman"/>
                <w:kern w:val="0"/>
                <w:sz w:val="22"/>
              </w:rPr>
              <w:t>支持多点测量、长度测量、角度测量、垂距测量、平距测量、面积测量等多种</w:t>
            </w:r>
            <w:r>
              <w:rPr>
                <w:rFonts w:hint="eastAsia" w:ascii="宋体" w:hAnsi="宋体" w:eastAsia="宋体" w:cs="Times New Roman"/>
                <w:kern w:val="0"/>
                <w:sz w:val="22"/>
              </w:rPr>
              <w:t>测量</w:t>
            </w:r>
            <w:r>
              <w:rPr>
                <w:rFonts w:ascii="宋体" w:hAnsi="宋体" w:eastAsia="宋体" w:cs="Times New Roman"/>
                <w:kern w:val="0"/>
                <w:sz w:val="22"/>
              </w:rPr>
              <w:t>方式；</w:t>
            </w:r>
          </w:p>
          <w:p w14:paraId="4DAC5DA6">
            <w:pPr>
              <w:ind w:firstLine="0"/>
              <w:jc w:val="left"/>
              <w:rPr>
                <w:rFonts w:ascii="宋体" w:hAnsi="宋体" w:eastAsia="宋体" w:cs="Times New Roman"/>
                <w:kern w:val="0"/>
                <w:sz w:val="22"/>
              </w:rPr>
            </w:pPr>
            <w:r>
              <w:rPr>
                <w:rFonts w:hint="eastAsia" w:ascii="宋体" w:hAnsi="宋体" w:eastAsia="宋体" w:cs="Times New Roman"/>
                <w:kern w:val="0"/>
                <w:sz w:val="22"/>
              </w:rPr>
              <w:t>（19）</w:t>
            </w:r>
            <w:r>
              <w:rPr>
                <w:rFonts w:ascii="宋体" w:hAnsi="宋体" w:eastAsia="宋体" w:cs="Times New Roman"/>
                <w:kern w:val="0"/>
                <w:sz w:val="22"/>
              </w:rPr>
              <w:t>支持自定义圆形、矩形等多种形状对点云密度进行统计；</w:t>
            </w:r>
          </w:p>
          <w:p w14:paraId="20BF213A">
            <w:pPr>
              <w:ind w:firstLine="0"/>
              <w:jc w:val="left"/>
              <w:rPr>
                <w:rFonts w:ascii="宋体" w:hAnsi="宋体" w:eastAsia="宋体" w:cs="Times New Roman"/>
                <w:kern w:val="0"/>
                <w:sz w:val="22"/>
              </w:rPr>
            </w:pPr>
            <w:r>
              <w:rPr>
                <w:rFonts w:hint="eastAsia" w:ascii="宋体" w:hAnsi="宋体" w:eastAsia="宋体" w:cs="Times New Roman"/>
                <w:kern w:val="0"/>
                <w:sz w:val="22"/>
              </w:rPr>
              <w:t>（20）</w:t>
            </w:r>
            <w:r>
              <w:rPr>
                <w:rFonts w:ascii="宋体" w:hAnsi="宋体" w:eastAsia="宋体" w:cs="Times New Roman"/>
                <w:kern w:val="0"/>
                <w:sz w:val="22"/>
              </w:rPr>
              <w:t>支持高程、强度、类别、真彩色、回波序号、回波次数、航带边缘和边缘增强等多种点云渲染显示方式；</w:t>
            </w:r>
          </w:p>
          <w:p w14:paraId="32B2F72A">
            <w:pPr>
              <w:ind w:firstLine="0"/>
              <w:jc w:val="left"/>
              <w:rPr>
                <w:rFonts w:ascii="宋体" w:hAnsi="宋体" w:eastAsia="宋体" w:cs="Times New Roman"/>
                <w:kern w:val="0"/>
                <w:sz w:val="22"/>
              </w:rPr>
            </w:pPr>
            <w:r>
              <w:rPr>
                <w:rFonts w:hint="eastAsia" w:ascii="宋体" w:hAnsi="宋体" w:eastAsia="宋体" w:cs="Times New Roman"/>
                <w:kern w:val="0"/>
                <w:sz w:val="22"/>
              </w:rPr>
              <w:t>（21）</w:t>
            </w:r>
            <w:r>
              <w:rPr>
                <w:rFonts w:ascii="宋体" w:hAnsi="宋体" w:eastAsia="宋体" w:cs="Times New Roman"/>
                <w:kern w:val="0"/>
                <w:sz w:val="22"/>
              </w:rPr>
              <w:t>支持点云分类功能，提供地面点、噪点、建筑物等多种要素的自动分类方法，提供交互式分类工具，可进行框选分类、画刷分类、线上线下分类、剖面间分类等处理；</w:t>
            </w:r>
          </w:p>
          <w:p w14:paraId="55AA75E3">
            <w:pPr>
              <w:ind w:firstLine="0"/>
              <w:jc w:val="left"/>
              <w:rPr>
                <w:rFonts w:ascii="宋体" w:hAnsi="宋体" w:eastAsia="宋体" w:cs="Times New Roman"/>
                <w:kern w:val="0"/>
                <w:sz w:val="22"/>
              </w:rPr>
            </w:pPr>
            <w:r>
              <w:rPr>
                <w:rFonts w:hint="eastAsia" w:ascii="宋体" w:hAnsi="宋体" w:eastAsia="宋体" w:cs="Times New Roman"/>
                <w:kern w:val="0"/>
                <w:sz w:val="22"/>
              </w:rPr>
              <w:t>（22）</w:t>
            </w:r>
            <w:r>
              <w:rPr>
                <w:rFonts w:ascii="宋体" w:hAnsi="宋体" w:eastAsia="宋体" w:cs="Times New Roman"/>
                <w:kern w:val="0"/>
                <w:sz w:val="22"/>
              </w:rPr>
              <w:t>支持架站式扫描仪数据的去噪、拼接、渲染以及多种点云格式的导入、导出；</w:t>
            </w:r>
          </w:p>
          <w:p w14:paraId="243C85D9">
            <w:pPr>
              <w:ind w:firstLine="0"/>
              <w:jc w:val="left"/>
              <w:rPr>
                <w:rFonts w:ascii="宋体" w:hAnsi="宋体" w:eastAsia="宋体" w:cs="Times New Roman"/>
                <w:kern w:val="0"/>
                <w:sz w:val="22"/>
              </w:rPr>
            </w:pPr>
            <w:r>
              <w:rPr>
                <w:rFonts w:hint="eastAsia" w:ascii="宋体" w:hAnsi="宋体" w:eastAsia="宋体" w:cs="Times New Roman"/>
                <w:kern w:val="0"/>
                <w:sz w:val="22"/>
              </w:rPr>
              <w:t>（23）</w:t>
            </w:r>
            <w:r>
              <w:rPr>
                <w:rFonts w:ascii="宋体" w:hAnsi="宋体" w:eastAsia="宋体" w:cs="Times New Roman"/>
                <w:kern w:val="0"/>
                <w:sz w:val="22"/>
              </w:rPr>
              <w:t>软件提供点对拼接用于点云与点云的数据校正，同时提供</w:t>
            </w:r>
            <w:r>
              <w:rPr>
                <w:rFonts w:hint="eastAsia" w:ascii="宋体" w:hAnsi="宋体" w:eastAsia="宋体" w:cs="Times New Roman"/>
                <w:kern w:val="0"/>
                <w:sz w:val="22"/>
              </w:rPr>
              <w:t>三</w:t>
            </w:r>
            <w:r>
              <w:rPr>
                <w:rFonts w:ascii="宋体" w:hAnsi="宋体" w:eastAsia="宋体" w:cs="Times New Roman"/>
                <w:kern w:val="0"/>
                <w:sz w:val="22"/>
              </w:rPr>
              <w:t>维点云和平面视图两种配准模式，也支持标靶球自动识别，通过同名点对计算两个数据之间坐标变换矩阵进行数据的坐标校正，实现同名点云之间的快速配准；</w:t>
            </w:r>
          </w:p>
          <w:p w14:paraId="26D6767A">
            <w:pPr>
              <w:ind w:firstLine="0"/>
              <w:jc w:val="left"/>
              <w:rPr>
                <w:rFonts w:ascii="宋体" w:hAnsi="宋体" w:eastAsia="宋体" w:cs="Times New Roman"/>
                <w:kern w:val="0"/>
                <w:sz w:val="22"/>
              </w:rPr>
            </w:pPr>
            <w:r>
              <w:rPr>
                <w:rFonts w:hint="eastAsia" w:ascii="宋体" w:hAnsi="宋体" w:eastAsia="宋体" w:cs="Times New Roman"/>
                <w:kern w:val="0"/>
                <w:sz w:val="22"/>
              </w:rPr>
              <w:t>（24）</w:t>
            </w:r>
            <w:r>
              <w:rPr>
                <w:rFonts w:ascii="宋体" w:hAnsi="宋体" w:eastAsia="宋体" w:cs="Times New Roman"/>
                <w:kern w:val="0"/>
                <w:sz w:val="22"/>
              </w:rPr>
              <w:t xml:space="preserve"> 软件提供手动拼接和自动拼接功能，既能通过手动平移、旋转等操作实现两站点云间的拼接，同时也支持多站点云之间的连续自动拼接；</w:t>
            </w:r>
          </w:p>
          <w:p w14:paraId="79906751">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（25）</w:t>
            </w:r>
            <w:r>
              <w:rPr>
                <w:rFonts w:ascii="宋体" w:hAnsi="宋体" w:eastAsia="宋体" w:cs="Times New Roman"/>
                <w:kern w:val="0"/>
                <w:sz w:val="22"/>
              </w:rPr>
              <w:t>软件提供立面绘制功能。可根据房屋范围线自动生成立面范围线，可锁定立面视图对要素进行采集；</w:t>
            </w:r>
          </w:p>
          <w:p w14:paraId="103A117F">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（26）</w:t>
            </w:r>
            <w:r>
              <w:rPr>
                <w:rFonts w:ascii="宋体" w:hAnsi="宋体" w:eastAsia="宋体" w:cs="Times New Roman"/>
                <w:kern w:val="0"/>
                <w:sz w:val="22"/>
              </w:rPr>
              <w:t xml:space="preserve">提供多种算量方式：支持通过导入高程点使用三角网法、格网法进行土方计算；支持通过点云构网，对隧道、矿洞等封闭体进行土方计算；  </w:t>
            </w:r>
          </w:p>
          <w:p w14:paraId="2EA98F71">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（27）</w:t>
            </w:r>
            <w:r>
              <w:rPr>
                <w:rFonts w:ascii="宋体" w:hAnsi="宋体" w:eastAsia="宋体" w:cs="Times New Roman"/>
                <w:kern w:val="0"/>
                <w:sz w:val="22"/>
              </w:rPr>
              <w:t>满足国家基本比例尺地图图式，支持国产CAD平台，可基于点云、DEM、DOM、倾斜模型等多种数据源进行地形图绘制，能够支持1:500、1:1000、1:2000地形图绘制；具有完善的地形图式符号库，完全符合国家的最新地形图式标准；</w:t>
            </w:r>
          </w:p>
          <w:p w14:paraId="1A456F2E">
            <w:pPr>
              <w:ind w:firstLine="0"/>
              <w:jc w:val="left"/>
              <w:rPr>
                <w:rFonts w:ascii="宋体" w:hAnsi="宋体" w:eastAsia="宋体" w:cs="Times New Roman"/>
                <w:kern w:val="0"/>
                <w:sz w:val="22"/>
              </w:rPr>
            </w:pPr>
            <w:r>
              <w:rPr>
                <w:rFonts w:hint="eastAsia" w:ascii="宋体" w:hAnsi="宋体" w:eastAsia="宋体" w:cs="Times New Roman"/>
                <w:kern w:val="0"/>
                <w:sz w:val="22"/>
              </w:rPr>
              <w:t>（28）</w:t>
            </w:r>
            <w:r>
              <w:rPr>
                <w:rFonts w:ascii="宋体" w:hAnsi="宋体" w:eastAsia="宋体" w:cs="Times New Roman"/>
                <w:kern w:val="0"/>
                <w:sz w:val="22"/>
              </w:rPr>
              <w:t xml:space="preserve">提供数据处理工具箱，集成绘图处理、属性赋值、高程点处理、坐标提取、断面坡度标注、 </w:t>
            </w:r>
          </w:p>
          <w:p w14:paraId="6AC02D83">
            <w:pPr>
              <w:ind w:firstLine="0"/>
              <w:jc w:val="left"/>
              <w:rPr>
                <w:rFonts w:ascii="宋体" w:hAnsi="宋体" w:eastAsia="宋体" w:cs="Times New Roman"/>
                <w:kern w:val="0"/>
                <w:sz w:val="22"/>
              </w:rPr>
            </w:pPr>
            <w:r>
              <w:rPr>
                <w:rFonts w:ascii="宋体" w:hAnsi="宋体" w:eastAsia="宋体" w:cs="Times New Roman"/>
                <w:kern w:val="0"/>
                <w:sz w:val="22"/>
              </w:rPr>
              <w:t>批量标注、等高线处理等工具；包括独立符号压线 消隐、污水篦子方向自动调整、高程点内插、高程点注记避让、等高线等距离滤波等功能；</w:t>
            </w:r>
          </w:p>
          <w:p w14:paraId="2A06FB8C">
            <w:pPr>
              <w:ind w:firstLine="0"/>
              <w:jc w:val="left"/>
              <w:rPr>
                <w:rFonts w:ascii="宋体" w:hAnsi="宋体" w:eastAsia="宋体" w:cs="Times New Roman"/>
                <w:kern w:val="0"/>
                <w:sz w:val="22"/>
              </w:rPr>
            </w:pPr>
            <w:r>
              <w:rPr>
                <w:rFonts w:hint="eastAsia" w:ascii="宋体" w:hAnsi="宋体" w:eastAsia="宋体" w:cs="Times New Roman"/>
                <w:kern w:val="0"/>
                <w:sz w:val="22"/>
              </w:rPr>
              <w:t>（29）</w:t>
            </w:r>
            <w:r>
              <w:rPr>
                <w:rFonts w:ascii="宋体" w:hAnsi="宋体" w:eastAsia="宋体" w:cs="Times New Roman"/>
                <w:kern w:val="0"/>
                <w:sz w:val="22"/>
              </w:rPr>
              <w:t>满足最新地图图式的图幅输出，地图分幅处理及添加多种规格图幅，包含标准图幅、任意图幅、批量分幅等；</w:t>
            </w:r>
          </w:p>
          <w:p w14:paraId="29F8F3E5">
            <w:pPr>
              <w:ind w:firstLine="0"/>
              <w:jc w:val="left"/>
              <w:rPr>
                <w:rFonts w:ascii="宋体" w:hAnsi="宋体" w:eastAsia="宋体" w:cs="Times New Roman"/>
                <w:kern w:val="0"/>
                <w:sz w:val="22"/>
              </w:rPr>
            </w:pPr>
            <w:r>
              <w:rPr>
                <w:rFonts w:hint="eastAsia" w:ascii="宋体" w:hAnsi="宋体" w:eastAsia="宋体" w:cs="Times New Roman"/>
                <w:kern w:val="0"/>
                <w:sz w:val="22"/>
              </w:rPr>
              <w:t>（30）</w:t>
            </w:r>
            <w:r>
              <w:rPr>
                <w:rFonts w:ascii="宋体" w:hAnsi="宋体" w:eastAsia="宋体" w:cs="Times New Roman"/>
                <w:kern w:val="0"/>
                <w:sz w:val="22"/>
              </w:rPr>
              <w:t>支持导线控制测量数据自动录入、概算、平差并输出平差报告和控制点成果坐标文件；</w:t>
            </w:r>
          </w:p>
          <w:p w14:paraId="2E9D5BDB">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（31）</w:t>
            </w:r>
            <w:r>
              <w:rPr>
                <w:rFonts w:ascii="宋体" w:hAnsi="宋体" w:eastAsia="宋体" w:cs="Times New Roman"/>
                <w:kern w:val="0"/>
                <w:sz w:val="22"/>
              </w:rPr>
              <w:t xml:space="preserve">高效建立三角网，可基于高程点、DEM等源数据自动生成等高线、等深线，可以对等高线进行灵活修剪及注记。自动处理地性线，对地性线自动插点，构建三角网更加精确；  </w:t>
            </w:r>
          </w:p>
          <w:p w14:paraId="2051A70D">
            <w:pPr>
              <w:ind w:firstLine="0"/>
              <w:jc w:val="left"/>
              <w:rPr>
                <w:rFonts w:ascii="宋体" w:hAnsi="宋体" w:eastAsia="宋体" w:cs="Times New Roman"/>
                <w:kern w:val="0"/>
                <w:sz w:val="22"/>
              </w:rPr>
            </w:pPr>
            <w:r>
              <w:rPr>
                <w:rFonts w:hint="eastAsia" w:ascii="宋体" w:hAnsi="宋体" w:eastAsia="宋体" w:cs="Times New Roman"/>
                <w:kern w:val="0"/>
                <w:sz w:val="22"/>
              </w:rPr>
              <w:t>（32）</w:t>
            </w:r>
            <w:r>
              <w:rPr>
                <w:rFonts w:ascii="宋体" w:hAnsi="宋体" w:eastAsia="宋体" w:cs="Times New Roman"/>
                <w:kern w:val="0"/>
                <w:sz w:val="22"/>
              </w:rPr>
              <w:t>能够进行地形信息的呈现、处理；采用拓扑结构 DTM，增删顶点能自动重新组网，可自动生成等高线支持地形三维模型呈现及坡度分析；</w:t>
            </w:r>
          </w:p>
          <w:p w14:paraId="00D555C0">
            <w:pPr>
              <w:ind w:firstLine="0"/>
              <w:jc w:val="left"/>
              <w:rPr>
                <w:rFonts w:ascii="宋体" w:hAnsi="宋体" w:eastAsia="宋体" w:cs="Times New Roman"/>
                <w:kern w:val="0"/>
                <w:sz w:val="22"/>
              </w:rPr>
            </w:pPr>
            <w:r>
              <w:rPr>
                <w:rFonts w:hint="eastAsia" w:ascii="宋体" w:hAnsi="宋体" w:eastAsia="宋体" w:cs="Times New Roman"/>
                <w:kern w:val="0"/>
                <w:sz w:val="22"/>
              </w:rPr>
              <w:t>▲（33）可完全模拟检查点的布设、基站的架设、静态采集设置、无人机组装、航线规划、数据导出的机载雷达作业全过程；需具备高逼真、沉浸式的仪器交互体验，支持第一人称视角、第三人称视角自由漫游操作。</w:t>
            </w:r>
          </w:p>
          <w:p w14:paraId="62F12FC8">
            <w:pPr>
              <w:ind w:firstLine="0"/>
              <w:jc w:val="left"/>
              <w:rPr>
                <w:rFonts w:ascii="宋体" w:hAnsi="宋体" w:eastAsia="宋体" w:cs="Times New Roman"/>
                <w:kern w:val="0"/>
                <w:sz w:val="22"/>
              </w:rPr>
            </w:pPr>
            <w:r>
              <w:rPr>
                <w:rFonts w:hint="eastAsia" w:ascii="宋体" w:hAnsi="宋体" w:eastAsia="宋体" w:cs="Times New Roman"/>
                <w:kern w:val="0"/>
                <w:sz w:val="22"/>
              </w:rPr>
              <w:t>（34）支持规定时间内对给定待测区进行踏勘模拟、数据采集、检查点采集、数据导出等作业并完成考核。</w:t>
            </w:r>
          </w:p>
          <w:p w14:paraId="031246A7">
            <w:pPr>
              <w:ind w:firstLine="0"/>
              <w:jc w:val="left"/>
              <w:rPr>
                <w:rFonts w:ascii="宋体" w:hAnsi="宋体" w:eastAsia="宋体" w:cs="Times New Roman"/>
                <w:kern w:val="0"/>
                <w:sz w:val="22"/>
              </w:rPr>
            </w:pPr>
            <w:r>
              <w:rPr>
                <w:rFonts w:hint="eastAsia" w:ascii="宋体" w:hAnsi="宋体" w:eastAsia="宋体" w:cs="Times New Roman"/>
                <w:kern w:val="0"/>
                <w:sz w:val="22"/>
              </w:rPr>
              <w:t>（35）可自定义禁飞区域，可自定义作业范围，可自定义作业时的天气情况。</w:t>
            </w:r>
          </w:p>
          <w:p w14:paraId="3F0BE0B5">
            <w:pPr>
              <w:ind w:firstLine="0"/>
              <w:jc w:val="left"/>
              <w:rPr>
                <w:rFonts w:ascii="宋体" w:hAnsi="宋体" w:eastAsia="宋体" w:cs="Times New Roman"/>
                <w:kern w:val="0"/>
                <w:sz w:val="22"/>
              </w:rPr>
            </w:pPr>
            <w:r>
              <w:rPr>
                <w:rFonts w:hint="eastAsia" w:ascii="宋体" w:hAnsi="宋体" w:eastAsia="宋体" w:cs="Times New Roman"/>
                <w:kern w:val="0"/>
                <w:sz w:val="22"/>
              </w:rPr>
              <w:t>（36）软件可实现以下模拟功能：现场踏勘、RTK的使用（包括但不限于设备连接、点测量、控制点测量、求转换参数、校正向导）、检查点采集、无人机设备组装、航线规划飞行、数据导出。</w:t>
            </w:r>
          </w:p>
          <w:p w14:paraId="0EEF40DD">
            <w:pPr>
              <w:ind w:firstLine="0"/>
              <w:jc w:val="left"/>
              <w:rPr>
                <w:rFonts w:ascii="宋体" w:hAnsi="宋体" w:eastAsia="宋体" w:cs="Times New Roman"/>
                <w:kern w:val="0"/>
                <w:sz w:val="22"/>
              </w:rPr>
            </w:pPr>
            <w:r>
              <w:rPr>
                <w:rFonts w:hint="eastAsia" w:ascii="宋体" w:hAnsi="宋体" w:eastAsia="宋体" w:cs="Times New Roman"/>
                <w:kern w:val="0"/>
                <w:sz w:val="22"/>
              </w:rPr>
              <w:t>（37）具有自动评分功能，可自动检测操作是否符合规范，并自动上传成绩至后台。</w:t>
            </w:r>
          </w:p>
          <w:p w14:paraId="22BCB6A0">
            <w:pPr>
              <w:ind w:firstLine="0"/>
              <w:jc w:val="left"/>
              <w:rPr>
                <w:rFonts w:ascii="宋体" w:hAnsi="宋体" w:eastAsia="宋体" w:cs="Times New Roman"/>
                <w:kern w:val="0"/>
                <w:sz w:val="22"/>
              </w:rPr>
            </w:pPr>
            <w:r>
              <w:rPr>
                <w:rFonts w:hint="eastAsia" w:ascii="宋体" w:hAnsi="宋体" w:eastAsia="宋体" w:cs="Times New Roman"/>
                <w:kern w:val="0"/>
                <w:sz w:val="22"/>
              </w:rPr>
              <w:t>（38）软件具有练习模式与竞赛模式，竞赛模式可切换不同场景进行竞赛。</w:t>
            </w:r>
          </w:p>
          <w:p w14:paraId="26C546B8">
            <w:pPr>
              <w:ind w:firstLine="0"/>
              <w:jc w:val="left"/>
              <w:rPr>
                <w:rFonts w:ascii="宋体" w:hAnsi="宋体" w:eastAsia="宋体" w:cs="Times New Roman"/>
                <w:kern w:val="0"/>
                <w:sz w:val="22"/>
              </w:rPr>
            </w:pPr>
            <w:r>
              <w:rPr>
                <w:rFonts w:hint="eastAsia" w:ascii="宋体" w:hAnsi="宋体" w:eastAsia="宋体" w:cs="Times New Roman"/>
                <w:kern w:val="0"/>
                <w:sz w:val="22"/>
              </w:rPr>
              <w:t>（38）软件可实现模拟操作：</w:t>
            </w:r>
          </w:p>
          <w:p w14:paraId="097E869F">
            <w:pPr>
              <w:ind w:firstLine="0"/>
              <w:jc w:val="left"/>
              <w:rPr>
                <w:rFonts w:ascii="宋体" w:hAnsi="宋体" w:eastAsia="宋体" w:cs="Times New Roman"/>
                <w:kern w:val="0"/>
                <w:sz w:val="22"/>
              </w:rPr>
            </w:pPr>
            <w:r>
              <w:rPr>
                <w:rFonts w:hint="eastAsia" w:ascii="宋体" w:hAnsi="宋体" w:eastAsia="宋体" w:cs="Times New Roman"/>
                <w:kern w:val="0"/>
                <w:sz w:val="22"/>
              </w:rPr>
              <w:t>①无人机机臂与旋翼的安装、电池安装、相机安装、机载雷达安装。</w:t>
            </w:r>
          </w:p>
          <w:p w14:paraId="1052BA69">
            <w:pPr>
              <w:ind w:firstLine="0"/>
              <w:jc w:val="left"/>
              <w:rPr>
                <w:rFonts w:ascii="宋体" w:hAnsi="宋体" w:eastAsia="宋体" w:cs="Times New Roman"/>
                <w:kern w:val="0"/>
                <w:sz w:val="22"/>
              </w:rPr>
            </w:pPr>
            <w:r>
              <w:rPr>
                <w:rFonts w:hint="eastAsia" w:ascii="宋体" w:hAnsi="宋体" w:eastAsia="宋体" w:cs="Times New Roman"/>
                <w:kern w:val="0"/>
                <w:sz w:val="22"/>
              </w:rPr>
              <w:t>②点云多回波模拟、静态数据模拟、点云数据模拟。</w:t>
            </w:r>
          </w:p>
          <w:p w14:paraId="2CFFE3D1">
            <w:pPr>
              <w:ind w:firstLine="0"/>
              <w:jc w:val="left"/>
              <w:rPr>
                <w:rFonts w:ascii="宋体" w:hAnsi="宋体" w:eastAsia="宋体" w:cs="Times New Roman"/>
                <w:kern w:val="0"/>
                <w:sz w:val="22"/>
              </w:rPr>
            </w:pPr>
            <w:r>
              <w:rPr>
                <w:rFonts w:hint="eastAsia" w:ascii="宋体" w:hAnsi="宋体" w:eastAsia="宋体" w:cs="Times New Roman"/>
                <w:kern w:val="0"/>
                <w:sz w:val="22"/>
              </w:rPr>
              <w:t>③支持无人机与遥控器之间的配合操作。</w:t>
            </w:r>
          </w:p>
          <w:p w14:paraId="6635B50D">
            <w:pPr>
              <w:ind w:firstLine="0"/>
              <w:jc w:val="left"/>
              <w:rPr>
                <w:rFonts w:ascii="宋体" w:hAnsi="宋体" w:eastAsia="宋体" w:cs="Times New Roman"/>
                <w:kern w:val="0"/>
                <w:sz w:val="22"/>
              </w:rPr>
            </w:pPr>
            <w:r>
              <w:rPr>
                <w:rFonts w:hint="eastAsia" w:ascii="宋体" w:hAnsi="宋体" w:eastAsia="宋体" w:cs="Times New Roman"/>
                <w:kern w:val="0"/>
                <w:sz w:val="22"/>
              </w:rPr>
              <w:t>④含有真实遥控器航线规划算法。</w:t>
            </w:r>
          </w:p>
          <w:p w14:paraId="2B089B28">
            <w:pPr>
              <w:ind w:firstLine="0"/>
              <w:jc w:val="left"/>
              <w:rPr>
                <w:rFonts w:ascii="宋体" w:hAnsi="宋体" w:eastAsia="宋体" w:cs="Times New Roman"/>
                <w:kern w:val="0"/>
                <w:sz w:val="22"/>
              </w:rPr>
            </w:pPr>
            <w:r>
              <w:rPr>
                <w:rFonts w:hint="eastAsia" w:ascii="宋体" w:hAnsi="宋体" w:eastAsia="宋体" w:cs="Times New Roman"/>
                <w:kern w:val="0"/>
                <w:sz w:val="22"/>
              </w:rPr>
              <w:t>⑤内置天气变化，可变化晴天、阴天、暴雨且有动态效果。</w:t>
            </w:r>
          </w:p>
          <w:p w14:paraId="6F681B45">
            <w:pPr>
              <w:ind w:firstLine="0"/>
              <w:jc w:val="left"/>
              <w:rPr>
                <w:rFonts w:ascii="宋体" w:hAnsi="宋体" w:eastAsia="宋体" w:cs="Times New Roman"/>
                <w:kern w:val="0"/>
                <w:sz w:val="22"/>
              </w:rPr>
            </w:pPr>
            <w:r>
              <w:rPr>
                <w:rFonts w:hint="eastAsia" w:ascii="宋体" w:hAnsi="宋体" w:eastAsia="宋体" w:cs="Times New Roman"/>
                <w:kern w:val="0"/>
                <w:sz w:val="22"/>
              </w:rPr>
              <w:t>⑥内置风速变化，可变化1-9级风。</w:t>
            </w:r>
          </w:p>
          <w:p w14:paraId="33E3F429">
            <w:pPr>
              <w:ind w:firstLine="0"/>
              <w:jc w:val="left"/>
              <w:rPr>
                <w:rFonts w:ascii="宋体" w:hAnsi="宋体" w:eastAsia="宋体" w:cs="Times New Roman"/>
                <w:kern w:val="0"/>
                <w:sz w:val="22"/>
              </w:rPr>
            </w:pPr>
            <w:r>
              <w:rPr>
                <w:rFonts w:hint="eastAsia" w:ascii="宋体" w:hAnsi="宋体" w:eastAsia="宋体" w:cs="Times New Roman"/>
                <w:kern w:val="0"/>
                <w:sz w:val="22"/>
              </w:rPr>
              <w:t>⑦可完成全流程的机载激光雷达外业操作，数据可进入内业软件进行POS解算、点云融合等操作。</w:t>
            </w:r>
          </w:p>
          <w:p w14:paraId="5BD946FA">
            <w:pPr>
              <w:ind w:firstLine="0"/>
              <w:jc w:val="left"/>
              <w:rPr>
                <w:rFonts w:ascii="宋体" w:hAnsi="宋体" w:eastAsia="宋体" w:cs="Times New Roman"/>
                <w:kern w:val="0"/>
                <w:sz w:val="22"/>
              </w:rPr>
            </w:pPr>
            <w:r>
              <w:rPr>
                <w:rFonts w:hint="eastAsia" w:ascii="宋体" w:hAnsi="宋体" w:eastAsia="宋体" w:cs="Times New Roman"/>
                <w:kern w:val="0"/>
                <w:sz w:val="22"/>
              </w:rPr>
              <w:t>⑧支持模拟无人机操作：定位精度水平≥1cm＋1ppm，垂直≥2cm＋1ppm，可挂载激光雷达与单镜头相机，支持仿地飞行模式。挂载相机可生成不低于900*600分辨率照片，具备高清相片导出。并且相片属性可查看（含有经纬度、焦距、分辨率、相机型号等属性），支持不少于25000张照片数据存储。</w:t>
            </w:r>
          </w:p>
          <w:p w14:paraId="162C80E4">
            <w:pPr>
              <w:ind w:firstLine="0"/>
              <w:jc w:val="left"/>
              <w:rPr>
                <w:rFonts w:ascii="宋体" w:hAnsi="宋体" w:eastAsia="宋体" w:cs="Times New Roman"/>
                <w:kern w:val="0"/>
                <w:sz w:val="22"/>
              </w:rPr>
            </w:pPr>
            <w:r>
              <w:rPr>
                <w:rFonts w:hint="eastAsia" w:ascii="宋体" w:hAnsi="宋体" w:eastAsia="宋体" w:cs="Times New Roman"/>
                <w:kern w:val="0"/>
                <w:sz w:val="22"/>
              </w:rPr>
              <w:t>⑨支持模拟挂载激光雷达，测程≥1500米，支持回波，扫描角度可设置90-130度。</w:t>
            </w:r>
          </w:p>
          <w:p w14:paraId="38B2497B">
            <w:pPr>
              <w:ind w:firstLine="0"/>
              <w:jc w:val="left"/>
              <w:rPr>
                <w:rFonts w:ascii="宋体" w:hAnsi="宋体" w:eastAsia="宋体" w:cs="Times New Roman"/>
                <w:kern w:val="0"/>
                <w:sz w:val="22"/>
              </w:rPr>
            </w:pPr>
            <w:r>
              <w:rPr>
                <w:rFonts w:hint="eastAsia" w:ascii="宋体" w:hAnsi="宋体" w:eastAsia="宋体" w:cs="Times New Roman"/>
                <w:kern w:val="0"/>
                <w:sz w:val="22"/>
              </w:rPr>
              <w:t>⑩支持模拟RTK平面精度≥±(2.5mm+0.5x10-6 x D)高程精度≥±(5mm+0.5x10-6 x D)【D：为所测量的基线长度】。</w:t>
            </w:r>
          </w:p>
          <w:p w14:paraId="1DA3FD0A">
            <w:pPr>
              <w:ind w:firstLine="0"/>
              <w:jc w:val="left"/>
              <w:rPr>
                <w:rFonts w:ascii="宋体" w:hAnsi="宋体" w:eastAsia="宋体" w:cs="Times New Roman"/>
                <w:kern w:val="0"/>
                <w:sz w:val="22"/>
              </w:rPr>
            </w:pPr>
            <w:r>
              <w:rPr>
                <w:rFonts w:hint="eastAsia" w:ascii="宋体" w:hAnsi="宋体" w:eastAsia="宋体" w:cs="Times New Roman"/>
                <w:kern w:val="0"/>
                <w:sz w:val="22"/>
              </w:rPr>
              <w:t>（39）软件满足技术规范</w:t>
            </w:r>
          </w:p>
          <w:p w14:paraId="7A4DBE5D">
            <w:pPr>
              <w:ind w:firstLine="0"/>
              <w:jc w:val="left"/>
              <w:rPr>
                <w:rFonts w:ascii="宋体" w:hAnsi="宋体" w:eastAsia="宋体" w:cs="Times New Roman"/>
                <w:kern w:val="0"/>
                <w:sz w:val="22"/>
              </w:rPr>
            </w:pPr>
            <w:r>
              <w:rPr>
                <w:rFonts w:hint="eastAsia" w:ascii="宋体" w:hAnsi="宋体" w:eastAsia="宋体" w:cs="Times New Roman"/>
                <w:kern w:val="0"/>
                <w:sz w:val="22"/>
              </w:rPr>
              <w:t>① CH/T 8024 - 2011 机载激光雷达数据获取技术规范</w:t>
            </w:r>
          </w:p>
          <w:p w14:paraId="4BB7A55F">
            <w:pPr>
              <w:ind w:firstLine="0"/>
              <w:jc w:val="left"/>
              <w:rPr>
                <w:rFonts w:ascii="宋体" w:hAnsi="宋体" w:eastAsia="宋体" w:cs="Times New Roman"/>
                <w:kern w:val="0"/>
                <w:sz w:val="22"/>
              </w:rPr>
            </w:pPr>
            <w:r>
              <w:rPr>
                <w:rFonts w:hint="eastAsia" w:ascii="宋体" w:hAnsi="宋体" w:eastAsia="宋体" w:cs="Times New Roman"/>
                <w:kern w:val="0"/>
                <w:sz w:val="22"/>
              </w:rPr>
              <w:t>② CH/T 8023-2011机载激光雷达数据处理技术规范</w:t>
            </w:r>
          </w:p>
          <w:p w14:paraId="2F365D81">
            <w:pPr>
              <w:ind w:firstLine="0"/>
              <w:jc w:val="left"/>
              <w:rPr>
                <w:rFonts w:ascii="宋体" w:hAnsi="宋体" w:eastAsia="宋体" w:cs="Times New Roman"/>
                <w:kern w:val="0"/>
                <w:sz w:val="22"/>
              </w:rPr>
            </w:pPr>
            <w:r>
              <w:rPr>
                <w:rFonts w:hint="eastAsia" w:ascii="宋体" w:hAnsi="宋体" w:eastAsia="宋体" w:cs="Times New Roman"/>
                <w:kern w:val="0"/>
                <w:sz w:val="22"/>
              </w:rPr>
              <w:t>③ JTG C10—2007 公路勘测规范</w:t>
            </w:r>
          </w:p>
          <w:p w14:paraId="44041E4E">
            <w:pPr>
              <w:ind w:firstLine="0"/>
              <w:jc w:val="left"/>
              <w:rPr>
                <w:rFonts w:ascii="宋体" w:hAnsi="宋体" w:eastAsia="宋体" w:cs="Times New Roman"/>
                <w:kern w:val="0"/>
                <w:sz w:val="22"/>
              </w:rPr>
            </w:pPr>
            <w:r>
              <w:rPr>
                <w:rFonts w:hint="eastAsia" w:ascii="宋体" w:hAnsi="宋体" w:eastAsia="宋体" w:cs="Times New Roman"/>
                <w:kern w:val="0"/>
                <w:sz w:val="22"/>
              </w:rPr>
              <w:t xml:space="preserve">④ JTG/T C10—2007 公路勘测细则 </w:t>
            </w:r>
          </w:p>
          <w:p w14:paraId="24E72810">
            <w:pPr>
              <w:ind w:firstLine="0"/>
              <w:jc w:val="left"/>
              <w:rPr>
                <w:rFonts w:ascii="宋体" w:hAnsi="宋体" w:eastAsia="宋体" w:cs="Times New Roman"/>
                <w:kern w:val="0"/>
                <w:sz w:val="22"/>
              </w:rPr>
            </w:pPr>
            <w:r>
              <w:rPr>
                <w:rFonts w:hint="eastAsia" w:ascii="宋体" w:hAnsi="宋体" w:eastAsia="宋体" w:cs="Times New Roman"/>
                <w:kern w:val="0"/>
                <w:sz w:val="22"/>
              </w:rPr>
              <w:t xml:space="preserve">⑤ DL/T 741-2010 架空输电线路运行规程 </w:t>
            </w:r>
          </w:p>
          <w:p w14:paraId="338D3726">
            <w:pPr>
              <w:ind w:firstLine="0"/>
              <w:jc w:val="left"/>
              <w:rPr>
                <w:rFonts w:ascii="宋体" w:hAnsi="宋体" w:eastAsia="宋体" w:cs="Times New Roman"/>
                <w:kern w:val="0"/>
                <w:sz w:val="22"/>
              </w:rPr>
            </w:pPr>
            <w:r>
              <w:rPr>
                <w:rFonts w:hint="eastAsia" w:ascii="宋体" w:hAnsi="宋体" w:eastAsia="宋体" w:cs="Times New Roman"/>
                <w:kern w:val="0"/>
                <w:sz w:val="22"/>
              </w:rPr>
              <w:t xml:space="preserve">⑥ GB/T 20257.1-2017 国家基本比例尺地图图式第1部分：1:500、1:1000、1:2000地形图图式 </w:t>
            </w:r>
          </w:p>
          <w:p w14:paraId="48247616">
            <w:pPr>
              <w:ind w:firstLine="0"/>
              <w:jc w:val="left"/>
              <w:rPr>
                <w:rFonts w:ascii="宋体" w:hAnsi="宋体" w:eastAsia="宋体" w:cs="Times New Roman"/>
                <w:kern w:val="0"/>
                <w:sz w:val="22"/>
              </w:rPr>
            </w:pPr>
            <w:r>
              <w:rPr>
                <w:rFonts w:hint="eastAsia" w:ascii="宋体" w:hAnsi="宋体" w:eastAsia="宋体" w:cs="Times New Roman"/>
                <w:kern w:val="0"/>
                <w:sz w:val="22"/>
              </w:rPr>
              <w:t>⑦ CH/Z 3003-2010 低空数字航空摄影测量内业规范</w:t>
            </w:r>
          </w:p>
          <w:p w14:paraId="78482540">
            <w:p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40</w:t>
            </w:r>
            <w:r>
              <w:rPr>
                <w:rFonts w:ascii="宋体" w:hAnsi="宋体" w:eastAsia="宋体" w:cs="Times New Roman"/>
                <w:kern w:val="0"/>
                <w:sz w:val="22"/>
              </w:rPr>
              <w:t>）为保证采集的数据能够安全顺畅的处理，该软件须与机载三维激光检测模块</w:t>
            </w:r>
            <w:r>
              <w:rPr>
                <w:rFonts w:hint="eastAsia" w:ascii="宋体" w:hAnsi="宋体" w:eastAsia="宋体" w:cs="Times New Roman"/>
                <w:kern w:val="0"/>
                <w:sz w:val="22"/>
              </w:rPr>
              <w:t>、</w:t>
            </w:r>
            <w:r>
              <w:rPr>
                <w:rFonts w:ascii="宋体" w:hAnsi="宋体" w:eastAsia="宋体" w:cs="Times New Roman"/>
                <w:kern w:val="0"/>
                <w:sz w:val="22"/>
              </w:rPr>
              <w:t>航测一体化平台软件</w:t>
            </w:r>
            <w:r>
              <w:rPr>
                <w:rFonts w:hint="eastAsia" w:ascii="宋体" w:hAnsi="宋体" w:eastAsia="宋体" w:cs="Times New Roman"/>
                <w:kern w:val="0"/>
                <w:sz w:val="22"/>
              </w:rPr>
              <w:t>、</w:t>
            </w:r>
            <w:r>
              <w:rPr>
                <w:rFonts w:ascii="宋体" w:hAnsi="宋体" w:eastAsia="宋体" w:cs="Times New Roman"/>
                <w:kern w:val="0"/>
                <w:sz w:val="22"/>
              </w:rPr>
              <w:t>地形地籍成图软件</w:t>
            </w:r>
            <w:r>
              <w:rPr>
                <w:rFonts w:hint="eastAsia" w:ascii="宋体" w:hAnsi="宋体" w:eastAsia="宋体" w:cs="Times New Roman"/>
                <w:kern w:val="0"/>
                <w:sz w:val="22"/>
              </w:rPr>
              <w:t>、</w:t>
            </w:r>
            <w:r>
              <w:rPr>
                <w:rFonts w:ascii="宋体" w:hAnsi="宋体" w:eastAsia="宋体" w:cs="Times New Roman"/>
                <w:kern w:val="0"/>
                <w:sz w:val="22"/>
              </w:rPr>
              <w:t>无人机数据管理模块</w:t>
            </w:r>
            <w:r>
              <w:rPr>
                <w:rFonts w:hint="eastAsia" w:ascii="宋体" w:hAnsi="宋体" w:eastAsia="宋体" w:cs="Times New Roman"/>
                <w:kern w:val="0"/>
                <w:sz w:val="22"/>
              </w:rPr>
              <w:t>可完全兼容</w:t>
            </w:r>
            <w:r>
              <w:rPr>
                <w:rFonts w:ascii="宋体" w:hAnsi="宋体" w:eastAsia="宋体" w:cs="Times New Roman"/>
                <w:kern w:val="0"/>
                <w:sz w:val="22"/>
              </w:rPr>
              <w:t>。</w:t>
            </w:r>
          </w:p>
          <w:p w14:paraId="636021FC">
            <w:pPr>
              <w:ind w:firstLine="0"/>
              <w:jc w:val="left"/>
              <w:rPr>
                <w:rFonts w:ascii="宋体" w:hAnsi="宋体" w:eastAsia="宋体" w:cs="Times New Roman"/>
                <w:kern w:val="0"/>
                <w:sz w:val="22"/>
              </w:rPr>
            </w:pPr>
            <w:r>
              <w:rPr>
                <w:rFonts w:hint="eastAsia" w:ascii="宋体" w:hAnsi="宋体" w:eastAsia="宋体" w:cs="Times New Roman"/>
                <w:kern w:val="0"/>
                <w:sz w:val="22"/>
              </w:rPr>
              <w:t>（41）</w:t>
            </w:r>
            <w:r>
              <w:rPr>
                <w:rFonts w:ascii="宋体" w:hAnsi="宋体" w:eastAsia="宋体" w:cs="Times New Roman"/>
                <w:kern w:val="0"/>
                <w:sz w:val="22"/>
              </w:rPr>
              <w:t>质保期：</w:t>
            </w:r>
            <w:r>
              <w:rPr>
                <w:rFonts w:hint="eastAsia" w:ascii="宋体" w:hAnsi="宋体" w:eastAsia="宋体" w:cs="Times New Roman"/>
                <w:kern w:val="0"/>
                <w:sz w:val="22"/>
              </w:rPr>
              <w:t>质保期不少于3年，质保期后不</w:t>
            </w:r>
            <w:r>
              <w:rPr>
                <w:rFonts w:ascii="宋体" w:hAnsi="宋体" w:eastAsia="宋体" w:cs="Times New Roman"/>
                <w:kern w:val="0"/>
                <w:sz w:val="22"/>
              </w:rPr>
              <w:t>升级</w:t>
            </w:r>
            <w:r>
              <w:rPr>
                <w:rFonts w:hint="eastAsia" w:ascii="宋体" w:hAnsi="宋体" w:eastAsia="宋体" w:cs="Times New Roman"/>
                <w:kern w:val="0"/>
                <w:sz w:val="22"/>
              </w:rPr>
              <w:t>不影响软件正常使用</w:t>
            </w:r>
            <w:r>
              <w:rPr>
                <w:rFonts w:ascii="宋体" w:hAnsi="宋体" w:eastAsia="宋体" w:cs="Times New Roman"/>
                <w:kern w:val="0"/>
                <w:sz w:val="22"/>
              </w:rPr>
              <w:t>。</w:t>
            </w:r>
          </w:p>
          <w:p w14:paraId="1E2EF281">
            <w:pPr>
              <w:ind w:firstLine="0"/>
              <w:jc w:val="left"/>
              <w:rPr>
                <w:rFonts w:ascii="宋体" w:hAnsi="宋体" w:eastAsia="宋体" w:cs="Times New Roman"/>
                <w:b/>
                <w:bCs/>
                <w:kern w:val="0"/>
                <w:sz w:val="22"/>
              </w:rPr>
            </w:pPr>
            <w:r>
              <w:rPr>
                <w:rFonts w:ascii="宋体" w:hAnsi="宋体" w:eastAsia="宋体" w:cs="Times New Roman"/>
                <w:b/>
                <w:bCs/>
                <w:kern w:val="0"/>
                <w:sz w:val="22"/>
              </w:rPr>
              <w:t>九、无人机数据管理</w:t>
            </w:r>
            <w:r>
              <w:rPr>
                <w:rFonts w:hint="eastAsia" w:ascii="宋体" w:hAnsi="宋体" w:eastAsia="宋体" w:cs="Times New Roman"/>
                <w:b/>
                <w:bCs/>
                <w:kern w:val="0"/>
                <w:sz w:val="22"/>
              </w:rPr>
              <w:t>模块</w:t>
            </w:r>
          </w:p>
          <w:p w14:paraId="0B1FA2A5">
            <w:pPr>
              <w:ind w:firstLine="0"/>
              <w:jc w:val="left"/>
              <w:rPr>
                <w:rFonts w:ascii="宋体" w:hAnsi="宋体" w:eastAsia="宋体" w:cs="Times New Roman"/>
                <w:kern w:val="0"/>
                <w:sz w:val="22"/>
              </w:rPr>
            </w:pPr>
            <w:r>
              <w:rPr>
                <w:rFonts w:hint="eastAsia" w:ascii="宋体" w:hAnsi="宋体" w:eastAsia="宋体" w:cs="Times New Roman"/>
                <w:kern w:val="0"/>
                <w:sz w:val="22"/>
              </w:rPr>
              <w:t>▲（1）支持以GIS+数字大屏形式，全面展示无人机分布情况、空域使用情况、无人机飞行作业情况、巡检情况、数据采集情况。（2）支持以表格形式列出所有已设计的三维航线，并与航道管理全景图支持数据同步。</w:t>
            </w:r>
          </w:p>
          <w:p w14:paraId="33064274">
            <w:pPr>
              <w:ind w:firstLine="0"/>
              <w:jc w:val="left"/>
              <w:rPr>
                <w:rFonts w:ascii="宋体" w:hAnsi="宋体" w:eastAsia="宋体" w:cs="Times New Roman"/>
                <w:kern w:val="0"/>
                <w:sz w:val="22"/>
              </w:rPr>
            </w:pPr>
            <w:r>
              <w:rPr>
                <w:rFonts w:hint="eastAsia" w:ascii="宋体" w:hAnsi="宋体" w:eastAsia="宋体" w:cs="Times New Roman"/>
                <w:kern w:val="0"/>
                <w:sz w:val="22"/>
              </w:rPr>
              <w:t>▲（3）支持三维航道的规划。</w:t>
            </w:r>
          </w:p>
          <w:p w14:paraId="7BA753D8">
            <w:pPr>
              <w:ind w:firstLine="0"/>
              <w:jc w:val="left"/>
              <w:rPr>
                <w:rFonts w:ascii="宋体" w:hAnsi="宋体" w:eastAsia="宋体" w:cs="Times New Roman"/>
                <w:kern w:val="0"/>
                <w:sz w:val="22"/>
              </w:rPr>
            </w:pPr>
            <w:r>
              <w:rPr>
                <w:rFonts w:hint="eastAsia" w:ascii="宋体" w:hAnsi="宋体" w:eastAsia="宋体" w:cs="Times New Roman"/>
                <w:kern w:val="0"/>
                <w:sz w:val="22"/>
              </w:rPr>
              <w:t>（4）在航道规划场景中，通过手动方式绘制采集点以及规划作业航线。</w:t>
            </w:r>
          </w:p>
          <w:p w14:paraId="6D78384A">
            <w:pPr>
              <w:ind w:firstLine="0"/>
              <w:jc w:val="left"/>
              <w:rPr>
                <w:rFonts w:ascii="宋体" w:hAnsi="宋体" w:eastAsia="宋体" w:cs="Times New Roman"/>
                <w:kern w:val="0"/>
                <w:sz w:val="22"/>
              </w:rPr>
            </w:pPr>
            <w:r>
              <w:rPr>
                <w:rFonts w:hint="eastAsia" w:ascii="宋体" w:hAnsi="宋体" w:eastAsia="宋体" w:cs="Times New Roman"/>
                <w:kern w:val="0"/>
                <w:sz w:val="22"/>
              </w:rPr>
              <w:t>（5）对手动或自动创建的航线进行优化调整，包括修改航线路径、调整航点任务细节以及调整模拟地形飞行模式等。</w:t>
            </w:r>
          </w:p>
          <w:p w14:paraId="4753D972">
            <w:pPr>
              <w:ind w:firstLine="0"/>
              <w:jc w:val="left"/>
              <w:rPr>
                <w:rFonts w:ascii="宋体" w:hAnsi="宋体" w:eastAsia="宋体" w:cs="Times New Roman"/>
                <w:kern w:val="0"/>
                <w:sz w:val="22"/>
              </w:rPr>
            </w:pPr>
            <w:r>
              <w:rPr>
                <w:rFonts w:hint="eastAsia" w:ascii="宋体" w:hAnsi="宋体" w:eastAsia="宋体" w:cs="Times New Roman"/>
                <w:kern w:val="0"/>
                <w:sz w:val="22"/>
              </w:rPr>
              <w:t>（6）支持以目录形式展示全部作业计划，基于任务目录支持任务查询、创建等功能操作。</w:t>
            </w:r>
          </w:p>
          <w:p w14:paraId="776780ED">
            <w:pPr>
              <w:ind w:firstLine="0"/>
              <w:jc w:val="left"/>
              <w:rPr>
                <w:rFonts w:ascii="宋体" w:hAnsi="宋体" w:eastAsia="宋体" w:cs="Times New Roman"/>
                <w:kern w:val="0"/>
                <w:sz w:val="22"/>
              </w:rPr>
            </w:pPr>
            <w:r>
              <w:rPr>
                <w:rFonts w:hint="eastAsia" w:ascii="宋体" w:hAnsi="宋体" w:eastAsia="宋体" w:cs="Times New Roman"/>
                <w:kern w:val="0"/>
                <w:sz w:val="22"/>
              </w:rPr>
              <w:t>（7）支持基于任务目录创建立即执行、定时任务、循环任务等飞行任务。</w:t>
            </w:r>
          </w:p>
          <w:p w14:paraId="1BAB6C02">
            <w:pPr>
              <w:ind w:firstLine="0"/>
              <w:jc w:val="left"/>
              <w:rPr>
                <w:rFonts w:ascii="宋体" w:hAnsi="宋体" w:eastAsia="宋体" w:cs="Times New Roman"/>
                <w:kern w:val="0"/>
                <w:sz w:val="22"/>
              </w:rPr>
            </w:pPr>
            <w:r>
              <w:rPr>
                <w:rFonts w:hint="eastAsia" w:ascii="宋体" w:hAnsi="宋体" w:eastAsia="宋体" w:cs="Times New Roman"/>
                <w:kern w:val="0"/>
                <w:sz w:val="22"/>
              </w:rPr>
              <w:t>（8）支持针对未完成任务，以任务结束位置为起点继续进行作业。</w:t>
            </w:r>
          </w:p>
          <w:p w14:paraId="3DCDBF3F">
            <w:pPr>
              <w:ind w:firstLine="0"/>
              <w:jc w:val="left"/>
              <w:rPr>
                <w:rFonts w:ascii="宋体" w:hAnsi="宋体" w:eastAsia="宋体" w:cs="Times New Roman"/>
                <w:kern w:val="0"/>
                <w:sz w:val="22"/>
              </w:rPr>
            </w:pPr>
            <w:r>
              <w:rPr>
                <w:rFonts w:hint="eastAsia" w:ascii="宋体" w:hAnsi="宋体" w:eastAsia="宋体" w:cs="Times New Roman"/>
                <w:kern w:val="0"/>
                <w:sz w:val="22"/>
              </w:rPr>
              <w:t>（9）支持删除飞行任务。</w:t>
            </w:r>
          </w:p>
          <w:p w14:paraId="0E81DDDA">
            <w:pPr>
              <w:ind w:firstLine="0"/>
              <w:jc w:val="left"/>
              <w:rPr>
                <w:rFonts w:ascii="宋体" w:hAnsi="宋体" w:eastAsia="宋体" w:cs="Times New Roman"/>
                <w:kern w:val="0"/>
                <w:sz w:val="22"/>
              </w:rPr>
            </w:pPr>
            <w:r>
              <w:rPr>
                <w:rFonts w:hint="eastAsia" w:ascii="宋体" w:hAnsi="宋体" w:eastAsia="宋体" w:cs="Times New Roman"/>
                <w:kern w:val="0"/>
                <w:sz w:val="22"/>
              </w:rPr>
              <w:t>（10）支持已执行的航飞任务重新进行执行。</w:t>
            </w:r>
          </w:p>
          <w:p w14:paraId="1D04232B">
            <w:pPr>
              <w:ind w:firstLine="0"/>
              <w:jc w:val="left"/>
              <w:rPr>
                <w:rFonts w:ascii="宋体" w:hAnsi="宋体" w:eastAsia="宋体" w:cs="Times New Roman"/>
                <w:kern w:val="0"/>
                <w:sz w:val="22"/>
              </w:rPr>
            </w:pPr>
            <w:r>
              <w:rPr>
                <w:rFonts w:hint="eastAsia" w:ascii="宋体" w:hAnsi="宋体" w:eastAsia="宋体" w:cs="Times New Roman"/>
                <w:kern w:val="0"/>
                <w:sz w:val="22"/>
              </w:rPr>
              <w:t>（11）支持暂停执行任务，根据飞行计划无人机进行悬停或者返航。</w:t>
            </w:r>
          </w:p>
          <w:p w14:paraId="6D447856">
            <w:pPr>
              <w:ind w:firstLine="0"/>
              <w:jc w:val="left"/>
              <w:rPr>
                <w:rFonts w:ascii="宋体" w:hAnsi="宋体" w:eastAsia="宋体" w:cs="Times New Roman"/>
                <w:kern w:val="0"/>
                <w:sz w:val="22"/>
              </w:rPr>
            </w:pPr>
            <w:r>
              <w:rPr>
                <w:rFonts w:hint="eastAsia" w:ascii="宋体" w:hAnsi="宋体" w:eastAsia="宋体" w:cs="Times New Roman"/>
                <w:kern w:val="0"/>
                <w:sz w:val="22"/>
              </w:rPr>
              <w:t>（12）支持对暂停的任务进行继续执行。</w:t>
            </w:r>
          </w:p>
          <w:p w14:paraId="6F3DBF78">
            <w:pPr>
              <w:ind w:firstLine="0"/>
              <w:jc w:val="left"/>
              <w:rPr>
                <w:rFonts w:ascii="宋体" w:hAnsi="宋体" w:eastAsia="宋体" w:cs="Times New Roman"/>
                <w:kern w:val="0"/>
                <w:sz w:val="22"/>
              </w:rPr>
            </w:pPr>
            <w:r>
              <w:rPr>
                <w:rFonts w:hint="eastAsia" w:ascii="宋体" w:hAnsi="宋体" w:eastAsia="宋体" w:cs="Times New Roman"/>
                <w:kern w:val="0"/>
                <w:sz w:val="22"/>
              </w:rPr>
              <w:t>（13）支持支撑状态监控、任务管理、直播管理、飞行设置、态势标绘、远程调试等功能，面向监管单位在无人机起飞前及作业过程中进行无人机监控。</w:t>
            </w:r>
          </w:p>
          <w:p w14:paraId="61C00788">
            <w:pPr>
              <w:ind w:firstLine="0"/>
              <w:jc w:val="left"/>
              <w:rPr>
                <w:rFonts w:ascii="宋体" w:hAnsi="宋体" w:eastAsia="宋体" w:cs="Times New Roman"/>
                <w:kern w:val="0"/>
                <w:sz w:val="22"/>
              </w:rPr>
            </w:pPr>
            <w:r>
              <w:rPr>
                <w:rFonts w:hint="eastAsia" w:ascii="宋体" w:hAnsi="宋体" w:eastAsia="宋体" w:cs="Times New Roman"/>
                <w:kern w:val="0"/>
                <w:sz w:val="22"/>
              </w:rPr>
              <w:t>（14）支持在监视模式基础上，具备飞行控制、载荷控制等功能，面向无人机飞手进行全程监视管控。</w:t>
            </w:r>
          </w:p>
          <w:p w14:paraId="37269A27">
            <w:pPr>
              <w:ind w:firstLine="0"/>
              <w:jc w:val="left"/>
              <w:rPr>
                <w:rFonts w:ascii="宋体" w:hAnsi="宋体" w:eastAsia="宋体" w:cs="Times New Roman"/>
                <w:kern w:val="0"/>
                <w:sz w:val="22"/>
              </w:rPr>
            </w:pPr>
            <w:r>
              <w:rPr>
                <w:rFonts w:hint="eastAsia" w:ascii="宋体" w:hAnsi="宋体" w:eastAsia="宋体" w:cs="Times New Roman"/>
                <w:kern w:val="0"/>
                <w:sz w:val="22"/>
              </w:rPr>
              <w:t>（15）支持机场状态、无人机状态、作业状态。</w:t>
            </w:r>
          </w:p>
          <w:p w14:paraId="2C0C1C3A">
            <w:pPr>
              <w:ind w:firstLine="0"/>
              <w:jc w:val="left"/>
              <w:rPr>
                <w:rFonts w:ascii="宋体" w:hAnsi="宋体" w:eastAsia="宋体" w:cs="Times New Roman"/>
                <w:kern w:val="0"/>
                <w:sz w:val="22"/>
              </w:rPr>
            </w:pPr>
            <w:r>
              <w:rPr>
                <w:rFonts w:hint="eastAsia" w:ascii="宋体" w:hAnsi="宋体" w:eastAsia="宋体" w:cs="Times New Roman"/>
                <w:kern w:val="0"/>
                <w:sz w:val="22"/>
              </w:rPr>
              <w:t>（16）支持统计展示无人机历史任务执行情况、剩余任务执行情况、当前任务执行情况。</w:t>
            </w:r>
          </w:p>
          <w:p w14:paraId="235CC0EE">
            <w:pPr>
              <w:ind w:firstLine="0"/>
              <w:jc w:val="left"/>
              <w:rPr>
                <w:rFonts w:ascii="宋体" w:hAnsi="宋体" w:eastAsia="宋体" w:cs="Times New Roman"/>
                <w:kern w:val="0"/>
                <w:sz w:val="22"/>
              </w:rPr>
            </w:pPr>
            <w:r>
              <w:rPr>
                <w:rFonts w:hint="eastAsia" w:ascii="宋体" w:hAnsi="宋体" w:eastAsia="宋体" w:cs="Times New Roman"/>
                <w:kern w:val="0"/>
                <w:sz w:val="22"/>
              </w:rPr>
              <w:t>（17）支持针对当前机巢进行任务下发，查看当前机场已完成任务与待完成任务信息，并进行优先级调整、暂停、取消等管理。</w:t>
            </w:r>
          </w:p>
          <w:p w14:paraId="374D54CC">
            <w:pPr>
              <w:ind w:firstLine="0"/>
              <w:jc w:val="left"/>
              <w:rPr>
                <w:rFonts w:ascii="宋体" w:hAnsi="宋体" w:eastAsia="宋体" w:cs="Times New Roman"/>
                <w:kern w:val="0"/>
                <w:sz w:val="22"/>
              </w:rPr>
            </w:pPr>
            <w:r>
              <w:rPr>
                <w:rFonts w:hint="eastAsia" w:ascii="宋体" w:hAnsi="宋体" w:eastAsia="宋体" w:cs="Times New Roman"/>
                <w:kern w:val="0"/>
                <w:sz w:val="22"/>
              </w:rPr>
              <w:t>（18）支持无人机起飞前，对限高、限远、飞行器夜航灯、避障等进行设置。</w:t>
            </w:r>
          </w:p>
          <w:p w14:paraId="70B045A1">
            <w:pPr>
              <w:ind w:firstLine="0"/>
              <w:jc w:val="left"/>
              <w:rPr>
                <w:rFonts w:ascii="宋体" w:hAnsi="宋体" w:eastAsia="宋体" w:cs="Times New Roman"/>
                <w:kern w:val="0"/>
                <w:sz w:val="22"/>
              </w:rPr>
            </w:pPr>
            <w:r>
              <w:rPr>
                <w:rFonts w:hint="eastAsia" w:ascii="宋体" w:hAnsi="宋体" w:eastAsia="宋体" w:cs="Times New Roman"/>
                <w:kern w:val="0"/>
                <w:sz w:val="22"/>
              </w:rPr>
              <w:t>（19）支持对飞行中无人机飞行方向、高度进行控制，支持悬停、一键返航、指点飞行、暂停任务、继续任务等操作控制。</w:t>
            </w:r>
          </w:p>
          <w:p w14:paraId="1999CE6B">
            <w:pPr>
              <w:ind w:firstLine="0"/>
              <w:jc w:val="left"/>
              <w:rPr>
                <w:rFonts w:ascii="宋体" w:hAnsi="宋体" w:eastAsia="宋体" w:cs="Times New Roman"/>
                <w:kern w:val="0"/>
                <w:sz w:val="22"/>
              </w:rPr>
            </w:pPr>
            <w:r>
              <w:rPr>
                <w:rFonts w:hint="eastAsia" w:ascii="宋体" w:hAnsi="宋体" w:eastAsia="宋体" w:cs="Times New Roman"/>
                <w:kern w:val="0"/>
                <w:sz w:val="22"/>
              </w:rPr>
              <w:t>（20）支持对各类云台、航摄相机、喊话器等进行控制操作。</w:t>
            </w:r>
          </w:p>
          <w:p w14:paraId="4E563CBE">
            <w:pPr>
              <w:ind w:firstLine="0"/>
              <w:jc w:val="left"/>
              <w:rPr>
                <w:rFonts w:ascii="宋体" w:hAnsi="宋体" w:eastAsia="宋体" w:cs="Times New Roman"/>
                <w:kern w:val="0"/>
                <w:sz w:val="22"/>
              </w:rPr>
            </w:pPr>
            <w:r>
              <w:rPr>
                <w:rFonts w:hint="eastAsia" w:ascii="宋体" w:hAnsi="宋体" w:eastAsia="宋体" w:cs="Times New Roman"/>
                <w:kern w:val="0"/>
                <w:sz w:val="22"/>
              </w:rPr>
              <w:t>（21）支持三维地图上绘制无人机的位置、高度、无人机偏航角等。</w:t>
            </w:r>
          </w:p>
          <w:p w14:paraId="24FFC0D6">
            <w:pPr>
              <w:ind w:firstLine="0"/>
              <w:jc w:val="left"/>
              <w:rPr>
                <w:rFonts w:ascii="宋体" w:hAnsi="宋体" w:eastAsia="宋体" w:cs="Times New Roman"/>
                <w:kern w:val="0"/>
                <w:sz w:val="22"/>
              </w:rPr>
            </w:pPr>
            <w:r>
              <w:rPr>
                <w:rFonts w:hint="eastAsia" w:ascii="宋体" w:hAnsi="宋体" w:eastAsia="宋体" w:cs="Times New Roman"/>
                <w:kern w:val="0"/>
                <w:sz w:val="22"/>
              </w:rPr>
              <w:t>（22）支持针对机场支持远程机舱开关、重启、飞行器启停、充电、机场存储格式化、飞行器存储格式化等操作。</w:t>
            </w:r>
          </w:p>
          <w:p w14:paraId="48759AC3">
            <w:pPr>
              <w:ind w:firstLine="0"/>
              <w:jc w:val="left"/>
              <w:rPr>
                <w:rFonts w:ascii="宋体" w:hAnsi="宋体" w:eastAsia="宋体" w:cs="Times New Roman"/>
                <w:kern w:val="0"/>
                <w:sz w:val="22"/>
              </w:rPr>
            </w:pPr>
            <w:r>
              <w:rPr>
                <w:rFonts w:hint="eastAsia" w:ascii="宋体" w:hAnsi="宋体" w:eastAsia="宋体" w:cs="Times New Roman"/>
                <w:kern w:val="0"/>
                <w:sz w:val="22"/>
              </w:rPr>
              <w:t>▲（23）支持本项目中各类型无人机和已购置CAAC培训无人机的设备接入系统和登记入库管理。</w:t>
            </w:r>
          </w:p>
          <w:p w14:paraId="4E42CF25">
            <w:pPr>
              <w:ind w:firstLine="0"/>
              <w:jc w:val="left"/>
              <w:rPr>
                <w:rFonts w:ascii="宋体" w:hAnsi="宋体" w:eastAsia="宋体" w:cs="Times New Roman"/>
                <w:kern w:val="0"/>
                <w:sz w:val="22"/>
              </w:rPr>
            </w:pPr>
            <w:r>
              <w:rPr>
                <w:rFonts w:hint="eastAsia" w:ascii="宋体" w:hAnsi="宋体" w:eastAsia="宋体" w:cs="Times New Roman"/>
                <w:kern w:val="0"/>
                <w:sz w:val="22"/>
              </w:rPr>
              <w:t>▲（24）为保证采集的数据能够安全顺畅的处理，该软件须与机载三维激光检测模块、航测一体化平台软件、地形地籍成图软件、</w:t>
            </w:r>
            <w:r>
              <w:rPr>
                <w:rFonts w:ascii="宋体" w:hAnsi="宋体" w:eastAsia="宋体" w:cs="Times New Roman"/>
                <w:kern w:val="0"/>
                <w:sz w:val="22"/>
              </w:rPr>
              <w:t>激光点云处理软件</w:t>
            </w:r>
            <w:r>
              <w:rPr>
                <w:rFonts w:hint="eastAsia" w:ascii="宋体" w:hAnsi="宋体" w:eastAsia="宋体" w:cs="Times New Roman"/>
                <w:kern w:val="0"/>
                <w:sz w:val="22"/>
              </w:rPr>
              <w:t>可完全兼容。</w:t>
            </w:r>
          </w:p>
          <w:p w14:paraId="7F44BC79">
            <w:pPr>
              <w:ind w:firstLine="0"/>
              <w:jc w:val="left"/>
              <w:rPr>
                <w:rFonts w:ascii="等线" w:hAnsi="等线" w:eastAsia="等线" w:cs="等线"/>
                <w:szCs w:val="21"/>
              </w:rPr>
            </w:pPr>
            <w:r>
              <w:rPr>
                <w:rFonts w:hint="eastAsia" w:ascii="宋体" w:hAnsi="宋体" w:eastAsia="宋体" w:cs="Times New Roman"/>
                <w:kern w:val="0"/>
                <w:sz w:val="22"/>
              </w:rPr>
              <w:t>（25）质保期：质保期不少于3年，质保期后不升级不影响正常使用。</w:t>
            </w:r>
          </w:p>
        </w:tc>
        <w:tc>
          <w:tcPr>
            <w:tcW w:w="615" w:type="dxa"/>
            <w:noWrap/>
            <w:vAlign w:val="center"/>
          </w:tcPr>
          <w:p w14:paraId="15DE79BF">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1</w:t>
            </w:r>
          </w:p>
        </w:tc>
        <w:tc>
          <w:tcPr>
            <w:tcW w:w="525" w:type="dxa"/>
            <w:noWrap/>
            <w:vAlign w:val="center"/>
          </w:tcPr>
          <w:p w14:paraId="3D086CDA">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套</w:t>
            </w:r>
          </w:p>
        </w:tc>
        <w:tc>
          <w:tcPr>
            <w:tcW w:w="1200" w:type="dxa"/>
            <w:noWrap/>
            <w:vAlign w:val="center"/>
          </w:tcPr>
          <w:p w14:paraId="3DD15344">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2950000</w:t>
            </w:r>
          </w:p>
        </w:tc>
        <w:tc>
          <w:tcPr>
            <w:tcW w:w="1125" w:type="dxa"/>
            <w:noWrap/>
            <w:vAlign w:val="center"/>
          </w:tcPr>
          <w:p w14:paraId="3DB4CA49">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2950000</w:t>
            </w:r>
          </w:p>
        </w:tc>
      </w:tr>
    </w:tbl>
    <w:p w14:paraId="7A2F62E9">
      <w:pPr>
        <w:rPr>
          <w:rFonts w:ascii="宋体" w:hAnsi="宋体" w:eastAsia="宋体" w:cs="Times New Roman"/>
          <w:szCs w:val="24"/>
        </w:rPr>
      </w:pPr>
    </w:p>
    <w:p w14:paraId="1B6176A7">
      <w:pPr>
        <w:ind w:firstLine="480"/>
        <w:rPr>
          <w:rFonts w:ascii="宋体" w:hAnsi="宋体" w:eastAsia="宋体" w:cs="Times New Roman"/>
          <w:b/>
          <w:bCs/>
          <w:sz w:val="24"/>
          <w:szCs w:val="24"/>
        </w:rPr>
      </w:pPr>
      <w:bookmarkStart w:id="51" w:name="_Toc11175"/>
      <w:r>
        <w:rPr>
          <w:rFonts w:hint="eastAsia" w:ascii="宋体" w:hAnsi="宋体" w:eastAsia="宋体" w:cs="Times New Roman"/>
          <w:b/>
          <w:bCs/>
          <w:sz w:val="24"/>
          <w:szCs w:val="24"/>
        </w:rPr>
        <w:br w:type="page"/>
      </w:r>
    </w:p>
    <w:p w14:paraId="70B05BE8">
      <w:pPr>
        <w:spacing w:line="560" w:lineRule="exact"/>
        <w:ind w:firstLine="482" w:firstLineChars="200"/>
        <w:jc w:val="left"/>
        <w:outlineLvl w:val="2"/>
        <w:rPr>
          <w:rFonts w:ascii="宋体" w:hAnsi="宋体" w:eastAsia="宋体" w:cs="Times New Roman"/>
          <w:b/>
          <w:bCs/>
          <w:sz w:val="24"/>
          <w:szCs w:val="24"/>
        </w:rPr>
      </w:pPr>
      <w:r>
        <w:rPr>
          <w:rFonts w:hint="eastAsia" w:ascii="宋体" w:hAnsi="宋体" w:eastAsia="宋体" w:cs="Times New Roman"/>
          <w:b/>
          <w:bCs/>
          <w:sz w:val="24"/>
          <w:szCs w:val="24"/>
        </w:rPr>
        <w:t>（二）</w:t>
      </w:r>
      <w:r>
        <w:rPr>
          <w:rFonts w:ascii="宋体" w:hAnsi="宋体" w:eastAsia="宋体" w:cs="Times New Roman"/>
          <w:b/>
          <w:bCs/>
          <w:sz w:val="24"/>
          <w:szCs w:val="24"/>
        </w:rPr>
        <w:t>商务要求</w:t>
      </w:r>
      <w:bookmarkEnd w:id="51"/>
    </w:p>
    <w:tbl>
      <w:tblPr>
        <w:tblStyle w:val="53"/>
        <w:tblW w:w="98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37"/>
        <w:gridCol w:w="7401"/>
      </w:tblGrid>
      <w:tr w14:paraId="74501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4B9AA539">
            <w:pPr>
              <w:widowControl/>
              <w:spacing w:line="400" w:lineRule="exact"/>
              <w:ind w:firstLine="0"/>
              <w:jc w:val="both"/>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一）合同签订期</w:t>
            </w:r>
          </w:p>
        </w:tc>
        <w:tc>
          <w:tcPr>
            <w:tcW w:w="7401" w:type="dxa"/>
            <w:tcBorders>
              <w:top w:val="single" w:color="auto" w:sz="4" w:space="0"/>
              <w:left w:val="single" w:color="auto" w:sz="4" w:space="0"/>
              <w:bottom w:val="single" w:color="auto" w:sz="4" w:space="0"/>
              <w:right w:val="single" w:color="auto" w:sz="4" w:space="0"/>
            </w:tcBorders>
            <w:vAlign w:val="center"/>
          </w:tcPr>
          <w:p w14:paraId="4D0D808B">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自中标通知书发出之日起25日内。</w:t>
            </w:r>
          </w:p>
        </w:tc>
      </w:tr>
      <w:tr w14:paraId="50B99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6C1F61BF">
            <w:pPr>
              <w:widowControl/>
              <w:spacing w:line="400" w:lineRule="exact"/>
              <w:ind w:firstLine="0"/>
              <w:jc w:val="both"/>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二）合同履约期限</w:t>
            </w:r>
          </w:p>
        </w:tc>
        <w:tc>
          <w:tcPr>
            <w:tcW w:w="7401" w:type="dxa"/>
            <w:tcBorders>
              <w:top w:val="single" w:color="auto" w:sz="4" w:space="0"/>
              <w:left w:val="single" w:color="auto" w:sz="4" w:space="0"/>
              <w:bottom w:val="single" w:color="auto" w:sz="4" w:space="0"/>
              <w:right w:val="single" w:color="auto" w:sz="4" w:space="0"/>
            </w:tcBorders>
            <w:vAlign w:val="center"/>
          </w:tcPr>
          <w:p w14:paraId="71418CAB">
            <w:pPr>
              <w:spacing w:line="400" w:lineRule="exact"/>
              <w:ind w:firstLine="0" w:firstLineChars="0"/>
              <w:rPr>
                <w:rFonts w:ascii="宋体" w:hAnsi="宋体" w:eastAsia="宋体" w:cs="仿宋_GB2312"/>
                <w:szCs w:val="21"/>
              </w:rPr>
            </w:pPr>
            <w:r>
              <w:rPr>
                <w:rFonts w:hint="eastAsia" w:ascii="宋体" w:hAnsi="宋体" w:eastAsia="宋体" w:cs="仿宋_GB2312"/>
                <w:szCs w:val="21"/>
              </w:rPr>
              <w:t>合同签订后，接到采购人书面通知进场安装起30个日历日内安装调试完毕。</w:t>
            </w:r>
          </w:p>
        </w:tc>
      </w:tr>
      <w:tr w14:paraId="5D54F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5C0A8571">
            <w:pPr>
              <w:widowControl/>
              <w:spacing w:line="400" w:lineRule="exact"/>
              <w:jc w:val="both"/>
              <w:rPr>
                <w:rFonts w:ascii="宋体" w:hAnsi="宋体" w:eastAsia="宋体" w:cs="仿宋_GB2312"/>
                <w:szCs w:val="21"/>
              </w:rPr>
            </w:pPr>
            <w:r>
              <w:rPr>
                <w:rFonts w:hint="eastAsia" w:ascii="宋体" w:hAnsi="宋体" w:eastAsia="宋体" w:cs="仿宋_GB2312"/>
                <w:szCs w:val="21"/>
              </w:rPr>
              <w:t>▲（三）服务地点</w:t>
            </w:r>
          </w:p>
        </w:tc>
        <w:tc>
          <w:tcPr>
            <w:tcW w:w="7401" w:type="dxa"/>
            <w:tcBorders>
              <w:top w:val="single" w:color="auto" w:sz="4" w:space="0"/>
              <w:left w:val="single" w:color="auto" w:sz="4" w:space="0"/>
              <w:bottom w:val="single" w:color="auto" w:sz="4" w:space="0"/>
              <w:right w:val="single" w:color="auto" w:sz="4" w:space="0"/>
            </w:tcBorders>
            <w:vAlign w:val="center"/>
          </w:tcPr>
          <w:p w14:paraId="0497541D">
            <w:pPr>
              <w:spacing w:line="400" w:lineRule="exact"/>
              <w:ind w:firstLine="0" w:firstLineChars="0"/>
              <w:rPr>
                <w:rFonts w:ascii="宋体" w:hAnsi="宋体" w:eastAsia="宋体" w:cs="仿宋_GB2312"/>
                <w:szCs w:val="21"/>
              </w:rPr>
            </w:pPr>
            <w:r>
              <w:rPr>
                <w:rFonts w:hint="eastAsia" w:ascii="宋体" w:hAnsi="宋体" w:eastAsia="宋体" w:cs="仿宋_GB2312"/>
                <w:szCs w:val="21"/>
              </w:rPr>
              <w:t>南宁市采购人指定地点。</w:t>
            </w:r>
          </w:p>
        </w:tc>
      </w:tr>
      <w:tr w14:paraId="7EA01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7" w:type="dxa"/>
            <w:tcBorders>
              <w:top w:val="single" w:color="auto" w:sz="4" w:space="0"/>
              <w:left w:val="single" w:color="auto" w:sz="4" w:space="0"/>
              <w:bottom w:val="single" w:color="auto" w:sz="4" w:space="0"/>
              <w:right w:val="single" w:color="auto" w:sz="4" w:space="0"/>
            </w:tcBorders>
            <w:vAlign w:val="center"/>
          </w:tcPr>
          <w:p w14:paraId="66FDFF0A">
            <w:pPr>
              <w:widowControl/>
              <w:spacing w:line="400" w:lineRule="exact"/>
              <w:ind w:firstLine="0"/>
              <w:jc w:val="both"/>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（四）</w:t>
            </w:r>
            <w:r>
              <w:rPr>
                <w:rFonts w:hint="eastAsia" w:ascii="宋体" w:hAnsi="宋体" w:eastAsia="宋体" w:cs="仿宋_GB2312"/>
                <w:szCs w:val="21"/>
              </w:rPr>
              <w:t>付款方式</w:t>
            </w:r>
          </w:p>
        </w:tc>
        <w:tc>
          <w:tcPr>
            <w:tcW w:w="7401" w:type="dxa"/>
            <w:tcBorders>
              <w:top w:val="single" w:color="auto" w:sz="4" w:space="0"/>
              <w:left w:val="single" w:color="auto" w:sz="4" w:space="0"/>
              <w:bottom w:val="single" w:color="auto" w:sz="4" w:space="0"/>
              <w:right w:val="single" w:color="auto" w:sz="4" w:space="0"/>
            </w:tcBorders>
          </w:tcPr>
          <w:p w14:paraId="52B2174E">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签订合同之日起10个工作日内，招标人向中标人支付合同金额的30%作为预付款；中标人交货安装调试完毕并经招标人验收合格后，由中标人开具有效合格发票，招标人于10个工作日内向中标人支付合同金额的70%。</w:t>
            </w:r>
          </w:p>
        </w:tc>
      </w:tr>
      <w:tr w14:paraId="6F4B4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7" w:type="dxa"/>
            <w:tcBorders>
              <w:top w:val="single" w:color="auto" w:sz="4" w:space="0"/>
              <w:left w:val="single" w:color="auto" w:sz="4" w:space="0"/>
              <w:bottom w:val="single" w:color="auto" w:sz="4" w:space="0"/>
              <w:right w:val="single" w:color="auto" w:sz="4" w:space="0"/>
            </w:tcBorders>
            <w:vAlign w:val="center"/>
          </w:tcPr>
          <w:p w14:paraId="309DD29F">
            <w:pPr>
              <w:widowControl/>
              <w:spacing w:line="400" w:lineRule="exact"/>
              <w:ind w:firstLine="0"/>
              <w:jc w:val="both"/>
              <w:rPr>
                <w:rFonts w:ascii="宋体" w:hAnsi="宋体" w:eastAsia="宋体" w:cs="仿宋_GB2312"/>
                <w:b/>
                <w:szCs w:val="21"/>
              </w:rPr>
            </w:pPr>
            <w:r>
              <w:rPr>
                <w:rFonts w:hint="eastAsia" w:ascii="宋体" w:hAnsi="宋体" w:eastAsia="宋体" w:cs="仿宋_GB2312"/>
                <w:b/>
                <w:szCs w:val="21"/>
              </w:rPr>
              <w:t>▲</w:t>
            </w:r>
            <w:r>
              <w:rPr>
                <w:rFonts w:hint="eastAsia" w:ascii="宋体" w:hAnsi="宋体" w:eastAsia="宋体" w:cs="仿宋_GB2312"/>
                <w:bCs/>
                <w:szCs w:val="21"/>
              </w:rPr>
              <w:t>（五）履约保证金</w:t>
            </w:r>
          </w:p>
        </w:tc>
        <w:tc>
          <w:tcPr>
            <w:tcW w:w="7401" w:type="dxa"/>
            <w:tcBorders>
              <w:top w:val="single" w:color="auto" w:sz="4" w:space="0"/>
              <w:left w:val="single" w:color="auto" w:sz="4" w:space="0"/>
              <w:bottom w:val="single" w:color="auto" w:sz="4" w:space="0"/>
              <w:right w:val="single" w:color="auto" w:sz="4" w:space="0"/>
            </w:tcBorders>
          </w:tcPr>
          <w:p w14:paraId="2901580B">
            <w:pPr>
              <w:spacing w:line="400" w:lineRule="exact"/>
              <w:ind w:firstLine="0" w:firstLineChars="0"/>
              <w:rPr>
                <w:rFonts w:ascii="宋体" w:hAnsi="宋体" w:eastAsia="宋体" w:cs="仿宋_GB2312"/>
                <w:szCs w:val="21"/>
              </w:rPr>
            </w:pPr>
            <w:r>
              <w:rPr>
                <w:rFonts w:hint="eastAsia" w:ascii="宋体" w:hAnsi="宋体" w:eastAsia="宋体" w:cs="仿宋_GB2312"/>
                <w:szCs w:val="21"/>
              </w:rPr>
              <w:t>1.履约保证金金额：履约保证金按合同金额的5%缴纳（如中标供应商为中小企业，按照合同金额的2%收取履约保证金），自中标通知书发出后、签订合同前，中标供应商应将履约保证金缴纳至采购人指定账户，逾期未缴纳的，视为中标供应商放弃中标资格，应赔偿采购人损失。</w:t>
            </w:r>
          </w:p>
          <w:p w14:paraId="011BD07F">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hint="eastAsia" w:ascii="宋体" w:hAnsi="宋体" w:eastAsia="宋体" w:cs="仿宋_GB2312"/>
                <w:iCs/>
                <w:szCs w:val="21"/>
              </w:rPr>
              <w:t>履约保证金递交方式：中标人在签订合同前以银行转账、支票、汇票、本票或者金融机构、担保机构出具的保函等非现金方式向采购人提交。</w:t>
            </w:r>
          </w:p>
          <w:p w14:paraId="6106AC34">
            <w:pPr>
              <w:spacing w:line="400" w:lineRule="exact"/>
              <w:ind w:firstLine="0" w:firstLineChars="0"/>
              <w:rPr>
                <w:rFonts w:ascii="宋体" w:hAnsi="宋体" w:eastAsia="宋体" w:cs="仿宋_GB2312"/>
                <w:szCs w:val="21"/>
              </w:rPr>
            </w:pPr>
            <w:r>
              <w:rPr>
                <w:rFonts w:hint="eastAsia" w:ascii="宋体" w:hAnsi="宋体" w:eastAsia="宋体" w:cs="仿宋_GB2312"/>
                <w:szCs w:val="21"/>
              </w:rPr>
              <w:t>3.履约保证金退付方式、时间及条件： 本项目合同履约期限满，中标人履行完服务义务且无违约情况下无息退付。由中标人向履约保证金收取单位提供《广西壮族自治区政府采购项目合同验收书》（详见桂财采〔2015〕22号），采购人在收到合格材料后10个工作日内办理退还手续（不计利息）。</w:t>
            </w:r>
          </w:p>
          <w:p w14:paraId="4EDBA5EC">
            <w:pPr>
              <w:spacing w:line="400" w:lineRule="exact"/>
              <w:ind w:firstLine="0" w:firstLineChars="0"/>
              <w:rPr>
                <w:rFonts w:ascii="宋体" w:hAnsi="宋体" w:eastAsia="宋体" w:cs="仿宋_GB2312"/>
                <w:szCs w:val="21"/>
              </w:rPr>
            </w:pPr>
            <w:r>
              <w:rPr>
                <w:rFonts w:hint="eastAsia" w:ascii="宋体" w:hAnsi="宋体" w:eastAsia="宋体" w:cs="仿宋_GB2312"/>
                <w:szCs w:val="21"/>
              </w:rPr>
              <w:t>4.履约保证金缴纳账号信息：</w:t>
            </w:r>
          </w:p>
          <w:p w14:paraId="24019679">
            <w:pPr>
              <w:spacing w:line="400" w:lineRule="exact"/>
              <w:ind w:firstLine="0" w:firstLineChars="0"/>
              <w:rPr>
                <w:rFonts w:ascii="宋体" w:hAnsi="宋体" w:eastAsia="宋体" w:cs="仿宋_GB2312"/>
                <w:szCs w:val="21"/>
              </w:rPr>
            </w:pPr>
            <w:r>
              <w:rPr>
                <w:rFonts w:hint="eastAsia" w:ascii="宋体" w:hAnsi="宋体" w:eastAsia="宋体" w:cs="仿宋_GB2312"/>
                <w:szCs w:val="21"/>
              </w:rPr>
              <w:t xml:space="preserve">开户名称：广西交通职业技术学院 </w:t>
            </w:r>
          </w:p>
          <w:p w14:paraId="6160F0CC">
            <w:pPr>
              <w:spacing w:line="400" w:lineRule="exact"/>
              <w:ind w:firstLine="0" w:firstLineChars="0"/>
              <w:rPr>
                <w:rFonts w:ascii="宋体" w:hAnsi="宋体" w:eastAsia="宋体" w:cs="仿宋_GB2312"/>
                <w:szCs w:val="21"/>
              </w:rPr>
            </w:pPr>
            <w:r>
              <w:rPr>
                <w:rFonts w:hint="eastAsia" w:ascii="宋体" w:hAnsi="宋体" w:eastAsia="宋体" w:cs="仿宋_GB2312"/>
                <w:szCs w:val="21"/>
              </w:rPr>
              <w:t>开户银行：中国建设银行股份有限公司南宁园湖北路支行</w:t>
            </w:r>
          </w:p>
          <w:p w14:paraId="52B5C7C3">
            <w:pPr>
              <w:spacing w:line="400" w:lineRule="exact"/>
              <w:ind w:firstLine="0" w:firstLineChars="0"/>
              <w:rPr>
                <w:rFonts w:ascii="宋体" w:hAnsi="宋体" w:eastAsia="宋体" w:cs="仿宋_GB2312"/>
                <w:szCs w:val="21"/>
              </w:rPr>
            </w:pPr>
            <w:r>
              <w:rPr>
                <w:rFonts w:hint="eastAsia" w:ascii="宋体" w:hAnsi="宋体" w:eastAsia="宋体" w:cs="仿宋_GB2312"/>
                <w:szCs w:val="21"/>
              </w:rPr>
              <w:t>银行账号： 45050160435309888999</w:t>
            </w:r>
          </w:p>
        </w:tc>
      </w:tr>
      <w:tr w14:paraId="260384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7" w:type="dxa"/>
            <w:tcBorders>
              <w:top w:val="single" w:color="auto" w:sz="4" w:space="0"/>
              <w:left w:val="single" w:color="auto" w:sz="4" w:space="0"/>
              <w:bottom w:val="single" w:color="auto" w:sz="4" w:space="0"/>
              <w:right w:val="single" w:color="auto" w:sz="4" w:space="0"/>
            </w:tcBorders>
            <w:vAlign w:val="center"/>
          </w:tcPr>
          <w:p w14:paraId="6708938B">
            <w:pPr>
              <w:widowControl/>
              <w:spacing w:line="400" w:lineRule="exact"/>
              <w:jc w:val="center"/>
              <w:rPr>
                <w:rFonts w:ascii="宋体" w:hAnsi="宋体" w:eastAsia="宋体" w:cs="仿宋_GB2312"/>
                <w:szCs w:val="21"/>
              </w:rPr>
            </w:pPr>
            <w:r>
              <w:rPr>
                <w:rFonts w:hint="eastAsia" w:ascii="宋体" w:hAnsi="宋体" w:eastAsia="宋体" w:cs="仿宋_GB2312"/>
                <w:szCs w:val="21"/>
              </w:rPr>
              <w:t>▲（六）验收方法及要求</w:t>
            </w:r>
          </w:p>
        </w:tc>
        <w:tc>
          <w:tcPr>
            <w:tcW w:w="7401" w:type="dxa"/>
            <w:tcBorders>
              <w:top w:val="single" w:color="auto" w:sz="4" w:space="0"/>
              <w:left w:val="single" w:color="auto" w:sz="4" w:space="0"/>
              <w:bottom w:val="single" w:color="auto" w:sz="4" w:space="0"/>
              <w:right w:val="single" w:color="auto" w:sz="4" w:space="0"/>
            </w:tcBorders>
          </w:tcPr>
          <w:p w14:paraId="37B1BC66">
            <w:pPr>
              <w:spacing w:line="400" w:lineRule="exact"/>
              <w:ind w:firstLine="0" w:firstLineChars="0"/>
              <w:rPr>
                <w:rFonts w:ascii="宋体" w:hAnsi="宋体" w:eastAsia="宋体" w:cs="仿宋_GB2312"/>
                <w:szCs w:val="21"/>
              </w:rPr>
            </w:pPr>
            <w:r>
              <w:rPr>
                <w:rFonts w:hint="eastAsia" w:ascii="宋体" w:hAnsi="宋体" w:eastAsia="宋体" w:cs="仿宋_GB2312"/>
                <w:szCs w:val="21"/>
              </w:rPr>
              <w:t>1.验收标准、规范：按照《财政部关于进一步加强政府采购需求和履约验收管理的指导意见》（财库〔2016〕205号）、《关于印发广西壮族自治区政府采购项目履约验收管理办法的通知》（桂财采〔2015〕22号）等有关规定执行，并符合相关国家标准、行业标准、地方标准或其他强制性标准及规范、投标文件承诺及招标文件要求。</w:t>
            </w:r>
          </w:p>
          <w:p w14:paraId="61EBFF4E">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ascii="宋体" w:hAnsi="宋体" w:eastAsia="宋体" w:cs="仿宋_GB2312"/>
                <w:szCs w:val="21"/>
              </w:rPr>
              <w:t>中标人按要求完成交付后，应以书面形式正式向采购人递交验收申请书，采购人收到验收申请书后，按照采购人单位规定流程组织项目验收，验收过程中所产生的一切费用均由成交供应商承担，报价时应考虑相关费用。</w:t>
            </w:r>
          </w:p>
          <w:p w14:paraId="4E34A901">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货物验收时由采购人对照采购文件的《技术参数及性能（配置）要求》进行全面核对检验，对所有要求出具的文件和材料的原件进行核查，如不符合采购文件要求或提供虚假承诺的，虚假检测报告等虚假材料的，采购人有权拒绝验收并认定中标人违约，采购人有权单方解除合同，中标人承担所有责任和费用，采购人保留进一步追究责任的权利。</w:t>
            </w:r>
          </w:p>
          <w:p w14:paraId="19F13230">
            <w:pPr>
              <w:spacing w:line="400" w:lineRule="exact"/>
              <w:ind w:firstLine="0" w:firstLineChars="0"/>
              <w:rPr>
                <w:rFonts w:ascii="宋体" w:hAnsi="宋体" w:eastAsia="宋体" w:cs="仿宋_GB2312"/>
                <w:szCs w:val="21"/>
              </w:rPr>
            </w:pPr>
            <w:r>
              <w:rPr>
                <w:rFonts w:hint="eastAsia" w:ascii="宋体" w:hAnsi="宋体" w:eastAsia="宋体" w:cs="仿宋_GB2312"/>
                <w:szCs w:val="21"/>
              </w:rPr>
              <w:t>4</w:t>
            </w:r>
            <w:r>
              <w:rPr>
                <w:rFonts w:ascii="宋体" w:hAnsi="宋体" w:eastAsia="宋体" w:cs="仿宋_GB2312"/>
                <w:szCs w:val="21"/>
              </w:rPr>
              <w:t>.验收按项目要求及技术需求进行验收，包括但不限于全部设备、产品、型号、规格、数量、外型、外观、包装及资料、文件（如装箱单、保修单、随箱介质等）/各项服务等里程碑的交付物，所有产品在验收时应当符合国家法律法规，执行国家相关标准、行业标准，地方标准及招标文件中要求符合的技术标准。当成交供应商未能满足以下全部要求时，属于验收不合格：</w:t>
            </w:r>
          </w:p>
          <w:p w14:paraId="66D52871">
            <w:pPr>
              <w:spacing w:line="400" w:lineRule="exact"/>
              <w:ind w:firstLine="0" w:firstLineChars="0"/>
              <w:rPr>
                <w:rFonts w:ascii="宋体" w:hAnsi="宋体" w:eastAsia="宋体" w:cs="仿宋_GB2312"/>
                <w:szCs w:val="21"/>
              </w:rPr>
            </w:pPr>
            <w:r>
              <w:rPr>
                <w:rFonts w:ascii="宋体" w:hAnsi="宋体" w:eastAsia="宋体" w:cs="仿宋_GB2312"/>
                <w:szCs w:val="21"/>
              </w:rPr>
              <w:t>（1）按照合同规定提供了全部产品及完整的技术资料。</w:t>
            </w:r>
          </w:p>
          <w:p w14:paraId="6332A02E">
            <w:pPr>
              <w:spacing w:line="400" w:lineRule="exact"/>
              <w:ind w:firstLine="0" w:firstLineChars="0"/>
              <w:rPr>
                <w:rFonts w:ascii="宋体" w:hAnsi="宋体" w:eastAsia="宋体" w:cs="仿宋_GB2312"/>
                <w:szCs w:val="21"/>
              </w:rPr>
            </w:pPr>
            <w:r>
              <w:rPr>
                <w:rFonts w:ascii="宋体" w:hAnsi="宋体" w:eastAsia="宋体" w:cs="仿宋_GB2312"/>
                <w:szCs w:val="21"/>
              </w:rPr>
              <w:t>（2）货物各项参数完全符合《主要技术参数及性能（配置）要求》的要求，性能满足要求，所有系统按要求完成安装调试，正常运行，仿真系统整体运行正常。</w:t>
            </w:r>
          </w:p>
          <w:p w14:paraId="01656945">
            <w:pPr>
              <w:spacing w:line="400" w:lineRule="exact"/>
              <w:ind w:firstLine="0" w:firstLineChars="0"/>
              <w:rPr>
                <w:rFonts w:ascii="宋体" w:hAnsi="宋体" w:eastAsia="宋体" w:cs="仿宋_GB2312"/>
                <w:szCs w:val="21"/>
              </w:rPr>
            </w:pPr>
            <w:r>
              <w:rPr>
                <w:rFonts w:hint="eastAsia" w:ascii="宋体" w:hAnsi="宋体" w:eastAsia="宋体" w:cs="仿宋_GB2312"/>
                <w:szCs w:val="21"/>
              </w:rPr>
              <w:t>5</w:t>
            </w:r>
            <w:r>
              <w:rPr>
                <w:rFonts w:ascii="宋体" w:hAnsi="宋体" w:eastAsia="宋体" w:cs="仿宋_GB2312"/>
                <w:szCs w:val="21"/>
              </w:rPr>
              <w:t>.验收不合格时，采购人有权责令成交供应商限期整改，或有权拒绝验收并解除合同，相关损失与责任由成交供应商承担，采购人保留进一步追究成交供应商违约责任的权利。如存在争议，双方均有权向相关部门申请鉴定，鉴定费由中标人承担。</w:t>
            </w:r>
          </w:p>
          <w:p w14:paraId="5C71C566">
            <w:pPr>
              <w:spacing w:line="400" w:lineRule="exact"/>
              <w:ind w:firstLine="0" w:firstLineChars="0"/>
              <w:rPr>
                <w:rFonts w:ascii="宋体" w:hAnsi="宋体" w:eastAsia="宋体" w:cs="仿宋_GB2312"/>
                <w:szCs w:val="21"/>
              </w:rPr>
            </w:pPr>
            <w:r>
              <w:rPr>
                <w:rFonts w:hint="eastAsia" w:ascii="宋体" w:hAnsi="宋体" w:eastAsia="宋体" w:cs="仿宋_GB2312"/>
                <w:szCs w:val="21"/>
              </w:rPr>
              <w:t>6</w:t>
            </w:r>
            <w:r>
              <w:rPr>
                <w:rFonts w:ascii="宋体" w:hAnsi="宋体" w:eastAsia="宋体" w:cs="仿宋_GB2312"/>
                <w:szCs w:val="21"/>
              </w:rPr>
              <w:t>.在验收过程中发现中标人有违约问题，暂缓资金结算，待违约问题解决后，方可办理资金结算事宜，在此期间，采购人不承担逾期付款责任。</w:t>
            </w:r>
          </w:p>
        </w:tc>
      </w:tr>
      <w:tr w14:paraId="67F9E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7" w:type="dxa"/>
            <w:tcBorders>
              <w:top w:val="single" w:color="auto" w:sz="4" w:space="0"/>
              <w:left w:val="single" w:color="auto" w:sz="4" w:space="0"/>
              <w:bottom w:val="single" w:color="auto" w:sz="4" w:space="0"/>
              <w:right w:val="single" w:color="auto" w:sz="4" w:space="0"/>
            </w:tcBorders>
            <w:vAlign w:val="center"/>
          </w:tcPr>
          <w:p w14:paraId="497981B6">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（七）</w:t>
            </w:r>
            <w:r>
              <w:rPr>
                <w:rFonts w:hint="eastAsia" w:ascii="宋体" w:hAnsi="宋体" w:eastAsia="宋体" w:cs="仿宋_GB2312"/>
                <w:szCs w:val="21"/>
              </w:rPr>
              <w:t>售后服务要求</w:t>
            </w:r>
          </w:p>
        </w:tc>
        <w:tc>
          <w:tcPr>
            <w:tcW w:w="7401" w:type="dxa"/>
            <w:tcBorders>
              <w:top w:val="single" w:color="auto" w:sz="4" w:space="0"/>
              <w:left w:val="single" w:color="auto" w:sz="4" w:space="0"/>
              <w:bottom w:val="single" w:color="auto" w:sz="4" w:space="0"/>
              <w:right w:val="single" w:color="auto" w:sz="4" w:space="0"/>
            </w:tcBorders>
          </w:tcPr>
          <w:p w14:paraId="681F3BD9">
            <w:pPr>
              <w:spacing w:line="400" w:lineRule="exact"/>
              <w:ind w:firstLine="0" w:firstLineChars="0"/>
              <w:rPr>
                <w:rFonts w:ascii="宋体" w:hAnsi="宋体" w:eastAsia="宋体" w:cs="仿宋_GB2312"/>
                <w:szCs w:val="21"/>
              </w:rPr>
            </w:pPr>
            <w:r>
              <w:rPr>
                <w:rFonts w:hint="eastAsia" w:ascii="宋体" w:hAnsi="宋体" w:eastAsia="宋体" w:cs="仿宋_GB2312"/>
                <w:szCs w:val="21"/>
              </w:rPr>
              <w:t>1.按国家有关产品“三包”规定执行“三包”，质保期自货物验收合格之日起计算，硬件产品质保期不少于1年，软件（系统）产品质保期不少于3年。（“技术参数要求”中有特殊要求除外，若产品生产厂家质保期超过此年限的，合同履行过程中按厂家规定执行；若成交供应商质保期承诺优于产品生产厂家质保年限的，以成交供应商承诺执行）。</w:t>
            </w:r>
            <w:r>
              <w:rPr>
                <w:rFonts w:hint="eastAsia"/>
              </w:rPr>
              <w:t>建筑外围护智能监测检测飞机</w:t>
            </w:r>
            <w:r>
              <w:rPr>
                <w:rFonts w:hint="eastAsia" w:ascii="宋体" w:hAnsi="宋体" w:eastAsia="宋体" w:cs="仿宋_GB2312"/>
                <w:szCs w:val="21"/>
              </w:rPr>
              <w:t>提供不低于一年质保，机身险及不低于20万三者险1年版1份。</w:t>
            </w:r>
          </w:p>
          <w:p w14:paraId="2962EA72">
            <w:pPr>
              <w:spacing w:line="400" w:lineRule="exact"/>
              <w:ind w:firstLine="0" w:firstLineChars="0"/>
              <w:rPr>
                <w:rFonts w:ascii="宋体" w:hAnsi="宋体" w:eastAsia="宋体" w:cs="仿宋_GB2312"/>
                <w:szCs w:val="21"/>
              </w:rPr>
            </w:pPr>
            <w:r>
              <w:rPr>
                <w:rFonts w:hint="eastAsia" w:ascii="宋体" w:hAnsi="宋体" w:eastAsia="宋体" w:cs="仿宋_GB2312"/>
                <w:szCs w:val="21"/>
              </w:rPr>
              <w:t>2.成交供应商负责送货上门安装、调试，成交供应商须到采购人指定的现场安装、调试设备，提供完善的现场操作、设备使用、操作及维护培训；</w:t>
            </w:r>
          </w:p>
          <w:p w14:paraId="5C787629">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3.质保期内负责定期回访、上门服务、维修、更换损坏的设备和配件及对产品进行维护和保养、货物质量事故和质量缺陷由成交供应商无偿保修，提供终身维修；</w:t>
            </w:r>
          </w:p>
          <w:p w14:paraId="011A8EA4">
            <w:pPr>
              <w:spacing w:line="400" w:lineRule="exact"/>
              <w:ind w:firstLine="0" w:firstLineChars="0"/>
              <w:rPr>
                <w:rFonts w:ascii="宋体" w:hAnsi="宋体" w:eastAsia="宋体" w:cs="仿宋_GB2312"/>
                <w:szCs w:val="21"/>
              </w:rPr>
            </w:pPr>
            <w:r>
              <w:rPr>
                <w:rFonts w:hint="eastAsia" w:ascii="宋体" w:hAnsi="宋体" w:eastAsia="宋体" w:cs="仿宋_GB2312"/>
                <w:szCs w:val="21"/>
              </w:rPr>
              <w:t>4.在成交供应商承诺的质保期内，设备保修包换所需要的配件均是原厂原装，不得使用兼容货物；</w:t>
            </w:r>
          </w:p>
          <w:p w14:paraId="4394FC6E">
            <w:pPr>
              <w:spacing w:line="400" w:lineRule="exact"/>
              <w:ind w:firstLine="0" w:firstLineChars="0"/>
              <w:rPr>
                <w:rFonts w:ascii="宋体" w:hAnsi="宋体" w:eastAsia="宋体" w:cs="仿宋_GB2312"/>
                <w:szCs w:val="21"/>
              </w:rPr>
            </w:pPr>
            <w:r>
              <w:rPr>
                <w:rFonts w:hint="eastAsia" w:ascii="宋体" w:hAnsi="宋体" w:eastAsia="宋体" w:cs="仿宋_GB2312"/>
                <w:szCs w:val="21"/>
              </w:rPr>
              <w:t>5.成交供应商在质保期内应当为采购人提供以下技术支持和服务：</w:t>
            </w:r>
          </w:p>
          <w:p w14:paraId="6B451649">
            <w:pPr>
              <w:spacing w:line="400" w:lineRule="exact"/>
              <w:ind w:firstLine="0" w:firstLineChars="0"/>
              <w:rPr>
                <w:rFonts w:ascii="宋体" w:hAnsi="宋体" w:eastAsia="宋体" w:cs="仿宋_GB2312"/>
                <w:szCs w:val="21"/>
              </w:rPr>
            </w:pPr>
            <w:r>
              <w:rPr>
                <w:rFonts w:hint="eastAsia" w:ascii="宋体" w:hAnsi="宋体" w:eastAsia="宋体" w:cs="仿宋_GB2312"/>
                <w:szCs w:val="21"/>
              </w:rPr>
              <w:t>提供7×24小时咨询服务，对于设备在使用过程中出现的问题，服务响应时间为30分钟内，故障解决时间不得超过48小时，紧急情况下赶到现场不应超过12小时。若48小时内（紧急情况下赶到现场不应超过12小时内）无法排除故障的，则应提供相应的备用设备以保证采购人的正常使用，上述售后服务费用已包含在合同总价中。</w:t>
            </w:r>
          </w:p>
          <w:p w14:paraId="1335A187">
            <w:pPr>
              <w:spacing w:line="400" w:lineRule="exact"/>
              <w:ind w:firstLine="0" w:firstLineChars="0"/>
              <w:rPr>
                <w:rFonts w:ascii="宋体" w:hAnsi="宋体" w:eastAsia="宋体" w:cs="仿宋_GB2312"/>
                <w:szCs w:val="21"/>
              </w:rPr>
            </w:pPr>
            <w:r>
              <w:rPr>
                <w:rFonts w:hint="eastAsia" w:ascii="宋体" w:hAnsi="宋体" w:eastAsia="宋体" w:cs="仿宋_GB2312"/>
                <w:szCs w:val="21"/>
              </w:rPr>
              <w:t>6.质保期外服务要求</w:t>
            </w:r>
          </w:p>
          <w:p w14:paraId="3FB3ED6D">
            <w:pPr>
              <w:spacing w:line="400" w:lineRule="exact"/>
              <w:ind w:firstLine="0" w:firstLineChars="0"/>
              <w:rPr>
                <w:rFonts w:ascii="宋体" w:hAnsi="宋体" w:eastAsia="宋体" w:cs="仿宋_GB2312"/>
                <w:szCs w:val="21"/>
              </w:rPr>
            </w:pPr>
            <w:r>
              <w:rPr>
                <w:rFonts w:hint="eastAsia" w:ascii="宋体" w:hAnsi="宋体" w:eastAsia="宋体" w:cs="仿宋_GB2312"/>
                <w:szCs w:val="21"/>
              </w:rPr>
              <w:t>软件（系统）质保期后不影响系统正常使用，硬件损坏只收取硬件费用。</w:t>
            </w:r>
          </w:p>
          <w:p w14:paraId="7B1B6C06">
            <w:pPr>
              <w:spacing w:line="400" w:lineRule="exact"/>
              <w:ind w:firstLine="0" w:firstLineChars="0"/>
              <w:rPr>
                <w:rFonts w:ascii="宋体" w:hAnsi="宋体" w:eastAsia="宋体" w:cs="仿宋_GB2312"/>
                <w:szCs w:val="21"/>
              </w:rPr>
            </w:pPr>
            <w:r>
              <w:rPr>
                <w:rFonts w:hint="eastAsia" w:ascii="宋体" w:hAnsi="宋体" w:eastAsia="宋体" w:cs="仿宋_GB2312"/>
                <w:szCs w:val="21"/>
              </w:rPr>
              <w:t>7.备品备件及易损件</w:t>
            </w:r>
          </w:p>
          <w:p w14:paraId="76FA9CE7">
            <w:pPr>
              <w:spacing w:line="400" w:lineRule="exact"/>
              <w:ind w:firstLine="0" w:firstLineChars="0"/>
              <w:rPr>
                <w:rFonts w:ascii="宋体" w:hAnsi="宋体" w:eastAsia="宋体" w:cs="仿宋_GB2312"/>
                <w:szCs w:val="21"/>
              </w:rPr>
            </w:pPr>
            <w:r>
              <w:rPr>
                <w:rFonts w:hint="eastAsia" w:ascii="宋体" w:hAnsi="宋体" w:eastAsia="宋体" w:cs="仿宋_GB2312"/>
                <w:szCs w:val="21"/>
              </w:rPr>
              <w:t>成交供应商售后服务中，维修使用的备品备件及易损件应为原厂配件，未经采购人同意不得使用非原厂配件；</w:t>
            </w:r>
          </w:p>
          <w:p w14:paraId="1E64FB18">
            <w:pPr>
              <w:spacing w:line="400" w:lineRule="exact"/>
              <w:ind w:firstLine="0" w:firstLineChars="0"/>
              <w:rPr>
                <w:rFonts w:ascii="宋体" w:hAnsi="宋体" w:eastAsia="宋体" w:cs="仿宋_GB2312"/>
                <w:szCs w:val="21"/>
              </w:rPr>
            </w:pPr>
            <w:r>
              <w:rPr>
                <w:rFonts w:hint="eastAsia" w:ascii="宋体" w:hAnsi="宋体" w:eastAsia="宋体" w:cs="仿宋_GB2312"/>
                <w:szCs w:val="21"/>
              </w:rPr>
              <w:t>8.质保期内由于设备本身质量原因造成的任何损伤或损坏或因包装、运输不当引起的设备外观或内部的损坏及错发、漏发的情况，成交供应商负责修理或补发、更换，直到达到性能要求，不再收取任何费用。如果成交供应商在接到通知后没有更换有缺陷的产品，所造成的损失由成交供应商承担。</w:t>
            </w:r>
          </w:p>
        </w:tc>
      </w:tr>
      <w:tr w14:paraId="2A882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3B420A77">
            <w:pPr>
              <w:widowControl/>
              <w:spacing w:line="400" w:lineRule="exact"/>
              <w:jc w:val="center"/>
              <w:rPr>
                <w:rFonts w:ascii="宋体" w:hAnsi="宋体" w:eastAsia="宋体" w:cs="仿宋_GB2312"/>
                <w:szCs w:val="21"/>
              </w:rPr>
            </w:pPr>
            <w:r>
              <w:rPr>
                <w:rFonts w:hint="eastAsia" w:ascii="宋体" w:hAnsi="宋体" w:eastAsia="宋体" w:cs="仿宋_GB2312"/>
                <w:szCs w:val="21"/>
              </w:rPr>
              <w:t>▲（八）投标报价要求</w:t>
            </w:r>
          </w:p>
        </w:tc>
        <w:tc>
          <w:tcPr>
            <w:tcW w:w="7401" w:type="dxa"/>
            <w:tcBorders>
              <w:top w:val="single" w:color="auto" w:sz="4" w:space="0"/>
              <w:left w:val="single" w:color="auto" w:sz="4" w:space="0"/>
              <w:bottom w:val="single" w:color="auto" w:sz="4" w:space="0"/>
              <w:right w:val="single" w:color="auto" w:sz="4" w:space="0"/>
            </w:tcBorders>
          </w:tcPr>
          <w:p w14:paraId="0A38168A">
            <w:pPr>
              <w:spacing w:line="400" w:lineRule="exact"/>
              <w:ind w:firstLine="0" w:firstLineChars="0"/>
              <w:rPr>
                <w:rFonts w:ascii="宋体" w:hAnsi="宋体" w:eastAsia="宋体" w:cs="Times New Roman"/>
                <w:bCs/>
                <w:szCs w:val="21"/>
              </w:rPr>
            </w:pPr>
            <w:r>
              <w:rPr>
                <w:rFonts w:hint="eastAsia" w:ascii="宋体" w:hAnsi="宋体" w:eastAsia="宋体" w:cs="仿宋_GB2312"/>
                <w:szCs w:val="21"/>
              </w:rPr>
              <w:t>1.投标总报价</w:t>
            </w:r>
            <w:r>
              <w:rPr>
                <w:rFonts w:ascii="宋体" w:hAnsi="宋体" w:eastAsia="宋体" w:cs="Times New Roman"/>
                <w:bCs/>
                <w:szCs w:val="21"/>
              </w:rPr>
              <w:t>为完成采购人全部</w:t>
            </w:r>
            <w:r>
              <w:rPr>
                <w:rFonts w:hint="eastAsia" w:ascii="宋体" w:hAnsi="宋体" w:eastAsia="宋体" w:cs="Times New Roman"/>
                <w:bCs/>
                <w:szCs w:val="21"/>
              </w:rPr>
              <w:t>采购</w:t>
            </w:r>
            <w:r>
              <w:rPr>
                <w:rFonts w:ascii="宋体" w:hAnsi="宋体" w:eastAsia="宋体" w:cs="Times New Roman"/>
                <w:bCs/>
                <w:szCs w:val="21"/>
              </w:rPr>
              <w:t>内容的报价，即履行合同的最终价格，包括</w:t>
            </w:r>
            <w:r>
              <w:rPr>
                <w:rFonts w:hint="eastAsia" w:ascii="宋体" w:hAnsi="宋体" w:eastAsia="宋体" w:cs="Times New Roman"/>
                <w:bCs/>
                <w:szCs w:val="21"/>
              </w:rPr>
              <w:t>中标人</w:t>
            </w:r>
            <w:r>
              <w:rPr>
                <w:rFonts w:ascii="宋体" w:hAnsi="宋体" w:eastAsia="宋体" w:cs="Times New Roman"/>
                <w:bCs/>
                <w:szCs w:val="21"/>
              </w:rPr>
              <w:t>完成本项目所需的一切工作内容而发生的所有费用</w:t>
            </w:r>
            <w:r>
              <w:rPr>
                <w:rFonts w:hint="eastAsia" w:ascii="宋体" w:hAnsi="宋体" w:eastAsia="宋体" w:cs="Times New Roman"/>
                <w:bCs/>
                <w:szCs w:val="21"/>
              </w:rPr>
              <w:t>包括但不限于：</w:t>
            </w:r>
          </w:p>
          <w:p w14:paraId="07520440">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（1）货物及标准附件、备品备件、专用工具的价格；</w:t>
            </w:r>
          </w:p>
          <w:p w14:paraId="048E5017">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（2）人工、运输、装卸、安装、验收、技术支持、技术服务及培训、售后服务、清洁卫生费、垃圾清运费、保险、税金、其他所有成本费用，以及合同明示或暗示的所有责任、义务和一般风险等一切费用。</w:t>
            </w:r>
          </w:p>
          <w:p w14:paraId="63ABF26D">
            <w:pPr>
              <w:spacing w:line="400" w:lineRule="exact"/>
              <w:ind w:firstLine="0" w:firstLineChars="0"/>
              <w:rPr>
                <w:rFonts w:ascii="宋体" w:hAnsi="宋体" w:eastAsia="宋体" w:cs="仿宋_GB2312"/>
                <w:szCs w:val="21"/>
              </w:rPr>
            </w:pPr>
            <w:r>
              <w:rPr>
                <w:rFonts w:hint="eastAsia" w:ascii="宋体" w:hAnsi="宋体" w:eastAsia="宋体" w:cs="仿宋_GB2312"/>
                <w:szCs w:val="21"/>
              </w:rPr>
              <w:t>2.投标总报价不得高于本标项的最高限价。</w:t>
            </w:r>
          </w:p>
          <w:p w14:paraId="4E8BA1DC">
            <w:pPr>
              <w:spacing w:line="400" w:lineRule="exact"/>
              <w:ind w:firstLine="0" w:firstLineChars="0"/>
              <w:rPr>
                <w:rFonts w:ascii="宋体" w:hAnsi="宋体" w:eastAsia="宋体" w:cs="仿宋_GB2312"/>
                <w:szCs w:val="21"/>
              </w:rPr>
            </w:pPr>
            <w:r>
              <w:rPr>
                <w:rFonts w:hint="eastAsia" w:ascii="宋体" w:hAnsi="宋体" w:eastAsia="宋体" w:cs="仿宋_GB2312"/>
                <w:szCs w:val="21"/>
              </w:rPr>
              <w:t>3.本项目涉及所有资金往来的币种为人民币。</w:t>
            </w:r>
          </w:p>
          <w:p w14:paraId="0220CFC0">
            <w:pPr>
              <w:spacing w:line="400" w:lineRule="exact"/>
              <w:ind w:firstLine="0" w:firstLineChars="0"/>
              <w:rPr>
                <w:rFonts w:ascii="宋体" w:hAnsi="宋体" w:eastAsia="宋体" w:cs="Times New Roman"/>
                <w:szCs w:val="21"/>
              </w:rPr>
            </w:pPr>
            <w:r>
              <w:rPr>
                <w:rFonts w:hint="eastAsia" w:ascii="宋体" w:hAnsi="宋体" w:eastAsia="宋体" w:cs="仿宋_GB2312"/>
                <w:szCs w:val="21"/>
              </w:rPr>
              <w:t>4.投标人应充分考虑由于国家政策变化、自然灾害、战争等不可抗力因素造成本合同中断引起损失风险。</w:t>
            </w:r>
          </w:p>
        </w:tc>
      </w:tr>
      <w:tr w14:paraId="5C2C11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4A96F17D">
            <w:pPr>
              <w:widowControl/>
              <w:spacing w:line="400" w:lineRule="exact"/>
              <w:jc w:val="both"/>
              <w:rPr>
                <w:rFonts w:ascii="宋体" w:hAnsi="宋体" w:eastAsia="宋体" w:cs="仿宋_GB2312"/>
                <w:szCs w:val="21"/>
              </w:rPr>
            </w:pPr>
            <w:r>
              <w:rPr>
                <w:rFonts w:hint="eastAsia" w:ascii="宋体" w:hAnsi="宋体" w:eastAsia="宋体" w:cs="仿宋_GB2312"/>
                <w:szCs w:val="21"/>
              </w:rPr>
              <w:t>▲（九）其他要求</w:t>
            </w:r>
          </w:p>
        </w:tc>
        <w:tc>
          <w:tcPr>
            <w:tcW w:w="7401" w:type="dxa"/>
            <w:tcBorders>
              <w:top w:val="single" w:color="auto" w:sz="4" w:space="0"/>
              <w:left w:val="single" w:color="auto" w:sz="4" w:space="0"/>
              <w:bottom w:val="single" w:color="auto" w:sz="4" w:space="0"/>
              <w:right w:val="single" w:color="auto" w:sz="4" w:space="0"/>
            </w:tcBorders>
          </w:tcPr>
          <w:p w14:paraId="52A9F37C">
            <w:pPr>
              <w:spacing w:line="400" w:lineRule="exact"/>
              <w:ind w:firstLine="0" w:firstLineChars="0"/>
              <w:rPr>
                <w:rFonts w:ascii="宋体" w:hAnsi="宋体" w:eastAsia="宋体" w:cs="仿宋_GB2312"/>
                <w:szCs w:val="21"/>
              </w:rPr>
            </w:pPr>
            <w:r>
              <w:rPr>
                <w:rFonts w:hint="eastAsia" w:ascii="宋体" w:hAnsi="宋体" w:eastAsia="宋体" w:cs="仿宋_GB2312"/>
                <w:szCs w:val="21"/>
              </w:rPr>
              <w:t>1.投标人应保证针对本项目的服务（或货物）所涉及的知识产权和所提供的相关技术资料是合法取得，并享有完整的知识产权，不会因为采购人的使用而被责令停止使用、追偿或要求赔偿损失，如出现此情况，一切经济和法律责任均由投标人承担。</w:t>
            </w:r>
          </w:p>
          <w:p w14:paraId="29DB300F">
            <w:pPr>
              <w:spacing w:line="400" w:lineRule="exact"/>
              <w:ind w:firstLine="0" w:firstLineChars="0"/>
              <w:rPr>
                <w:rFonts w:ascii="宋体" w:hAnsi="宋体" w:eastAsia="宋体" w:cs="仿宋_GB2312"/>
                <w:szCs w:val="21"/>
              </w:rPr>
            </w:pPr>
            <w:r>
              <w:rPr>
                <w:rFonts w:hint="eastAsia" w:ascii="宋体" w:hAnsi="宋体" w:eastAsia="宋体" w:cs="仿宋_GB2312"/>
                <w:szCs w:val="21"/>
              </w:rPr>
              <w:t>2.服务成果经采购人验收通过后，所有权归采购人所有，未经采购人同意中标人不得挪作他用，不得擅自公开相关项目数据或资料文件。</w:t>
            </w:r>
          </w:p>
          <w:p w14:paraId="693E4A31">
            <w:pPr>
              <w:spacing w:line="400" w:lineRule="exact"/>
              <w:ind w:firstLine="0" w:firstLineChars="0"/>
              <w:rPr>
                <w:rFonts w:ascii="宋体" w:hAnsi="宋体" w:eastAsia="宋体" w:cs="仿宋_GB2312"/>
                <w:szCs w:val="21"/>
              </w:rPr>
            </w:pPr>
            <w:r>
              <w:rPr>
                <w:rFonts w:hint="eastAsia" w:ascii="宋体" w:hAnsi="宋体" w:eastAsia="宋体" w:cs="仿宋_GB2312"/>
                <w:szCs w:val="21"/>
              </w:rPr>
              <w:t>3.保密要求：工作人员应对本项目中接触到的采购人所有的知识产权、商业秘密、技术成果等信息负保密义务。未经采购人书面同意，不得向社会公众或第三方通过任何途径出示、泄露，不得许可使用，不得对上述信息进行复制、传播、销售；保证不向外泄漏任何相关数据，不向外泄漏任何保密的技术资料。如出现工作人员泄密事件，中标人应依法承担法律责任。</w:t>
            </w:r>
          </w:p>
          <w:p w14:paraId="73A5D979">
            <w:pPr>
              <w:spacing w:line="400" w:lineRule="exact"/>
              <w:ind w:firstLine="0" w:firstLineChars="0"/>
              <w:rPr>
                <w:rFonts w:ascii="宋体" w:hAnsi="宋体" w:eastAsia="宋体" w:cs="仿宋_GB2312"/>
                <w:szCs w:val="21"/>
              </w:rPr>
            </w:pPr>
            <w:r>
              <w:rPr>
                <w:rFonts w:hint="eastAsia" w:ascii="宋体" w:hAnsi="宋体" w:eastAsia="宋体" w:cs="仿宋_GB2312"/>
                <w:szCs w:val="21"/>
              </w:rPr>
              <w:t>4. 中标人必须服从招标人现场负责人的指挥，按指定地点进行安装；</w:t>
            </w:r>
          </w:p>
          <w:p w14:paraId="32B4401C">
            <w:pPr>
              <w:spacing w:line="400" w:lineRule="exact"/>
              <w:ind w:firstLine="0" w:firstLineChars="0"/>
              <w:rPr>
                <w:rFonts w:ascii="宋体" w:hAnsi="宋体" w:eastAsia="宋体" w:cs="仿宋_GB2312"/>
                <w:szCs w:val="21"/>
              </w:rPr>
            </w:pPr>
            <w:r>
              <w:rPr>
                <w:rFonts w:hint="eastAsia" w:ascii="宋体" w:hAnsi="宋体" w:eastAsia="宋体" w:cs="仿宋_GB2312"/>
                <w:szCs w:val="21"/>
              </w:rPr>
              <w:t>5.安装过程中的所有安全保障由中标人自行负责；</w:t>
            </w:r>
          </w:p>
          <w:p w14:paraId="40E12E9F">
            <w:pPr>
              <w:spacing w:line="400" w:lineRule="exact"/>
              <w:ind w:firstLine="0" w:firstLineChars="0"/>
              <w:rPr>
                <w:rFonts w:ascii="宋体" w:hAnsi="宋体" w:eastAsia="宋体" w:cs="仿宋_GB2312"/>
                <w:szCs w:val="21"/>
              </w:rPr>
            </w:pPr>
            <w:r>
              <w:rPr>
                <w:rFonts w:hint="eastAsia" w:ascii="宋体" w:hAnsi="宋体" w:eastAsia="宋体" w:cs="仿宋_GB2312"/>
                <w:szCs w:val="21"/>
              </w:rPr>
              <w:t>6.严格按投标产品的安装规范要求进行安装，确保安全；</w:t>
            </w:r>
          </w:p>
          <w:p w14:paraId="3932F5B7">
            <w:pPr>
              <w:spacing w:line="400" w:lineRule="exact"/>
              <w:ind w:firstLine="0" w:firstLineChars="0"/>
              <w:rPr>
                <w:rFonts w:ascii="宋体" w:hAnsi="宋体" w:eastAsia="宋体" w:cs="仿宋_GB2312"/>
                <w:szCs w:val="21"/>
              </w:rPr>
            </w:pPr>
            <w:r>
              <w:rPr>
                <w:rFonts w:hint="eastAsia" w:ascii="宋体" w:hAnsi="宋体" w:eastAsia="宋体" w:cs="仿宋_GB2312"/>
                <w:szCs w:val="21"/>
              </w:rPr>
              <w:t>7.如设备为特种设备，按照国家规定安装人员需持证上岗的，安装人员必须持证上岗安装。</w:t>
            </w:r>
          </w:p>
        </w:tc>
      </w:tr>
      <w:tr w14:paraId="60A5C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0A76B178">
            <w:pPr>
              <w:spacing w:line="400" w:lineRule="exact"/>
              <w:jc w:val="both"/>
              <w:rPr>
                <w:rFonts w:ascii="新宋体" w:hAnsi="Times New Roman" w:eastAsia="新宋体" w:cs="Times New Roman"/>
                <w:szCs w:val="21"/>
              </w:rPr>
            </w:pPr>
            <w:r>
              <w:rPr>
                <w:rFonts w:hint="eastAsia" w:ascii="宋体" w:hAnsi="宋体" w:eastAsia="宋体" w:cs="仿宋_GB2312"/>
                <w:szCs w:val="21"/>
              </w:rPr>
              <w:t>▲（十）</w:t>
            </w:r>
            <w:r>
              <w:rPr>
                <w:rFonts w:hint="eastAsia" w:ascii="新宋体" w:hAnsi="Times New Roman" w:eastAsia="新宋体" w:cs="Times New Roman"/>
                <w:szCs w:val="21"/>
              </w:rPr>
              <w:t>特殊说明</w:t>
            </w:r>
          </w:p>
        </w:tc>
        <w:tc>
          <w:tcPr>
            <w:tcW w:w="7401" w:type="dxa"/>
            <w:tcBorders>
              <w:top w:val="single" w:color="auto" w:sz="4" w:space="0"/>
              <w:left w:val="single" w:color="auto" w:sz="4" w:space="0"/>
              <w:bottom w:val="single" w:color="auto" w:sz="4" w:space="0"/>
              <w:right w:val="single" w:color="auto" w:sz="4" w:space="0"/>
            </w:tcBorders>
            <w:vAlign w:val="center"/>
          </w:tcPr>
          <w:p w14:paraId="17DB3A63">
            <w:pPr>
              <w:spacing w:line="400" w:lineRule="exact"/>
              <w:rPr>
                <w:rFonts w:ascii="宋体" w:hAnsi="宋体" w:eastAsia="宋体" w:cs="Times New Roman"/>
                <w:szCs w:val="21"/>
              </w:rPr>
            </w:pPr>
            <w:r>
              <w:rPr>
                <w:rFonts w:hint="eastAsia" w:ascii="宋体" w:hAnsi="宋体" w:eastAsia="宋体" w:cs="Times New Roman"/>
                <w:szCs w:val="21"/>
              </w:rPr>
              <w:t>本项目不接受进口产品投标，如投标人采用进口产品投标则作无效投标处理。</w:t>
            </w:r>
          </w:p>
        </w:tc>
      </w:tr>
      <w:tr w14:paraId="6290E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0AC8FB4E">
            <w:pPr>
              <w:widowControl/>
              <w:spacing w:line="400" w:lineRule="exact"/>
              <w:jc w:val="both"/>
              <w:rPr>
                <w:rFonts w:ascii="宋体" w:hAnsi="宋体" w:eastAsia="宋体" w:cs="仿宋_GB2312"/>
                <w:szCs w:val="21"/>
              </w:rPr>
            </w:pPr>
            <w:r>
              <w:rPr>
                <w:rFonts w:hint="eastAsia" w:ascii="宋体" w:hAnsi="宋体" w:eastAsia="宋体" w:cs="仿宋_GB2312"/>
                <w:szCs w:val="21"/>
              </w:rPr>
              <w:t>▲（十一）核心产品</w:t>
            </w:r>
          </w:p>
        </w:tc>
        <w:tc>
          <w:tcPr>
            <w:tcW w:w="7401" w:type="dxa"/>
            <w:tcBorders>
              <w:top w:val="single" w:color="auto" w:sz="4" w:space="0"/>
              <w:left w:val="single" w:color="auto" w:sz="4" w:space="0"/>
              <w:bottom w:val="single" w:color="auto" w:sz="4" w:space="0"/>
              <w:right w:val="single" w:color="auto" w:sz="4" w:space="0"/>
            </w:tcBorders>
          </w:tcPr>
          <w:p w14:paraId="6BDEA677">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本标项第三项产品“路面、桥梁监测检测模块”为核心产品。</w:t>
            </w:r>
          </w:p>
          <w:p w14:paraId="513ED8BF">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多家投标人提供的核心产品品牌相同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14:paraId="24D6C160">
      <w:pPr>
        <w:spacing w:before="240" w:after="60"/>
        <w:ind w:firstLine="562" w:firstLineChars="200"/>
        <w:outlineLvl w:val="2"/>
        <w:rPr>
          <w:rFonts w:ascii="宋体" w:hAnsi="宋体" w:eastAsia="宋体" w:cs="Times New Roman"/>
          <w:b/>
          <w:bCs/>
          <w:sz w:val="28"/>
          <w:szCs w:val="28"/>
        </w:rPr>
      </w:pPr>
      <w:r>
        <w:rPr>
          <w:rFonts w:hint="eastAsia" w:ascii="宋体" w:hAnsi="宋体" w:eastAsia="宋体" w:cs="Times New Roman"/>
          <w:b/>
          <w:bCs/>
          <w:sz w:val="28"/>
          <w:szCs w:val="28"/>
        </w:rPr>
        <w:br w:type="page"/>
      </w:r>
      <w:bookmarkStart w:id="52" w:name="_Toc7888"/>
      <w:r>
        <w:rPr>
          <w:rFonts w:hint="eastAsia" w:ascii="宋体" w:hAnsi="宋体" w:eastAsia="宋体" w:cs="Times New Roman"/>
          <w:b/>
          <w:bCs/>
          <w:sz w:val="28"/>
          <w:szCs w:val="28"/>
        </w:rPr>
        <w:t>三、</w:t>
      </w:r>
      <w:r>
        <w:rPr>
          <w:rFonts w:hint="eastAsia" w:ascii="宋体" w:hAnsi="宋体" w:eastAsia="宋体" w:cs="仿宋_GB2312"/>
          <w:b/>
          <w:bCs/>
          <w:sz w:val="28"/>
          <w:szCs w:val="28"/>
        </w:rPr>
        <w:t>标项三（3分标：智慧工地管理沙盘）</w:t>
      </w:r>
      <w:bookmarkEnd w:id="52"/>
    </w:p>
    <w:p w14:paraId="49F42671">
      <w:pPr>
        <w:spacing w:line="560" w:lineRule="exact"/>
        <w:ind w:firstLine="482" w:firstLineChars="200"/>
        <w:jc w:val="left"/>
        <w:outlineLvl w:val="2"/>
        <w:rPr>
          <w:rFonts w:ascii="宋体" w:hAnsi="宋体" w:eastAsia="宋体" w:cs="Times New Roman"/>
          <w:b/>
          <w:bCs/>
          <w:sz w:val="24"/>
          <w:szCs w:val="24"/>
        </w:rPr>
      </w:pPr>
      <w:bookmarkStart w:id="53" w:name="_Toc17878"/>
      <w:r>
        <w:rPr>
          <w:rFonts w:hint="eastAsia" w:ascii="宋体" w:hAnsi="宋体" w:eastAsia="宋体" w:cs="Times New Roman"/>
          <w:b/>
          <w:bCs/>
          <w:sz w:val="24"/>
          <w:szCs w:val="24"/>
        </w:rPr>
        <w:t>（一）技术要求</w:t>
      </w:r>
      <w:bookmarkEnd w:id="53"/>
    </w:p>
    <w:tbl>
      <w:tblPr>
        <w:tblStyle w:val="53"/>
        <w:tblW w:w="10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015"/>
        <w:gridCol w:w="5083"/>
        <w:gridCol w:w="540"/>
        <w:gridCol w:w="540"/>
        <w:gridCol w:w="1365"/>
        <w:gridCol w:w="1179"/>
      </w:tblGrid>
      <w:tr w14:paraId="7203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25" w:type="dxa"/>
            <w:noWrap/>
            <w:vAlign w:val="center"/>
          </w:tcPr>
          <w:p w14:paraId="7096CE1A">
            <w:pPr>
              <w:widowControl/>
              <w:ind w:firstLine="0"/>
              <w:jc w:val="center"/>
              <w:rPr>
                <w:rFonts w:ascii="宋体" w:hAnsi="宋体" w:eastAsia="宋体" w:cs="Times New Roman"/>
                <w:kern w:val="0"/>
                <w:sz w:val="22"/>
              </w:rPr>
            </w:pPr>
            <w:r>
              <w:rPr>
                <w:rFonts w:hint="eastAsia" w:ascii="宋体" w:hAnsi="宋体" w:eastAsia="宋体" w:cs="宋体"/>
                <w:kern w:val="0"/>
                <w:sz w:val="22"/>
              </w:rPr>
              <w:t>序号</w:t>
            </w:r>
          </w:p>
        </w:tc>
        <w:tc>
          <w:tcPr>
            <w:tcW w:w="1015" w:type="dxa"/>
            <w:vAlign w:val="center"/>
          </w:tcPr>
          <w:p w14:paraId="22F1DD93">
            <w:pPr>
              <w:widowControl/>
              <w:ind w:firstLine="0"/>
              <w:jc w:val="center"/>
              <w:rPr>
                <w:rFonts w:ascii="宋体" w:hAnsi="宋体" w:eastAsia="宋体" w:cs="宋体"/>
                <w:kern w:val="0"/>
                <w:sz w:val="22"/>
              </w:rPr>
            </w:pPr>
            <w:r>
              <w:rPr>
                <w:rFonts w:hint="eastAsia" w:ascii="宋体" w:hAnsi="宋体" w:eastAsia="宋体" w:cs="宋体"/>
                <w:kern w:val="0"/>
                <w:sz w:val="22"/>
              </w:rPr>
              <w:t>标的</w:t>
            </w:r>
          </w:p>
          <w:p w14:paraId="5D142494">
            <w:pPr>
              <w:widowControl/>
              <w:ind w:firstLine="0"/>
              <w:jc w:val="center"/>
              <w:rPr>
                <w:rFonts w:ascii="宋体" w:hAnsi="宋体" w:eastAsia="宋体" w:cs="Times New Roman"/>
                <w:kern w:val="0"/>
                <w:sz w:val="22"/>
              </w:rPr>
            </w:pPr>
            <w:r>
              <w:rPr>
                <w:rFonts w:hint="eastAsia" w:ascii="宋体" w:hAnsi="宋体" w:eastAsia="宋体" w:cs="宋体"/>
                <w:kern w:val="0"/>
                <w:sz w:val="22"/>
              </w:rPr>
              <w:t>名称</w:t>
            </w:r>
          </w:p>
        </w:tc>
        <w:tc>
          <w:tcPr>
            <w:tcW w:w="5083" w:type="dxa"/>
            <w:noWrap/>
            <w:vAlign w:val="center"/>
          </w:tcPr>
          <w:p w14:paraId="34B5A6E7">
            <w:pPr>
              <w:widowControl/>
              <w:ind w:firstLine="0"/>
              <w:jc w:val="center"/>
              <w:rPr>
                <w:rFonts w:ascii="宋体" w:hAnsi="宋体" w:eastAsia="宋体" w:cs="Times New Roman"/>
                <w:kern w:val="0"/>
                <w:sz w:val="22"/>
              </w:rPr>
            </w:pPr>
            <w:r>
              <w:rPr>
                <w:rFonts w:hint="eastAsia" w:ascii="宋体" w:hAnsi="宋体" w:eastAsia="宋体" w:cs="宋体"/>
                <w:kern w:val="0"/>
                <w:sz w:val="22"/>
              </w:rPr>
              <w:t>技术参数及性能（配置）要求</w:t>
            </w:r>
          </w:p>
        </w:tc>
        <w:tc>
          <w:tcPr>
            <w:tcW w:w="540" w:type="dxa"/>
            <w:noWrap/>
            <w:vAlign w:val="center"/>
          </w:tcPr>
          <w:p w14:paraId="19743068">
            <w:pPr>
              <w:widowControl/>
              <w:ind w:firstLine="0"/>
              <w:jc w:val="center"/>
              <w:rPr>
                <w:rFonts w:ascii="宋体" w:hAnsi="宋体" w:eastAsia="宋体" w:cs="Times New Roman"/>
                <w:kern w:val="0"/>
                <w:sz w:val="22"/>
              </w:rPr>
            </w:pPr>
            <w:r>
              <w:rPr>
                <w:rFonts w:hint="eastAsia" w:ascii="宋体" w:hAnsi="宋体" w:eastAsia="宋体" w:cs="宋体"/>
                <w:kern w:val="0"/>
                <w:sz w:val="22"/>
              </w:rPr>
              <w:t>数量</w:t>
            </w:r>
          </w:p>
        </w:tc>
        <w:tc>
          <w:tcPr>
            <w:tcW w:w="540" w:type="dxa"/>
            <w:noWrap/>
            <w:vAlign w:val="center"/>
          </w:tcPr>
          <w:p w14:paraId="329E21A7">
            <w:pPr>
              <w:widowControl/>
              <w:ind w:firstLine="0"/>
              <w:jc w:val="center"/>
              <w:rPr>
                <w:rFonts w:ascii="宋体" w:hAnsi="宋体" w:eastAsia="宋体" w:cs="Times New Roman"/>
                <w:kern w:val="0"/>
                <w:sz w:val="22"/>
              </w:rPr>
            </w:pPr>
            <w:r>
              <w:rPr>
                <w:rFonts w:hint="eastAsia" w:ascii="宋体" w:hAnsi="宋体" w:eastAsia="宋体" w:cs="宋体"/>
                <w:kern w:val="0"/>
                <w:sz w:val="22"/>
              </w:rPr>
              <w:t>单位</w:t>
            </w:r>
          </w:p>
        </w:tc>
        <w:tc>
          <w:tcPr>
            <w:tcW w:w="1365" w:type="dxa"/>
            <w:vAlign w:val="center"/>
          </w:tcPr>
          <w:p w14:paraId="38E2B4FB">
            <w:pPr>
              <w:widowControl/>
              <w:ind w:firstLine="0"/>
              <w:jc w:val="center"/>
              <w:rPr>
                <w:rFonts w:ascii="宋体" w:hAnsi="宋体" w:eastAsia="宋体" w:cs="Times New Roman"/>
                <w:kern w:val="0"/>
                <w:sz w:val="22"/>
              </w:rPr>
            </w:pPr>
            <w:r>
              <w:rPr>
                <w:rFonts w:hint="eastAsia" w:ascii="宋体" w:hAnsi="宋体" w:eastAsia="宋体" w:cs="宋体"/>
                <w:kern w:val="0"/>
                <w:sz w:val="22"/>
              </w:rPr>
              <w:t>预算单价金额（元）</w:t>
            </w:r>
          </w:p>
        </w:tc>
        <w:tc>
          <w:tcPr>
            <w:tcW w:w="1179" w:type="dxa"/>
            <w:vAlign w:val="center"/>
          </w:tcPr>
          <w:p w14:paraId="71384C25">
            <w:pPr>
              <w:widowControl/>
              <w:ind w:firstLine="0"/>
              <w:jc w:val="center"/>
              <w:rPr>
                <w:rFonts w:ascii="宋体" w:hAnsi="宋体" w:eastAsia="宋体" w:cs="Times New Roman"/>
                <w:kern w:val="0"/>
                <w:sz w:val="22"/>
              </w:rPr>
            </w:pPr>
            <w:r>
              <w:rPr>
                <w:rFonts w:hint="eastAsia" w:ascii="宋体" w:hAnsi="宋体" w:eastAsia="宋体" w:cs="宋体"/>
                <w:kern w:val="0"/>
                <w:sz w:val="22"/>
              </w:rPr>
              <w:t>预算金额合计（元）</w:t>
            </w:r>
          </w:p>
        </w:tc>
      </w:tr>
      <w:tr w14:paraId="3A18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625" w:type="dxa"/>
            <w:noWrap/>
            <w:vAlign w:val="center"/>
          </w:tcPr>
          <w:p w14:paraId="49AEDED2">
            <w:pPr>
              <w:widowControl/>
              <w:ind w:firstLine="0"/>
              <w:jc w:val="center"/>
              <w:rPr>
                <w:rFonts w:ascii="宋体" w:hAnsi="宋体" w:eastAsia="宋体" w:cs="Times New Roman"/>
                <w:kern w:val="0"/>
                <w:sz w:val="22"/>
              </w:rPr>
            </w:pPr>
            <w:r>
              <w:rPr>
                <w:rFonts w:hint="eastAsia" w:ascii="宋体" w:hAnsi="宋体" w:eastAsia="宋体" w:cs="宋体"/>
                <w:kern w:val="0"/>
                <w:sz w:val="22"/>
              </w:rPr>
              <w:t>1</w:t>
            </w:r>
          </w:p>
        </w:tc>
        <w:tc>
          <w:tcPr>
            <w:tcW w:w="1015" w:type="dxa"/>
            <w:noWrap/>
            <w:vAlign w:val="center"/>
          </w:tcPr>
          <w:p w14:paraId="795125DB">
            <w:pPr>
              <w:ind w:firstLine="0"/>
              <w:jc w:val="center"/>
              <w:rPr>
                <w:rFonts w:ascii="宋体" w:hAnsi="宋体" w:eastAsia="宋体" w:cs="Times New Roman"/>
                <w:kern w:val="0"/>
                <w:sz w:val="22"/>
              </w:rPr>
            </w:pPr>
            <w:r>
              <w:rPr>
                <w:rFonts w:ascii="宋体" w:hAnsi="宋体" w:eastAsia="宋体" w:cs="Times New Roman"/>
                <w:kern w:val="0"/>
                <w:sz w:val="22"/>
              </w:rPr>
              <w:t>智慧工地管理沙盘</w:t>
            </w:r>
          </w:p>
        </w:tc>
        <w:tc>
          <w:tcPr>
            <w:tcW w:w="5083" w:type="dxa"/>
            <w:noWrap/>
          </w:tcPr>
          <w:p w14:paraId="163EA089">
            <w:pPr>
              <w:jc w:val="left"/>
              <w:rPr>
                <w:rFonts w:ascii="宋体" w:hAnsi="宋体" w:eastAsia="宋体" w:cs="等线"/>
                <w:szCs w:val="21"/>
              </w:rPr>
            </w:pPr>
            <w:r>
              <w:rPr>
                <w:rFonts w:hint="eastAsia" w:ascii="宋体" w:hAnsi="宋体" w:eastAsia="宋体" w:cs="等线"/>
                <w:szCs w:val="21"/>
              </w:rPr>
              <w:t>智慧工地管理系统包括硬件部分及配套软件部分，其中硬件部分为BIM+智慧工地数字孪生管理沙盘1个、智能交互配套显示模块1个、智能建造人员管理模块1个、环境监测AIOT实训模块1个、虚实一体化塔机监测模块1个、1:1智能升降机安全监测模块1个、高支模安全智能监测模块1个、临边防护模拟实训模块1个、基坑安全智能监测模块1个、VR安全展示模块1个。</w:t>
            </w:r>
          </w:p>
          <w:p w14:paraId="23CE7223">
            <w:pPr>
              <w:jc w:val="left"/>
              <w:rPr>
                <w:rFonts w:ascii="宋体" w:hAnsi="宋体" w:eastAsia="宋体" w:cs="等线"/>
                <w:szCs w:val="21"/>
              </w:rPr>
            </w:pPr>
            <w:r>
              <w:rPr>
                <w:rFonts w:hint="eastAsia" w:ascii="宋体" w:hAnsi="宋体" w:eastAsia="宋体" w:cs="等线"/>
                <w:szCs w:val="21"/>
              </w:rPr>
              <w:t>配套软件部分为沙盘虚实一体化项目管理平台不限节点数、IOT数据系统1套、可视化控制系统1套、三维控制系统1套、BIMVR软件66节点、虚拟现实设计平台66节点。</w:t>
            </w:r>
          </w:p>
          <w:p w14:paraId="526EAA5B">
            <w:pPr>
              <w:jc w:val="left"/>
              <w:rPr>
                <w:rFonts w:ascii="宋体" w:hAnsi="宋体" w:eastAsia="宋体" w:cs="等线"/>
                <w:szCs w:val="21"/>
              </w:rPr>
            </w:pPr>
            <w:r>
              <w:rPr>
                <w:rFonts w:hint="eastAsia" w:ascii="宋体" w:hAnsi="宋体" w:eastAsia="宋体" w:cs="等线"/>
                <w:szCs w:val="21"/>
              </w:rPr>
              <w:t>一、BIM+智慧工地数字孪生管理沙盘：</w:t>
            </w:r>
          </w:p>
          <w:p w14:paraId="48422998">
            <w:pPr>
              <w:jc w:val="left"/>
              <w:rPr>
                <w:rFonts w:ascii="宋体" w:hAnsi="宋体" w:eastAsia="宋体" w:cs="等线"/>
                <w:szCs w:val="21"/>
              </w:rPr>
            </w:pPr>
            <w:r>
              <w:rPr>
                <w:rFonts w:hint="eastAsia" w:ascii="宋体" w:hAnsi="宋体" w:eastAsia="宋体" w:cs="等线"/>
                <w:szCs w:val="21"/>
              </w:rPr>
              <w:t>1.实体沙盘部分</w:t>
            </w:r>
          </w:p>
          <w:p w14:paraId="1355D248">
            <w:pPr>
              <w:jc w:val="left"/>
              <w:rPr>
                <w:rFonts w:ascii="宋体" w:hAnsi="宋体" w:eastAsia="宋体" w:cs="等线"/>
                <w:szCs w:val="21"/>
              </w:rPr>
            </w:pPr>
            <w:r>
              <w:rPr>
                <w:rFonts w:hint="eastAsia" w:ascii="宋体" w:hAnsi="宋体" w:eastAsia="宋体" w:cs="等线"/>
                <w:szCs w:val="21"/>
              </w:rPr>
              <w:t>（1）实体沙盘模型应还原智慧工地完整的施工场景，沙盘规格≥4m×3m（长×宽），需包含：施工区、生活区、办公区，且各分区必须有围挡分隔。</w:t>
            </w:r>
          </w:p>
          <w:p w14:paraId="7ECA2849">
            <w:pPr>
              <w:jc w:val="left"/>
              <w:rPr>
                <w:rFonts w:ascii="宋体" w:hAnsi="宋体" w:eastAsia="宋体" w:cs="等线"/>
                <w:szCs w:val="21"/>
              </w:rPr>
            </w:pPr>
            <w:r>
              <w:rPr>
                <w:rFonts w:hint="eastAsia" w:ascii="宋体" w:hAnsi="宋体" w:eastAsia="宋体" w:cs="等线"/>
                <w:szCs w:val="21"/>
              </w:rPr>
              <w:t>（2）▲实体沙盘模型应展示主体施工阶段，且模型横向剖切，展示内部构造。</w:t>
            </w:r>
          </w:p>
          <w:p w14:paraId="12909182">
            <w:pPr>
              <w:jc w:val="left"/>
              <w:rPr>
                <w:rFonts w:ascii="宋体" w:hAnsi="宋体" w:eastAsia="宋体" w:cs="等线"/>
                <w:szCs w:val="21"/>
              </w:rPr>
            </w:pPr>
            <w:r>
              <w:rPr>
                <w:rFonts w:hint="eastAsia" w:ascii="宋体" w:hAnsi="宋体" w:eastAsia="宋体" w:cs="等线"/>
                <w:szCs w:val="21"/>
              </w:rPr>
              <w:t>（3）实体沙盘上的施工区、生活区、办公区的围挡应使用三种不同颜色灯光进行区分，每个区域的灯光都可以独立控制。</w:t>
            </w:r>
          </w:p>
          <w:p w14:paraId="385131F4">
            <w:pPr>
              <w:jc w:val="left"/>
              <w:rPr>
                <w:rFonts w:ascii="宋体" w:hAnsi="宋体" w:eastAsia="宋体" w:cs="等线"/>
                <w:szCs w:val="21"/>
              </w:rPr>
            </w:pPr>
            <w:r>
              <w:rPr>
                <w:rFonts w:hint="eastAsia" w:ascii="宋体" w:hAnsi="宋体" w:eastAsia="宋体" w:cs="等线"/>
                <w:szCs w:val="21"/>
              </w:rPr>
              <w:t>（4）▲沙盘应展示14个智能管理系统，且每个智能管理系统可以独立灯光显示。包含：标养室温湿度远程监控、车辆管理和物料验收系统、放样机器人、环境监测系统、围挡道路及塔吊喷淋降尘系统、劳务管理系统、深基坑监测系统、施工升降机智能监测系统、实测实量系统、视频监控+周界防护系统、外墙脚手架监测系统、卸料平台监测系统、智能水电表监测系统、智能塔吊系统。</w:t>
            </w:r>
          </w:p>
          <w:p w14:paraId="28D22D42">
            <w:pPr>
              <w:jc w:val="left"/>
              <w:rPr>
                <w:rFonts w:ascii="宋体" w:hAnsi="宋体" w:eastAsia="宋体" w:cs="等线"/>
                <w:szCs w:val="21"/>
              </w:rPr>
            </w:pPr>
            <w:r>
              <w:rPr>
                <w:rFonts w:hint="eastAsia" w:ascii="宋体" w:hAnsi="宋体" w:eastAsia="宋体" w:cs="等线"/>
                <w:szCs w:val="21"/>
              </w:rPr>
              <w:t>（5）实体沙盘上的模型应体现智慧工地的完整要素及临时设施的布置，包含内容：办公区：办公楼、分类垃圾收集区、停车位、办公区围挡、篮球场、管理人员宿舍楼、库房、餐厅、厨房、盥洗室、沐浴室、卫生间、花坛、旗台。生活区：医务室、文体活动室、员工食堂、开水间、员工宿舍楼、洗漱池、卫生间、沐浴室、分类垃圾收集区、生活区围挡、库房、盥洗室、厨房、停车位。施工区：大门、人脸识别闸机、值班室、消防台、防火沙、安全教育体验区、VR安全体验馆、安全教育宣传台、安全帽抗打击体验、综合用电演示体验、现场急救体验、楼梯防护、电梯井防护/电梯井平网、安全带使用体验、洞口坠落、安全通道、建筑工业化展区、自动化混凝土地面施工服务、三维激光扫描机器人、四足机器人、喷涂工作站、质量样板工艺展示区、厨卫样板、屋面样板、主体结构样板、干挂幕墙样板、楼梯样板、水井电井样板、可移动卫生间、智能洗车棚、三级污水沉淀池、水泵房、操作间/标养室、员工休息区、机械车辆停放区、模板堆放区、木方原材堆放区、木工加工棚、木方半成品堆放区、钢筋原材堆放区、钢筋加工棚、钢筋半成品堆放区、总配电室、二级配电箱、二级配电箱防护棚、垃圾站、其他材料临时堆放区、水电原材堆放区、水电加工棚、水电半成品堆放区、水电库房、水泥库房、库房、危险品库房、安全大讲台、十牌两图、钢筋堆放区、预制混凝土构件堆放区、多孔砖堆放区、加气砖堆放区、砂石料堆放区、沙子堆放区、砂浆储存罐、卸料平台、卸料平台监测、塔吊、塔吊防护栏、塔吊喷淋系统、办公楼、BIM放样机器人、实测实量、安全通道、施工升降电梯防护棚、施工升降电梯、施工升降电梯智能监测、智能水表监测、智能电表监测、环境监测系统、雾炮联动系统、智能物料验收系统、地磅房、深基坑监测、深基坑周边防护、围墙道路喷淋系统、视频监控、周界防护、智能广播、新工地宝、下水道、预制道路、人车分流。</w:t>
            </w:r>
          </w:p>
          <w:p w14:paraId="359F7B8D">
            <w:pPr>
              <w:jc w:val="left"/>
              <w:rPr>
                <w:rFonts w:ascii="宋体" w:hAnsi="宋体" w:eastAsia="宋体" w:cs="等线"/>
                <w:szCs w:val="21"/>
              </w:rPr>
            </w:pPr>
            <w:r>
              <w:rPr>
                <w:rFonts w:hint="eastAsia" w:ascii="宋体" w:hAnsi="宋体" w:eastAsia="宋体" w:cs="等线"/>
                <w:szCs w:val="21"/>
              </w:rPr>
              <w:t>（6）▲实体沙盘上塔吊进行遥控操作的同时应与数字虚拟的塔吊进行虚实互动操作，实现实体塔吊与数字虚拟塔吊同频率动作，即按即停，延迟控制到最小。</w:t>
            </w:r>
          </w:p>
          <w:p w14:paraId="175305D6">
            <w:pPr>
              <w:jc w:val="left"/>
              <w:rPr>
                <w:rFonts w:ascii="宋体" w:hAnsi="宋体" w:eastAsia="宋体" w:cs="等线"/>
                <w:szCs w:val="21"/>
              </w:rPr>
            </w:pPr>
            <w:r>
              <w:rPr>
                <w:rFonts w:hint="eastAsia" w:ascii="宋体" w:hAnsi="宋体" w:eastAsia="宋体" w:cs="等线"/>
                <w:szCs w:val="21"/>
              </w:rPr>
              <w:t>（7）▲实体沙盘可通过程序对实体塔吊和虚拟塔吊同时进行风力和风向作业虚实互动控制操作，实时展现风力从不同风力下塔吊的不同作业状态，通过声光电和语音警示动态还原业务场景。</w:t>
            </w:r>
          </w:p>
          <w:p w14:paraId="09B89E4B">
            <w:pPr>
              <w:jc w:val="left"/>
              <w:rPr>
                <w:rFonts w:ascii="宋体" w:hAnsi="宋体" w:eastAsia="宋体" w:cs="等线"/>
                <w:szCs w:val="21"/>
              </w:rPr>
            </w:pPr>
            <w:r>
              <w:rPr>
                <w:rFonts w:hint="eastAsia" w:ascii="宋体" w:hAnsi="宋体" w:eastAsia="宋体" w:cs="等线"/>
                <w:szCs w:val="21"/>
              </w:rPr>
              <w:t>（8）实体沙盘上应动态体现劳务管理系统教学知识点，要求体现模拟人脸识别打卡、上岗作业、人员聚集警示、打卡下班等全套业务知识模拟流程。</w:t>
            </w:r>
          </w:p>
          <w:p w14:paraId="0944D10C">
            <w:pPr>
              <w:jc w:val="left"/>
              <w:rPr>
                <w:rFonts w:ascii="宋体" w:hAnsi="宋体" w:eastAsia="宋体" w:cs="等线"/>
                <w:szCs w:val="21"/>
              </w:rPr>
            </w:pPr>
            <w:r>
              <w:rPr>
                <w:rFonts w:hint="eastAsia" w:ascii="宋体" w:hAnsi="宋体" w:eastAsia="宋体" w:cs="等线"/>
                <w:szCs w:val="21"/>
              </w:rPr>
              <w:t>（9）实体沙盘应能够与配套的软件系统进行虚实互动。</w:t>
            </w:r>
          </w:p>
          <w:p w14:paraId="69D0F8DC">
            <w:pPr>
              <w:jc w:val="left"/>
              <w:rPr>
                <w:rFonts w:ascii="宋体" w:hAnsi="宋体" w:eastAsia="宋体" w:cs="等线"/>
                <w:szCs w:val="21"/>
              </w:rPr>
            </w:pPr>
            <w:r>
              <w:rPr>
                <w:rFonts w:hint="eastAsia" w:ascii="宋体" w:hAnsi="宋体" w:eastAsia="宋体" w:cs="等线"/>
                <w:szCs w:val="21"/>
              </w:rPr>
              <w:t>（10）质保期不低于三年，质保期内</w:t>
            </w:r>
            <w:r>
              <w:rPr>
                <w:rFonts w:hint="eastAsia" w:ascii="宋体" w:hAnsi="宋体" w:eastAsia="宋体" w:cs="Times New Roman"/>
                <w:kern w:val="0"/>
                <w:sz w:val="22"/>
              </w:rPr>
              <w:t>提供不少于三次线下培训（培训讲师不少于2人，每次培训人次不低于10人）</w:t>
            </w:r>
            <w:r>
              <w:rPr>
                <w:rFonts w:hint="eastAsia" w:ascii="宋体" w:hAnsi="宋体" w:eastAsia="宋体" w:cs="仿宋_GB2312"/>
                <w:szCs w:val="21"/>
              </w:rPr>
              <w:t>，</w:t>
            </w:r>
            <w:r>
              <w:rPr>
                <w:rFonts w:hint="eastAsia" w:ascii="宋体" w:hAnsi="宋体" w:eastAsia="宋体" w:cs="等线"/>
                <w:szCs w:val="21"/>
              </w:rPr>
              <w:t>如发生质量问题应在二十四小时内响应。</w:t>
            </w:r>
          </w:p>
          <w:p w14:paraId="741C802C">
            <w:pPr>
              <w:jc w:val="left"/>
              <w:rPr>
                <w:rFonts w:ascii="宋体" w:hAnsi="宋体" w:eastAsia="宋体" w:cs="等线"/>
                <w:szCs w:val="21"/>
              </w:rPr>
            </w:pPr>
            <w:r>
              <w:rPr>
                <w:rFonts w:hint="eastAsia" w:ascii="宋体" w:hAnsi="宋体" w:eastAsia="宋体" w:cs="等线"/>
                <w:szCs w:val="21"/>
              </w:rPr>
              <w:t>2.BIM+智慧工地数字孪生管理沙盘软件部分</w:t>
            </w:r>
          </w:p>
          <w:p w14:paraId="28CC4CEE">
            <w:pPr>
              <w:jc w:val="left"/>
              <w:rPr>
                <w:rFonts w:ascii="宋体" w:hAnsi="宋体" w:eastAsia="宋体" w:cs="等线"/>
                <w:szCs w:val="21"/>
              </w:rPr>
            </w:pPr>
            <w:r>
              <w:rPr>
                <w:rFonts w:hint="eastAsia" w:ascii="宋体" w:hAnsi="宋体" w:eastAsia="宋体" w:cs="等线"/>
                <w:szCs w:val="21"/>
              </w:rPr>
              <w:t>（1）▲BIM+智慧工地数字孪生管理沙盘软件应支持账号登录，登录后可查看工程概况，包括项目体量、类型、施工内容等关键信息。</w:t>
            </w:r>
          </w:p>
          <w:p w14:paraId="2F655EB6">
            <w:pPr>
              <w:jc w:val="left"/>
              <w:rPr>
                <w:rFonts w:ascii="宋体" w:hAnsi="宋体" w:eastAsia="宋体" w:cs="等线"/>
                <w:szCs w:val="21"/>
              </w:rPr>
            </w:pPr>
            <w:r>
              <w:rPr>
                <w:rFonts w:hint="eastAsia" w:ascii="宋体" w:hAnsi="宋体" w:eastAsia="宋体" w:cs="等线"/>
                <w:szCs w:val="21"/>
              </w:rPr>
              <w:t>（2）▲BIM+智慧工地数字孪生管理沙盘软件应覆盖施工准备、土方开挖、桩基施工、地下施工、主体结构、装饰装修及竣工阶段，动态展示各阶段资源配置与工序流程。</w:t>
            </w:r>
          </w:p>
          <w:p w14:paraId="1849CBC8">
            <w:pPr>
              <w:jc w:val="left"/>
              <w:rPr>
                <w:rFonts w:ascii="宋体" w:hAnsi="宋体" w:eastAsia="宋体" w:cs="等线"/>
                <w:szCs w:val="21"/>
              </w:rPr>
            </w:pPr>
            <w:r>
              <w:rPr>
                <w:rFonts w:hint="eastAsia" w:ascii="宋体" w:hAnsi="宋体" w:eastAsia="宋体" w:cs="等线"/>
                <w:szCs w:val="21"/>
              </w:rPr>
              <w:t>（3）BIM+智慧工地数字孪生管理沙盘软件应满足智能建造技术建造施工项目典型的建造区和非建造区建造过程及智慧工地人、机、料、法、环的真实产品应用。</w:t>
            </w:r>
          </w:p>
          <w:p w14:paraId="314F42FD">
            <w:pPr>
              <w:jc w:val="left"/>
              <w:rPr>
                <w:rFonts w:ascii="宋体" w:hAnsi="宋体" w:eastAsia="宋体" w:cs="等线"/>
                <w:szCs w:val="21"/>
              </w:rPr>
            </w:pPr>
            <w:r>
              <w:rPr>
                <w:rFonts w:hint="eastAsia" w:ascii="宋体" w:hAnsi="宋体" w:eastAsia="宋体" w:cs="等线"/>
                <w:szCs w:val="21"/>
              </w:rPr>
              <w:t>（4）▲BIM+智慧工地数字孪生管理沙盘软件应满足鸟瞰与漫游双模式操作，支持鼠标拖拽平移/旋转场景及键盘控制移动。</w:t>
            </w:r>
          </w:p>
          <w:p w14:paraId="62206D91">
            <w:pPr>
              <w:jc w:val="left"/>
              <w:rPr>
                <w:rFonts w:ascii="宋体" w:hAnsi="宋体" w:eastAsia="宋体" w:cs="等线"/>
                <w:szCs w:val="21"/>
              </w:rPr>
            </w:pPr>
            <w:r>
              <w:rPr>
                <w:rFonts w:hint="eastAsia" w:ascii="宋体" w:hAnsi="宋体" w:eastAsia="宋体" w:cs="等线"/>
                <w:szCs w:val="21"/>
              </w:rPr>
              <w:t>（5）BIM+智慧工地数字孪生管理沙盘软件应集成智慧工地管理模块，包含人员实名制、AI考勤、塔吊碰撞预警、吊钩可视化、升降机信息采集等核心功能。</w:t>
            </w:r>
          </w:p>
          <w:p w14:paraId="2B2F098B">
            <w:pPr>
              <w:jc w:val="left"/>
              <w:rPr>
                <w:rFonts w:ascii="宋体" w:hAnsi="宋体" w:eastAsia="宋体" w:cs="等线"/>
                <w:szCs w:val="21"/>
              </w:rPr>
            </w:pPr>
            <w:r>
              <w:rPr>
                <w:rFonts w:hint="eastAsia" w:ascii="宋体" w:hAnsi="宋体" w:eastAsia="宋体" w:cs="等线"/>
                <w:szCs w:val="21"/>
              </w:rPr>
              <w:t>（6）▲BIM+智慧工地数字孪生管理沙盘软件中的施工准备阶段应涵盖场地布置、通水通电、设备投入等施工工序场景，详细展示 “人、机、料、法、环” 的资源投入情况，以及劳务管理系统、车辆管理等智能化管理手段。</w:t>
            </w:r>
          </w:p>
          <w:p w14:paraId="1C65B05B">
            <w:pPr>
              <w:jc w:val="left"/>
              <w:rPr>
                <w:rFonts w:ascii="宋体" w:hAnsi="宋体" w:eastAsia="宋体" w:cs="等线"/>
                <w:szCs w:val="21"/>
              </w:rPr>
            </w:pPr>
            <w:r>
              <w:rPr>
                <w:rFonts w:hint="eastAsia" w:ascii="宋体" w:hAnsi="宋体" w:eastAsia="宋体" w:cs="等线"/>
                <w:szCs w:val="21"/>
              </w:rPr>
              <w:t>（7）BIM+智慧工地数字孪生管理沙盘软件中的土方开挖阶段应呈现开挖线定位、降水井施工、基础防水等工序内容，集成放样机器人、深基坑监测等智能化管理手段。</w:t>
            </w:r>
          </w:p>
          <w:p w14:paraId="7F787147">
            <w:pPr>
              <w:jc w:val="left"/>
              <w:rPr>
                <w:rFonts w:ascii="宋体" w:hAnsi="宋体" w:eastAsia="宋体" w:cs="等线"/>
                <w:szCs w:val="21"/>
              </w:rPr>
            </w:pPr>
            <w:r>
              <w:rPr>
                <w:rFonts w:hint="eastAsia" w:ascii="宋体" w:hAnsi="宋体" w:eastAsia="宋体" w:cs="等线"/>
                <w:szCs w:val="21"/>
              </w:rPr>
              <w:t>（8）BIM+智慧工地数字孪生管理沙盘软件中的桩基施工阶段应展示设置测量标高、钻孔、打桩工序。</w:t>
            </w:r>
          </w:p>
          <w:p w14:paraId="562BF5E2">
            <w:pPr>
              <w:jc w:val="left"/>
              <w:rPr>
                <w:rFonts w:ascii="宋体" w:hAnsi="宋体" w:eastAsia="宋体" w:cs="等线"/>
                <w:szCs w:val="21"/>
              </w:rPr>
            </w:pPr>
            <w:r>
              <w:rPr>
                <w:rFonts w:hint="eastAsia" w:ascii="宋体" w:hAnsi="宋体" w:eastAsia="宋体" w:cs="等线"/>
                <w:szCs w:val="21"/>
              </w:rPr>
              <w:t>（9）BIM+智慧工地数字孪生管理沙盘软件中的地下施工阶段应展示基础及底板施工等工序，呈现 “人、机、料、法、环” 资源投入和劳务管理系统、雾炮联动系统等智能化管理手段。</w:t>
            </w:r>
          </w:p>
          <w:p w14:paraId="54357DCE">
            <w:pPr>
              <w:jc w:val="left"/>
              <w:rPr>
                <w:rFonts w:ascii="宋体" w:hAnsi="宋体" w:eastAsia="宋体" w:cs="等线"/>
                <w:szCs w:val="21"/>
              </w:rPr>
            </w:pPr>
            <w:r>
              <w:rPr>
                <w:rFonts w:hint="eastAsia" w:ascii="宋体" w:hAnsi="宋体" w:eastAsia="宋体" w:cs="等线"/>
                <w:szCs w:val="21"/>
              </w:rPr>
              <w:t>（10）BIM+智慧工地数字孪生管理沙盘软件中的主体施工阶段应呈现外架搭设、首层施工等工序，介绍资源投入和深基坑监测、视频监控等智能化管理手段。</w:t>
            </w:r>
          </w:p>
          <w:p w14:paraId="1908B345">
            <w:pPr>
              <w:jc w:val="left"/>
              <w:rPr>
                <w:rFonts w:ascii="宋体" w:hAnsi="宋体" w:eastAsia="宋体" w:cs="等线"/>
                <w:szCs w:val="21"/>
              </w:rPr>
            </w:pPr>
            <w:r>
              <w:rPr>
                <w:rFonts w:hint="eastAsia" w:ascii="宋体" w:hAnsi="宋体" w:eastAsia="宋体" w:cs="等线"/>
                <w:szCs w:val="21"/>
              </w:rPr>
              <w:t>(11)BIM+智慧工地数字孪生管理沙盘软件中的装饰装修阶段应展示外架搭设等装饰装修工序。</w:t>
            </w:r>
          </w:p>
          <w:p w14:paraId="703A31A5">
            <w:pPr>
              <w:jc w:val="left"/>
              <w:rPr>
                <w:rFonts w:ascii="宋体" w:hAnsi="宋体" w:eastAsia="宋体" w:cs="等线"/>
                <w:szCs w:val="21"/>
              </w:rPr>
            </w:pPr>
            <w:r>
              <w:rPr>
                <w:rFonts w:hint="eastAsia" w:ascii="宋体" w:hAnsi="宋体" w:eastAsia="宋体" w:cs="等线"/>
                <w:szCs w:val="21"/>
              </w:rPr>
              <w:t>(12)BIM+智慧工地数字孪生管理沙盘软件中的竣工阶段展示应完整呈现项目竣工效果。</w:t>
            </w:r>
          </w:p>
          <w:p w14:paraId="252825F2">
            <w:pPr>
              <w:jc w:val="left"/>
              <w:rPr>
                <w:rFonts w:ascii="宋体" w:hAnsi="宋体" w:eastAsia="宋体" w:cs="等线"/>
                <w:szCs w:val="21"/>
              </w:rPr>
            </w:pPr>
            <w:r>
              <w:rPr>
                <w:rFonts w:hint="eastAsia" w:ascii="宋体" w:hAnsi="宋体" w:eastAsia="宋体" w:cs="等线"/>
                <w:szCs w:val="21"/>
              </w:rPr>
              <w:t>(13)▲BIM+智慧工地数字孪生管理沙盘软件应支持数字虚拟塔吊的实时互动操作，可模拟回转、吊钩移动及风力影响，并与硬件部分灯光联动反馈操作状态。</w:t>
            </w:r>
          </w:p>
          <w:p w14:paraId="219C5C52">
            <w:pPr>
              <w:jc w:val="left"/>
              <w:rPr>
                <w:rFonts w:ascii="宋体" w:hAnsi="宋体" w:eastAsia="宋体" w:cs="等线"/>
                <w:szCs w:val="21"/>
              </w:rPr>
            </w:pPr>
            <w:r>
              <w:rPr>
                <w:rFonts w:hint="eastAsia" w:ascii="宋体" w:hAnsi="宋体" w:eastAsia="宋体" w:cs="等线"/>
                <w:szCs w:val="21"/>
              </w:rPr>
              <w:t>(14)BIM+智慧工地数字孪生管理沙盘软件应提供虚实结合模式，操作虚拟系统时同步触发硬件部分对应设备灯光指示。</w:t>
            </w:r>
          </w:p>
          <w:p w14:paraId="7984FD05">
            <w:pPr>
              <w:jc w:val="left"/>
              <w:rPr>
                <w:rFonts w:ascii="宋体" w:hAnsi="宋体" w:eastAsia="宋体" w:cs="等线"/>
                <w:szCs w:val="21"/>
              </w:rPr>
            </w:pPr>
            <w:r>
              <w:rPr>
                <w:rFonts w:hint="eastAsia" w:ascii="宋体" w:hAnsi="宋体" w:eastAsia="宋体" w:cs="等线"/>
                <w:szCs w:val="21"/>
              </w:rPr>
              <w:t>(15)BIM+智慧工地数字孪生管理沙盘软件应支持多端并发操作，响应时间≤1秒，适配不低于1920×1080分辨率显示环境。</w:t>
            </w:r>
          </w:p>
          <w:p w14:paraId="7C1861A0">
            <w:pPr>
              <w:jc w:val="left"/>
              <w:rPr>
                <w:rFonts w:ascii="宋体" w:hAnsi="宋体" w:eastAsia="宋体" w:cs="等线"/>
                <w:szCs w:val="21"/>
              </w:rPr>
            </w:pPr>
            <w:r>
              <w:rPr>
                <w:rFonts w:hint="eastAsia" w:ascii="宋体" w:hAnsi="宋体" w:eastAsia="宋体" w:cs="等线"/>
                <w:szCs w:val="21"/>
              </w:rPr>
              <w:t>(16)BIM+智慧工地数字孪生管理沙盘软件具备考核环节，支持按模块拆解为多级关卡，每关卡配备相应虚拟场景、明确交互动作、绑定知识点学习及闭环考核。</w:t>
            </w:r>
          </w:p>
          <w:p w14:paraId="7AF11A2E">
            <w:pPr>
              <w:jc w:val="left"/>
              <w:rPr>
                <w:rFonts w:ascii="宋体" w:hAnsi="宋体" w:eastAsia="宋体" w:cs="等线"/>
                <w:szCs w:val="21"/>
              </w:rPr>
            </w:pPr>
            <w:r>
              <w:rPr>
                <w:rFonts w:hint="eastAsia" w:ascii="宋体" w:hAnsi="宋体" w:eastAsia="宋体" w:cs="等线"/>
                <w:szCs w:val="21"/>
              </w:rPr>
              <w:t>(17)BIM+智慧工地数字孪生管理沙盘软件中的考核模块应内置倒计时功能，实时显示任务进度与学习得分，可通过数据可视化营造竞技氛围与时间紧迫感。</w:t>
            </w:r>
          </w:p>
          <w:p w14:paraId="3F20D0D8">
            <w:pPr>
              <w:jc w:val="left"/>
              <w:rPr>
                <w:rFonts w:eastAsia="宋体"/>
              </w:rPr>
            </w:pPr>
            <w:r>
              <w:rPr>
                <w:rFonts w:hint="eastAsia" w:ascii="宋体" w:hAnsi="宋体" w:eastAsia="宋体" w:cs="等线"/>
                <w:szCs w:val="21"/>
              </w:rPr>
              <w:t>(18)BIM+智慧工地数字孪生管理沙盘软件应支持案例接口开放与新案例植入。</w:t>
            </w:r>
          </w:p>
          <w:p w14:paraId="0E88CF84">
            <w:pPr>
              <w:jc w:val="left"/>
              <w:rPr>
                <w:rFonts w:ascii="宋体" w:hAnsi="宋体" w:eastAsia="宋体" w:cs="等线"/>
                <w:szCs w:val="21"/>
              </w:rPr>
            </w:pPr>
            <w:r>
              <w:rPr>
                <w:rFonts w:hint="eastAsia" w:ascii="宋体" w:hAnsi="宋体" w:eastAsia="宋体" w:cs="等线"/>
                <w:szCs w:val="21"/>
              </w:rPr>
              <w:t>(19)BIM+智慧工地数字孪生管理沙盘软件应需开放接口，可供第三方对接系统。</w:t>
            </w:r>
          </w:p>
          <w:p w14:paraId="27EB9BBB">
            <w:pPr>
              <w:jc w:val="left"/>
              <w:rPr>
                <w:rFonts w:ascii="宋体" w:hAnsi="宋体" w:eastAsia="宋体" w:cs="等线"/>
                <w:szCs w:val="21"/>
              </w:rPr>
            </w:pPr>
            <w:r>
              <w:rPr>
                <w:rFonts w:hint="eastAsia" w:ascii="宋体" w:hAnsi="宋体" w:eastAsia="宋体" w:cs="等线"/>
                <w:szCs w:val="21"/>
              </w:rPr>
              <w:t>(20)BIM+智慧工地数字孪生管理沙盘软件</w:t>
            </w:r>
            <w:r>
              <w:rPr>
                <w:rFonts w:hint="eastAsia"/>
              </w:rPr>
              <w:t>提供</w:t>
            </w:r>
            <w:r>
              <w:rPr>
                <w:rFonts w:hint="eastAsia" w:ascii="宋体" w:hAnsi="宋体" w:eastAsia="宋体" w:cs="Times New Roman"/>
                <w:kern w:val="0"/>
                <w:sz w:val="22"/>
              </w:rPr>
              <w:t>不少于3年</w:t>
            </w:r>
            <w:r>
              <w:rPr>
                <w:rFonts w:ascii="宋体" w:hAnsi="宋体" w:eastAsia="宋体" w:cs="Times New Roman"/>
                <w:kern w:val="0"/>
                <w:sz w:val="22"/>
              </w:rPr>
              <w:t>质保服务，</w:t>
            </w:r>
            <w:r>
              <w:rPr>
                <w:rFonts w:hint="eastAsia" w:ascii="宋体" w:hAnsi="宋体" w:eastAsia="宋体" w:cs="Times New Roman"/>
                <w:kern w:val="0"/>
                <w:sz w:val="22"/>
              </w:rPr>
              <w:t>（不升级不影响正常使用）</w:t>
            </w:r>
            <w:r>
              <w:rPr>
                <w:rFonts w:hint="eastAsia" w:ascii="宋体" w:hAnsi="宋体" w:eastAsia="宋体" w:cs="等线"/>
                <w:szCs w:val="21"/>
              </w:rPr>
              <w:t>，质保期内每年至少升级不少于 2 个案例，质保期内</w:t>
            </w:r>
            <w:r>
              <w:rPr>
                <w:rFonts w:hint="eastAsia" w:ascii="宋体" w:hAnsi="宋体" w:eastAsia="宋体" w:cs="Times New Roman"/>
                <w:kern w:val="0"/>
                <w:sz w:val="22"/>
              </w:rPr>
              <w:t>提供不少于三次线下培训（培训讲师不少于2人，每次培训人次不低于10人）</w:t>
            </w:r>
            <w:r>
              <w:rPr>
                <w:rFonts w:hint="eastAsia" w:ascii="宋体" w:hAnsi="宋体" w:eastAsia="宋体" w:cs="等线"/>
                <w:szCs w:val="21"/>
              </w:rPr>
              <w:t>，在使用过程中发生质量问题，二十四小时内到达故障现场。</w:t>
            </w:r>
          </w:p>
          <w:p w14:paraId="3DC6128E">
            <w:pPr>
              <w:jc w:val="left"/>
              <w:rPr>
                <w:rFonts w:ascii="宋体" w:hAnsi="宋体" w:eastAsia="宋体" w:cs="等线"/>
                <w:szCs w:val="21"/>
              </w:rPr>
            </w:pPr>
            <w:r>
              <w:rPr>
                <w:rFonts w:hint="eastAsia" w:ascii="宋体" w:hAnsi="宋体" w:eastAsia="宋体" w:cs="等线"/>
                <w:szCs w:val="21"/>
              </w:rPr>
              <w:t>3.配套纸质版实训手册不低于66套</w:t>
            </w:r>
            <w:r>
              <w:rPr>
                <w:rFonts w:hint="eastAsia"/>
              </w:rPr>
              <w:t>；</w:t>
            </w:r>
            <w:r>
              <w:rPr>
                <w:rFonts w:hint="eastAsia" w:ascii="宋体" w:hAnsi="宋体" w:eastAsia="宋体" w:cs="等线"/>
                <w:szCs w:val="21"/>
              </w:rPr>
              <w:t>手册规格：</w:t>
            </w:r>
            <w:r>
              <w:rPr>
                <w:rFonts w:ascii="宋体" w:hAnsi="宋体" w:eastAsia="宋体" w:cs="等线"/>
                <w:szCs w:val="21"/>
              </w:rPr>
              <w:t>A4</w:t>
            </w:r>
            <w:r>
              <w:rPr>
                <w:rFonts w:hint="eastAsia" w:ascii="宋体" w:hAnsi="宋体" w:eastAsia="宋体" w:cs="等线"/>
                <w:szCs w:val="21"/>
              </w:rPr>
              <w:t>标准尺寸、黑白装订；装订要求：平装；电子版无套数限制。</w:t>
            </w:r>
          </w:p>
          <w:p w14:paraId="272F0FB2">
            <w:pPr>
              <w:jc w:val="left"/>
              <w:rPr>
                <w:rFonts w:ascii="宋体" w:hAnsi="宋体" w:eastAsia="宋体" w:cs="等线"/>
                <w:szCs w:val="21"/>
              </w:rPr>
            </w:pPr>
            <w:r>
              <w:rPr>
                <w:rFonts w:hint="eastAsia" w:ascii="宋体" w:hAnsi="宋体" w:eastAsia="宋体" w:cs="等线"/>
                <w:szCs w:val="21"/>
              </w:rPr>
              <w:t>二、智能交互配套显示模块：</w:t>
            </w:r>
          </w:p>
          <w:p w14:paraId="68CB7EEC">
            <w:pPr>
              <w:jc w:val="left"/>
              <w:rPr>
                <w:rFonts w:ascii="宋体" w:hAnsi="宋体" w:eastAsia="宋体" w:cs="等线"/>
                <w:szCs w:val="21"/>
              </w:rPr>
            </w:pPr>
            <w:r>
              <w:rPr>
                <w:rFonts w:hint="eastAsia" w:ascii="宋体" w:hAnsi="宋体" w:eastAsia="宋体" w:cs="等线"/>
                <w:szCs w:val="21"/>
              </w:rPr>
              <w:t>1.智能交互配套显示模块硬件参数</w:t>
            </w:r>
          </w:p>
          <w:p w14:paraId="056A0C34">
            <w:pPr>
              <w:jc w:val="left"/>
              <w:rPr>
                <w:rFonts w:ascii="宋体" w:hAnsi="宋体" w:eastAsia="宋体" w:cs="等线"/>
                <w:szCs w:val="21"/>
              </w:rPr>
            </w:pPr>
            <w:r>
              <w:rPr>
                <w:rFonts w:hint="eastAsia" w:ascii="宋体" w:hAnsi="宋体" w:eastAsia="宋体" w:cs="等线"/>
                <w:szCs w:val="21"/>
              </w:rPr>
              <w:t>（1）显示尺寸不小于75 inch， LED背光源</w:t>
            </w:r>
          </w:p>
          <w:p w14:paraId="524F2640">
            <w:pPr>
              <w:jc w:val="left"/>
              <w:rPr>
                <w:rFonts w:ascii="宋体" w:hAnsi="宋体" w:eastAsia="宋体" w:cs="等线"/>
                <w:szCs w:val="21"/>
              </w:rPr>
            </w:pPr>
            <w:r>
              <w:rPr>
                <w:rFonts w:hint="eastAsia" w:ascii="宋体" w:hAnsi="宋体" w:eastAsia="宋体" w:cs="等线"/>
                <w:szCs w:val="21"/>
              </w:rPr>
              <w:t>（2）像素间距不小于0.143(H) × 0.430(V) mm</w:t>
            </w:r>
          </w:p>
          <w:p w14:paraId="15776DF6">
            <w:pPr>
              <w:jc w:val="left"/>
              <w:rPr>
                <w:rFonts w:ascii="宋体" w:hAnsi="宋体" w:eastAsia="宋体" w:cs="等线"/>
                <w:szCs w:val="21"/>
              </w:rPr>
            </w:pPr>
            <w:r>
              <w:rPr>
                <w:rFonts w:hint="eastAsia" w:ascii="宋体" w:hAnsi="宋体" w:eastAsia="宋体" w:cs="等线"/>
                <w:szCs w:val="21"/>
              </w:rPr>
              <w:t>（3）物理分辨率不小于3840 × 2160 @60 Hz</w:t>
            </w:r>
          </w:p>
          <w:p w14:paraId="0BCA29AC">
            <w:pPr>
              <w:jc w:val="left"/>
              <w:rPr>
                <w:rFonts w:ascii="宋体" w:hAnsi="宋体" w:eastAsia="宋体" w:cs="等线"/>
                <w:szCs w:val="21"/>
              </w:rPr>
            </w:pPr>
            <w:r>
              <w:rPr>
                <w:rFonts w:hint="eastAsia" w:ascii="宋体" w:hAnsi="宋体" w:eastAsia="宋体" w:cs="等线"/>
                <w:szCs w:val="21"/>
              </w:rPr>
              <w:t>（4）亮度不低于350 cd/m²</w:t>
            </w:r>
          </w:p>
          <w:p w14:paraId="5EC87AA7">
            <w:pPr>
              <w:jc w:val="left"/>
              <w:rPr>
                <w:rFonts w:ascii="宋体" w:hAnsi="宋体" w:eastAsia="宋体" w:cs="等线"/>
                <w:szCs w:val="21"/>
              </w:rPr>
            </w:pPr>
            <w:r>
              <w:rPr>
                <w:rFonts w:hint="eastAsia" w:ascii="宋体" w:hAnsi="宋体" w:eastAsia="宋体" w:cs="等线"/>
                <w:szCs w:val="21"/>
              </w:rPr>
              <w:t>（5）色深度不小于10 bit</w:t>
            </w:r>
          </w:p>
          <w:p w14:paraId="393E98CE">
            <w:pPr>
              <w:jc w:val="left"/>
              <w:rPr>
                <w:rFonts w:ascii="宋体" w:hAnsi="宋体" w:eastAsia="宋体" w:cs="等线"/>
                <w:szCs w:val="21"/>
              </w:rPr>
            </w:pPr>
            <w:r>
              <w:rPr>
                <w:rFonts w:hint="eastAsia" w:ascii="宋体" w:hAnsi="宋体" w:eastAsia="宋体" w:cs="等线"/>
                <w:szCs w:val="21"/>
              </w:rPr>
              <w:t>（6）对比度不小于4500 : 1(Typ.)</w:t>
            </w:r>
          </w:p>
          <w:p w14:paraId="79518FC3">
            <w:pPr>
              <w:jc w:val="left"/>
              <w:rPr>
                <w:rFonts w:ascii="宋体" w:hAnsi="宋体" w:eastAsia="宋体" w:cs="等线"/>
                <w:szCs w:val="21"/>
              </w:rPr>
            </w:pPr>
            <w:r>
              <w:rPr>
                <w:rFonts w:hint="eastAsia" w:ascii="宋体" w:hAnsi="宋体" w:eastAsia="宋体" w:cs="等线"/>
                <w:szCs w:val="21"/>
              </w:rPr>
              <w:t>（7）响应时间不少于6ms</w:t>
            </w:r>
          </w:p>
          <w:p w14:paraId="5C95B892">
            <w:pPr>
              <w:jc w:val="left"/>
              <w:rPr>
                <w:rFonts w:ascii="宋体" w:hAnsi="宋体" w:eastAsia="宋体" w:cs="等线"/>
                <w:szCs w:val="21"/>
              </w:rPr>
            </w:pPr>
            <w:r>
              <w:rPr>
                <w:rFonts w:hint="eastAsia" w:ascii="宋体" w:hAnsi="宋体" w:eastAsia="宋体" w:cs="等线"/>
                <w:szCs w:val="21"/>
              </w:rPr>
              <w:t>（8）刷新率不低于60 Hz</w:t>
            </w:r>
          </w:p>
          <w:p w14:paraId="1DE88E6D">
            <w:pPr>
              <w:jc w:val="left"/>
              <w:rPr>
                <w:rFonts w:ascii="宋体" w:hAnsi="宋体" w:eastAsia="宋体" w:cs="等线"/>
                <w:szCs w:val="21"/>
              </w:rPr>
            </w:pPr>
            <w:r>
              <w:rPr>
                <w:rFonts w:hint="eastAsia" w:ascii="宋体" w:hAnsi="宋体" w:eastAsia="宋体" w:cs="等线"/>
                <w:szCs w:val="21"/>
              </w:rPr>
              <w:t>（9）可视角不小于178°(H)/178°(V)</w:t>
            </w:r>
          </w:p>
          <w:p w14:paraId="70A1A878">
            <w:pPr>
              <w:jc w:val="left"/>
              <w:rPr>
                <w:rFonts w:ascii="宋体" w:hAnsi="宋体" w:eastAsia="宋体" w:cs="等线"/>
                <w:szCs w:val="21"/>
              </w:rPr>
            </w:pPr>
            <w:r>
              <w:rPr>
                <w:rFonts w:hint="eastAsia" w:ascii="宋体" w:hAnsi="宋体" w:eastAsia="宋体" w:cs="等线"/>
                <w:szCs w:val="21"/>
              </w:rPr>
              <w:t>（10）内部喇叭不少于2个，内置≥16W喇叭</w:t>
            </w:r>
          </w:p>
          <w:p w14:paraId="0844BD57">
            <w:pPr>
              <w:jc w:val="left"/>
              <w:rPr>
                <w:rFonts w:ascii="宋体" w:hAnsi="宋体" w:eastAsia="宋体" w:cs="等线"/>
                <w:szCs w:val="21"/>
              </w:rPr>
            </w:pPr>
            <w:r>
              <w:rPr>
                <w:rFonts w:hint="eastAsia" w:ascii="宋体" w:hAnsi="宋体" w:eastAsia="宋体" w:cs="等线"/>
                <w:szCs w:val="21"/>
              </w:rPr>
              <w:t>（11）音视频输入接口不少于HDMI IN 2路，最大4K@60 Hz；LINE IN 1路</w:t>
            </w:r>
          </w:p>
          <w:p w14:paraId="488F3EDD">
            <w:pPr>
              <w:jc w:val="left"/>
              <w:rPr>
                <w:rFonts w:ascii="宋体" w:hAnsi="宋体" w:eastAsia="宋体" w:cs="等线"/>
                <w:szCs w:val="21"/>
              </w:rPr>
            </w:pPr>
            <w:r>
              <w:rPr>
                <w:rFonts w:hint="eastAsia" w:ascii="宋体" w:hAnsi="宋体" w:eastAsia="宋体" w:cs="等线"/>
                <w:szCs w:val="21"/>
              </w:rPr>
              <w:t>（12）音视频输出接口不少于HDMI OUT 1路，最大4K@60 Hz；LINE OUT 1路;</w:t>
            </w:r>
          </w:p>
          <w:p w14:paraId="3B2049D4">
            <w:pPr>
              <w:jc w:val="left"/>
              <w:rPr>
                <w:rFonts w:ascii="宋体" w:hAnsi="宋体" w:eastAsia="宋体" w:cs="等线"/>
                <w:szCs w:val="21"/>
              </w:rPr>
            </w:pPr>
            <w:r>
              <w:rPr>
                <w:rFonts w:hint="eastAsia" w:ascii="宋体" w:hAnsi="宋体" w:eastAsia="宋体" w:cs="等线"/>
                <w:szCs w:val="21"/>
              </w:rPr>
              <w:t>（13）控制接口不少于 1个RS-232</w:t>
            </w:r>
          </w:p>
          <w:p w14:paraId="591636AA">
            <w:pPr>
              <w:jc w:val="left"/>
              <w:rPr>
                <w:rFonts w:ascii="宋体" w:hAnsi="宋体" w:eastAsia="宋体" w:cs="等线"/>
                <w:szCs w:val="21"/>
              </w:rPr>
            </w:pPr>
            <w:r>
              <w:rPr>
                <w:rFonts w:hint="eastAsia" w:ascii="宋体" w:hAnsi="宋体" w:eastAsia="宋体" w:cs="等线"/>
                <w:szCs w:val="21"/>
              </w:rPr>
              <w:t>（14）网络接口不低于RJ45(百兆网口)，≥2个</w:t>
            </w:r>
          </w:p>
          <w:p w14:paraId="0D0C890A">
            <w:pPr>
              <w:jc w:val="left"/>
              <w:rPr>
                <w:rFonts w:ascii="宋体" w:hAnsi="宋体" w:eastAsia="宋体" w:cs="等线"/>
                <w:szCs w:val="21"/>
              </w:rPr>
            </w:pPr>
            <w:r>
              <w:rPr>
                <w:rFonts w:hint="eastAsia" w:ascii="宋体" w:hAnsi="宋体" w:eastAsia="宋体" w:cs="等线"/>
                <w:szCs w:val="21"/>
              </w:rPr>
              <w:t>（15）数据传输接口：USB接口≥2个前置接口，≥2个板载接口，≥1个touch USB</w:t>
            </w:r>
          </w:p>
          <w:p w14:paraId="57FF2F91">
            <w:pPr>
              <w:jc w:val="left"/>
              <w:rPr>
                <w:rFonts w:ascii="宋体" w:hAnsi="宋体" w:eastAsia="宋体" w:cs="等线"/>
                <w:szCs w:val="21"/>
              </w:rPr>
            </w:pPr>
            <w:r>
              <w:rPr>
                <w:rFonts w:hint="eastAsia" w:ascii="宋体" w:hAnsi="宋体" w:eastAsia="宋体" w:cs="等线"/>
                <w:szCs w:val="21"/>
              </w:rPr>
              <w:t>（16）应包含≥5路信号源可以在面板上一键切换；</w:t>
            </w:r>
          </w:p>
          <w:p w14:paraId="375D8384">
            <w:pPr>
              <w:jc w:val="left"/>
              <w:rPr>
                <w:rFonts w:ascii="宋体" w:hAnsi="宋体" w:eastAsia="宋体" w:cs="等线"/>
                <w:szCs w:val="21"/>
              </w:rPr>
            </w:pPr>
            <w:r>
              <w:rPr>
                <w:rFonts w:hint="eastAsia" w:ascii="宋体" w:hAnsi="宋体" w:eastAsia="宋体" w:cs="等线"/>
                <w:szCs w:val="21"/>
              </w:rPr>
              <w:t>（17）应具有白平衡校准、色域匹配、色温调节等功能；</w:t>
            </w:r>
          </w:p>
          <w:p w14:paraId="581BA64B">
            <w:pPr>
              <w:jc w:val="left"/>
              <w:rPr>
                <w:rFonts w:ascii="宋体" w:hAnsi="宋体" w:eastAsia="宋体" w:cs="等线"/>
                <w:szCs w:val="21"/>
              </w:rPr>
            </w:pPr>
            <w:r>
              <w:rPr>
                <w:rFonts w:hint="eastAsia" w:ascii="宋体" w:hAnsi="宋体" w:eastAsia="宋体" w:cs="等线"/>
                <w:szCs w:val="21"/>
              </w:rPr>
              <w:t>（18）视频处理器应支持不低于1920x1080的显示器分辨率。</w:t>
            </w:r>
          </w:p>
          <w:p w14:paraId="34E8E56A">
            <w:pPr>
              <w:jc w:val="left"/>
            </w:pPr>
            <w:r>
              <w:rPr>
                <w:rFonts w:hint="eastAsia" w:ascii="宋体" w:hAnsi="宋体" w:eastAsia="宋体" w:cs="等线"/>
                <w:szCs w:val="21"/>
              </w:rPr>
              <w:t>（19）质保期不低于三年，质保期内提供24小时内响应。</w:t>
            </w:r>
          </w:p>
          <w:p w14:paraId="2C82E5D1">
            <w:pPr>
              <w:jc w:val="left"/>
              <w:rPr>
                <w:rFonts w:ascii="宋体" w:hAnsi="宋体" w:eastAsia="宋体" w:cs="等线"/>
                <w:szCs w:val="21"/>
              </w:rPr>
            </w:pPr>
            <w:r>
              <w:rPr>
                <w:rFonts w:hint="eastAsia" w:ascii="宋体" w:hAnsi="宋体" w:eastAsia="宋体" w:cs="等线"/>
                <w:szCs w:val="21"/>
              </w:rPr>
              <w:t>2.智能交互配套显示模块内置</w:t>
            </w:r>
            <w:r>
              <w:rPr>
                <w:rStyle w:val="64"/>
                <w:rFonts w:hint="eastAsia"/>
              </w:rPr>
              <w:t>系统</w:t>
            </w:r>
            <w:r>
              <w:rPr>
                <w:rFonts w:hint="eastAsia" w:ascii="宋体" w:hAnsi="宋体" w:eastAsia="宋体" w:cs="等线"/>
                <w:szCs w:val="21"/>
              </w:rPr>
              <w:t>参数</w:t>
            </w:r>
          </w:p>
          <w:p w14:paraId="0A344027">
            <w:pPr>
              <w:jc w:val="left"/>
              <w:rPr>
                <w:rFonts w:ascii="宋体" w:hAnsi="宋体" w:eastAsia="宋体" w:cs="等线"/>
                <w:szCs w:val="21"/>
              </w:rPr>
            </w:pPr>
            <w:r>
              <w:rPr>
                <w:rFonts w:hint="eastAsia" w:ascii="宋体" w:hAnsi="宋体" w:eastAsia="宋体" w:cs="等线"/>
                <w:szCs w:val="21"/>
              </w:rPr>
              <w:t>（1）操作系统不低于Android 8.0</w:t>
            </w:r>
          </w:p>
          <w:p w14:paraId="1A73CC81">
            <w:pPr>
              <w:jc w:val="left"/>
              <w:rPr>
                <w:rFonts w:ascii="宋体" w:hAnsi="宋体" w:eastAsia="宋体" w:cs="等线"/>
                <w:szCs w:val="21"/>
              </w:rPr>
            </w:pPr>
            <w:r>
              <w:rPr>
                <w:rFonts w:hint="eastAsia" w:ascii="宋体" w:hAnsi="宋体" w:eastAsia="宋体" w:cs="等线"/>
                <w:szCs w:val="21"/>
              </w:rPr>
              <w:t>（2）CPU不少于4核A73*2+A53*2，主频1.5GHz</w:t>
            </w:r>
          </w:p>
          <w:p w14:paraId="3FCDC121">
            <w:pPr>
              <w:jc w:val="left"/>
              <w:rPr>
                <w:rFonts w:ascii="宋体" w:hAnsi="宋体" w:eastAsia="宋体" w:cs="等线"/>
                <w:szCs w:val="21"/>
              </w:rPr>
            </w:pPr>
            <w:r>
              <w:rPr>
                <w:rFonts w:hint="eastAsia" w:ascii="宋体" w:hAnsi="宋体" w:eastAsia="宋体" w:cs="等线"/>
                <w:szCs w:val="21"/>
              </w:rPr>
              <w:t>（3）内存不小于3GB</w:t>
            </w:r>
          </w:p>
          <w:p w14:paraId="46AEAE1B">
            <w:pPr>
              <w:jc w:val="left"/>
              <w:rPr>
                <w:rFonts w:ascii="宋体" w:hAnsi="宋体" w:eastAsia="宋体" w:cs="等线"/>
                <w:szCs w:val="21"/>
              </w:rPr>
            </w:pPr>
            <w:r>
              <w:rPr>
                <w:rFonts w:hint="eastAsia" w:ascii="宋体" w:hAnsi="宋体" w:eastAsia="宋体" w:cs="等线"/>
                <w:szCs w:val="21"/>
              </w:rPr>
              <w:t>（4）内置存储不小于64 GB</w:t>
            </w:r>
          </w:p>
          <w:p w14:paraId="6573ED62">
            <w:pPr>
              <w:jc w:val="left"/>
              <w:rPr>
                <w:rFonts w:ascii="宋体" w:hAnsi="宋体" w:eastAsia="宋体" w:cs="等线"/>
                <w:szCs w:val="21"/>
              </w:rPr>
            </w:pPr>
            <w:r>
              <w:rPr>
                <w:rFonts w:hint="eastAsia" w:ascii="宋体" w:hAnsi="宋体" w:eastAsia="宋体" w:cs="等线"/>
                <w:szCs w:val="21"/>
              </w:rPr>
              <w:t>（5）触摸方式不低于红外触控</w:t>
            </w:r>
          </w:p>
          <w:p w14:paraId="6D118A0B">
            <w:pPr>
              <w:jc w:val="left"/>
              <w:rPr>
                <w:rFonts w:ascii="宋体" w:hAnsi="宋体" w:eastAsia="宋体" w:cs="等线"/>
                <w:szCs w:val="21"/>
              </w:rPr>
            </w:pPr>
            <w:r>
              <w:rPr>
                <w:rFonts w:hint="eastAsia" w:ascii="宋体" w:hAnsi="宋体" w:eastAsia="宋体" w:cs="等线"/>
                <w:szCs w:val="21"/>
              </w:rPr>
              <w:t>（6）触控点不少于20点</w:t>
            </w:r>
          </w:p>
          <w:p w14:paraId="7C11B81E">
            <w:pPr>
              <w:jc w:val="left"/>
              <w:rPr>
                <w:rFonts w:ascii="宋体" w:hAnsi="宋体" w:eastAsia="宋体" w:cs="等线"/>
                <w:szCs w:val="21"/>
              </w:rPr>
            </w:pPr>
            <w:r>
              <w:rPr>
                <w:rFonts w:hint="eastAsia" w:ascii="宋体" w:hAnsi="宋体" w:eastAsia="宋体" w:cs="等线"/>
                <w:szCs w:val="21"/>
              </w:rPr>
              <w:t>（7）触控响应速度</w:t>
            </w:r>
            <w:r>
              <w:rPr>
                <w:rFonts w:hint="eastAsia" w:ascii="宋体" w:hAnsi="宋体" w:eastAsia="宋体" w:cs="等线"/>
                <w:szCs w:val="21"/>
                <w:shd w:val="clear" w:color="auto" w:fill="FFFFFF" w:themeFill="background1"/>
              </w:rPr>
              <w:t>不大于10m</w:t>
            </w:r>
            <w:r>
              <w:rPr>
                <w:rFonts w:hint="eastAsia" w:ascii="宋体" w:hAnsi="宋体" w:eastAsia="宋体" w:cs="等线"/>
                <w:szCs w:val="21"/>
              </w:rPr>
              <w:t>s</w:t>
            </w:r>
          </w:p>
          <w:p w14:paraId="0E0657B2">
            <w:pPr>
              <w:jc w:val="left"/>
              <w:rPr>
                <w:rFonts w:eastAsia="宋体"/>
              </w:rPr>
            </w:pPr>
            <w:r>
              <w:rPr>
                <w:rFonts w:hint="eastAsia" w:ascii="宋体" w:hAnsi="宋体" w:eastAsia="宋体" w:cs="等线"/>
                <w:szCs w:val="21"/>
              </w:rPr>
              <w:t>（8）质保期不低于三年，质保期内提供24小时内响应</w:t>
            </w:r>
          </w:p>
          <w:p w14:paraId="5EF54A15">
            <w:pPr>
              <w:jc w:val="left"/>
              <w:rPr>
                <w:rFonts w:ascii="宋体" w:hAnsi="宋体" w:eastAsia="宋体" w:cs="等线"/>
                <w:szCs w:val="21"/>
              </w:rPr>
            </w:pPr>
            <w:r>
              <w:rPr>
                <w:rFonts w:hint="eastAsia" w:ascii="宋体" w:hAnsi="宋体" w:eastAsia="宋体" w:cs="等线"/>
                <w:szCs w:val="21"/>
              </w:rPr>
              <w:t>三、智能建造人员管理模块：</w:t>
            </w:r>
          </w:p>
          <w:p w14:paraId="5F9307C0">
            <w:pPr>
              <w:jc w:val="left"/>
              <w:rPr>
                <w:rFonts w:ascii="宋体" w:hAnsi="宋体" w:eastAsia="宋体" w:cs="等线"/>
                <w:szCs w:val="21"/>
              </w:rPr>
            </w:pPr>
            <w:r>
              <w:rPr>
                <w:rFonts w:hint="eastAsia" w:ascii="宋体" w:hAnsi="宋体" w:eastAsia="宋体" w:cs="等线"/>
                <w:szCs w:val="21"/>
              </w:rPr>
              <w:t>1.全高闸(①顶≥1.2mm厚，框≥1.0厚；②通道宽度：不小于650MM；③通行速度：不低于25人/分钟)，应支持两通道行走，具备防翻转功能，保证一卡（配套不少于300张卡）一人。</w:t>
            </w:r>
          </w:p>
          <w:p w14:paraId="12452306">
            <w:pPr>
              <w:jc w:val="left"/>
              <w:rPr>
                <w:rFonts w:ascii="宋体" w:hAnsi="宋体" w:eastAsia="宋体" w:cs="等线"/>
                <w:szCs w:val="21"/>
              </w:rPr>
            </w:pPr>
            <w:r>
              <w:rPr>
                <w:rFonts w:hint="eastAsia" w:ascii="宋体" w:hAnsi="宋体" w:eastAsia="宋体" w:cs="等线"/>
                <w:szCs w:val="21"/>
              </w:rPr>
              <w:t>2.模块身份识别系统应支持不少于4台人脸识别采集设备考勤机（物理像素≥200 万像素），尺寸不小于7英寸TN屏，应支持50000以上人脸库；人脸识别考勤机具备不少于两个摄像头辨别活体防伪，人脸识别精度不小于99.9%。</w:t>
            </w:r>
          </w:p>
          <w:p w14:paraId="56F20F55">
            <w:pPr>
              <w:jc w:val="left"/>
              <w:rPr>
                <w:rFonts w:ascii="宋体" w:hAnsi="宋体" w:eastAsia="宋体" w:cs="等线"/>
                <w:szCs w:val="21"/>
              </w:rPr>
            </w:pPr>
            <w:r>
              <w:rPr>
                <w:rFonts w:hint="eastAsia" w:ascii="宋体" w:hAnsi="宋体" w:eastAsia="宋体" w:cs="等线"/>
                <w:szCs w:val="21"/>
              </w:rPr>
              <w:t>3.模块的显示终端整机尺寸不小于 55 寸，分辨率不小于3840*2160，应支持与劳务系统联动实时显示人员考勤数据。</w:t>
            </w:r>
          </w:p>
          <w:p w14:paraId="22C62096">
            <w:pPr>
              <w:jc w:val="left"/>
              <w:rPr>
                <w:rFonts w:ascii="宋体" w:hAnsi="宋体" w:eastAsia="宋体" w:cs="等线"/>
                <w:szCs w:val="21"/>
              </w:rPr>
            </w:pPr>
            <w:r>
              <w:rPr>
                <w:rFonts w:hint="eastAsia" w:ascii="宋体" w:hAnsi="宋体" w:eastAsia="宋体" w:cs="等线"/>
                <w:szCs w:val="21"/>
              </w:rPr>
              <w:t>4.其它功能：</w:t>
            </w:r>
          </w:p>
          <w:p w14:paraId="0A06E1AC">
            <w:pPr>
              <w:jc w:val="left"/>
              <w:rPr>
                <w:rFonts w:ascii="宋体" w:hAnsi="宋体" w:eastAsia="宋体" w:cs="等线"/>
                <w:szCs w:val="21"/>
              </w:rPr>
            </w:pPr>
            <w:r>
              <w:rPr>
                <w:rFonts w:hint="eastAsia" w:ascii="宋体" w:hAnsi="宋体" w:eastAsia="宋体" w:cs="等线"/>
                <w:szCs w:val="21"/>
              </w:rPr>
              <w:t>（1)通过装载芯片的智能安全帽（①安全帽内置电池容量：≥5000mah；，②头盔重量≤630g；③安全帽应具备高强度、高韧性、耐腐蚀、耐高温等特性，④安全帽防护等级应不低于IP66；⑤安全帽外观颜色应包括：红色≥3顶、白色≥30顶、蓝色≥30顶、黄色≥3顶；⑥安全帽上应配置六颗实体按键——开关电源键、求救SOS键、一键对讲键、拍照键、录像键、手电筒灯按键；⑦智能安全帽像素：≥1300万像素 ，≥137°视角，不低于1080P，摄像头、照明灯、激光支持上下柔性调节，不低于66顶），实现人员的场内作业定位及运行轨迹追踪；</w:t>
            </w:r>
          </w:p>
          <w:p w14:paraId="67A9B398">
            <w:pPr>
              <w:jc w:val="left"/>
              <w:rPr>
                <w:rFonts w:ascii="宋体" w:hAnsi="宋体" w:eastAsia="宋体" w:cs="等线"/>
                <w:szCs w:val="21"/>
              </w:rPr>
            </w:pPr>
            <w:r>
              <w:rPr>
                <w:rFonts w:hint="eastAsia" w:ascii="宋体" w:hAnsi="宋体" w:eastAsia="宋体" w:cs="等线"/>
                <w:szCs w:val="21"/>
              </w:rPr>
              <w:t xml:space="preserve">（2)支持报表自定义格式，满足项目层不同的管理需求； </w:t>
            </w:r>
          </w:p>
          <w:p w14:paraId="7F5F366D">
            <w:pPr>
              <w:jc w:val="left"/>
              <w:rPr>
                <w:rFonts w:ascii="宋体" w:hAnsi="宋体" w:eastAsia="宋体" w:cs="等线"/>
                <w:szCs w:val="21"/>
              </w:rPr>
            </w:pPr>
            <w:r>
              <w:rPr>
                <w:rFonts w:hint="eastAsia" w:ascii="宋体" w:hAnsi="宋体" w:eastAsia="宋体" w:cs="等线"/>
                <w:szCs w:val="21"/>
              </w:rPr>
              <w:t>（3)工人档案信息卡应包括：人员基本信息、资格证书、评价记录信息；</w:t>
            </w:r>
          </w:p>
          <w:p w14:paraId="754E358F">
            <w:pPr>
              <w:jc w:val="left"/>
              <w:rPr>
                <w:rFonts w:ascii="宋体" w:hAnsi="宋体" w:eastAsia="宋体" w:cs="等线"/>
                <w:szCs w:val="21"/>
              </w:rPr>
            </w:pPr>
            <w:r>
              <w:rPr>
                <w:rFonts w:hint="eastAsia" w:ascii="宋体" w:hAnsi="宋体" w:eastAsia="宋体" w:cs="等线"/>
                <w:szCs w:val="21"/>
              </w:rPr>
              <w:t>（4)应具备证件失效、年龄不符、黑名单禁入、人证不一致、不良记录、重点区域预警等预警和报警类型；</w:t>
            </w:r>
          </w:p>
          <w:p w14:paraId="0CD7AD68">
            <w:pPr>
              <w:jc w:val="left"/>
              <w:rPr>
                <w:rFonts w:ascii="宋体" w:hAnsi="宋体" w:eastAsia="宋体" w:cs="等线"/>
                <w:szCs w:val="21"/>
              </w:rPr>
            </w:pPr>
            <w:r>
              <w:rPr>
                <w:rFonts w:hint="eastAsia" w:ascii="宋体" w:hAnsi="宋体" w:eastAsia="宋体" w:cs="等线"/>
                <w:szCs w:val="21"/>
              </w:rPr>
              <w:t>（5)应支持人员打卡考勤，并可将人员进、出信息导出。</w:t>
            </w:r>
          </w:p>
          <w:p w14:paraId="297D5260">
            <w:pPr>
              <w:jc w:val="left"/>
              <w:rPr>
                <w:rFonts w:ascii="宋体" w:hAnsi="宋体" w:eastAsia="宋体" w:cs="等线"/>
                <w:szCs w:val="21"/>
              </w:rPr>
            </w:pPr>
            <w:r>
              <w:rPr>
                <w:rFonts w:hint="eastAsia" w:ascii="宋体" w:hAnsi="宋体" w:eastAsia="宋体" w:cs="等线"/>
                <w:szCs w:val="21"/>
              </w:rPr>
              <w:t>（6)应支持自由设置上下班时间，当同一人在系统设置的上下班时间内，系统应具备自动识别第一条记录为打卡时间。</w:t>
            </w:r>
          </w:p>
          <w:p w14:paraId="5A3FAFFC">
            <w:pPr>
              <w:jc w:val="left"/>
              <w:rPr>
                <w:rFonts w:ascii="宋体" w:hAnsi="宋体" w:eastAsia="宋体" w:cs="等线"/>
                <w:szCs w:val="21"/>
              </w:rPr>
            </w:pPr>
            <w:r>
              <w:rPr>
                <w:rFonts w:hint="eastAsia" w:ascii="宋体" w:hAnsi="宋体" w:eastAsia="宋体" w:cs="等线"/>
                <w:szCs w:val="21"/>
              </w:rPr>
              <w:t>（7)应支持人员出入信息记录存储、统计、分析功能。所有人员的通行记录都以文本形式保存，需要调用、查阅该记录时，可通过软件查询实现。</w:t>
            </w:r>
          </w:p>
          <w:p w14:paraId="4B4ED1DD">
            <w:pPr>
              <w:jc w:val="left"/>
              <w:rPr>
                <w:rFonts w:ascii="宋体" w:hAnsi="宋体" w:eastAsia="宋体" w:cs="等线"/>
                <w:szCs w:val="21"/>
              </w:rPr>
            </w:pPr>
            <w:r>
              <w:rPr>
                <w:rFonts w:hint="eastAsia" w:ascii="宋体" w:hAnsi="宋体" w:eastAsia="宋体" w:cs="等线"/>
                <w:szCs w:val="21"/>
              </w:rPr>
              <w:t>（8)应支持花名册功能，可按姓名、身份证号、安全帽号模糊查询、按在岗状态进行人员查询，点击人员姓名，展示人员的详细信息功能；</w:t>
            </w:r>
          </w:p>
          <w:p w14:paraId="12B34F72">
            <w:pPr>
              <w:jc w:val="left"/>
              <w:rPr>
                <w:rFonts w:ascii="宋体" w:hAnsi="宋体" w:eastAsia="宋体" w:cs="等线"/>
                <w:szCs w:val="21"/>
              </w:rPr>
            </w:pPr>
            <w:r>
              <w:rPr>
                <w:rFonts w:hint="eastAsia" w:ascii="宋体" w:hAnsi="宋体" w:eastAsia="宋体" w:cs="等线"/>
                <w:szCs w:val="21"/>
              </w:rPr>
              <w:t>5.质保期不低于三年，质保期内提供24小时内响应，同时提供</w:t>
            </w:r>
            <w:r>
              <w:rPr>
                <w:rFonts w:hint="eastAsia" w:ascii="宋体" w:hAnsi="宋体" w:eastAsia="宋体" w:cs="Times New Roman"/>
                <w:kern w:val="0"/>
                <w:sz w:val="22"/>
              </w:rPr>
              <w:t>不少于三次线下培训（培训讲师不少于2人，每次培训人次不低于10人）</w:t>
            </w:r>
            <w:r>
              <w:rPr>
                <w:rFonts w:hint="eastAsia" w:ascii="宋体" w:hAnsi="宋体" w:eastAsia="宋体" w:cs="等线"/>
                <w:szCs w:val="21"/>
              </w:rPr>
              <w:t>。</w:t>
            </w:r>
          </w:p>
          <w:p w14:paraId="38D821D5">
            <w:pPr>
              <w:jc w:val="left"/>
              <w:rPr>
                <w:rFonts w:ascii="宋体" w:hAnsi="宋体" w:eastAsia="宋体" w:cs="等线"/>
                <w:szCs w:val="21"/>
              </w:rPr>
            </w:pPr>
            <w:r>
              <w:rPr>
                <w:rFonts w:hint="eastAsia" w:ascii="宋体" w:hAnsi="宋体" w:eastAsia="宋体" w:cs="等线"/>
                <w:szCs w:val="21"/>
              </w:rPr>
              <w:t>四、环境监测AIOT实训模块：</w:t>
            </w:r>
          </w:p>
          <w:p w14:paraId="7A0E6198">
            <w:pPr>
              <w:jc w:val="left"/>
              <w:rPr>
                <w:rFonts w:ascii="宋体" w:hAnsi="宋体" w:eastAsia="宋体" w:cs="等线"/>
                <w:szCs w:val="21"/>
              </w:rPr>
            </w:pPr>
            <w:r>
              <w:rPr>
                <w:rFonts w:hint="eastAsia" w:ascii="宋体" w:hAnsi="宋体" w:eastAsia="宋体" w:cs="等线"/>
                <w:szCs w:val="21"/>
              </w:rPr>
              <w:t>1.环境监测AIOT实训模块的空气质量监测系统应包含粉尘传感器、风向传感器、风速传感器、温湿度传感器等以及相应的无线传输模块。监测结果需符合国家相关标准（《环境空气质量标准》、《施工场地扬尘排放标准》文件）。</w:t>
            </w:r>
          </w:p>
          <w:p w14:paraId="67594793">
            <w:pPr>
              <w:jc w:val="left"/>
              <w:rPr>
                <w:rFonts w:ascii="宋体" w:hAnsi="宋体" w:eastAsia="宋体" w:cs="等线"/>
                <w:szCs w:val="21"/>
              </w:rPr>
            </w:pPr>
            <w:r>
              <w:rPr>
                <w:rFonts w:hint="eastAsia" w:ascii="宋体" w:hAnsi="宋体" w:eastAsia="宋体" w:cs="等线"/>
                <w:szCs w:val="21"/>
              </w:rPr>
              <w:t>2.环境监测AIOT实训模块的噪音监测系统应包括噪音传感器以及相应的无线传输模块，支持后台设备管理，远程配置在线校准。</w:t>
            </w:r>
          </w:p>
          <w:p w14:paraId="26E22801">
            <w:pPr>
              <w:jc w:val="left"/>
              <w:rPr>
                <w:rFonts w:ascii="宋体" w:hAnsi="宋体" w:eastAsia="宋体" w:cs="等线"/>
                <w:szCs w:val="21"/>
              </w:rPr>
            </w:pPr>
            <w:r>
              <w:rPr>
                <w:rFonts w:hint="eastAsia" w:ascii="宋体" w:hAnsi="宋体" w:eastAsia="宋体" w:cs="等线"/>
                <w:szCs w:val="21"/>
              </w:rPr>
              <w:t>3.环境监测AIOT实训模块的监测系统管理设备应采用LED显示器、噪声、风速、风向、温度、湿度、大气压等数据。系统可远程配置在线校准。</w:t>
            </w:r>
          </w:p>
          <w:p w14:paraId="1F4AD6AC">
            <w:pPr>
              <w:jc w:val="left"/>
              <w:rPr>
                <w:rFonts w:ascii="宋体" w:hAnsi="宋体" w:eastAsia="宋体" w:cs="等线"/>
                <w:szCs w:val="21"/>
              </w:rPr>
            </w:pPr>
            <w:r>
              <w:rPr>
                <w:rFonts w:hint="eastAsia" w:ascii="宋体" w:hAnsi="宋体" w:eastAsia="宋体" w:cs="等线"/>
                <w:szCs w:val="21"/>
              </w:rPr>
              <w:t>4.环境监测AIOT实训模块的扬尘在线监测系统应具备联动降尘雾炮1个（ ①实际喷洒范围不小于20米； ②水平转角不小于180度，仰俯不小于45度）、支持自动喷淋联动设备1个（整机额定功率≤36W）等联动控制设备，扬尘超标时自动开启。</w:t>
            </w:r>
          </w:p>
          <w:p w14:paraId="186C22AD">
            <w:pPr>
              <w:jc w:val="left"/>
              <w:rPr>
                <w:rFonts w:ascii="宋体" w:hAnsi="宋体" w:eastAsia="宋体" w:cs="等线"/>
                <w:szCs w:val="21"/>
              </w:rPr>
            </w:pPr>
            <w:r>
              <w:rPr>
                <w:rFonts w:hint="eastAsia" w:ascii="宋体" w:hAnsi="宋体" w:eastAsia="宋体" w:cs="等线"/>
                <w:szCs w:val="21"/>
              </w:rPr>
              <w:t>5.质保期不低于三年，质保期内提供24小时内响应，同时提供</w:t>
            </w:r>
            <w:r>
              <w:rPr>
                <w:rFonts w:hint="eastAsia" w:ascii="宋体" w:hAnsi="宋体" w:eastAsia="宋体" w:cs="Times New Roman"/>
                <w:kern w:val="0"/>
                <w:sz w:val="22"/>
              </w:rPr>
              <w:t>不少于三次线下培训（培训讲师不少于2人，每次培训人次不低于10人）</w:t>
            </w:r>
            <w:r>
              <w:rPr>
                <w:rFonts w:hint="eastAsia" w:ascii="宋体" w:hAnsi="宋体" w:eastAsia="宋体" w:cs="等线"/>
                <w:szCs w:val="21"/>
              </w:rPr>
              <w:t>。</w:t>
            </w:r>
          </w:p>
          <w:p w14:paraId="778A21FD">
            <w:pPr>
              <w:jc w:val="left"/>
              <w:rPr>
                <w:rFonts w:ascii="宋体" w:hAnsi="宋体" w:eastAsia="宋体" w:cs="等线"/>
                <w:szCs w:val="21"/>
              </w:rPr>
            </w:pPr>
            <w:r>
              <w:rPr>
                <w:rFonts w:hint="eastAsia" w:ascii="宋体" w:hAnsi="宋体" w:eastAsia="宋体" w:cs="等线"/>
                <w:szCs w:val="21"/>
              </w:rPr>
              <w:t>五、虚实一体化塔机监测模块：</w:t>
            </w:r>
          </w:p>
          <w:p w14:paraId="62388FDA">
            <w:pPr>
              <w:jc w:val="left"/>
              <w:rPr>
                <w:rFonts w:ascii="宋体" w:hAnsi="宋体" w:eastAsia="宋体" w:cs="等线"/>
                <w:szCs w:val="21"/>
              </w:rPr>
            </w:pPr>
            <w:r>
              <w:rPr>
                <w:rFonts w:hint="eastAsia" w:ascii="宋体" w:hAnsi="宋体" w:eastAsia="宋体" w:cs="等线"/>
                <w:szCs w:val="21"/>
              </w:rPr>
              <w:t>1.虚实一体化塔机监测模块传感器监测系统，应包含重量传感器（监测吊钩上的荷载重量，防止超载）、力矩传感器（监测塔吊的力矩，确保塔吊在安全范围内工作）、风速传感器（监测风速，超过限定风速时自动停止作业）、斜传感器（监测塔吊的倾斜度，防止倾斜过大导致倾覆）、高度限制器（限制塔吊的上升高度，避免过高作业）。可实时监控塔吊运行中的高度、幅度、转角、吊重、力矩、回转、风速等实时参数；主控器通过无线方式收集监测系统数据。</w:t>
            </w:r>
          </w:p>
          <w:p w14:paraId="3DCE57B9">
            <w:pPr>
              <w:jc w:val="left"/>
              <w:rPr>
                <w:rFonts w:ascii="宋体" w:hAnsi="宋体" w:eastAsia="宋体" w:cs="等线"/>
                <w:szCs w:val="21"/>
              </w:rPr>
            </w:pPr>
            <w:r>
              <w:rPr>
                <w:rFonts w:hint="eastAsia" w:ascii="宋体" w:hAnsi="宋体" w:eastAsia="宋体" w:cs="等线"/>
                <w:szCs w:val="21"/>
              </w:rPr>
              <w:t>2.虚实一体化塔机监测模块包括显示器尺寸不小于5英寸，分辨率不小于800*480；</w:t>
            </w:r>
          </w:p>
          <w:p w14:paraId="7B60CD74">
            <w:pPr>
              <w:jc w:val="left"/>
              <w:rPr>
                <w:rFonts w:ascii="宋体" w:hAnsi="宋体" w:eastAsia="宋体" w:cs="等线"/>
                <w:szCs w:val="21"/>
              </w:rPr>
            </w:pPr>
            <w:r>
              <w:rPr>
                <w:rFonts w:hint="eastAsia" w:ascii="宋体" w:hAnsi="宋体" w:eastAsia="宋体" w:cs="等线"/>
                <w:szCs w:val="21"/>
              </w:rPr>
              <w:t>3.虚实一体化塔机监测模块视频监控系统应包含高清摄像头安装在塔吊的吊钩、驾驶室（模拟驾驶位）和关键部位，实时监控作业情况，应支持随时远程在系统查看塔吊吊钩画面，回放视频。</w:t>
            </w:r>
          </w:p>
          <w:p w14:paraId="31C201D9">
            <w:pPr>
              <w:jc w:val="left"/>
              <w:rPr>
                <w:rFonts w:ascii="宋体" w:hAnsi="宋体" w:eastAsia="宋体" w:cs="等线"/>
                <w:szCs w:val="21"/>
              </w:rPr>
            </w:pPr>
            <w:r>
              <w:rPr>
                <w:rFonts w:hint="eastAsia" w:ascii="宋体" w:hAnsi="宋体" w:eastAsia="宋体" w:cs="等线"/>
                <w:szCs w:val="21"/>
              </w:rPr>
              <w:t>4.虚实一体化塔机监测模块中央监控系统应支持查看集中显示塔吊的运行状态（高度、幅度、重量、力矩、回转、风速等）、报警信息和视频画面。应支持监测到异常情况时，系统实现自动报警，并提示操作人员采取相应措施。</w:t>
            </w:r>
          </w:p>
          <w:p w14:paraId="3069AA07">
            <w:pPr>
              <w:jc w:val="left"/>
              <w:rPr>
                <w:rFonts w:ascii="宋体" w:hAnsi="宋体" w:eastAsia="宋体" w:cs="等线"/>
                <w:szCs w:val="21"/>
              </w:rPr>
            </w:pPr>
            <w:r>
              <w:rPr>
                <w:rFonts w:hint="eastAsia" w:ascii="宋体" w:hAnsi="宋体" w:eastAsia="宋体" w:cs="等线"/>
                <w:szCs w:val="21"/>
              </w:rPr>
              <w:t>5.虚实一体化塔机监测模块安全防护系统功能应支持以下功能：</w:t>
            </w:r>
          </w:p>
          <w:p w14:paraId="1C6E9117">
            <w:pPr>
              <w:jc w:val="left"/>
              <w:rPr>
                <w:rFonts w:ascii="宋体" w:hAnsi="宋体" w:eastAsia="宋体" w:cs="等线"/>
                <w:szCs w:val="21"/>
              </w:rPr>
            </w:pPr>
            <w:r>
              <w:rPr>
                <w:rFonts w:hint="eastAsia" w:ascii="宋体" w:hAnsi="宋体" w:eastAsia="宋体" w:cs="等线"/>
                <w:szCs w:val="21"/>
              </w:rPr>
              <w:t>（1)支持防碰撞监控功能，对工作区域存在干涉的相邻塔机，任何部位间存在碰撞趋势，立即发出报警信号</w:t>
            </w:r>
          </w:p>
          <w:p w14:paraId="17262D27">
            <w:pPr>
              <w:jc w:val="left"/>
              <w:rPr>
                <w:rFonts w:ascii="宋体" w:hAnsi="宋体" w:eastAsia="宋体" w:cs="等线"/>
                <w:szCs w:val="21"/>
              </w:rPr>
            </w:pPr>
            <w:r>
              <w:rPr>
                <w:rFonts w:hint="eastAsia" w:ascii="宋体" w:hAnsi="宋体" w:eastAsia="宋体" w:cs="等线"/>
                <w:szCs w:val="21"/>
              </w:rPr>
              <w:t>（2)支持区域保护功能，可设定电子围栏，防止塔吊超出规定作业区域。</w:t>
            </w:r>
          </w:p>
          <w:p w14:paraId="64D9945C">
            <w:pPr>
              <w:jc w:val="left"/>
              <w:rPr>
                <w:rFonts w:ascii="宋体" w:hAnsi="宋体" w:eastAsia="宋体" w:cs="等线"/>
                <w:szCs w:val="21"/>
              </w:rPr>
            </w:pPr>
            <w:r>
              <w:rPr>
                <w:rFonts w:hint="eastAsia" w:ascii="宋体" w:hAnsi="宋体" w:eastAsia="宋体" w:cs="等线"/>
                <w:szCs w:val="21"/>
              </w:rPr>
              <w:t>（3)支持塔机在超风速条件下作业时，发出报警。</w:t>
            </w:r>
          </w:p>
          <w:p w14:paraId="07CA1F88">
            <w:pPr>
              <w:jc w:val="left"/>
              <w:rPr>
                <w:rFonts w:ascii="宋体" w:hAnsi="宋体" w:eastAsia="宋体" w:cs="等线"/>
                <w:szCs w:val="21"/>
              </w:rPr>
            </w:pPr>
            <w:r>
              <w:rPr>
                <w:rFonts w:hint="eastAsia" w:ascii="宋体" w:hAnsi="宋体" w:eastAsia="宋体" w:cs="等线"/>
                <w:szCs w:val="21"/>
              </w:rPr>
              <w:t>（4)支持塔机运行靠近高压线或建筑物等禁行区时，发出报警。</w:t>
            </w:r>
          </w:p>
          <w:p w14:paraId="302FB6E4">
            <w:pPr>
              <w:jc w:val="left"/>
              <w:rPr>
                <w:rFonts w:ascii="宋体" w:hAnsi="宋体" w:eastAsia="宋体" w:cs="等线"/>
                <w:szCs w:val="21"/>
              </w:rPr>
            </w:pPr>
            <w:r>
              <w:rPr>
                <w:rFonts w:hint="eastAsia" w:ascii="宋体" w:hAnsi="宋体" w:eastAsia="宋体" w:cs="等线"/>
                <w:szCs w:val="21"/>
              </w:rPr>
              <w:t>（5)支持通过对塔吊司机实行人脸识别、实名制管理，进行有效监管。</w:t>
            </w:r>
          </w:p>
          <w:p w14:paraId="50EC1CAE">
            <w:pPr>
              <w:jc w:val="left"/>
              <w:rPr>
                <w:rFonts w:ascii="宋体" w:hAnsi="宋体" w:eastAsia="宋体" w:cs="等线"/>
                <w:szCs w:val="21"/>
              </w:rPr>
            </w:pPr>
            <w:r>
              <w:rPr>
                <w:rFonts w:hint="eastAsia" w:ascii="宋体" w:hAnsi="宋体" w:eastAsia="宋体" w:cs="等线"/>
                <w:szCs w:val="21"/>
              </w:rPr>
              <w:t>（6)支持超载保护，对起重量达到额定起重量的进行报警；</w:t>
            </w:r>
          </w:p>
          <w:p w14:paraId="41171A89">
            <w:pPr>
              <w:jc w:val="left"/>
              <w:rPr>
                <w:rFonts w:ascii="宋体" w:hAnsi="宋体" w:eastAsia="宋体" w:cs="等线"/>
                <w:szCs w:val="21"/>
              </w:rPr>
            </w:pPr>
            <w:r>
              <w:rPr>
                <w:rFonts w:hint="eastAsia" w:ascii="宋体" w:hAnsi="宋体" w:eastAsia="宋体" w:cs="等线"/>
                <w:szCs w:val="21"/>
              </w:rPr>
              <w:t>（7)数据存储功能：应支持实时采集并记录塔机的工作参数，自动累积存储工作信息，记录至少应存储最近工作循环的运行数据及对应时间点。</w:t>
            </w:r>
          </w:p>
          <w:p w14:paraId="2D161A07">
            <w:pPr>
              <w:jc w:val="left"/>
              <w:rPr>
                <w:rFonts w:ascii="宋体" w:hAnsi="宋体" w:eastAsia="宋体" w:cs="等线"/>
                <w:szCs w:val="21"/>
              </w:rPr>
            </w:pPr>
            <w:r>
              <w:rPr>
                <w:rFonts w:hint="eastAsia" w:ascii="宋体" w:hAnsi="宋体" w:eastAsia="宋体" w:cs="等线"/>
                <w:szCs w:val="21"/>
              </w:rPr>
              <w:t>（8)支持远程监管，通过监控平台对塔机运行情况可以进行远程实时监控。</w:t>
            </w:r>
          </w:p>
          <w:p w14:paraId="6BEC86D5">
            <w:pPr>
              <w:jc w:val="left"/>
              <w:rPr>
                <w:rFonts w:ascii="宋体" w:hAnsi="宋体" w:eastAsia="宋体" w:cs="等线"/>
                <w:szCs w:val="21"/>
              </w:rPr>
            </w:pPr>
            <w:r>
              <w:rPr>
                <w:rFonts w:hint="eastAsia" w:ascii="宋体" w:hAnsi="宋体" w:eastAsia="宋体" w:cs="等线"/>
                <w:szCs w:val="21"/>
              </w:rPr>
              <w:t>6.虚实一体化塔机监测模块中实物塔吊技术参数：</w:t>
            </w:r>
          </w:p>
          <w:p w14:paraId="601D3BBD">
            <w:pPr>
              <w:jc w:val="left"/>
              <w:rPr>
                <w:rFonts w:ascii="宋体" w:hAnsi="宋体" w:eastAsia="宋体" w:cs="等线"/>
                <w:szCs w:val="21"/>
              </w:rPr>
            </w:pPr>
            <w:r>
              <w:rPr>
                <w:rFonts w:hint="eastAsia" w:ascii="宋体" w:hAnsi="宋体" w:eastAsia="宋体" w:cs="等线"/>
                <w:szCs w:val="21"/>
              </w:rPr>
              <w:t>（1）塔吊模型：</w:t>
            </w:r>
          </w:p>
          <w:p w14:paraId="4EF2F553">
            <w:pPr>
              <w:jc w:val="left"/>
              <w:rPr>
                <w:rFonts w:ascii="宋体" w:hAnsi="宋体" w:eastAsia="宋体" w:cs="等线"/>
                <w:szCs w:val="21"/>
              </w:rPr>
            </w:pPr>
            <w:r>
              <w:rPr>
                <w:rFonts w:hint="eastAsia" w:ascii="宋体" w:hAnsi="宋体" w:eastAsia="宋体" w:cs="等线"/>
                <w:szCs w:val="21"/>
              </w:rPr>
              <w:t>高度：不低于</w:t>
            </w:r>
            <w:r>
              <w:rPr>
                <w:rFonts w:ascii="宋体" w:hAnsi="宋体" w:eastAsia="宋体" w:cs="等线"/>
                <w:szCs w:val="21"/>
              </w:rPr>
              <w:t>2米</w:t>
            </w:r>
          </w:p>
          <w:p w14:paraId="678B4333">
            <w:pPr>
              <w:jc w:val="left"/>
              <w:rPr>
                <w:rFonts w:ascii="宋体" w:hAnsi="宋体" w:eastAsia="宋体" w:cs="等线"/>
                <w:szCs w:val="21"/>
              </w:rPr>
            </w:pPr>
            <w:r>
              <w:rPr>
                <w:rFonts w:hint="eastAsia" w:ascii="宋体" w:hAnsi="宋体" w:eastAsia="宋体" w:cs="等线"/>
                <w:szCs w:val="21"/>
              </w:rPr>
              <w:t>前臂长：不低于</w:t>
            </w:r>
            <w:r>
              <w:rPr>
                <w:rFonts w:ascii="宋体" w:hAnsi="宋体" w:eastAsia="宋体" w:cs="等线"/>
                <w:szCs w:val="21"/>
              </w:rPr>
              <w:t>1.5m</w:t>
            </w:r>
          </w:p>
          <w:p w14:paraId="172A5170">
            <w:pPr>
              <w:jc w:val="left"/>
              <w:rPr>
                <w:rFonts w:ascii="宋体" w:hAnsi="宋体" w:eastAsia="宋体" w:cs="等线"/>
                <w:szCs w:val="21"/>
              </w:rPr>
            </w:pPr>
            <w:r>
              <w:rPr>
                <w:rFonts w:hint="eastAsia" w:ascii="宋体" w:hAnsi="宋体" w:eastAsia="宋体" w:cs="等线"/>
                <w:szCs w:val="21"/>
              </w:rPr>
              <w:t>后臂长：不低于</w:t>
            </w:r>
            <w:r>
              <w:rPr>
                <w:rFonts w:ascii="宋体" w:hAnsi="宋体" w:eastAsia="宋体" w:cs="等线"/>
                <w:szCs w:val="21"/>
              </w:rPr>
              <w:t>0.5m</w:t>
            </w:r>
          </w:p>
          <w:p w14:paraId="2CA37E02">
            <w:pPr>
              <w:jc w:val="left"/>
              <w:rPr>
                <w:rFonts w:ascii="宋体" w:hAnsi="宋体" w:eastAsia="宋体" w:cs="等线"/>
                <w:szCs w:val="21"/>
              </w:rPr>
            </w:pPr>
            <w:r>
              <w:rPr>
                <w:rFonts w:hint="eastAsia" w:ascii="宋体" w:hAnsi="宋体" w:eastAsia="宋体" w:cs="等线"/>
                <w:szCs w:val="21"/>
              </w:rPr>
              <w:t>塔吊半径：不低于</w:t>
            </w:r>
            <w:r>
              <w:rPr>
                <w:rFonts w:ascii="宋体" w:hAnsi="宋体" w:eastAsia="宋体" w:cs="等线"/>
                <w:szCs w:val="21"/>
              </w:rPr>
              <w:t>1</w:t>
            </w:r>
            <w:r>
              <w:rPr>
                <w:rFonts w:hint="eastAsia" w:ascii="宋体" w:hAnsi="宋体" w:eastAsia="宋体" w:cs="等线"/>
                <w:szCs w:val="21"/>
              </w:rPr>
              <w:t>.</w:t>
            </w:r>
            <w:r>
              <w:rPr>
                <w:rFonts w:ascii="宋体" w:hAnsi="宋体" w:eastAsia="宋体" w:cs="等线"/>
                <w:szCs w:val="21"/>
              </w:rPr>
              <w:t>8m，</w:t>
            </w:r>
          </w:p>
          <w:p w14:paraId="733F9836">
            <w:pPr>
              <w:jc w:val="left"/>
              <w:rPr>
                <w:rFonts w:ascii="宋体" w:hAnsi="宋体" w:eastAsia="宋体" w:cs="等线"/>
                <w:szCs w:val="21"/>
              </w:rPr>
            </w:pPr>
            <w:r>
              <w:rPr>
                <w:rFonts w:hint="eastAsia" w:ascii="宋体" w:hAnsi="宋体" w:eastAsia="宋体" w:cs="等线"/>
                <w:szCs w:val="21"/>
              </w:rPr>
              <w:t>吊钩吊重：最大吊重不低于</w:t>
            </w:r>
            <w:r>
              <w:rPr>
                <w:rFonts w:ascii="宋体" w:hAnsi="宋体" w:eastAsia="宋体" w:cs="等线"/>
                <w:szCs w:val="21"/>
              </w:rPr>
              <w:t>5kg</w:t>
            </w:r>
            <w:r>
              <w:rPr>
                <w:rFonts w:hint="eastAsia" w:ascii="宋体" w:hAnsi="宋体" w:eastAsia="宋体" w:cs="等线"/>
                <w:szCs w:val="21"/>
              </w:rPr>
              <w:t>；</w:t>
            </w:r>
          </w:p>
          <w:p w14:paraId="3BEF6DED">
            <w:pPr>
              <w:jc w:val="left"/>
              <w:rPr>
                <w:rFonts w:ascii="宋体" w:hAnsi="宋体" w:eastAsia="宋体" w:cs="等线"/>
                <w:szCs w:val="21"/>
              </w:rPr>
            </w:pPr>
            <w:r>
              <w:rPr>
                <w:rFonts w:hint="eastAsia" w:ascii="宋体" w:hAnsi="宋体" w:eastAsia="宋体" w:cs="等线"/>
                <w:szCs w:val="21"/>
              </w:rPr>
              <w:t>7.质保期不低于三年，</w:t>
            </w:r>
            <w:r>
              <w:rPr>
                <w:rFonts w:hint="eastAsia" w:ascii="宋体" w:hAnsi="宋体" w:eastAsia="宋体" w:cs="Times New Roman"/>
                <w:kern w:val="0"/>
                <w:sz w:val="22"/>
              </w:rPr>
              <w:t>提供不少于三次线下培训（培训讲师不少于2人，每次培训人次不低于10人）</w:t>
            </w:r>
            <w:r>
              <w:rPr>
                <w:rFonts w:hint="eastAsia" w:ascii="宋体" w:hAnsi="宋体" w:eastAsia="宋体" w:cs="仿宋_GB2312"/>
                <w:szCs w:val="21"/>
              </w:rPr>
              <w:t>，</w:t>
            </w:r>
            <w:r>
              <w:rPr>
                <w:rFonts w:hint="eastAsia" w:ascii="宋体" w:hAnsi="宋体" w:eastAsia="宋体" w:cs="等线"/>
                <w:szCs w:val="21"/>
              </w:rPr>
              <w:t>在24小时内响应。</w:t>
            </w:r>
          </w:p>
          <w:p w14:paraId="6B4337AD">
            <w:pPr>
              <w:jc w:val="left"/>
              <w:rPr>
                <w:rFonts w:ascii="宋体" w:hAnsi="宋体" w:eastAsia="宋体" w:cs="等线"/>
                <w:szCs w:val="21"/>
              </w:rPr>
            </w:pPr>
            <w:r>
              <w:rPr>
                <w:rFonts w:hint="eastAsia" w:ascii="宋体" w:hAnsi="宋体" w:eastAsia="宋体" w:cs="等线"/>
                <w:szCs w:val="21"/>
              </w:rPr>
              <w:t>六、1:1智能升降机安全监测模块：</w:t>
            </w:r>
          </w:p>
          <w:p w14:paraId="7E8D687A">
            <w:pPr>
              <w:jc w:val="left"/>
              <w:rPr>
                <w:rFonts w:ascii="宋体" w:hAnsi="宋体" w:eastAsia="宋体" w:cs="等线"/>
                <w:szCs w:val="21"/>
              </w:rPr>
            </w:pPr>
            <w:r>
              <w:rPr>
                <w:rFonts w:hint="eastAsia" w:ascii="宋体" w:hAnsi="宋体" w:eastAsia="宋体" w:cs="等线"/>
                <w:szCs w:val="21"/>
              </w:rPr>
              <w:t>1.智能升降机安全监测模块的视频监控系统，应包含高清摄像头1个（像素不小于200W）、显示屏1个（不小于5英寸，分辨率不小于800*600、含不小于16G储存量的内存卡）、网络传输设备。</w:t>
            </w:r>
          </w:p>
          <w:p w14:paraId="373E191D">
            <w:pPr>
              <w:jc w:val="left"/>
              <w:rPr>
                <w:rFonts w:ascii="宋体" w:hAnsi="宋体" w:eastAsia="宋体" w:cs="等线"/>
                <w:szCs w:val="21"/>
              </w:rPr>
            </w:pPr>
            <w:r>
              <w:rPr>
                <w:rFonts w:hint="eastAsia" w:ascii="宋体" w:hAnsi="宋体" w:eastAsia="宋体" w:cs="等线"/>
                <w:szCs w:val="21"/>
              </w:rPr>
              <w:t>2.智能升降机安全监测模块的载重监测系统应包含数据传输装置。</w:t>
            </w:r>
          </w:p>
          <w:p w14:paraId="125B8CA9">
            <w:pPr>
              <w:jc w:val="left"/>
              <w:rPr>
                <w:rFonts w:ascii="宋体" w:hAnsi="宋体" w:eastAsia="宋体" w:cs="等线"/>
                <w:szCs w:val="21"/>
              </w:rPr>
            </w:pPr>
            <w:r>
              <w:rPr>
                <w:rFonts w:hint="eastAsia" w:ascii="宋体" w:hAnsi="宋体" w:eastAsia="宋体" w:cs="等线"/>
                <w:szCs w:val="21"/>
              </w:rPr>
              <w:t>3.智能升降机安全监测模块的高度和速度监测系统应包含高度传感器（量程：不低于50 米）</w:t>
            </w:r>
          </w:p>
          <w:p w14:paraId="2A19CC8A">
            <w:pPr>
              <w:jc w:val="left"/>
              <w:rPr>
                <w:rFonts w:ascii="宋体" w:hAnsi="宋体" w:eastAsia="宋体" w:cs="等线"/>
                <w:szCs w:val="21"/>
              </w:rPr>
            </w:pPr>
            <w:r>
              <w:rPr>
                <w:rFonts w:hint="eastAsia" w:ascii="宋体" w:hAnsi="宋体" w:eastAsia="宋体" w:cs="等线"/>
                <w:szCs w:val="21"/>
              </w:rPr>
              <w:t>4.智能升降机安全监测模块应具备以下功能5项：</w:t>
            </w:r>
          </w:p>
          <w:p w14:paraId="7D6D9999">
            <w:pPr>
              <w:jc w:val="left"/>
              <w:rPr>
                <w:rFonts w:ascii="宋体" w:hAnsi="宋体" w:eastAsia="宋体" w:cs="等线"/>
                <w:szCs w:val="21"/>
              </w:rPr>
            </w:pPr>
            <w:r>
              <w:rPr>
                <w:rFonts w:hint="eastAsia" w:ascii="宋体" w:hAnsi="宋体" w:eastAsia="宋体" w:cs="等线"/>
                <w:szCs w:val="21"/>
              </w:rPr>
              <w:t>（1）载重监测及预警。</w:t>
            </w:r>
          </w:p>
          <w:p w14:paraId="254C8030">
            <w:pPr>
              <w:jc w:val="left"/>
              <w:rPr>
                <w:rFonts w:ascii="宋体" w:hAnsi="宋体" w:eastAsia="宋体" w:cs="等线"/>
                <w:szCs w:val="21"/>
              </w:rPr>
            </w:pPr>
            <w:r>
              <w:rPr>
                <w:rFonts w:hint="eastAsia" w:ascii="宋体" w:hAnsi="宋体" w:eastAsia="宋体" w:cs="等线"/>
                <w:szCs w:val="21"/>
              </w:rPr>
              <w:t>（2）轿厢倾斜度监测及预警。</w:t>
            </w:r>
          </w:p>
          <w:p w14:paraId="5C57BAD5">
            <w:pPr>
              <w:jc w:val="left"/>
              <w:rPr>
                <w:rFonts w:ascii="宋体" w:hAnsi="宋体" w:eastAsia="宋体" w:cs="等线"/>
                <w:szCs w:val="21"/>
              </w:rPr>
            </w:pPr>
            <w:r>
              <w:rPr>
                <w:rFonts w:hint="eastAsia" w:ascii="宋体" w:hAnsi="宋体" w:eastAsia="宋体" w:cs="等线"/>
                <w:szCs w:val="21"/>
              </w:rPr>
              <w:t>（3）高度限位监测及预警。</w:t>
            </w:r>
          </w:p>
          <w:p w14:paraId="190F02F7">
            <w:pPr>
              <w:jc w:val="left"/>
              <w:rPr>
                <w:rFonts w:ascii="宋体" w:hAnsi="宋体" w:eastAsia="宋体" w:cs="等线"/>
                <w:szCs w:val="21"/>
              </w:rPr>
            </w:pPr>
            <w:r>
              <w:rPr>
                <w:rFonts w:hint="eastAsia" w:ascii="宋体" w:hAnsi="宋体" w:eastAsia="宋体" w:cs="等线"/>
                <w:szCs w:val="21"/>
              </w:rPr>
              <w:t>（4）驾驶员身份认证（人脸识别和指纹识别）。</w:t>
            </w:r>
          </w:p>
          <w:p w14:paraId="47D15C6F">
            <w:pPr>
              <w:jc w:val="left"/>
              <w:rPr>
                <w:rFonts w:ascii="宋体" w:hAnsi="宋体" w:eastAsia="宋体" w:cs="等线"/>
                <w:szCs w:val="21"/>
              </w:rPr>
            </w:pPr>
            <w:r>
              <w:rPr>
                <w:rFonts w:hint="eastAsia" w:ascii="宋体" w:hAnsi="宋体" w:eastAsia="宋体" w:cs="等线"/>
                <w:szCs w:val="21"/>
              </w:rPr>
              <w:t>（5）门锁状态监测。</w:t>
            </w:r>
          </w:p>
          <w:p w14:paraId="340CC190">
            <w:pPr>
              <w:jc w:val="left"/>
              <w:rPr>
                <w:rFonts w:ascii="宋体" w:hAnsi="宋体" w:eastAsia="宋体" w:cs="等线"/>
                <w:szCs w:val="21"/>
              </w:rPr>
            </w:pPr>
            <w:r>
              <w:rPr>
                <w:rFonts w:hint="eastAsia" w:ascii="宋体" w:hAnsi="宋体" w:eastAsia="宋体" w:cs="等线"/>
                <w:szCs w:val="21"/>
              </w:rPr>
              <w:t>5. 质保期不低于三年，质保期内提供</w:t>
            </w:r>
            <w:r>
              <w:rPr>
                <w:rFonts w:ascii="宋体" w:hAnsi="宋体" w:eastAsia="宋体" w:cs="等线"/>
                <w:szCs w:val="21"/>
              </w:rPr>
              <w:t>24小时内响应，同时</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等线"/>
                <w:szCs w:val="21"/>
              </w:rPr>
              <w:t>。</w:t>
            </w:r>
          </w:p>
          <w:p w14:paraId="70890F89">
            <w:pPr>
              <w:jc w:val="left"/>
              <w:rPr>
                <w:rFonts w:ascii="宋体" w:hAnsi="宋体" w:eastAsia="宋体" w:cs="等线"/>
                <w:szCs w:val="21"/>
              </w:rPr>
            </w:pPr>
            <w:r>
              <w:rPr>
                <w:rFonts w:hint="eastAsia" w:ascii="宋体" w:hAnsi="宋体" w:eastAsia="宋体" w:cs="等线"/>
                <w:szCs w:val="21"/>
              </w:rPr>
              <w:t>七、高支模安全智能监测模块：</w:t>
            </w:r>
          </w:p>
          <w:p w14:paraId="0C5B346D">
            <w:pPr>
              <w:jc w:val="left"/>
              <w:rPr>
                <w:rFonts w:ascii="宋体" w:hAnsi="宋体" w:eastAsia="宋体" w:cs="等线"/>
                <w:szCs w:val="21"/>
              </w:rPr>
            </w:pPr>
            <w:r>
              <w:rPr>
                <w:rFonts w:hint="eastAsia" w:ascii="宋体" w:hAnsi="宋体" w:eastAsia="宋体" w:cs="等线"/>
                <w:szCs w:val="21"/>
              </w:rPr>
              <w:t>1.高支模监测配置：</w:t>
            </w:r>
          </w:p>
          <w:p w14:paraId="4A070784">
            <w:pPr>
              <w:jc w:val="left"/>
              <w:rPr>
                <w:rFonts w:ascii="宋体" w:hAnsi="宋体" w:eastAsia="宋体" w:cs="等线"/>
                <w:szCs w:val="21"/>
              </w:rPr>
            </w:pPr>
            <w:r>
              <w:rPr>
                <w:rFonts w:hint="eastAsia" w:ascii="宋体" w:hAnsi="宋体" w:eastAsia="宋体" w:cs="等线"/>
                <w:szCs w:val="21"/>
              </w:rPr>
              <w:t>（1）终端控制仪：</w:t>
            </w:r>
          </w:p>
          <w:p w14:paraId="6C45DC60">
            <w:pPr>
              <w:jc w:val="left"/>
              <w:rPr>
                <w:rFonts w:ascii="宋体" w:hAnsi="宋体" w:eastAsia="宋体" w:cs="等线"/>
                <w:szCs w:val="21"/>
              </w:rPr>
            </w:pPr>
            <w:r>
              <w:rPr>
                <w:rFonts w:hint="eastAsia" w:ascii="宋体" w:hAnsi="宋体" w:eastAsia="宋体" w:cs="等线"/>
                <w:szCs w:val="21"/>
              </w:rPr>
              <w:t>1）高支模安全智能监测模块应支持使用终端控制仪，集成控制不同行程的电动推杆、云台舵机等部位，模拟不同工程场景下的变形情况及监测数据变化，内置控制软件及数据平台；</w:t>
            </w:r>
          </w:p>
          <w:p w14:paraId="7A300F4E">
            <w:pPr>
              <w:jc w:val="left"/>
              <w:rPr>
                <w:rFonts w:ascii="宋体" w:hAnsi="宋体" w:eastAsia="宋体" w:cs="等线"/>
                <w:szCs w:val="21"/>
              </w:rPr>
            </w:pPr>
            <w:r>
              <w:rPr>
                <w:rFonts w:hint="eastAsia" w:ascii="宋体" w:hAnsi="宋体" w:eastAsia="宋体" w:cs="等线"/>
                <w:szCs w:val="21"/>
              </w:rPr>
              <w:t>2）高支模安全智能监测模块应支持监测数据自动采集、无线传输功能：通过高支模支护结构及周边环境监测，进行监测过程中的数据自动采集；</w:t>
            </w:r>
          </w:p>
          <w:p w14:paraId="7935F6E7">
            <w:pPr>
              <w:jc w:val="left"/>
              <w:rPr>
                <w:rFonts w:ascii="宋体" w:hAnsi="宋体" w:eastAsia="宋体" w:cs="等线"/>
                <w:szCs w:val="21"/>
              </w:rPr>
            </w:pPr>
            <w:r>
              <w:rPr>
                <w:rFonts w:hint="eastAsia" w:ascii="宋体" w:hAnsi="宋体" w:eastAsia="宋体" w:cs="等线"/>
                <w:szCs w:val="21"/>
              </w:rPr>
              <w:t>3）高支模安全智能监测模块应支持将对立柱的轴力、支架的角度、结构水平的沉降等潜在安全隐患进行实时上传；</w:t>
            </w:r>
          </w:p>
          <w:p w14:paraId="16285800">
            <w:pPr>
              <w:jc w:val="left"/>
              <w:rPr>
                <w:rFonts w:ascii="宋体" w:hAnsi="宋体" w:eastAsia="宋体" w:cs="等线"/>
                <w:szCs w:val="21"/>
              </w:rPr>
            </w:pPr>
            <w:r>
              <w:rPr>
                <w:rFonts w:hint="eastAsia" w:ascii="宋体" w:hAnsi="宋体" w:eastAsia="宋体" w:cs="等线"/>
                <w:szCs w:val="21"/>
              </w:rPr>
              <w:t>4）高支模安全智能监测系统应对超岀警界阀值（数据可自行设置）的数据进行现场预警、报警，达到报警状态时系统通过现场声光报警器警示现场施工人员撤离危险区域；</w:t>
            </w:r>
          </w:p>
          <w:p w14:paraId="74664B98">
            <w:pPr>
              <w:jc w:val="left"/>
              <w:rPr>
                <w:rFonts w:ascii="宋体" w:hAnsi="宋体" w:eastAsia="宋体" w:cs="等线"/>
                <w:szCs w:val="21"/>
              </w:rPr>
            </w:pPr>
            <w:r>
              <w:rPr>
                <w:rFonts w:hint="eastAsia" w:ascii="宋体" w:hAnsi="宋体" w:eastAsia="宋体" w:cs="等线"/>
                <w:szCs w:val="21"/>
              </w:rPr>
              <w:t>（2）高支模安全智能监测模块应包含无线倾角计：测量范围不低于±10°，测量精度不低于0.1%F·S；</w:t>
            </w:r>
          </w:p>
          <w:p w14:paraId="3C5EB7F9">
            <w:pPr>
              <w:jc w:val="left"/>
              <w:rPr>
                <w:rFonts w:ascii="宋体" w:hAnsi="宋体" w:eastAsia="宋体" w:cs="等线"/>
                <w:szCs w:val="21"/>
              </w:rPr>
            </w:pPr>
            <w:r>
              <w:rPr>
                <w:rFonts w:hint="eastAsia" w:ascii="宋体" w:hAnsi="宋体" w:eastAsia="宋体" w:cs="等线"/>
                <w:szCs w:val="21"/>
              </w:rPr>
              <w:t>（3）高支模安全智能监测模块应包含无线荷重计：测量范围不低于5T，测量精度不低于0.05%F·S；</w:t>
            </w:r>
          </w:p>
          <w:p w14:paraId="13287A2B">
            <w:pPr>
              <w:jc w:val="left"/>
              <w:rPr>
                <w:rFonts w:ascii="宋体" w:hAnsi="宋体" w:eastAsia="宋体" w:cs="等线"/>
                <w:szCs w:val="21"/>
              </w:rPr>
            </w:pPr>
            <w:r>
              <w:rPr>
                <w:rFonts w:hint="eastAsia" w:ascii="宋体" w:hAnsi="宋体" w:eastAsia="宋体" w:cs="等线"/>
                <w:szCs w:val="21"/>
              </w:rPr>
              <w:t>（4）高支模安全智能监测模块应包含无线位移计-垂直：测量范围不低于500mm，测量精度不低于0.2%F·S；</w:t>
            </w:r>
          </w:p>
          <w:p w14:paraId="18BD9587">
            <w:pPr>
              <w:jc w:val="left"/>
              <w:rPr>
                <w:rFonts w:ascii="宋体" w:hAnsi="宋体" w:eastAsia="宋体" w:cs="等线"/>
                <w:szCs w:val="21"/>
              </w:rPr>
            </w:pPr>
            <w:r>
              <w:rPr>
                <w:rFonts w:hint="eastAsia" w:ascii="宋体" w:hAnsi="宋体" w:eastAsia="宋体" w:cs="等线"/>
                <w:szCs w:val="21"/>
              </w:rPr>
              <w:t>（5）高支模安全智能监测模块应包含无线位移计-水平：测量范围不低于500mm，测量精度不低于0.2%F·S；</w:t>
            </w:r>
          </w:p>
          <w:p w14:paraId="53C40A3E">
            <w:pPr>
              <w:jc w:val="left"/>
              <w:rPr>
                <w:rFonts w:ascii="宋体" w:hAnsi="宋体" w:eastAsia="宋体" w:cs="等线"/>
                <w:szCs w:val="21"/>
              </w:rPr>
            </w:pPr>
            <w:r>
              <w:rPr>
                <w:rFonts w:hint="eastAsia" w:ascii="宋体" w:hAnsi="宋体" w:eastAsia="宋体" w:cs="等线"/>
                <w:szCs w:val="21"/>
              </w:rPr>
              <w:t>（6）高支模安全智能监测模块应包含无线报警器，不小于85分贝，支持声光报警；</w:t>
            </w:r>
          </w:p>
          <w:p w14:paraId="235634FD">
            <w:pPr>
              <w:jc w:val="left"/>
              <w:rPr>
                <w:rFonts w:ascii="宋体" w:hAnsi="宋体" w:eastAsia="宋体" w:cs="等线"/>
                <w:szCs w:val="21"/>
              </w:rPr>
            </w:pPr>
            <w:r>
              <w:rPr>
                <w:rFonts w:hint="eastAsia" w:ascii="宋体" w:hAnsi="宋体" w:eastAsia="宋体" w:cs="等线"/>
                <w:szCs w:val="21"/>
              </w:rPr>
              <w:t>（7）质保期不低于三年，质保期内需</w:t>
            </w:r>
            <w:r>
              <w:rPr>
                <w:rFonts w:hint="eastAsia" w:ascii="宋体" w:hAnsi="宋体" w:eastAsia="宋体" w:cs="Times New Roman"/>
                <w:kern w:val="0"/>
                <w:sz w:val="22"/>
              </w:rPr>
              <w:t>提供不少于三次线下培训（培训讲师不少于2人，每次培训人次不低于10人）</w:t>
            </w:r>
            <w:r>
              <w:rPr>
                <w:rFonts w:hint="eastAsia" w:ascii="宋体" w:hAnsi="宋体" w:eastAsia="宋体" w:cs="仿宋_GB2312"/>
                <w:szCs w:val="21"/>
              </w:rPr>
              <w:t>，</w:t>
            </w:r>
            <w:r>
              <w:rPr>
                <w:rFonts w:hint="eastAsia" w:ascii="宋体" w:hAnsi="宋体" w:eastAsia="宋体" w:cs="等线"/>
                <w:szCs w:val="21"/>
              </w:rPr>
              <w:t>如发生质量问题应在二十四小时内到达故障现场。</w:t>
            </w:r>
          </w:p>
          <w:p w14:paraId="4D07F26F">
            <w:pPr>
              <w:jc w:val="left"/>
              <w:rPr>
                <w:rFonts w:ascii="宋体" w:hAnsi="宋体" w:eastAsia="宋体" w:cs="等线"/>
                <w:szCs w:val="21"/>
              </w:rPr>
            </w:pPr>
            <w:r>
              <w:rPr>
                <w:rFonts w:hint="eastAsia" w:ascii="宋体" w:hAnsi="宋体" w:eastAsia="宋体" w:cs="等线"/>
                <w:szCs w:val="21"/>
              </w:rPr>
              <w:t>八、临边防护模拟实训模块：</w:t>
            </w:r>
          </w:p>
          <w:p w14:paraId="763ECF05">
            <w:pPr>
              <w:jc w:val="left"/>
              <w:rPr>
                <w:rFonts w:ascii="宋体" w:hAnsi="宋体" w:eastAsia="宋体" w:cs="等线"/>
                <w:szCs w:val="21"/>
              </w:rPr>
            </w:pPr>
            <w:r>
              <w:rPr>
                <w:rFonts w:hint="eastAsia" w:ascii="宋体" w:hAnsi="宋体" w:eastAsia="宋体" w:cs="等线"/>
                <w:szCs w:val="21"/>
              </w:rPr>
              <w:t>1.临边防护模拟实训模块的智能监测系统应采用红外探测器或微波传感器。（具备太阳能供电、usb充电2种方式）。具备以下功能：</w:t>
            </w:r>
          </w:p>
          <w:p w14:paraId="71564230">
            <w:pPr>
              <w:jc w:val="left"/>
              <w:rPr>
                <w:rFonts w:ascii="宋体" w:hAnsi="宋体" w:eastAsia="宋体" w:cs="等线"/>
                <w:szCs w:val="21"/>
              </w:rPr>
            </w:pPr>
            <w:r>
              <w:rPr>
                <w:rFonts w:hint="eastAsia" w:ascii="宋体" w:hAnsi="宋体" w:eastAsia="宋体" w:cs="等线"/>
                <w:szCs w:val="21"/>
              </w:rPr>
              <w:t>（1）进行人体靠近感应探测及防翻越检测。</w:t>
            </w:r>
          </w:p>
          <w:p w14:paraId="6B5D1144">
            <w:pPr>
              <w:jc w:val="left"/>
              <w:rPr>
                <w:rFonts w:ascii="宋体" w:hAnsi="宋体" w:eastAsia="宋体" w:cs="等线"/>
                <w:szCs w:val="21"/>
              </w:rPr>
            </w:pPr>
            <w:r>
              <w:rPr>
                <w:rFonts w:hint="eastAsia" w:ascii="宋体" w:hAnsi="宋体" w:eastAsia="宋体" w:cs="等线"/>
                <w:szCs w:val="21"/>
              </w:rPr>
              <w:t>（2）具备防拆卸检测，设备违规拆卸或被破坏时实时报警；</w:t>
            </w:r>
          </w:p>
          <w:p w14:paraId="3ADF21B0">
            <w:pPr>
              <w:jc w:val="left"/>
              <w:rPr>
                <w:rFonts w:ascii="宋体" w:hAnsi="宋体" w:eastAsia="宋体" w:cs="等线"/>
                <w:szCs w:val="21"/>
              </w:rPr>
            </w:pPr>
            <w:r>
              <w:rPr>
                <w:rFonts w:hint="eastAsia" w:ascii="宋体" w:hAnsi="宋体" w:eastAsia="宋体" w:cs="等线"/>
                <w:szCs w:val="21"/>
              </w:rPr>
              <w:t>（3）实时监测防护网破损状态</w:t>
            </w:r>
          </w:p>
          <w:p w14:paraId="27E221FA">
            <w:pPr>
              <w:jc w:val="left"/>
              <w:rPr>
                <w:rFonts w:ascii="宋体" w:hAnsi="宋体" w:eastAsia="宋体" w:cs="等线"/>
                <w:szCs w:val="21"/>
              </w:rPr>
            </w:pPr>
            <w:r>
              <w:rPr>
                <w:rFonts w:hint="eastAsia" w:ascii="宋体" w:hAnsi="宋体" w:eastAsia="宋体" w:cs="等线"/>
                <w:szCs w:val="21"/>
              </w:rPr>
              <w:t>（4）内置 GPS 定位装置实时定位监测点，内置移动物联卡通讯</w:t>
            </w:r>
          </w:p>
          <w:p w14:paraId="3DB1E7D8">
            <w:pPr>
              <w:jc w:val="left"/>
              <w:rPr>
                <w:rFonts w:ascii="宋体" w:hAnsi="宋体" w:eastAsia="宋体" w:cs="等线"/>
                <w:szCs w:val="21"/>
              </w:rPr>
            </w:pPr>
            <w:r>
              <w:rPr>
                <w:rFonts w:hint="eastAsia" w:ascii="宋体" w:hAnsi="宋体" w:eastAsia="宋体" w:cs="等线"/>
                <w:szCs w:val="21"/>
              </w:rPr>
              <w:t>（5）声光报警系统。有报警主机：扬声器/蜂鸣器、警示灯：</w:t>
            </w:r>
          </w:p>
          <w:p w14:paraId="1428451F">
            <w:pPr>
              <w:jc w:val="left"/>
              <w:rPr>
                <w:rFonts w:ascii="宋体" w:hAnsi="宋体" w:eastAsia="宋体" w:cs="等线"/>
                <w:szCs w:val="21"/>
              </w:rPr>
            </w:pPr>
            <w:r>
              <w:rPr>
                <w:rFonts w:hint="eastAsia" w:ascii="宋体" w:hAnsi="宋体" w:eastAsia="宋体" w:cs="等线"/>
                <w:szCs w:val="21"/>
              </w:rPr>
              <w:t>2.临边防护模拟实训模块的数据传输与处理系统应包含处理器收集传感器信息，应采用4G/5G模块或WIFI方式，支持数据上传到智慧工地平台，与视频监控系统联动，记录现场情况。支持远程监控和操作临边防护报警系统。</w:t>
            </w:r>
          </w:p>
          <w:p w14:paraId="1CC1EAD1">
            <w:pPr>
              <w:jc w:val="left"/>
              <w:rPr>
                <w:rFonts w:ascii="宋体" w:hAnsi="宋体" w:eastAsia="宋体" w:cs="等线"/>
                <w:szCs w:val="21"/>
              </w:rPr>
            </w:pPr>
            <w:r>
              <w:rPr>
                <w:rFonts w:hint="eastAsia" w:ascii="宋体" w:hAnsi="宋体" w:eastAsia="宋体" w:cs="等线"/>
                <w:szCs w:val="21"/>
              </w:rPr>
              <w:t>3.质保期不低于三年，质保期内提供</w:t>
            </w:r>
            <w:r>
              <w:rPr>
                <w:rFonts w:ascii="宋体" w:hAnsi="宋体" w:eastAsia="宋体" w:cs="等线"/>
                <w:szCs w:val="21"/>
              </w:rPr>
              <w:t>24小时内响应，同时</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等线"/>
                <w:szCs w:val="21"/>
              </w:rPr>
              <w:t>。</w:t>
            </w:r>
          </w:p>
          <w:p w14:paraId="44CFBD26">
            <w:pPr>
              <w:jc w:val="left"/>
              <w:rPr>
                <w:rFonts w:ascii="宋体" w:hAnsi="宋体" w:eastAsia="宋体" w:cs="等线"/>
                <w:szCs w:val="21"/>
              </w:rPr>
            </w:pPr>
            <w:r>
              <w:rPr>
                <w:rFonts w:hint="eastAsia" w:ascii="宋体" w:hAnsi="宋体" w:eastAsia="宋体" w:cs="等线"/>
                <w:szCs w:val="21"/>
              </w:rPr>
              <w:t>九、基坑安全智能监测模块：</w:t>
            </w:r>
          </w:p>
          <w:p w14:paraId="394AAFEB">
            <w:pPr>
              <w:jc w:val="left"/>
              <w:rPr>
                <w:rFonts w:ascii="宋体" w:hAnsi="宋体" w:eastAsia="宋体" w:cs="等线"/>
                <w:szCs w:val="21"/>
              </w:rPr>
            </w:pPr>
            <w:r>
              <w:rPr>
                <w:rFonts w:hint="eastAsia" w:ascii="宋体" w:hAnsi="宋体" w:eastAsia="宋体" w:cs="等线"/>
                <w:szCs w:val="21"/>
              </w:rPr>
              <w:t>1.基坑监测配置：</w:t>
            </w:r>
          </w:p>
          <w:p w14:paraId="1BFFCA51">
            <w:pPr>
              <w:jc w:val="left"/>
              <w:rPr>
                <w:rFonts w:ascii="宋体" w:hAnsi="宋体" w:eastAsia="宋体" w:cs="等线"/>
                <w:szCs w:val="21"/>
              </w:rPr>
            </w:pPr>
            <w:r>
              <w:rPr>
                <w:rFonts w:hint="eastAsia" w:ascii="宋体" w:hAnsi="宋体" w:eastAsia="宋体" w:cs="等线"/>
                <w:szCs w:val="21"/>
              </w:rPr>
              <w:t>（1）基坑监测终端控制仪：</w:t>
            </w:r>
          </w:p>
          <w:p w14:paraId="02AAE225">
            <w:pPr>
              <w:jc w:val="left"/>
              <w:rPr>
                <w:rFonts w:ascii="宋体" w:hAnsi="宋体" w:eastAsia="宋体" w:cs="等线"/>
                <w:szCs w:val="21"/>
              </w:rPr>
            </w:pPr>
            <w:r>
              <w:rPr>
                <w:rFonts w:hint="eastAsia" w:ascii="宋体" w:hAnsi="宋体" w:eastAsia="宋体" w:cs="等线"/>
                <w:szCs w:val="21"/>
              </w:rPr>
              <w:t>1）基坑监测终端控制仪使用终端控制仪，应支持集成控制不同行程的电动推杆、云台舵机、液体抽取及渗流装置等部位，模拟不同工程场景下的变形情况及监测数据变化，内置控制软件及数据平台；</w:t>
            </w:r>
          </w:p>
          <w:p w14:paraId="0E5E299B">
            <w:pPr>
              <w:jc w:val="left"/>
              <w:rPr>
                <w:rFonts w:ascii="宋体" w:hAnsi="宋体" w:eastAsia="宋体" w:cs="等线"/>
                <w:szCs w:val="21"/>
              </w:rPr>
            </w:pPr>
            <w:r>
              <w:rPr>
                <w:rFonts w:hint="eastAsia" w:ascii="宋体" w:hAnsi="宋体" w:eastAsia="宋体" w:cs="等线"/>
                <w:szCs w:val="21"/>
              </w:rPr>
              <w:t>2）基坑监测终端控制仪监测数据自动采集、无线传输：应支持通过深基坑支护结构及周边环境监测，实现监测过程中的数据自动采集，实现不同精密传感器监测数据实时上传数字云平台；</w:t>
            </w:r>
          </w:p>
          <w:p w14:paraId="019CA65D">
            <w:pPr>
              <w:jc w:val="left"/>
              <w:rPr>
                <w:rFonts w:ascii="宋体" w:hAnsi="宋体" w:eastAsia="宋体" w:cs="等线"/>
                <w:szCs w:val="21"/>
              </w:rPr>
            </w:pPr>
            <w:r>
              <w:rPr>
                <w:rFonts w:hint="eastAsia" w:ascii="宋体" w:hAnsi="宋体" w:eastAsia="宋体" w:cs="等线"/>
                <w:szCs w:val="21"/>
              </w:rPr>
              <w:t>3）基坑监测终端控制仪应将对水平位移、竖向位移、水位、应力、沉降 等潜在安全隐患进行实时上传；</w:t>
            </w:r>
          </w:p>
          <w:p w14:paraId="55A86118">
            <w:pPr>
              <w:jc w:val="left"/>
              <w:rPr>
                <w:rFonts w:ascii="宋体" w:hAnsi="宋体" w:eastAsia="宋体" w:cs="等线"/>
                <w:szCs w:val="21"/>
              </w:rPr>
            </w:pPr>
            <w:r>
              <w:rPr>
                <w:rFonts w:hint="eastAsia" w:ascii="宋体" w:hAnsi="宋体" w:eastAsia="宋体" w:cs="等线"/>
                <w:szCs w:val="21"/>
              </w:rPr>
              <w:t>4）深基坑监测系统应对超岀警界阀值的数据（数据可自行设置）进行现场预警、报警，达到报警状态时系统通过现场声光报警器警示现场施工人员撤离危险区域；</w:t>
            </w:r>
          </w:p>
          <w:p w14:paraId="42C6F6F7">
            <w:pPr>
              <w:jc w:val="left"/>
              <w:rPr>
                <w:rFonts w:ascii="宋体" w:hAnsi="宋体" w:eastAsia="宋体" w:cs="等线"/>
                <w:szCs w:val="21"/>
              </w:rPr>
            </w:pPr>
            <w:r>
              <w:rPr>
                <w:rFonts w:hint="eastAsia" w:ascii="宋体" w:hAnsi="宋体" w:eastAsia="宋体" w:cs="等线"/>
                <w:szCs w:val="21"/>
              </w:rPr>
              <w:t>（2）基坑监测钢筋应力监测：量程压应力不大于200Mpa，拉应力不大于300Mpa，精度不大于0.1%F·S；</w:t>
            </w:r>
          </w:p>
          <w:p w14:paraId="086BD7A1">
            <w:pPr>
              <w:jc w:val="left"/>
              <w:rPr>
                <w:rFonts w:ascii="宋体" w:hAnsi="宋体" w:eastAsia="宋体" w:cs="等线"/>
                <w:szCs w:val="21"/>
              </w:rPr>
            </w:pPr>
            <w:r>
              <w:rPr>
                <w:rFonts w:hint="eastAsia" w:ascii="宋体" w:hAnsi="宋体" w:eastAsia="宋体" w:cs="等线"/>
                <w:szCs w:val="21"/>
              </w:rPr>
              <w:t>（3）静力水准仪：量程：0~2000mm，精度不大于0.05%F·S；</w:t>
            </w:r>
          </w:p>
          <w:p w14:paraId="3B2BF066">
            <w:pPr>
              <w:jc w:val="left"/>
              <w:rPr>
                <w:rFonts w:ascii="宋体" w:hAnsi="宋体" w:eastAsia="宋体" w:cs="等线"/>
                <w:szCs w:val="21"/>
              </w:rPr>
            </w:pPr>
            <w:r>
              <w:rPr>
                <w:rFonts w:hint="eastAsia" w:ascii="宋体" w:hAnsi="宋体" w:eastAsia="宋体" w:cs="等线"/>
                <w:szCs w:val="21"/>
              </w:rPr>
              <w:t>（4）固定测斜仪：量程：±10°，精度不大于0.1%F·S；</w:t>
            </w:r>
          </w:p>
          <w:p w14:paraId="44A102C6">
            <w:pPr>
              <w:jc w:val="left"/>
              <w:rPr>
                <w:rFonts w:ascii="宋体" w:hAnsi="宋体" w:eastAsia="宋体" w:cs="等线"/>
                <w:szCs w:val="21"/>
              </w:rPr>
            </w:pPr>
            <w:r>
              <w:rPr>
                <w:rFonts w:hint="eastAsia" w:ascii="宋体" w:hAnsi="宋体" w:eastAsia="宋体" w:cs="等线"/>
                <w:szCs w:val="21"/>
              </w:rPr>
              <w:t>（5）投入式水位计：量程：0-70m，精度不大于0.1%F·S，在基坑施工过程中；</w:t>
            </w:r>
          </w:p>
          <w:p w14:paraId="4C8E03BB">
            <w:pPr>
              <w:jc w:val="left"/>
              <w:rPr>
                <w:rFonts w:ascii="宋体" w:hAnsi="宋体" w:eastAsia="宋体" w:cs="等线"/>
                <w:szCs w:val="21"/>
              </w:rPr>
            </w:pPr>
            <w:r>
              <w:rPr>
                <w:rFonts w:hint="eastAsia" w:ascii="宋体" w:hAnsi="宋体" w:eastAsia="宋体" w:cs="等线"/>
                <w:szCs w:val="21"/>
              </w:rPr>
              <w:t>（6）智能倾角计：量程：±10°（双轴），精度不大于0.1%F·S；</w:t>
            </w:r>
          </w:p>
          <w:p w14:paraId="37928631">
            <w:pPr>
              <w:jc w:val="left"/>
              <w:rPr>
                <w:rFonts w:ascii="宋体" w:hAnsi="宋体" w:eastAsia="宋体" w:cs="等线"/>
                <w:szCs w:val="21"/>
              </w:rPr>
            </w:pPr>
            <w:r>
              <w:rPr>
                <w:rFonts w:hint="eastAsia" w:ascii="宋体" w:hAnsi="宋体" w:eastAsia="宋体" w:cs="等线"/>
                <w:szCs w:val="21"/>
              </w:rPr>
              <w:t>（7）土压力计：量程：0.35Mpa,0.7Mpa,1Mpa,2Mpa,3Mpa，精度不大于0.1%F·S；</w:t>
            </w:r>
          </w:p>
          <w:p w14:paraId="2BFDDDAE">
            <w:pPr>
              <w:jc w:val="left"/>
              <w:rPr>
                <w:rFonts w:ascii="宋体" w:hAnsi="宋体" w:eastAsia="宋体" w:cs="等线"/>
                <w:szCs w:val="21"/>
              </w:rPr>
            </w:pPr>
            <w:r>
              <w:rPr>
                <w:rFonts w:hint="eastAsia" w:ascii="宋体" w:hAnsi="宋体" w:eastAsia="宋体" w:cs="等线"/>
                <w:szCs w:val="21"/>
              </w:rPr>
              <w:t>（8）测缝计：量程：20mm，50mm，100mm，精度不大于0.1%F·S；</w:t>
            </w:r>
          </w:p>
          <w:p w14:paraId="671280DF">
            <w:pPr>
              <w:jc w:val="left"/>
              <w:rPr>
                <w:rFonts w:ascii="宋体" w:hAnsi="宋体" w:eastAsia="宋体" w:cs="等线"/>
                <w:szCs w:val="21"/>
              </w:rPr>
            </w:pPr>
            <w:r>
              <w:rPr>
                <w:rFonts w:hint="eastAsia" w:ascii="宋体" w:hAnsi="宋体" w:eastAsia="宋体" w:cs="等线"/>
                <w:szCs w:val="21"/>
              </w:rPr>
              <w:t>（9）有线报警器不小于85分贝（1米范围内），应支持声光报警。</w:t>
            </w:r>
          </w:p>
          <w:p w14:paraId="6ACA01B9">
            <w:pPr>
              <w:jc w:val="left"/>
              <w:rPr>
                <w:rFonts w:ascii="宋体" w:hAnsi="宋体" w:eastAsia="宋体" w:cs="等线"/>
                <w:szCs w:val="21"/>
              </w:rPr>
            </w:pPr>
            <w:r>
              <w:rPr>
                <w:rFonts w:hint="eastAsia" w:ascii="宋体" w:hAnsi="宋体" w:eastAsia="宋体" w:cs="等线"/>
                <w:szCs w:val="21"/>
              </w:rPr>
              <w:t>2.质保期不低于三年，质保期内提供</w:t>
            </w:r>
            <w:r>
              <w:rPr>
                <w:rFonts w:ascii="宋体" w:hAnsi="宋体" w:eastAsia="宋体" w:cs="等线"/>
                <w:szCs w:val="21"/>
              </w:rPr>
              <w:t>24小时内响应，同时</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等线"/>
                <w:szCs w:val="21"/>
              </w:rPr>
              <w:t>。</w:t>
            </w:r>
          </w:p>
          <w:p w14:paraId="5408D2AE">
            <w:pPr>
              <w:jc w:val="left"/>
              <w:rPr>
                <w:rFonts w:ascii="宋体" w:hAnsi="宋体" w:eastAsia="宋体" w:cs="等线"/>
                <w:szCs w:val="21"/>
              </w:rPr>
            </w:pPr>
            <w:r>
              <w:rPr>
                <w:rFonts w:hint="eastAsia" w:ascii="宋体" w:hAnsi="宋体" w:eastAsia="宋体" w:cs="等线"/>
                <w:szCs w:val="21"/>
              </w:rPr>
              <w:t>十、VR安全展示模块：</w:t>
            </w:r>
          </w:p>
          <w:p w14:paraId="0DD11D48">
            <w:pPr>
              <w:jc w:val="left"/>
              <w:rPr>
                <w:rFonts w:ascii="宋体" w:hAnsi="宋体" w:eastAsia="宋体" w:cs="等线"/>
                <w:szCs w:val="21"/>
              </w:rPr>
            </w:pPr>
            <w:r>
              <w:rPr>
                <w:rFonts w:hint="eastAsia" w:ascii="宋体" w:hAnsi="宋体" w:eastAsia="宋体" w:cs="等线"/>
                <w:szCs w:val="21"/>
              </w:rPr>
              <w:t>1.VR安全展示模块系统功能：</w:t>
            </w:r>
          </w:p>
          <w:p w14:paraId="2F7D92F4">
            <w:pPr>
              <w:jc w:val="left"/>
              <w:rPr>
                <w:rFonts w:ascii="宋体" w:hAnsi="宋体" w:eastAsia="宋体" w:cs="等线"/>
                <w:szCs w:val="21"/>
              </w:rPr>
            </w:pPr>
            <w:r>
              <w:rPr>
                <w:rFonts w:hint="eastAsia" w:ascii="宋体" w:hAnsi="宋体" w:eastAsia="宋体" w:cs="等线"/>
                <w:szCs w:val="21"/>
              </w:rPr>
              <w:t>▲（1）应包含实际建筑施工安全生产事故案例为模型创建，真实还原事故发生过程；</w:t>
            </w:r>
          </w:p>
          <w:p w14:paraId="7C5B7516">
            <w:pPr>
              <w:jc w:val="left"/>
              <w:rPr>
                <w:rFonts w:ascii="宋体" w:hAnsi="宋体" w:eastAsia="宋体" w:cs="等线"/>
                <w:szCs w:val="21"/>
              </w:rPr>
            </w:pPr>
            <w:r>
              <w:rPr>
                <w:rFonts w:hint="eastAsia" w:ascii="宋体" w:hAnsi="宋体" w:eastAsia="宋体" w:cs="等线"/>
                <w:szCs w:val="21"/>
              </w:rPr>
              <w:t>▲（2）案例应支持分析事故发生原因，了解事故隐患及处理方式；</w:t>
            </w:r>
          </w:p>
          <w:p w14:paraId="6DE86850">
            <w:pPr>
              <w:jc w:val="left"/>
              <w:rPr>
                <w:rFonts w:ascii="宋体" w:hAnsi="宋体" w:eastAsia="宋体" w:cs="等线"/>
                <w:szCs w:val="21"/>
              </w:rPr>
            </w:pPr>
            <w:r>
              <w:rPr>
                <w:rFonts w:hint="eastAsia" w:ascii="宋体" w:hAnsi="宋体" w:eastAsia="宋体" w:cs="等线"/>
                <w:szCs w:val="21"/>
              </w:rPr>
              <w:t>（3）VR安全展示模块应支持图文并茂阐述安全知识，演示施工流程；</w:t>
            </w:r>
          </w:p>
          <w:p w14:paraId="6BAC6CAE">
            <w:pPr>
              <w:jc w:val="left"/>
              <w:rPr>
                <w:rFonts w:ascii="宋体" w:hAnsi="宋体" w:eastAsia="宋体" w:cs="等线"/>
                <w:szCs w:val="21"/>
              </w:rPr>
            </w:pPr>
            <w:r>
              <w:rPr>
                <w:rFonts w:hint="eastAsia" w:ascii="宋体" w:hAnsi="宋体" w:eastAsia="宋体" w:cs="等线"/>
                <w:szCs w:val="21"/>
              </w:rPr>
              <w:t>（4）VR安全展示模块应不少于22项安全事故伤害场景；</w:t>
            </w:r>
          </w:p>
          <w:p w14:paraId="740E7508">
            <w:pPr>
              <w:jc w:val="left"/>
              <w:rPr>
                <w:rFonts w:ascii="宋体" w:hAnsi="宋体" w:eastAsia="宋体" w:cs="等线"/>
                <w:szCs w:val="21"/>
              </w:rPr>
            </w:pPr>
            <w:r>
              <w:rPr>
                <w:rFonts w:hint="eastAsia" w:ascii="宋体" w:hAnsi="宋体" w:eastAsia="宋体" w:cs="等线"/>
                <w:szCs w:val="21"/>
              </w:rPr>
              <w:t>▲（5）VR安全展示模块应具备以下典型VR案例：1、高空坠落事故；2、吊篮坠落事故；3、结构板拆除坍塌；4、洞口坠落事故；5、塔吊拆除倾覆事故；6、模板火灾事故；7、电缆辗压触电事故；8、安全带穿戴；9、机械伤害；10、加工棚触电；11、物体打击；12、墙体坍塌；13、砂轮机伤害；14、挖机作业伤害；15、人工钻孔伤害；16、碘钨灯触电；17、潜水泵触电；18、攀爬坠落；19、车辆伤害；20、进料口坠落；21、机械伤害（巴袍着装错误）；22、施工安全隐患排查；</w:t>
            </w:r>
          </w:p>
          <w:p w14:paraId="184B17EB">
            <w:pPr>
              <w:jc w:val="left"/>
              <w:rPr>
                <w:rFonts w:ascii="宋体" w:hAnsi="宋体" w:eastAsia="宋体" w:cs="等线"/>
                <w:szCs w:val="21"/>
              </w:rPr>
            </w:pPr>
            <w:r>
              <w:rPr>
                <w:rFonts w:hint="eastAsia" w:ascii="宋体" w:hAnsi="宋体" w:eastAsia="宋体" w:cs="等线"/>
                <w:szCs w:val="21"/>
              </w:rPr>
              <w:t>（6）质保期不低于三年，质保期满后不升级不影响正常使用，质保期内提供</w:t>
            </w:r>
            <w:r>
              <w:rPr>
                <w:rFonts w:ascii="宋体" w:hAnsi="宋体" w:eastAsia="宋体" w:cs="等线"/>
                <w:szCs w:val="21"/>
              </w:rPr>
              <w:t>24小时内响应，同时</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等线"/>
                <w:szCs w:val="21"/>
              </w:rPr>
              <w:t>。</w:t>
            </w:r>
          </w:p>
          <w:p w14:paraId="07B201DE">
            <w:pPr>
              <w:jc w:val="left"/>
              <w:rPr>
                <w:rFonts w:ascii="宋体" w:hAnsi="宋体" w:eastAsia="宋体" w:cs="等线"/>
                <w:szCs w:val="21"/>
              </w:rPr>
            </w:pPr>
            <w:r>
              <w:rPr>
                <w:rFonts w:hint="eastAsia" w:ascii="宋体" w:hAnsi="宋体" w:eastAsia="宋体" w:cs="等线"/>
                <w:szCs w:val="21"/>
              </w:rPr>
              <w:t>2.VR安全展示模块设备要求</w:t>
            </w:r>
          </w:p>
          <w:p w14:paraId="5185BA46">
            <w:pPr>
              <w:jc w:val="left"/>
              <w:rPr>
                <w:rFonts w:ascii="宋体" w:hAnsi="宋体" w:eastAsia="宋体" w:cs="等线"/>
                <w:szCs w:val="21"/>
              </w:rPr>
            </w:pPr>
            <w:r>
              <w:rPr>
                <w:rFonts w:hint="eastAsia" w:ascii="宋体" w:hAnsi="宋体" w:eastAsia="宋体" w:cs="等线"/>
                <w:szCs w:val="21"/>
              </w:rPr>
              <w:t>（1）主体设备主体尺寸≥2m×1.2m×1.8m。</w:t>
            </w:r>
          </w:p>
          <w:p w14:paraId="2FCA9BF2">
            <w:pPr>
              <w:jc w:val="left"/>
              <w:rPr>
                <w:rFonts w:ascii="宋体" w:hAnsi="宋体" w:eastAsia="宋体" w:cs="等线"/>
                <w:szCs w:val="21"/>
              </w:rPr>
            </w:pPr>
            <w:r>
              <w:rPr>
                <w:rFonts w:hint="eastAsia" w:ascii="宋体" w:hAnsi="宋体" w:eastAsia="宋体" w:cs="等线"/>
                <w:szCs w:val="21"/>
              </w:rPr>
              <w:t>（2）VR安全展示模块应支持伺服驱动三缸。</w:t>
            </w:r>
          </w:p>
          <w:p w14:paraId="284EF868">
            <w:pPr>
              <w:jc w:val="left"/>
              <w:rPr>
                <w:rFonts w:ascii="宋体" w:hAnsi="宋体" w:eastAsia="宋体" w:cs="等线"/>
                <w:szCs w:val="21"/>
              </w:rPr>
            </w:pPr>
            <w:r>
              <w:rPr>
                <w:rFonts w:hint="eastAsia" w:ascii="宋体" w:hAnsi="宋体" w:eastAsia="宋体" w:cs="等线"/>
                <w:szCs w:val="21"/>
              </w:rPr>
              <w:t>（3）VR安全展示模块应内置动感特效互动仓。</w:t>
            </w:r>
          </w:p>
          <w:p w14:paraId="5356F538">
            <w:pPr>
              <w:jc w:val="left"/>
              <w:rPr>
                <w:rFonts w:ascii="宋体" w:hAnsi="宋体" w:eastAsia="宋体" w:cs="等线"/>
                <w:szCs w:val="21"/>
              </w:rPr>
            </w:pPr>
            <w:r>
              <w:rPr>
                <w:rFonts w:hint="eastAsia" w:ascii="宋体" w:hAnsi="宋体" w:eastAsia="宋体" w:cs="等线"/>
                <w:szCs w:val="21"/>
              </w:rPr>
              <w:t>（4）VR安全展示模块应内置9轴传感器。</w:t>
            </w:r>
          </w:p>
          <w:p w14:paraId="2736440E">
            <w:pPr>
              <w:jc w:val="left"/>
              <w:rPr>
                <w:rFonts w:ascii="宋体" w:hAnsi="宋体" w:eastAsia="宋体" w:cs="等线"/>
                <w:szCs w:val="21"/>
              </w:rPr>
            </w:pPr>
            <w:r>
              <w:rPr>
                <w:rFonts w:hint="eastAsia" w:ascii="宋体" w:hAnsi="宋体" w:eastAsia="宋体" w:cs="等线"/>
                <w:szCs w:val="21"/>
              </w:rPr>
              <w:t>（5）VR安全展示模块应配置不低于22寸高清屏，工控主机：CPU≥i5/9400F；显卡：不低于GTX1060/6G；</w:t>
            </w:r>
          </w:p>
          <w:p w14:paraId="7C7E39EC">
            <w:pPr>
              <w:jc w:val="left"/>
              <w:rPr>
                <w:rFonts w:ascii="宋体" w:hAnsi="宋体" w:eastAsia="宋体" w:cs="等线"/>
                <w:szCs w:val="21"/>
              </w:rPr>
            </w:pPr>
            <w:r>
              <w:rPr>
                <w:rFonts w:hint="eastAsia" w:ascii="宋体" w:hAnsi="宋体" w:eastAsia="宋体" w:cs="等线"/>
                <w:szCs w:val="21"/>
              </w:rPr>
              <w:t>（6）VR头部显示器：分辨率：不低于2560×1440。</w:t>
            </w:r>
          </w:p>
          <w:p w14:paraId="2ADA6B6C">
            <w:pPr>
              <w:jc w:val="left"/>
              <w:rPr>
                <w:rFonts w:ascii="宋体" w:hAnsi="宋体" w:eastAsia="宋体" w:cs="等线"/>
                <w:szCs w:val="21"/>
              </w:rPr>
            </w:pPr>
            <w:r>
              <w:rPr>
                <w:rFonts w:hint="eastAsia" w:ascii="宋体" w:hAnsi="宋体" w:eastAsia="宋体" w:cs="等线"/>
                <w:szCs w:val="21"/>
              </w:rPr>
              <w:t>（7）VR安全展示模块的视场角不小于110°。</w:t>
            </w:r>
          </w:p>
          <w:p w14:paraId="72073B15">
            <w:pPr>
              <w:jc w:val="left"/>
              <w:rPr>
                <w:rFonts w:ascii="宋体" w:hAnsi="宋体" w:eastAsia="宋体" w:cs="等线"/>
                <w:szCs w:val="21"/>
              </w:rPr>
            </w:pPr>
            <w:r>
              <w:rPr>
                <w:rFonts w:hint="eastAsia" w:ascii="宋体" w:hAnsi="宋体" w:eastAsia="宋体" w:cs="等线"/>
                <w:szCs w:val="21"/>
              </w:rPr>
              <w:t>（8）VR安全展示模块的陀螺仪不少于9轴。</w:t>
            </w:r>
          </w:p>
          <w:p w14:paraId="7F5AD2D5">
            <w:pPr>
              <w:jc w:val="left"/>
              <w:rPr>
                <w:rFonts w:ascii="宋体" w:hAnsi="宋体" w:eastAsia="宋体" w:cs="等线"/>
                <w:szCs w:val="21"/>
              </w:rPr>
            </w:pPr>
            <w:r>
              <w:rPr>
                <w:rFonts w:hint="eastAsia" w:ascii="宋体" w:hAnsi="宋体" w:eastAsia="宋体" w:cs="等线"/>
                <w:szCs w:val="21"/>
              </w:rPr>
              <w:t>（9）质保期：</w:t>
            </w:r>
            <w:r>
              <w:rPr>
                <w:rFonts w:hint="eastAsia"/>
              </w:rPr>
              <w:t>提供</w:t>
            </w:r>
            <w:r>
              <w:rPr>
                <w:rFonts w:hint="eastAsia" w:ascii="宋体" w:hAnsi="宋体" w:eastAsia="宋体" w:cs="Times New Roman"/>
                <w:kern w:val="0"/>
                <w:sz w:val="22"/>
              </w:rPr>
              <w:t>不少于3年</w:t>
            </w:r>
            <w:r>
              <w:rPr>
                <w:rFonts w:ascii="宋体" w:hAnsi="宋体" w:eastAsia="宋体" w:cs="Times New Roman"/>
                <w:kern w:val="0"/>
                <w:sz w:val="22"/>
              </w:rPr>
              <w:t>质保服务</w:t>
            </w:r>
            <w:r>
              <w:rPr>
                <w:rFonts w:hint="eastAsia" w:ascii="宋体" w:hAnsi="宋体" w:eastAsia="宋体" w:cs="等线"/>
                <w:szCs w:val="21"/>
              </w:rPr>
              <w:t>，质保期内提供</w:t>
            </w:r>
            <w:r>
              <w:rPr>
                <w:rFonts w:ascii="宋体" w:hAnsi="宋体" w:eastAsia="宋体" w:cs="等线"/>
                <w:szCs w:val="21"/>
              </w:rPr>
              <w:t>24小时内响应，同时</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等线"/>
                <w:szCs w:val="21"/>
              </w:rPr>
              <w:t>。</w:t>
            </w:r>
          </w:p>
          <w:p w14:paraId="6D3CAF5F">
            <w:pPr>
              <w:jc w:val="left"/>
              <w:rPr>
                <w:rFonts w:ascii="宋体" w:hAnsi="宋体" w:eastAsia="宋体" w:cs="等线"/>
                <w:szCs w:val="21"/>
              </w:rPr>
            </w:pPr>
            <w:r>
              <w:rPr>
                <w:rFonts w:hint="eastAsia" w:ascii="宋体" w:hAnsi="宋体" w:eastAsia="宋体" w:cs="等线"/>
                <w:szCs w:val="21"/>
              </w:rPr>
              <w:t>十一、沙盘虚实一体化项目管理平台模块（不限节点数）：</w:t>
            </w:r>
          </w:p>
          <w:p w14:paraId="28D58E96">
            <w:pPr>
              <w:jc w:val="left"/>
              <w:rPr>
                <w:rFonts w:ascii="宋体" w:hAnsi="宋体" w:eastAsia="宋体" w:cs="等线"/>
                <w:szCs w:val="21"/>
              </w:rPr>
            </w:pPr>
            <w:r>
              <w:rPr>
                <w:rFonts w:hint="eastAsia" w:ascii="宋体" w:hAnsi="宋体" w:eastAsia="宋体" w:cs="等线"/>
                <w:szCs w:val="21"/>
              </w:rPr>
              <w:t>1.平台应支持云端部署及私有化部署，提供不少于3个管理员账号，由管理员账号批量管理使用者账号（使用者账号不限节点数），由教师账号批量管理学生用账号，平台应支持多项目应用，可以载入实际应用案例同时平台接口开放可以调取平台实时数据。</w:t>
            </w:r>
          </w:p>
          <w:p w14:paraId="60C2C22E">
            <w:pPr>
              <w:jc w:val="left"/>
              <w:rPr>
                <w:rFonts w:ascii="宋体" w:hAnsi="宋体" w:eastAsia="宋体" w:cs="等线"/>
                <w:szCs w:val="21"/>
              </w:rPr>
            </w:pPr>
            <w:r>
              <w:rPr>
                <w:rFonts w:hint="eastAsia" w:ascii="宋体" w:hAnsi="宋体" w:eastAsia="宋体" w:cs="等线"/>
                <w:szCs w:val="21"/>
              </w:rPr>
              <w:t>2.平台应显示内容：工程概况、BIM 模型、人员分析、机械设备、监控分析、环境分析、物联设备、安全管理。</w:t>
            </w:r>
          </w:p>
          <w:p w14:paraId="01B51920">
            <w:pPr>
              <w:jc w:val="left"/>
              <w:rPr>
                <w:rFonts w:ascii="宋体" w:hAnsi="宋体" w:eastAsia="宋体" w:cs="等线"/>
                <w:szCs w:val="21"/>
              </w:rPr>
            </w:pPr>
            <w:r>
              <w:rPr>
                <w:rFonts w:hint="eastAsia" w:ascii="宋体" w:hAnsi="宋体" w:eastAsia="宋体" w:cs="等线"/>
                <w:szCs w:val="21"/>
              </w:rPr>
              <w:t>3.平台应支持安全巡检系统、质量管理系统，施工现场质量问题排查和隐患整改，隐患数据分析。管理人员通过智慧工地平台查看安全质量问题整改全过程(支持网页版、手机APP同时操作），支持查看历史记录。应支持隐患随手拍、定点巡视、安全检查等业务功能，</w:t>
            </w:r>
            <w:r>
              <w:rPr>
                <w:rFonts w:ascii="宋体" w:hAnsi="宋体" w:eastAsia="宋体" w:cs="等线"/>
                <w:szCs w:val="21"/>
              </w:rPr>
              <w:t>BIM</w:t>
            </w:r>
            <w:r>
              <w:rPr>
                <w:rFonts w:hint="eastAsia" w:ascii="宋体" w:hAnsi="宋体" w:eastAsia="宋体" w:cs="等线"/>
                <w:szCs w:val="21"/>
              </w:rPr>
              <w:t>模型支持监测模块挂接。</w:t>
            </w:r>
          </w:p>
          <w:p w14:paraId="69383384">
            <w:pPr>
              <w:jc w:val="left"/>
              <w:rPr>
                <w:rFonts w:ascii="宋体" w:hAnsi="宋体" w:eastAsia="宋体" w:cs="等线"/>
                <w:szCs w:val="21"/>
              </w:rPr>
            </w:pPr>
            <w:r>
              <w:rPr>
                <w:rFonts w:hint="eastAsia" w:ascii="宋体" w:hAnsi="宋体" w:eastAsia="宋体" w:cs="等线"/>
                <w:szCs w:val="21"/>
              </w:rPr>
              <w:t>4.平台应支持接入设备及其配套所有模块相关系统（人员定位系统、视频监控系统、劳务实名制系统、塔吊安全监控系统、施工升降机安全监测系统、基坑监测系统、高支模监测系统、喷淋联动控制系统、临边防护报警系统、环境监测系统），支持连接到各类模块的传感器对相应设备进行实时监控、收集各类数据（如环境分析、人员动态等），并将数据传输到云端。</w:t>
            </w:r>
          </w:p>
          <w:p w14:paraId="698F95E2">
            <w:pPr>
              <w:jc w:val="left"/>
              <w:rPr>
                <w:rFonts w:ascii="宋体" w:hAnsi="宋体" w:eastAsia="宋体" w:cs="等线"/>
                <w:szCs w:val="21"/>
              </w:rPr>
            </w:pPr>
            <w:r>
              <w:rPr>
                <w:rFonts w:hint="eastAsia" w:ascii="宋体" w:hAnsi="宋体" w:eastAsia="宋体" w:cs="等线"/>
                <w:szCs w:val="21"/>
              </w:rPr>
              <w:t>5.质保期不低于三年，质保期内提供</w:t>
            </w:r>
            <w:r>
              <w:rPr>
                <w:rFonts w:ascii="宋体" w:hAnsi="宋体" w:eastAsia="宋体" w:cs="等线"/>
                <w:szCs w:val="21"/>
              </w:rPr>
              <w:t>24小时内响应，</w:t>
            </w:r>
            <w:r>
              <w:rPr>
                <w:rFonts w:hint="eastAsia" w:ascii="宋体" w:hAnsi="宋体" w:eastAsia="宋体" w:cs="等线"/>
                <w:szCs w:val="21"/>
              </w:rPr>
              <w:t>质保期满后不升级不影响正常使用，</w:t>
            </w:r>
            <w:r>
              <w:rPr>
                <w:rFonts w:ascii="宋体" w:hAnsi="宋体" w:eastAsia="宋体" w:cs="等线"/>
                <w:szCs w:val="21"/>
              </w:rPr>
              <w:t>同时</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等线"/>
                <w:szCs w:val="21"/>
              </w:rPr>
              <w:t>。</w:t>
            </w:r>
          </w:p>
          <w:p w14:paraId="5FE95738">
            <w:pPr>
              <w:jc w:val="left"/>
              <w:rPr>
                <w:rFonts w:ascii="宋体" w:hAnsi="宋体" w:eastAsia="宋体" w:cs="等线"/>
                <w:szCs w:val="21"/>
              </w:rPr>
            </w:pPr>
            <w:r>
              <w:rPr>
                <w:rFonts w:hint="eastAsia" w:ascii="宋体" w:hAnsi="宋体" w:eastAsia="宋体" w:cs="等线"/>
                <w:szCs w:val="21"/>
              </w:rPr>
              <w:t>十二、IOT数据系统：</w:t>
            </w:r>
          </w:p>
          <w:p w14:paraId="2324EB0E">
            <w:pPr>
              <w:jc w:val="left"/>
              <w:rPr>
                <w:rFonts w:ascii="宋体" w:hAnsi="宋体" w:eastAsia="宋体" w:cs="等线"/>
                <w:szCs w:val="21"/>
              </w:rPr>
            </w:pPr>
            <w:r>
              <w:rPr>
                <w:rFonts w:hint="eastAsia" w:ascii="宋体" w:hAnsi="宋体" w:eastAsia="宋体" w:cs="等线"/>
                <w:szCs w:val="21"/>
              </w:rPr>
              <w:t>1.IOT数据系统应支持设备详情、设备类型、分类分组及设备管理等功能。</w:t>
            </w:r>
          </w:p>
          <w:p w14:paraId="2ACE507E">
            <w:pPr>
              <w:jc w:val="left"/>
              <w:rPr>
                <w:rFonts w:ascii="宋体" w:hAnsi="宋体" w:eastAsia="宋体" w:cs="等线"/>
                <w:szCs w:val="21"/>
              </w:rPr>
            </w:pPr>
            <w:r>
              <w:rPr>
                <w:rFonts w:hint="eastAsia" w:ascii="宋体" w:hAnsi="宋体" w:eastAsia="宋体" w:cs="等线"/>
                <w:szCs w:val="21"/>
              </w:rPr>
              <w:t>2.IOT数据系统应提供设备分组、日志记录、实时状态监控等管理功能。</w:t>
            </w:r>
          </w:p>
          <w:p w14:paraId="4F0E8223">
            <w:pPr>
              <w:jc w:val="left"/>
              <w:rPr>
                <w:rFonts w:ascii="宋体" w:hAnsi="宋体" w:eastAsia="宋体" w:cs="等线"/>
                <w:szCs w:val="21"/>
              </w:rPr>
            </w:pPr>
            <w:r>
              <w:rPr>
                <w:rFonts w:hint="eastAsia" w:ascii="宋体" w:hAnsi="宋体" w:eastAsia="宋体" w:cs="等线"/>
                <w:szCs w:val="21"/>
              </w:rPr>
              <w:t>3.IOT数据系统应支持定义设备的属性、功能和事件，实现设备与服务端的有效交互。通过标准化物模型实现异构设备的统一接入与管理。支持传感器、控制器等物理设备映射为包含 “属性、功能”的数字实体，支持空调、传感器、工业PLC等跨品类设备的语义统一化管理。提供可视化配置界面，支持动态定义设备属性参数，支持开关型、数值型、脚本型等数据类型。</w:t>
            </w:r>
          </w:p>
          <w:p w14:paraId="420B3E3F">
            <w:pPr>
              <w:jc w:val="left"/>
              <w:rPr>
                <w:rFonts w:ascii="宋体" w:hAnsi="宋体" w:eastAsia="宋体" w:cs="等线"/>
                <w:szCs w:val="21"/>
              </w:rPr>
            </w:pPr>
            <w:r>
              <w:rPr>
                <w:rFonts w:hint="eastAsia" w:ascii="宋体" w:hAnsi="宋体" w:eastAsia="宋体" w:cs="等线"/>
                <w:szCs w:val="21"/>
              </w:rPr>
              <w:t>4.IOT数据系统应内置主流通信协议，集成设备驱动。支持直连设备、接入网关设备、网关子设备，监控设备。传感设备与IOT数据中台支持多种通讯链路（WIFI、蜂窝网络、以太网等）。</w:t>
            </w:r>
          </w:p>
          <w:p w14:paraId="5B3FD04D">
            <w:pPr>
              <w:jc w:val="left"/>
              <w:rPr>
                <w:rFonts w:ascii="宋体" w:hAnsi="宋体" w:eastAsia="宋体" w:cs="等线"/>
                <w:szCs w:val="21"/>
              </w:rPr>
            </w:pPr>
            <w:r>
              <w:rPr>
                <w:rFonts w:hint="eastAsia" w:ascii="宋体" w:hAnsi="宋体" w:eastAsia="宋体" w:cs="等线"/>
                <w:szCs w:val="21"/>
              </w:rPr>
              <w:t>5.IOT数据系统应内置高性能规则引擎，支持基于 nodejs 兼容语法构建自动化业务逻辑处理能力。支持基于数据流(语法同javascript)的规则编写，自动处理复杂的业务逻辑和场景联动。</w:t>
            </w:r>
          </w:p>
          <w:p w14:paraId="35EE6868">
            <w:pPr>
              <w:jc w:val="left"/>
              <w:rPr>
                <w:rFonts w:ascii="宋体" w:hAnsi="宋体" w:eastAsia="宋体" w:cs="等线"/>
                <w:szCs w:val="21"/>
              </w:rPr>
            </w:pPr>
            <w:r>
              <w:rPr>
                <w:rFonts w:hint="eastAsia" w:ascii="宋体" w:hAnsi="宋体" w:eastAsia="宋体" w:cs="等线"/>
                <w:szCs w:val="21"/>
              </w:rPr>
              <w:t>6.IOT数据系统应支持对接多种通讯方式如邮箱和API调用，及时通知设备异常或故障。</w:t>
            </w:r>
          </w:p>
          <w:p w14:paraId="71C3E37A">
            <w:pPr>
              <w:jc w:val="left"/>
              <w:rPr>
                <w:rFonts w:ascii="宋体" w:hAnsi="宋体" w:eastAsia="宋体" w:cs="等线"/>
                <w:szCs w:val="21"/>
              </w:rPr>
            </w:pPr>
            <w:r>
              <w:rPr>
                <w:rFonts w:hint="eastAsia" w:ascii="宋体" w:hAnsi="宋体" w:eastAsia="宋体" w:cs="等线"/>
                <w:szCs w:val="21"/>
              </w:rPr>
              <w:t>7.IOT数据系统应支持数据隔离和独立配置。</w:t>
            </w:r>
          </w:p>
          <w:p w14:paraId="14E7525B">
            <w:pPr>
              <w:jc w:val="left"/>
              <w:rPr>
                <w:rFonts w:ascii="宋体" w:hAnsi="宋体" w:eastAsia="宋体" w:cs="等线"/>
                <w:szCs w:val="21"/>
              </w:rPr>
            </w:pPr>
            <w:r>
              <w:rPr>
                <w:rFonts w:hint="eastAsia" w:ascii="宋体" w:hAnsi="宋体" w:eastAsia="宋体" w:cs="等线"/>
                <w:szCs w:val="21"/>
              </w:rPr>
              <w:t>8.IOT数据系统应支持GB/T28181协议的监控设备，提供直播、录制回放及云台控制功能。</w:t>
            </w:r>
          </w:p>
          <w:p w14:paraId="14B02FCB">
            <w:pPr>
              <w:jc w:val="left"/>
              <w:rPr>
                <w:rFonts w:ascii="宋体" w:hAnsi="宋体" w:eastAsia="宋体" w:cs="等线"/>
                <w:szCs w:val="21"/>
              </w:rPr>
            </w:pPr>
            <w:r>
              <w:rPr>
                <w:rFonts w:hint="eastAsia" w:ascii="宋体" w:hAnsi="宋体" w:eastAsia="宋体" w:cs="等线"/>
                <w:szCs w:val="21"/>
              </w:rPr>
              <w:t>9.IOT数据系统应支持聚合多个设备展示，支持可扩展录入、运算型变量，支持复杂的数据运算，支持建筑/工业物联网数据监控、智慧城市综合管理、能源管理系统等场景。</w:t>
            </w:r>
          </w:p>
          <w:p w14:paraId="62AC8B95">
            <w:pPr>
              <w:jc w:val="left"/>
              <w:rPr>
                <w:rFonts w:eastAsia="宋体"/>
              </w:rPr>
            </w:pPr>
            <w:r>
              <w:rPr>
                <w:rFonts w:hint="eastAsia" w:ascii="宋体" w:hAnsi="宋体" w:eastAsia="宋体" w:cs="等线"/>
                <w:szCs w:val="21"/>
              </w:rPr>
              <w:t>10.IOT数据系统应支持开放、标准的API 接口，支持数据交互。</w:t>
            </w:r>
          </w:p>
          <w:p w14:paraId="2CF836F4">
            <w:pPr>
              <w:jc w:val="left"/>
              <w:rPr>
                <w:rFonts w:ascii="宋体" w:hAnsi="宋体" w:eastAsia="宋体" w:cs="等线"/>
                <w:szCs w:val="21"/>
              </w:rPr>
            </w:pPr>
            <w:r>
              <w:rPr>
                <w:rFonts w:hint="eastAsia" w:ascii="宋体" w:hAnsi="宋体" w:eastAsia="宋体" w:cs="等线"/>
                <w:szCs w:val="21"/>
              </w:rPr>
              <w:t>11.质保期：系统</w:t>
            </w:r>
            <w:r>
              <w:rPr>
                <w:rFonts w:hint="eastAsia"/>
              </w:rPr>
              <w:t>提供不少于3年质保服务，</w:t>
            </w:r>
            <w:r>
              <w:rPr>
                <w:rFonts w:hint="eastAsia" w:ascii="宋体" w:hAnsi="宋体" w:eastAsia="宋体" w:cs="等线"/>
                <w:szCs w:val="21"/>
              </w:rPr>
              <w:t>质保期满后不升级不影响正常使用。</w:t>
            </w:r>
          </w:p>
          <w:p w14:paraId="091DE40F">
            <w:pPr>
              <w:jc w:val="left"/>
              <w:rPr>
                <w:rFonts w:ascii="宋体" w:hAnsi="宋体" w:eastAsia="宋体" w:cs="等线"/>
                <w:szCs w:val="21"/>
              </w:rPr>
            </w:pPr>
            <w:r>
              <w:rPr>
                <w:rFonts w:hint="eastAsia" w:ascii="宋体" w:hAnsi="宋体" w:eastAsia="宋体" w:cs="等线"/>
                <w:szCs w:val="21"/>
              </w:rPr>
              <w:t>十三、可视化控制系统：</w:t>
            </w:r>
          </w:p>
          <w:p w14:paraId="0169AFB4">
            <w:pPr>
              <w:jc w:val="left"/>
              <w:rPr>
                <w:rFonts w:ascii="宋体" w:hAnsi="宋体" w:eastAsia="宋体" w:cs="等线"/>
                <w:szCs w:val="21"/>
              </w:rPr>
            </w:pPr>
            <w:r>
              <w:rPr>
                <w:rFonts w:hint="eastAsia" w:ascii="宋体" w:hAnsi="宋体" w:eastAsia="宋体" w:cs="等线"/>
                <w:szCs w:val="21"/>
              </w:rPr>
              <w:t>1.可视化管理系统主页,应支持多个模块布局，支持设备控制、连接设置、智能场景（支持电源开启、一键全开、一键全关）、环境（含地点、天气、空气质量）等模块。</w:t>
            </w:r>
          </w:p>
          <w:p w14:paraId="2376FEEE">
            <w:pPr>
              <w:jc w:val="left"/>
              <w:rPr>
                <w:rFonts w:ascii="宋体" w:hAnsi="宋体" w:eastAsia="宋体" w:cs="等线"/>
                <w:szCs w:val="21"/>
              </w:rPr>
            </w:pPr>
            <w:r>
              <w:rPr>
                <w:rFonts w:hint="eastAsia" w:ascii="宋体" w:hAnsi="宋体" w:eastAsia="宋体" w:cs="等线"/>
                <w:szCs w:val="21"/>
              </w:rPr>
              <w:t>2.可视化控制系统的设备控制管理,应包含多种设备，支持每个设备的一键开启，一键关闭。</w:t>
            </w:r>
          </w:p>
          <w:p w14:paraId="3550A5F2">
            <w:pPr>
              <w:jc w:val="left"/>
              <w:rPr>
                <w:rFonts w:ascii="宋体" w:hAnsi="宋体" w:eastAsia="宋体" w:cs="等线"/>
                <w:szCs w:val="21"/>
              </w:rPr>
            </w:pPr>
            <w:r>
              <w:rPr>
                <w:rFonts w:hint="eastAsia" w:ascii="宋体" w:hAnsi="宋体" w:eastAsia="宋体" w:cs="等线"/>
                <w:szCs w:val="21"/>
              </w:rPr>
              <w:t>3.可视化控制系统应支持设备详情功能，灯光控制的每个开关都支持3个（含）以上键位，支持一键开关、全部开启全部关闭功能；支持日志记录（时间、设备名称、操作结果）；支持修改设备图标（设备名称、设备组名、子设备名称）。</w:t>
            </w:r>
          </w:p>
          <w:p w14:paraId="7CC3F243">
            <w:pPr>
              <w:jc w:val="left"/>
              <w:rPr>
                <w:rFonts w:ascii="宋体" w:hAnsi="宋体" w:eastAsia="宋体" w:cs="等线"/>
                <w:szCs w:val="21"/>
              </w:rPr>
            </w:pPr>
            <w:r>
              <w:rPr>
                <w:rFonts w:hint="eastAsia" w:ascii="宋体" w:hAnsi="宋体" w:eastAsia="宋体" w:cs="等线"/>
                <w:szCs w:val="21"/>
              </w:rPr>
              <w:t>4.可视化控制系统的支持智能场景管理,支持场景命名，添加、删除场景；支持选择设备、删除设备，定制开、关状态。</w:t>
            </w:r>
          </w:p>
          <w:p w14:paraId="2D0277AB">
            <w:pPr>
              <w:jc w:val="left"/>
              <w:rPr>
                <w:rFonts w:ascii="宋体" w:hAnsi="宋体" w:eastAsia="宋体" w:cs="等线"/>
                <w:szCs w:val="21"/>
              </w:rPr>
            </w:pPr>
            <w:r>
              <w:rPr>
                <w:rFonts w:hint="eastAsia" w:ascii="宋体" w:hAnsi="宋体" w:eastAsia="宋体" w:cs="等线"/>
                <w:szCs w:val="21"/>
              </w:rPr>
              <w:t>5.可视化控制系统应支持多种数据可视化图表,应内置丰富的统计图表类型，覆盖序列分析（折线图、列表图）、对比分析（柱状图、条形图）、占比展示（饼图、环图）及复杂关系可视化（雷达图）。支持数据驱动的图表更新。</w:t>
            </w:r>
          </w:p>
          <w:p w14:paraId="350B7328">
            <w:pPr>
              <w:jc w:val="left"/>
              <w:rPr>
                <w:rFonts w:ascii="宋体" w:hAnsi="宋体" w:eastAsia="宋体" w:cs="等线"/>
                <w:szCs w:val="21"/>
              </w:rPr>
            </w:pPr>
            <w:r>
              <w:rPr>
                <w:rFonts w:hint="eastAsia" w:ascii="宋体" w:hAnsi="宋体" w:eastAsia="宋体" w:cs="等线"/>
                <w:szCs w:val="21"/>
              </w:rPr>
              <w:t>6.可视化控制系统应支持定制天气、时间；支持随机天气，支持光照循环时间设置。</w:t>
            </w:r>
          </w:p>
          <w:p w14:paraId="48502DB5">
            <w:pPr>
              <w:jc w:val="left"/>
              <w:rPr>
                <w:rFonts w:ascii="宋体" w:hAnsi="宋体" w:eastAsia="宋体" w:cs="等线"/>
                <w:szCs w:val="21"/>
              </w:rPr>
            </w:pPr>
            <w:r>
              <w:rPr>
                <w:rFonts w:hint="eastAsia" w:ascii="宋体" w:hAnsi="宋体" w:eastAsia="宋体" w:cs="等线"/>
                <w:szCs w:val="21"/>
              </w:rPr>
              <w:t>7.可视化控制系统应支持安全指数分析（安全指数、当日报告、本月安全指数），支持人员统计、访客统计等。</w:t>
            </w:r>
          </w:p>
          <w:p w14:paraId="5D779DF3">
            <w:pPr>
              <w:jc w:val="left"/>
              <w:rPr>
                <w:rFonts w:ascii="宋体" w:hAnsi="宋体" w:eastAsia="宋体" w:cs="等线"/>
                <w:szCs w:val="21"/>
              </w:rPr>
            </w:pPr>
            <w:r>
              <w:rPr>
                <w:rFonts w:hint="eastAsia" w:ascii="宋体" w:hAnsi="宋体" w:eastAsia="宋体" w:cs="等线"/>
                <w:szCs w:val="21"/>
              </w:rPr>
              <w:t>8.可视化控制系统应支持设备统计（设备健康度统计、设备分类、楼层设备），资产统计（资产使用率、资产控制率、资产热点图）等。</w:t>
            </w:r>
          </w:p>
          <w:p w14:paraId="753894D3">
            <w:pPr>
              <w:jc w:val="left"/>
              <w:rPr>
                <w:rFonts w:ascii="宋体" w:hAnsi="宋体" w:eastAsia="宋体" w:cs="等线"/>
                <w:szCs w:val="21"/>
              </w:rPr>
            </w:pPr>
            <w:r>
              <w:rPr>
                <w:rFonts w:hint="eastAsia" w:ascii="宋体" w:hAnsi="宋体" w:eastAsia="宋体" w:cs="等线"/>
                <w:szCs w:val="21"/>
              </w:rPr>
              <w:t>9.可视化控制系统应支持绿色能耗统计（如有智能设备，支持实时水电统计、7日水电统计、当日水电统计）等。</w:t>
            </w:r>
          </w:p>
          <w:p w14:paraId="7F114F9C">
            <w:pPr>
              <w:jc w:val="left"/>
              <w:rPr>
                <w:rFonts w:ascii="宋体" w:hAnsi="宋体" w:eastAsia="宋体" w:cs="等线"/>
                <w:szCs w:val="21"/>
              </w:rPr>
            </w:pPr>
            <w:r>
              <w:rPr>
                <w:rFonts w:hint="eastAsia" w:ascii="宋体" w:hAnsi="宋体" w:eastAsia="宋体" w:cs="等线"/>
                <w:szCs w:val="21"/>
              </w:rPr>
              <w:t>10.质保期：系统</w:t>
            </w:r>
            <w:r>
              <w:rPr>
                <w:rFonts w:hint="eastAsia"/>
              </w:rPr>
              <w:t>提供不少于3年质保服务，</w:t>
            </w:r>
            <w:r>
              <w:rPr>
                <w:rFonts w:hint="eastAsia" w:ascii="宋体" w:hAnsi="宋体" w:eastAsia="宋体" w:cs="等线"/>
                <w:szCs w:val="21"/>
              </w:rPr>
              <w:t>质保期满后不升级不影响正常使用。</w:t>
            </w:r>
          </w:p>
          <w:p w14:paraId="1E90C8A4">
            <w:pPr>
              <w:jc w:val="left"/>
              <w:rPr>
                <w:rFonts w:ascii="宋体" w:hAnsi="宋体" w:eastAsia="宋体" w:cs="等线"/>
                <w:szCs w:val="21"/>
              </w:rPr>
            </w:pPr>
            <w:r>
              <w:rPr>
                <w:rFonts w:hint="eastAsia" w:ascii="宋体" w:hAnsi="宋体" w:eastAsia="宋体" w:cs="等线"/>
                <w:szCs w:val="21"/>
              </w:rPr>
              <w:t>十四、三维控制系统：</w:t>
            </w:r>
          </w:p>
          <w:p w14:paraId="75517CA3">
            <w:pPr>
              <w:jc w:val="left"/>
              <w:rPr>
                <w:rFonts w:ascii="宋体" w:hAnsi="宋体" w:eastAsia="宋体" w:cs="等线"/>
                <w:szCs w:val="21"/>
              </w:rPr>
            </w:pPr>
            <w:r>
              <w:rPr>
                <w:rFonts w:hint="eastAsia" w:ascii="宋体" w:hAnsi="宋体" w:eastAsia="宋体" w:cs="等线"/>
                <w:szCs w:val="21"/>
              </w:rPr>
              <w:t>1.三维控制系统应支持三维模型显示，支持实时渲染，高度还原实际场景。</w:t>
            </w:r>
          </w:p>
          <w:p w14:paraId="28F95DC2">
            <w:pPr>
              <w:jc w:val="left"/>
              <w:rPr>
                <w:rFonts w:ascii="宋体" w:hAnsi="宋体" w:eastAsia="宋体" w:cs="等线"/>
                <w:szCs w:val="21"/>
              </w:rPr>
            </w:pPr>
            <w:r>
              <w:rPr>
                <w:rFonts w:hint="eastAsia" w:ascii="宋体" w:hAnsi="宋体" w:eastAsia="宋体" w:cs="等线"/>
                <w:szCs w:val="21"/>
              </w:rPr>
              <w:t>2.三维控制系统应包括室外建筑、室内设备、交通工程常用模型（如路灯、花草、树木、标志牌等）。</w:t>
            </w:r>
          </w:p>
          <w:p w14:paraId="7A130C1C">
            <w:pPr>
              <w:jc w:val="left"/>
              <w:rPr>
                <w:rFonts w:ascii="宋体" w:hAnsi="宋体" w:eastAsia="宋体" w:cs="等线"/>
                <w:szCs w:val="21"/>
              </w:rPr>
            </w:pPr>
            <w:r>
              <w:rPr>
                <w:rFonts w:hint="eastAsia" w:ascii="宋体" w:hAnsi="宋体" w:eastAsia="宋体" w:cs="等线"/>
                <w:szCs w:val="21"/>
              </w:rPr>
              <w:t>3.三维控制系统需内置天气组件支持模拟现实世界的变化和情况，支持模拟光线强弱、阴影形态、天气状况与昼夜交替等场景要素。天气模拟涵盖晴、雨、雪等类型，昼夜系统支持当前地点经纬度。</w:t>
            </w:r>
          </w:p>
          <w:p w14:paraId="0253585D">
            <w:pPr>
              <w:jc w:val="left"/>
              <w:rPr>
                <w:rFonts w:ascii="宋体" w:hAnsi="宋体" w:eastAsia="宋体" w:cs="等线"/>
                <w:szCs w:val="21"/>
              </w:rPr>
            </w:pPr>
            <w:r>
              <w:rPr>
                <w:rFonts w:hint="eastAsia" w:ascii="宋体" w:hAnsi="宋体" w:eastAsia="宋体" w:cs="等线"/>
                <w:szCs w:val="21"/>
              </w:rPr>
              <w:t>4.三维控制系统应支持三维漫游功能，支持视角灵活切换。</w:t>
            </w:r>
          </w:p>
          <w:p w14:paraId="6DC71E0D">
            <w:pPr>
              <w:jc w:val="left"/>
              <w:rPr>
                <w:rFonts w:ascii="宋体" w:hAnsi="宋体" w:eastAsia="宋体" w:cs="等线"/>
                <w:szCs w:val="21"/>
              </w:rPr>
            </w:pPr>
            <w:r>
              <w:rPr>
                <w:rFonts w:hint="eastAsia" w:ascii="宋体" w:hAnsi="宋体" w:eastAsia="宋体" w:cs="等线"/>
                <w:szCs w:val="21"/>
              </w:rPr>
              <w:t>5.三维控制系统应支持开关灯虚实互动：支持三维系统内开关灯，实体世界灯同步开关；支持在实际设备上开关灯，系统内同步开关。</w:t>
            </w:r>
          </w:p>
          <w:p w14:paraId="07E42360">
            <w:pPr>
              <w:jc w:val="left"/>
              <w:rPr>
                <w:rFonts w:ascii="宋体" w:hAnsi="宋体" w:eastAsia="宋体" w:cs="等线"/>
                <w:szCs w:val="21"/>
              </w:rPr>
            </w:pPr>
            <w:r>
              <w:rPr>
                <w:rFonts w:hint="eastAsia" w:ascii="宋体" w:hAnsi="宋体" w:eastAsia="宋体" w:cs="等线"/>
                <w:szCs w:val="21"/>
              </w:rPr>
              <w:t>6.三维控制系统应支持IOT设备数字孪生控制，包括空调、窗帘、灯光、智能插座、电脑设备等。</w:t>
            </w:r>
          </w:p>
          <w:p w14:paraId="269FABDA">
            <w:pPr>
              <w:jc w:val="left"/>
              <w:rPr>
                <w:rFonts w:ascii="宋体" w:hAnsi="宋体" w:eastAsia="宋体" w:cs="等线"/>
                <w:szCs w:val="21"/>
              </w:rPr>
            </w:pPr>
            <w:r>
              <w:rPr>
                <w:rFonts w:hint="eastAsia" w:ascii="宋体" w:hAnsi="宋体" w:eastAsia="宋体" w:cs="等线"/>
                <w:szCs w:val="21"/>
              </w:rPr>
              <w:t>7.质保期：</w:t>
            </w:r>
            <w:r>
              <w:rPr>
                <w:rFonts w:hint="eastAsia"/>
              </w:rPr>
              <w:t>系统提供</w:t>
            </w:r>
            <w:r>
              <w:rPr>
                <w:rFonts w:hint="eastAsia" w:ascii="宋体" w:hAnsi="宋体" w:eastAsia="宋体" w:cs="Times New Roman"/>
                <w:kern w:val="0"/>
                <w:sz w:val="22"/>
              </w:rPr>
              <w:t>不少于3年</w:t>
            </w:r>
            <w:r>
              <w:rPr>
                <w:rFonts w:ascii="宋体" w:hAnsi="宋体" w:eastAsia="宋体" w:cs="Times New Roman"/>
                <w:kern w:val="0"/>
                <w:sz w:val="22"/>
              </w:rPr>
              <w:t>质保服务，</w:t>
            </w:r>
            <w:r>
              <w:rPr>
                <w:rFonts w:hint="eastAsia" w:ascii="宋体" w:hAnsi="宋体" w:eastAsia="宋体" w:cs="Times New Roman"/>
                <w:kern w:val="0"/>
                <w:sz w:val="22"/>
              </w:rPr>
              <w:t>无需二次升级（不升级不影响系统正常使用）</w:t>
            </w:r>
            <w:r>
              <w:rPr>
                <w:rFonts w:hint="eastAsia" w:ascii="宋体" w:hAnsi="宋体" w:eastAsia="宋体" w:cs="等线"/>
                <w:szCs w:val="21"/>
              </w:rPr>
              <w:t>。</w:t>
            </w:r>
          </w:p>
          <w:p w14:paraId="3E89AD5D">
            <w:pPr>
              <w:jc w:val="left"/>
              <w:rPr>
                <w:rFonts w:ascii="宋体" w:hAnsi="宋体" w:eastAsia="宋体" w:cs="等线"/>
                <w:szCs w:val="21"/>
              </w:rPr>
            </w:pPr>
            <w:r>
              <w:rPr>
                <w:rFonts w:hint="eastAsia" w:ascii="宋体" w:hAnsi="宋体" w:eastAsia="宋体" w:cs="等线"/>
                <w:szCs w:val="21"/>
              </w:rPr>
              <w:t>十五、BIMVR软件66节点</w:t>
            </w:r>
          </w:p>
          <w:p w14:paraId="7F47F516">
            <w:pPr>
              <w:jc w:val="left"/>
              <w:rPr>
                <w:rFonts w:ascii="宋体" w:hAnsi="宋体" w:eastAsia="宋体" w:cs="等线"/>
                <w:szCs w:val="21"/>
              </w:rPr>
            </w:pPr>
            <w:r>
              <w:rPr>
                <w:rFonts w:hint="eastAsia" w:ascii="宋体" w:hAnsi="宋体" w:eastAsia="宋体" w:cs="等线"/>
                <w:szCs w:val="21"/>
              </w:rPr>
              <w:t>（1）BIMVR软件应支持在VR下查看项目和一间基于现有</w:t>
            </w:r>
            <w:r>
              <w:rPr>
                <w:rFonts w:ascii="宋体" w:hAnsi="宋体" w:eastAsia="宋体" w:cs="等线"/>
                <w:szCs w:val="21"/>
              </w:rPr>
              <w:t>revit</w:t>
            </w:r>
            <w:r>
              <w:rPr>
                <w:rFonts w:hint="eastAsia" w:ascii="宋体" w:hAnsi="宋体" w:eastAsia="宋体" w:cs="等线"/>
                <w:szCs w:val="21"/>
              </w:rPr>
              <w:t>模型生成项目在</w:t>
            </w:r>
            <w:r>
              <w:rPr>
                <w:rFonts w:ascii="宋体" w:hAnsi="宋体" w:eastAsia="宋体" w:cs="等线"/>
                <w:szCs w:val="21"/>
              </w:rPr>
              <w:t>vr</w:t>
            </w:r>
            <w:r>
              <w:rPr>
                <w:rFonts w:hint="eastAsia" w:ascii="宋体" w:hAnsi="宋体" w:eastAsia="宋体" w:cs="等线"/>
                <w:szCs w:val="21"/>
              </w:rPr>
              <w:t>中查看；</w:t>
            </w:r>
          </w:p>
          <w:p w14:paraId="2FE67E68">
            <w:pPr>
              <w:jc w:val="left"/>
              <w:rPr>
                <w:rFonts w:ascii="宋体" w:hAnsi="宋体" w:eastAsia="宋体" w:cs="等线"/>
                <w:szCs w:val="21"/>
              </w:rPr>
            </w:pPr>
            <w:r>
              <w:rPr>
                <w:rFonts w:hint="eastAsia" w:ascii="宋体" w:hAnsi="宋体" w:eastAsia="宋体" w:cs="等线"/>
                <w:szCs w:val="21"/>
              </w:rPr>
              <w:t>▲（2）BIMVR软件应支持在VR中直接查看BIM土建模型构件的图元信息、类别、砼标号、砼类型、厚度、标高信息、汇总类型、材质、砂浆标号、砂浆类型、截面高度和宽度等对应的属性信息；</w:t>
            </w:r>
          </w:p>
          <w:p w14:paraId="271FAFFD">
            <w:pPr>
              <w:jc w:val="left"/>
              <w:rPr>
                <w:rFonts w:ascii="宋体" w:hAnsi="宋体" w:eastAsia="宋体" w:cs="等线"/>
                <w:szCs w:val="21"/>
              </w:rPr>
            </w:pPr>
            <w:r>
              <w:rPr>
                <w:rFonts w:hint="eastAsia" w:ascii="宋体" w:hAnsi="宋体" w:eastAsia="宋体" w:cs="等线"/>
                <w:szCs w:val="21"/>
              </w:rPr>
              <w:t>（3）BIMVR软件应支持在VR中直接查看钢筋构件计算公式、钢筋工程量计算值、钢筋标号信息；</w:t>
            </w:r>
          </w:p>
          <w:p w14:paraId="554C574C">
            <w:pPr>
              <w:jc w:val="left"/>
              <w:rPr>
                <w:rFonts w:ascii="宋体" w:hAnsi="宋体" w:eastAsia="宋体" w:cs="等线"/>
                <w:szCs w:val="21"/>
              </w:rPr>
            </w:pPr>
            <w:r>
              <w:rPr>
                <w:rFonts w:hint="eastAsia" w:ascii="宋体" w:hAnsi="宋体" w:eastAsia="宋体" w:cs="等线"/>
                <w:szCs w:val="21"/>
              </w:rPr>
              <w:t>（4）BIMVR软件应支持VR头盔下的长度测量功能；</w:t>
            </w:r>
          </w:p>
          <w:p w14:paraId="5A9EA8DD">
            <w:pPr>
              <w:jc w:val="left"/>
              <w:rPr>
                <w:rFonts w:ascii="宋体" w:hAnsi="宋体" w:eastAsia="宋体" w:cs="等线"/>
                <w:szCs w:val="21"/>
              </w:rPr>
            </w:pPr>
            <w:r>
              <w:rPr>
                <w:rFonts w:hint="eastAsia" w:ascii="宋体" w:hAnsi="宋体" w:eastAsia="宋体" w:cs="等线"/>
                <w:szCs w:val="21"/>
              </w:rPr>
              <w:t>（5）BIMVR软件应支持在VR中进行区域行走、瞬间移动、构件显隐、开关灯、开关门、材质设置与替换、施工动画查看、24小时光照模拟、文字字幕滚动效果、方案切换与优选；</w:t>
            </w:r>
          </w:p>
          <w:p w14:paraId="3B0F9DEA">
            <w:pPr>
              <w:jc w:val="left"/>
              <w:rPr>
                <w:rFonts w:ascii="宋体" w:hAnsi="宋体" w:eastAsia="宋体" w:cs="等线"/>
                <w:szCs w:val="21"/>
              </w:rPr>
            </w:pPr>
            <w:r>
              <w:rPr>
                <w:rFonts w:hint="eastAsia" w:ascii="宋体" w:hAnsi="宋体" w:eastAsia="宋体" w:cs="等线"/>
                <w:szCs w:val="21"/>
              </w:rPr>
              <w:t>（6）BIMVR软件应支持在VR中拾取构件、构件位置调整、播放视频并进行视频进度控制、播放微课、播放背景音乐、播放粒子特效、播放制作好的动画内容；</w:t>
            </w:r>
          </w:p>
          <w:p w14:paraId="619D7AD8">
            <w:pPr>
              <w:jc w:val="left"/>
              <w:rPr>
                <w:rFonts w:ascii="宋体" w:hAnsi="宋体" w:eastAsia="宋体" w:cs="等线"/>
                <w:szCs w:val="21"/>
              </w:rPr>
            </w:pPr>
            <w:r>
              <w:rPr>
                <w:rFonts w:hint="eastAsia" w:ascii="宋体" w:hAnsi="宋体" w:eastAsia="宋体" w:cs="等线"/>
                <w:szCs w:val="21"/>
              </w:rPr>
              <w:t>（7）BIMVR软件应支持交互查看跟随视角的图片、视频和文字信息；应支持交互查看跟随手柄的图片、视频和文字信息；</w:t>
            </w:r>
          </w:p>
          <w:p w14:paraId="35A342B5">
            <w:pPr>
              <w:jc w:val="left"/>
              <w:rPr>
                <w:rFonts w:ascii="宋体" w:hAnsi="宋体" w:eastAsia="宋体" w:cs="等线"/>
                <w:szCs w:val="21"/>
              </w:rPr>
            </w:pPr>
            <w:r>
              <w:rPr>
                <w:rFonts w:hint="eastAsia" w:ascii="宋体" w:hAnsi="宋体" w:eastAsia="宋体" w:cs="等线"/>
                <w:szCs w:val="21"/>
              </w:rPr>
              <w:t>（8）BIMVR软件应支持IOT物联网技术，虚拟场景和现实智能设备相结合，支持虚拟场景的交互控制现实场景；</w:t>
            </w:r>
          </w:p>
          <w:p w14:paraId="06DA4DA1">
            <w:pPr>
              <w:jc w:val="left"/>
              <w:rPr>
                <w:rFonts w:ascii="宋体" w:hAnsi="宋体" w:eastAsia="宋体" w:cs="等线"/>
                <w:szCs w:val="21"/>
              </w:rPr>
            </w:pPr>
            <w:r>
              <w:rPr>
                <w:rFonts w:hint="eastAsia" w:ascii="宋体" w:hAnsi="宋体" w:eastAsia="宋体" w:cs="等线"/>
                <w:szCs w:val="21"/>
              </w:rPr>
              <w:t>（9）BIMVR软件应支持VR场景中包含钢结构施工，以钢结构厂房为案例，进行钢结构工程项目施工工艺过程模拟，学习施工步骤及施工规范要求，内容设计施工准备、钢构件吊装、钢结构焊接、高强螺栓施工、钢结构防火涂装等，完整模拟钢结构厂房施工从起始到结束过程；</w:t>
            </w:r>
          </w:p>
          <w:p w14:paraId="2552C3FF">
            <w:pPr>
              <w:jc w:val="left"/>
              <w:rPr>
                <w:rFonts w:ascii="宋体" w:hAnsi="宋体" w:eastAsia="宋体" w:cs="等线"/>
                <w:szCs w:val="21"/>
              </w:rPr>
            </w:pPr>
            <w:r>
              <w:rPr>
                <w:rFonts w:hint="eastAsia" w:ascii="宋体" w:hAnsi="宋体" w:eastAsia="宋体" w:cs="等线"/>
                <w:szCs w:val="21"/>
              </w:rPr>
              <w:t>▲（10）BIMVR软件应支持VR中进行操作练习、操作考核施工流程和生产流程，考核过程中支持模型的远程拖拽和点击复位，并且在考核状态下支持能够提供考核的最终结果，对于考核的结果，具有自动评分功能；</w:t>
            </w:r>
          </w:p>
          <w:p w14:paraId="18948586">
            <w:pPr>
              <w:jc w:val="left"/>
              <w:rPr>
                <w:rFonts w:ascii="宋体" w:hAnsi="宋体" w:eastAsia="宋体" w:cs="等线"/>
                <w:szCs w:val="21"/>
              </w:rPr>
            </w:pPr>
            <w:r>
              <w:rPr>
                <w:rFonts w:hint="eastAsia" w:ascii="宋体" w:hAnsi="宋体" w:eastAsia="宋体" w:cs="等线"/>
                <w:szCs w:val="21"/>
              </w:rPr>
              <w:t>（11）BIMVR软件应支持云端案例下载、方案能够在本地储存，可以选择是否更新云端案例；</w:t>
            </w:r>
          </w:p>
          <w:p w14:paraId="0FD0CFD2">
            <w:pPr>
              <w:jc w:val="left"/>
              <w:rPr>
                <w:rFonts w:ascii="宋体" w:hAnsi="宋体" w:eastAsia="宋体" w:cs="等线"/>
                <w:szCs w:val="21"/>
              </w:rPr>
            </w:pPr>
            <w:r>
              <w:rPr>
                <w:rFonts w:hint="eastAsia" w:ascii="宋体" w:hAnsi="宋体" w:eastAsia="宋体" w:cs="等线"/>
                <w:szCs w:val="21"/>
              </w:rPr>
              <w:t>（12）BIMVR软件应支持一键跳转任意距离观察点功能，能根据需求随时对画面进行存储；</w:t>
            </w:r>
          </w:p>
          <w:p w14:paraId="491026BC">
            <w:pPr>
              <w:jc w:val="left"/>
              <w:rPr>
                <w:rFonts w:ascii="宋体" w:hAnsi="宋体" w:eastAsia="宋体" w:cs="等线"/>
                <w:szCs w:val="21"/>
              </w:rPr>
            </w:pPr>
            <w:r>
              <w:rPr>
                <w:rFonts w:hint="eastAsia" w:ascii="宋体" w:hAnsi="宋体" w:eastAsia="宋体" w:cs="等线"/>
                <w:szCs w:val="21"/>
              </w:rPr>
              <w:t>▲（13）BIMVR软件应支持账户内已有的方案分享给其它账户，支持接收其它账户分享方案管理操作；</w:t>
            </w:r>
          </w:p>
          <w:p w14:paraId="48539B62">
            <w:pPr>
              <w:jc w:val="left"/>
              <w:rPr>
                <w:rFonts w:ascii="宋体" w:hAnsi="宋体" w:eastAsia="宋体" w:cs="等线"/>
                <w:szCs w:val="21"/>
              </w:rPr>
            </w:pPr>
            <w:r>
              <w:rPr>
                <w:rFonts w:hint="eastAsia" w:ascii="宋体" w:hAnsi="宋体" w:eastAsia="宋体" w:cs="等线"/>
                <w:szCs w:val="21"/>
              </w:rPr>
              <w:t>▲（14）BIMVR软件应支持一键天气切换，如晴天、阴天、下雨、下雪等；应支持一键切换不同时间点的天空盒，如清晨、正午、傍晚、夜晚等；</w:t>
            </w:r>
          </w:p>
          <w:p w14:paraId="354F4AD1">
            <w:pPr>
              <w:jc w:val="left"/>
              <w:rPr>
                <w:rFonts w:ascii="宋体" w:hAnsi="宋体" w:eastAsia="宋体" w:cs="等线"/>
                <w:szCs w:val="21"/>
              </w:rPr>
            </w:pPr>
            <w:r>
              <w:rPr>
                <w:rFonts w:hint="eastAsia" w:ascii="宋体" w:hAnsi="宋体" w:eastAsia="宋体" w:cs="等线"/>
                <w:szCs w:val="21"/>
              </w:rPr>
              <w:t>▲（15）BIMVR软件应支持案例多线程下载，进行多线程开关设置；</w:t>
            </w:r>
          </w:p>
          <w:p w14:paraId="7A0BBD73">
            <w:pPr>
              <w:jc w:val="left"/>
              <w:rPr>
                <w:rFonts w:ascii="宋体" w:hAnsi="宋体" w:eastAsia="宋体" w:cs="等线"/>
                <w:szCs w:val="21"/>
              </w:rPr>
            </w:pPr>
            <w:r>
              <w:rPr>
                <w:rFonts w:hint="eastAsia" w:ascii="宋体" w:hAnsi="宋体" w:eastAsia="宋体" w:cs="等线"/>
                <w:szCs w:val="21"/>
              </w:rPr>
              <w:t>▲（16）BIMVR软件应支持一键下载账号下所有案例，支持一键清除本地所有软件缓存文件，支持更改缓存文件目录；</w:t>
            </w:r>
          </w:p>
          <w:p w14:paraId="0F0E9635">
            <w:pPr>
              <w:jc w:val="left"/>
              <w:rPr>
                <w:rFonts w:ascii="宋体" w:hAnsi="宋体" w:eastAsia="宋体" w:cs="等线"/>
                <w:szCs w:val="21"/>
              </w:rPr>
            </w:pPr>
            <w:r>
              <w:rPr>
                <w:rFonts w:hint="eastAsia" w:ascii="宋体" w:hAnsi="宋体" w:eastAsia="宋体" w:cs="等线"/>
                <w:szCs w:val="21"/>
              </w:rPr>
              <w:t>（17）BIMVR软件应支持在VR中进行沉浸式体验教学，模拟真实的办公楼施工现场，应包含真实的施工场地区域划分信息，主体位置、道路布局、材料堆放、无烟休息等区域；</w:t>
            </w:r>
          </w:p>
          <w:p w14:paraId="145BFAB4">
            <w:pPr>
              <w:jc w:val="left"/>
              <w:rPr>
                <w:rFonts w:ascii="宋体" w:hAnsi="宋体" w:eastAsia="宋体" w:cs="等线"/>
                <w:szCs w:val="21"/>
              </w:rPr>
            </w:pPr>
            <w:r>
              <w:rPr>
                <w:rFonts w:hint="eastAsia" w:ascii="宋体" w:hAnsi="宋体" w:eastAsia="宋体" w:cs="等线"/>
                <w:szCs w:val="21"/>
              </w:rPr>
              <w:t>▲（18）BIMVR软件应支持360度无缝浏览的VR环境，通过键鼠结合的操作在场景中行走漫游；</w:t>
            </w:r>
          </w:p>
          <w:p w14:paraId="182E5A84">
            <w:pPr>
              <w:jc w:val="left"/>
              <w:rPr>
                <w:rFonts w:ascii="宋体" w:hAnsi="宋体" w:eastAsia="宋体" w:cs="等线"/>
                <w:szCs w:val="21"/>
              </w:rPr>
            </w:pPr>
            <w:r>
              <w:rPr>
                <w:rFonts w:hint="eastAsia" w:ascii="宋体" w:hAnsi="宋体" w:eastAsia="宋体" w:cs="等线"/>
                <w:szCs w:val="21"/>
              </w:rPr>
              <w:t>（19）BIMVR软件应支持VR交互功能，点击三维材料模型可弹出信息提示框，提示当前区域名称，再次点击提示框可关闭；</w:t>
            </w:r>
          </w:p>
          <w:p w14:paraId="27555A0E">
            <w:pPr>
              <w:jc w:val="left"/>
              <w:rPr>
                <w:rFonts w:ascii="宋体" w:hAnsi="宋体" w:eastAsia="宋体" w:cs="等线"/>
                <w:szCs w:val="21"/>
              </w:rPr>
            </w:pPr>
            <w:r>
              <w:rPr>
                <w:rFonts w:hint="eastAsia" w:ascii="宋体" w:hAnsi="宋体" w:eastAsia="宋体" w:cs="等线"/>
                <w:szCs w:val="21"/>
              </w:rPr>
              <w:t>（20）BIMVR软件应支持加载3D动画功能，支持施工场地入口处卷闸门开关动画，通过鼠标点击或手柄可开启该动画；</w:t>
            </w:r>
          </w:p>
          <w:p w14:paraId="294A0DF9">
            <w:pPr>
              <w:jc w:val="left"/>
              <w:rPr>
                <w:rFonts w:ascii="宋体" w:hAnsi="宋体" w:eastAsia="宋体" w:cs="等线"/>
                <w:szCs w:val="21"/>
              </w:rPr>
            </w:pPr>
            <w:r>
              <w:rPr>
                <w:rFonts w:hint="eastAsia" w:ascii="宋体" w:hAnsi="宋体" w:eastAsia="宋体" w:cs="等线"/>
                <w:szCs w:val="21"/>
              </w:rPr>
              <w:t>▲（21）BIMVR软件VR场景中应包含BIM模型的属性信息，体验系统中能够通过点击模式查看所有定义构建的BIM属性，支持滚轮查看更多的BIM属性信息；</w:t>
            </w:r>
          </w:p>
          <w:p w14:paraId="3087EE0C">
            <w:pPr>
              <w:jc w:val="left"/>
              <w:rPr>
                <w:rFonts w:ascii="宋体" w:hAnsi="宋体" w:eastAsia="宋体" w:cs="等线"/>
                <w:szCs w:val="21"/>
              </w:rPr>
            </w:pPr>
            <w:r>
              <w:rPr>
                <w:rFonts w:hint="eastAsia" w:ascii="宋体" w:hAnsi="宋体" w:eastAsia="宋体" w:cs="等线"/>
                <w:szCs w:val="21"/>
              </w:rPr>
              <w:t>★（22）BIMVR软件应支持3D动画的方式模拟机电的运行场景，支持市政供暖的冷热水循环交替场景；</w:t>
            </w:r>
          </w:p>
          <w:p w14:paraId="734D87C3">
            <w:pPr>
              <w:jc w:val="left"/>
              <w:rPr>
                <w:rFonts w:ascii="宋体" w:hAnsi="宋体" w:eastAsia="宋体" w:cs="等线"/>
                <w:szCs w:val="21"/>
              </w:rPr>
            </w:pPr>
            <w:r>
              <w:rPr>
                <w:rFonts w:hint="eastAsia" w:ascii="宋体" w:hAnsi="宋体" w:eastAsia="宋体" w:cs="等线"/>
                <w:szCs w:val="21"/>
              </w:rPr>
              <w:t>（23）BIMVR软件应支持在运行设备动画的过程中系统随时暂停、快进、快退、退出等功能保障课堂教学需求，并且在运行过程中不相关的软件支持以半透明的方式显示；</w:t>
            </w:r>
          </w:p>
          <w:p w14:paraId="7B996385">
            <w:pPr>
              <w:jc w:val="left"/>
              <w:rPr>
                <w:rFonts w:ascii="宋体" w:hAnsi="宋体" w:eastAsia="宋体" w:cs="等线"/>
                <w:szCs w:val="21"/>
              </w:rPr>
            </w:pPr>
            <w:r>
              <w:rPr>
                <w:rFonts w:hint="eastAsia" w:ascii="宋体" w:hAnsi="宋体" w:eastAsia="宋体" w:cs="等线"/>
                <w:szCs w:val="21"/>
              </w:rPr>
              <w:t>▲（24）BIMVR软件在VR场景中应能够查看悬臂浇筑施工工艺，支持查看架桥机施工运梁过程；</w:t>
            </w:r>
          </w:p>
          <w:p w14:paraId="5AF22880">
            <w:pPr>
              <w:jc w:val="left"/>
              <w:rPr>
                <w:rFonts w:ascii="宋体" w:hAnsi="宋体" w:eastAsia="宋体" w:cs="等线"/>
                <w:szCs w:val="21"/>
              </w:rPr>
            </w:pPr>
            <w:r>
              <w:rPr>
                <w:rFonts w:hint="eastAsia" w:ascii="宋体" w:hAnsi="宋体" w:eastAsia="宋体" w:cs="等线"/>
                <w:szCs w:val="21"/>
              </w:rPr>
              <w:t>▲（25）BIMVR软件VR场景中应支持分别透明显示整个建筑的建筑、结构、地面、基础等部分，完整查看整栋楼体的机电管道；</w:t>
            </w:r>
          </w:p>
          <w:p w14:paraId="4F619ADC">
            <w:pPr>
              <w:jc w:val="left"/>
              <w:rPr>
                <w:rFonts w:ascii="宋体" w:hAnsi="宋体" w:eastAsia="宋体" w:cs="等线"/>
                <w:szCs w:val="21"/>
              </w:rPr>
            </w:pPr>
            <w:r>
              <w:rPr>
                <w:rFonts w:hint="eastAsia" w:ascii="宋体" w:hAnsi="宋体" w:eastAsia="宋体" w:cs="等线"/>
                <w:szCs w:val="21"/>
              </w:rPr>
              <w:t>▲（26）BIMVR软件应支持直接点击知识点通过语音介绍楼宇的给水部分、排水部分进行详细介绍，通过动态模拟的方式展示楼宇的给水管道和排水管道的回路设置；</w:t>
            </w:r>
          </w:p>
          <w:p w14:paraId="2600429C">
            <w:pPr>
              <w:jc w:val="left"/>
              <w:rPr>
                <w:rFonts w:ascii="宋体" w:hAnsi="宋体" w:eastAsia="宋体" w:cs="等线"/>
                <w:szCs w:val="21"/>
              </w:rPr>
            </w:pPr>
            <w:r>
              <w:rPr>
                <w:rFonts w:hint="eastAsia" w:ascii="宋体" w:hAnsi="宋体" w:eastAsia="宋体" w:cs="等线"/>
                <w:szCs w:val="21"/>
              </w:rPr>
              <w:t>▲（27）BIMVR软件应支持一键快速定位到给水查看、排水查看的最佳观察位置，通过文字对整栋楼宇的给水和排水系统进行详细介绍；</w:t>
            </w:r>
          </w:p>
          <w:p w14:paraId="06B982A9">
            <w:pPr>
              <w:jc w:val="left"/>
              <w:rPr>
                <w:rFonts w:ascii="宋体" w:hAnsi="宋体" w:eastAsia="宋体" w:cs="等线"/>
                <w:szCs w:val="21"/>
              </w:rPr>
            </w:pPr>
            <w:r>
              <w:rPr>
                <w:rFonts w:hint="eastAsia" w:ascii="宋体" w:hAnsi="宋体" w:eastAsia="宋体" w:cs="等线"/>
                <w:szCs w:val="21"/>
              </w:rPr>
              <w:t>▲（28）BIMVR软件应支持桥梁伸缩缝微创修复技术体验仿真案例，进入后默认包含认知、交互、视频等按钮，点击认知按钮能够查看3D三维模型在场景旋转，介绍伸缩缝相关知识内容，点击交互可依次查看伸缩缝修复施工步骤，点击视频可查看伸缩缝微创修复仿真视频；</w:t>
            </w:r>
          </w:p>
          <w:p w14:paraId="53D1195A">
            <w:pPr>
              <w:jc w:val="left"/>
              <w:rPr>
                <w:rFonts w:ascii="宋体" w:hAnsi="宋体" w:eastAsia="宋体" w:cs="等线"/>
                <w:szCs w:val="21"/>
              </w:rPr>
            </w:pPr>
            <w:r>
              <w:rPr>
                <w:rFonts w:hint="eastAsia" w:ascii="宋体" w:hAnsi="宋体" w:eastAsia="宋体" w:cs="等线"/>
                <w:szCs w:val="21"/>
              </w:rPr>
              <w:t>▲（29）BIMVR软件应包含量房考核模式，量房考核模式下应包含量房练习、开始测量、结束测量和结果分析等功能，通过量房练习能够开始测量房间各个地方尺寸，支持随意测量，查看房间各地方尺寸；</w:t>
            </w:r>
          </w:p>
          <w:p w14:paraId="771896B8">
            <w:pPr>
              <w:jc w:val="left"/>
              <w:rPr>
                <w:rFonts w:ascii="宋体" w:hAnsi="宋体" w:eastAsia="宋体" w:cs="等线"/>
                <w:szCs w:val="21"/>
              </w:rPr>
            </w:pPr>
            <w:r>
              <w:rPr>
                <w:rFonts w:hint="eastAsia" w:ascii="宋体" w:hAnsi="宋体" w:eastAsia="宋体" w:cs="等线"/>
                <w:szCs w:val="21"/>
              </w:rPr>
              <w:t>▲（30）BIMVR软件应支持对场地布置中塔吊碰撞的知识点进行情景演示，支持塔臂和钢丝绳的动态碰撞模拟，且碰撞时钢丝绳高亮示意以及视角聚焦至碰撞处，碰撞解除后动态模拟二者正常的工作状态；</w:t>
            </w:r>
          </w:p>
          <w:p w14:paraId="5DFEA499">
            <w:pPr>
              <w:jc w:val="left"/>
              <w:rPr>
                <w:rFonts w:ascii="宋体" w:hAnsi="宋体" w:eastAsia="宋体" w:cs="等线"/>
                <w:szCs w:val="21"/>
              </w:rPr>
            </w:pPr>
            <w:r>
              <w:rPr>
                <w:rFonts w:hint="eastAsia" w:ascii="宋体" w:hAnsi="宋体" w:eastAsia="宋体" w:cs="等线"/>
                <w:szCs w:val="21"/>
              </w:rPr>
              <w:t xml:space="preserve">▲（31）BIMVR软件应支持导入Revit桥梁模型，对任意构件进行隐藏、显示或者独立显示； </w:t>
            </w:r>
          </w:p>
          <w:p w14:paraId="67766EA8">
            <w:pPr>
              <w:jc w:val="left"/>
              <w:rPr>
                <w:rFonts w:ascii="宋体" w:hAnsi="宋体" w:eastAsia="宋体" w:cs="等线"/>
                <w:szCs w:val="21"/>
              </w:rPr>
            </w:pPr>
            <w:r>
              <w:rPr>
                <w:rFonts w:hint="eastAsia" w:ascii="宋体" w:hAnsi="宋体" w:eastAsia="宋体" w:cs="等线"/>
                <w:szCs w:val="21"/>
              </w:rPr>
              <w:t>▲（32）BIMVR软件应支持驾车观光，支持在道路桥梁上自主漫游，包括前进、后退、左转、右转，漫游过程中有车辆轰鸣声；</w:t>
            </w:r>
          </w:p>
          <w:p w14:paraId="28D6DAFB">
            <w:pPr>
              <w:jc w:val="left"/>
              <w:rPr>
                <w:rFonts w:ascii="宋体" w:hAnsi="宋体" w:eastAsia="宋体" w:cs="等线"/>
                <w:szCs w:val="21"/>
              </w:rPr>
            </w:pPr>
            <w:r>
              <w:rPr>
                <w:rFonts w:hint="eastAsia" w:ascii="宋体" w:hAnsi="宋体" w:eastAsia="宋体" w:cs="等线"/>
                <w:szCs w:val="21"/>
              </w:rPr>
              <w:t>（33）BIMVR</w:t>
            </w:r>
            <w:r>
              <w:rPr>
                <w:rFonts w:hint="eastAsia"/>
              </w:rPr>
              <w:t>软件提供</w:t>
            </w:r>
            <w:r>
              <w:rPr>
                <w:rFonts w:hint="eastAsia" w:ascii="宋体" w:hAnsi="宋体" w:eastAsia="宋体" w:cs="Times New Roman"/>
                <w:kern w:val="0"/>
                <w:sz w:val="22"/>
              </w:rPr>
              <w:t>不少于3年</w:t>
            </w:r>
            <w:r>
              <w:rPr>
                <w:rFonts w:ascii="宋体" w:hAnsi="宋体" w:eastAsia="宋体" w:cs="Times New Roman"/>
                <w:kern w:val="0"/>
                <w:sz w:val="22"/>
              </w:rPr>
              <w:t>质保</w:t>
            </w:r>
            <w:r>
              <w:rPr>
                <w:rFonts w:hint="eastAsia" w:ascii="宋体" w:hAnsi="宋体" w:eastAsia="宋体" w:cs="Times New Roman"/>
                <w:kern w:val="0"/>
                <w:sz w:val="22"/>
              </w:rPr>
              <w:t>，质保期内提供软件升级服务，升级费用包含在投标总价中。质保期满后不升级不影响软件正常使用</w:t>
            </w:r>
            <w:r>
              <w:rPr>
                <w:rFonts w:hint="eastAsia" w:ascii="宋体" w:hAnsi="宋体" w:eastAsia="宋体" w:cs="等线"/>
                <w:szCs w:val="21"/>
              </w:rPr>
              <w:t>，并</w:t>
            </w:r>
            <w:r>
              <w:rPr>
                <w:rFonts w:hint="eastAsia" w:ascii="宋体" w:hAnsi="宋体" w:eastAsia="宋体" w:cs="Times New Roman"/>
                <w:kern w:val="0"/>
                <w:sz w:val="22"/>
              </w:rPr>
              <w:t>提供不少于三次线下培训（培训讲师不少于2人，每次培训人次不低于10人）</w:t>
            </w:r>
            <w:r>
              <w:rPr>
                <w:rFonts w:hint="eastAsia" w:ascii="宋体" w:hAnsi="宋体" w:eastAsia="宋体" w:cs="等线"/>
                <w:szCs w:val="21"/>
              </w:rPr>
              <w:t>，如发生质量问题应在二十四小时内到达故障现场。</w:t>
            </w:r>
          </w:p>
          <w:p w14:paraId="39762489">
            <w:pPr>
              <w:jc w:val="left"/>
              <w:rPr>
                <w:rFonts w:ascii="宋体" w:hAnsi="宋体" w:eastAsia="宋体" w:cs="等线"/>
                <w:szCs w:val="21"/>
              </w:rPr>
            </w:pPr>
            <w:r>
              <w:rPr>
                <w:rFonts w:hint="eastAsia" w:ascii="宋体" w:hAnsi="宋体" w:eastAsia="宋体" w:cs="等线"/>
                <w:szCs w:val="21"/>
              </w:rPr>
              <w:t>十六、虚拟现实设计平台66节点</w:t>
            </w:r>
          </w:p>
          <w:p w14:paraId="11790695">
            <w:pPr>
              <w:jc w:val="left"/>
              <w:rPr>
                <w:rFonts w:ascii="宋体" w:hAnsi="宋体" w:eastAsia="宋体" w:cs="等线"/>
                <w:szCs w:val="21"/>
              </w:rPr>
            </w:pPr>
            <w:r>
              <w:rPr>
                <w:rFonts w:hint="eastAsia" w:ascii="宋体" w:hAnsi="宋体" w:eastAsia="宋体" w:cs="等线"/>
                <w:szCs w:val="21"/>
              </w:rPr>
              <w:t>▲（1)虚拟现实设计平台应支持Revit、Bentley、Tekla、Catia、ArchiCAD、NavisWorks、SolidWorks、3Ds max、SketchUp模型导入;</w:t>
            </w:r>
          </w:p>
          <w:p w14:paraId="165A1CDA">
            <w:pPr>
              <w:jc w:val="left"/>
              <w:rPr>
                <w:rFonts w:ascii="宋体" w:hAnsi="宋体" w:eastAsia="宋体" w:cs="等线"/>
                <w:szCs w:val="21"/>
              </w:rPr>
            </w:pPr>
            <w:r>
              <w:rPr>
                <w:rFonts w:hint="eastAsia" w:ascii="宋体" w:hAnsi="宋体" w:eastAsia="宋体" w:cs="等线"/>
                <w:szCs w:val="21"/>
              </w:rPr>
              <w:t>▲（2)虚拟现实设计平台应支持BIM团队或设计团队在不进行编程的前提下，通过点击或拖拽操作进行VR交互设计，交互内容包含开关灯、开关门、材质替换、施工过程模拟、24小时光照模拟、播放视频等；</w:t>
            </w:r>
          </w:p>
          <w:p w14:paraId="4605EB01">
            <w:pPr>
              <w:jc w:val="left"/>
              <w:rPr>
                <w:rFonts w:ascii="宋体" w:hAnsi="宋体" w:eastAsia="宋体" w:cs="等线"/>
                <w:szCs w:val="21"/>
              </w:rPr>
            </w:pPr>
            <w:r>
              <w:rPr>
                <w:rFonts w:hint="eastAsia" w:ascii="宋体" w:hAnsi="宋体" w:eastAsia="宋体" w:cs="等线"/>
                <w:szCs w:val="21"/>
              </w:rPr>
              <w:t>▲（3)虚拟现实设计平台后台应具有工程库，支持查看该账号做过的所有工程；查看所有方案，支持进入编辑模式删除方案，查看回收站案例，查看所有分享的方案；应具有部品库功能，点击可查看到该账号做过的所有部品；具有个人中心，可查看基础资料，可查看已开通权限及权限到期时间节点，可修改账户昵称及密码；</w:t>
            </w:r>
          </w:p>
          <w:p w14:paraId="0F665E92">
            <w:pPr>
              <w:jc w:val="left"/>
              <w:rPr>
                <w:rFonts w:ascii="宋体" w:hAnsi="宋体" w:eastAsia="宋体" w:cs="等线"/>
                <w:szCs w:val="21"/>
              </w:rPr>
            </w:pPr>
            <w:r>
              <w:rPr>
                <w:rFonts w:hint="eastAsia" w:ascii="宋体" w:hAnsi="宋体" w:eastAsia="宋体" w:cs="等线"/>
                <w:szCs w:val="21"/>
              </w:rPr>
              <w:t>（4)虚拟现实设计平台应具备VR场景编辑功能，支持材质编辑功能、构件编辑功能、动画制作功能、交互区域自定义功能、灯光编辑功能等，以上所有编辑操作支持无需进行编程即可完成；</w:t>
            </w:r>
          </w:p>
          <w:p w14:paraId="22EA91D3">
            <w:pPr>
              <w:jc w:val="left"/>
              <w:rPr>
                <w:rFonts w:ascii="宋体" w:hAnsi="宋体" w:eastAsia="宋体" w:cs="等线"/>
                <w:szCs w:val="21"/>
              </w:rPr>
            </w:pPr>
            <w:r>
              <w:rPr>
                <w:rFonts w:hint="eastAsia" w:ascii="宋体" w:hAnsi="宋体" w:eastAsia="宋体" w:cs="等线"/>
                <w:szCs w:val="21"/>
              </w:rPr>
              <w:t>（5)虚拟现实设计平台应提供材质编辑器模块，支持漫反射贴图、法线贴图、反射贴图等编辑；内置常用材质库模块，提供不少于200 种常用材质（如混凝土、金属、玻璃、地板、石材、布料等）；内置常用粒子库模块，支持一键天气切换，如晴天、阴天、下雨、下雪等；内置天空盒模块，支持一键切换不同时间点的天空盒，清晨、正午、傍晚、夜晚等；为模拟火焰、液体以及气流等复杂视觉仿真效果，支持提供粒子系统；支持对任意平面、弧面进行图片或者视频的投影；</w:t>
            </w:r>
          </w:p>
          <w:p w14:paraId="2819DD25">
            <w:pPr>
              <w:jc w:val="left"/>
              <w:rPr>
                <w:rFonts w:ascii="宋体" w:hAnsi="宋体" w:eastAsia="宋体" w:cs="等线"/>
                <w:szCs w:val="21"/>
              </w:rPr>
            </w:pPr>
            <w:r>
              <w:rPr>
                <w:rFonts w:hint="eastAsia" w:ascii="宋体" w:hAnsi="宋体" w:eastAsia="宋体" w:cs="等线"/>
                <w:szCs w:val="21"/>
              </w:rPr>
              <w:t>（6)虚拟现实设计平台应支持在VR空间内自主漫游、定点移动，支持VR下进行开关门操作，支持VR下进行部品位置调整和拾取部品，支持VR下进行材质替换，支持VR下进行方案优选；支持对VR画面进行批注;</w:t>
            </w:r>
          </w:p>
          <w:p w14:paraId="0FFF07E6">
            <w:pPr>
              <w:jc w:val="left"/>
              <w:rPr>
                <w:rFonts w:ascii="宋体" w:hAnsi="宋体" w:eastAsia="宋体" w:cs="等线"/>
                <w:szCs w:val="21"/>
              </w:rPr>
            </w:pPr>
            <w:r>
              <w:rPr>
                <w:rFonts w:hint="eastAsia" w:ascii="宋体" w:hAnsi="宋体" w:eastAsia="宋体" w:cs="等线"/>
                <w:szCs w:val="21"/>
              </w:rPr>
              <w:t>（7）虚拟现实设计平台应支持查看动画，查看弹出图片、弹出视频、弹出文字等功能；</w:t>
            </w:r>
          </w:p>
          <w:p w14:paraId="48F53A43">
            <w:pPr>
              <w:jc w:val="left"/>
              <w:rPr>
                <w:rFonts w:ascii="宋体" w:hAnsi="宋体" w:eastAsia="宋体" w:cs="等线"/>
                <w:szCs w:val="21"/>
              </w:rPr>
            </w:pPr>
            <w:r>
              <w:rPr>
                <w:rFonts w:hint="eastAsia" w:ascii="宋体" w:hAnsi="宋体" w:eastAsia="宋体" w:cs="等线"/>
                <w:szCs w:val="21"/>
              </w:rPr>
              <w:t>▲（8）虚拟现实设计平台应支持生成的全景图具有网页管理平台，支持通过账号登录，账号应和虚拟现实设计平台账号为同一账号，支持查看用户在虚拟平台场景中生成的全景图；应支持把虚拟现实设计平台生成的全景图自动同步到云平台并发布，同时生成二维码和链接地址，支持在微信平台或浏览器中直接扫描二维码进行查看全景内容，在全景图中查看三维模型，支持测量模型尺寸和查看模型BIM信息；</w:t>
            </w:r>
          </w:p>
          <w:p w14:paraId="6D462B80">
            <w:pPr>
              <w:jc w:val="left"/>
              <w:rPr>
                <w:rFonts w:ascii="宋体" w:hAnsi="宋体" w:eastAsia="宋体" w:cs="等线"/>
                <w:szCs w:val="21"/>
              </w:rPr>
            </w:pPr>
            <w:r>
              <w:rPr>
                <w:rFonts w:hint="eastAsia" w:ascii="宋体" w:hAnsi="宋体" w:eastAsia="宋体" w:cs="等线"/>
                <w:szCs w:val="21"/>
              </w:rPr>
              <w:t>▲（9）虚拟现实设计平台应支持读取当前项目所在位置，进行24小时日照模拟；应支持设置项目虚拟的经纬度信息，模拟24小时动态光照或者某一日某一时点的光照，应具有搭建分布式云平台的功能；</w:t>
            </w:r>
          </w:p>
          <w:p w14:paraId="331F5A48">
            <w:pPr>
              <w:jc w:val="left"/>
              <w:rPr>
                <w:rFonts w:ascii="宋体" w:hAnsi="宋体" w:eastAsia="宋体" w:cs="等线"/>
                <w:szCs w:val="21"/>
              </w:rPr>
            </w:pPr>
            <w:r>
              <w:rPr>
                <w:rFonts w:hint="eastAsia" w:ascii="宋体" w:hAnsi="宋体" w:eastAsia="宋体" w:cs="等线"/>
                <w:szCs w:val="21"/>
              </w:rPr>
              <w:t>▲（10）虚拟现实设计平台应具有素材管理功能，支持LOGO或者交互图片进行云端储存，应能够设置开场提示功能介绍；</w:t>
            </w:r>
          </w:p>
          <w:p w14:paraId="7AD3C3BE">
            <w:pPr>
              <w:jc w:val="left"/>
              <w:rPr>
                <w:rFonts w:ascii="宋体" w:hAnsi="宋体" w:eastAsia="宋体" w:cs="等线"/>
                <w:szCs w:val="21"/>
              </w:rPr>
            </w:pPr>
            <w:r>
              <w:rPr>
                <w:rFonts w:hint="eastAsia" w:ascii="宋体" w:hAnsi="宋体" w:eastAsia="宋体" w:cs="等线"/>
                <w:szCs w:val="21"/>
              </w:rPr>
              <w:t>▲（11）虚拟现实设计平台应支持上传单反相机或全景相机拍摄的施工现场全景图，上传时支持上传图片添加地理位置标签，类别标签，添加全景图名称；</w:t>
            </w:r>
          </w:p>
          <w:p w14:paraId="62E2853D">
            <w:pPr>
              <w:jc w:val="left"/>
              <w:rPr>
                <w:rFonts w:ascii="宋体" w:hAnsi="宋体" w:eastAsia="宋体" w:cs="等线"/>
                <w:szCs w:val="21"/>
              </w:rPr>
            </w:pPr>
            <w:r>
              <w:rPr>
                <w:rFonts w:hint="eastAsia" w:ascii="宋体" w:hAnsi="宋体" w:eastAsia="宋体" w:cs="等线"/>
                <w:szCs w:val="21"/>
              </w:rPr>
              <w:t>（12）虚拟现实设计平台应具有首页，支持将自己的作品分享至首页，上传BIM施工现场拍摄的全景视频，全景视频支持扫描二维码分享；</w:t>
            </w:r>
          </w:p>
          <w:p w14:paraId="3106FDE8">
            <w:pPr>
              <w:jc w:val="left"/>
              <w:rPr>
                <w:rFonts w:ascii="宋体" w:hAnsi="宋体" w:eastAsia="宋体" w:cs="等线"/>
                <w:szCs w:val="21"/>
              </w:rPr>
            </w:pPr>
            <w:r>
              <w:rPr>
                <w:rFonts w:hint="eastAsia" w:ascii="宋体" w:hAnsi="宋体" w:eastAsia="宋体" w:cs="等线"/>
                <w:szCs w:val="21"/>
              </w:rPr>
              <w:t>（13）虚拟现实设计平台应具备考核设计模块，支持设计考核施工顺序，触发区域的功能类型应包含打散、恢复、开始、结束、分数、下一步、开始考核、开始，各个功能类型对应不同功能，支持自行增加或者删除。</w:t>
            </w:r>
          </w:p>
          <w:p w14:paraId="261A7AA4">
            <w:pPr>
              <w:jc w:val="left"/>
              <w:rPr>
                <w:rFonts w:ascii="宋体" w:hAnsi="宋体" w:eastAsia="宋体" w:cs="等线"/>
                <w:szCs w:val="21"/>
              </w:rPr>
            </w:pPr>
            <w:r>
              <w:rPr>
                <w:rFonts w:hint="eastAsia" w:ascii="宋体" w:hAnsi="宋体" w:eastAsia="宋体" w:cs="等线"/>
                <w:szCs w:val="21"/>
              </w:rPr>
              <w:t>▲（14）虚拟现实设计平台应支持对不同的构件进行考核，应支持将考核对象拖到考核物体列表上，支持自动填写考核物体目标点和考核物体打散点，显示该构件的位置和旋转值，应支持设置局部位置坐标误差，显示误差X、Y值，应支持选择是否使用旋转角度误差；</w:t>
            </w:r>
          </w:p>
          <w:p w14:paraId="5805A568">
            <w:pPr>
              <w:jc w:val="left"/>
              <w:rPr>
                <w:rFonts w:ascii="宋体" w:hAnsi="宋体" w:eastAsia="宋体" w:cs="等线"/>
                <w:szCs w:val="21"/>
              </w:rPr>
            </w:pPr>
            <w:r>
              <w:rPr>
                <w:rFonts w:hint="eastAsia" w:ascii="宋体" w:hAnsi="宋体" w:eastAsia="宋体" w:cs="等线"/>
                <w:szCs w:val="21"/>
              </w:rPr>
              <w:t>（15）虚拟现实设计平台考核模块应支持设置考核ID，支持设置考核时间和单项考核物体的分值，支持单项考核构建设置提示，支持设置考核物体的触发操作，支持设置评分机制；</w:t>
            </w:r>
          </w:p>
          <w:p w14:paraId="5682C3CE">
            <w:pPr>
              <w:jc w:val="left"/>
              <w:rPr>
                <w:rFonts w:ascii="宋体" w:hAnsi="宋体" w:eastAsia="宋体" w:cs="等线"/>
                <w:szCs w:val="21"/>
              </w:rPr>
            </w:pPr>
            <w:r>
              <w:rPr>
                <w:rFonts w:hint="eastAsia" w:ascii="宋体" w:hAnsi="宋体" w:eastAsia="宋体" w:cs="等线"/>
                <w:szCs w:val="21"/>
              </w:rPr>
              <w:t>（16）虚拟现实设计平台</w:t>
            </w:r>
            <w:r>
              <w:rPr>
                <w:rFonts w:hint="eastAsia"/>
              </w:rPr>
              <w:t>提供</w:t>
            </w:r>
            <w:r>
              <w:rPr>
                <w:rFonts w:hint="eastAsia" w:ascii="宋体" w:hAnsi="宋体" w:eastAsia="宋体" w:cs="Times New Roman"/>
                <w:kern w:val="0"/>
                <w:sz w:val="22"/>
              </w:rPr>
              <w:t>不少于3年</w:t>
            </w:r>
            <w:r>
              <w:rPr>
                <w:rFonts w:ascii="宋体" w:hAnsi="宋体" w:eastAsia="宋体" w:cs="Times New Roman"/>
                <w:kern w:val="0"/>
                <w:sz w:val="22"/>
              </w:rPr>
              <w:t>质保</w:t>
            </w:r>
            <w:r>
              <w:rPr>
                <w:rFonts w:hint="eastAsia" w:ascii="宋体" w:hAnsi="宋体" w:eastAsia="宋体" w:cs="Times New Roman"/>
                <w:kern w:val="0"/>
                <w:sz w:val="22"/>
              </w:rPr>
              <w:t>质保期内提供软件升级服务，升级费用包含在投标总价中</w:t>
            </w:r>
            <w:r>
              <w:rPr>
                <w:rFonts w:ascii="宋体" w:hAnsi="宋体" w:eastAsia="宋体" w:cs="Times New Roman"/>
                <w:kern w:val="0"/>
                <w:sz w:val="22"/>
              </w:rPr>
              <w:t>，</w:t>
            </w:r>
            <w:r>
              <w:rPr>
                <w:rFonts w:hint="eastAsia" w:ascii="宋体" w:hAnsi="宋体" w:eastAsia="宋体" w:cs="Times New Roman"/>
                <w:kern w:val="0"/>
                <w:sz w:val="22"/>
              </w:rPr>
              <w:t>质保期满后不升级不影响平台正常使用</w:t>
            </w:r>
            <w:r>
              <w:rPr>
                <w:rFonts w:hint="eastAsia" w:ascii="宋体" w:hAnsi="宋体" w:eastAsia="宋体" w:cs="等线"/>
                <w:szCs w:val="21"/>
              </w:rPr>
              <w:t>，并</w:t>
            </w:r>
            <w:r>
              <w:rPr>
                <w:rFonts w:hint="eastAsia" w:ascii="宋体" w:hAnsi="宋体" w:eastAsia="宋体" w:cs="Times New Roman"/>
                <w:kern w:val="0"/>
                <w:sz w:val="22"/>
              </w:rPr>
              <w:t>提供不少于三次线下培训（培训讲师不少于2人，每次培训人次不低于10人）</w:t>
            </w:r>
            <w:r>
              <w:rPr>
                <w:rFonts w:hint="eastAsia" w:ascii="宋体" w:hAnsi="宋体" w:eastAsia="宋体" w:cs="等线"/>
                <w:szCs w:val="21"/>
              </w:rPr>
              <w:t>，如发生质量问题应在二十四小时内到达故障现场。</w:t>
            </w:r>
          </w:p>
        </w:tc>
        <w:tc>
          <w:tcPr>
            <w:tcW w:w="540" w:type="dxa"/>
            <w:noWrap/>
            <w:vAlign w:val="center"/>
          </w:tcPr>
          <w:p w14:paraId="19F405DE">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1</w:t>
            </w:r>
          </w:p>
        </w:tc>
        <w:tc>
          <w:tcPr>
            <w:tcW w:w="540" w:type="dxa"/>
            <w:noWrap/>
            <w:vAlign w:val="center"/>
          </w:tcPr>
          <w:p w14:paraId="37A88AA8">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套</w:t>
            </w:r>
          </w:p>
        </w:tc>
        <w:tc>
          <w:tcPr>
            <w:tcW w:w="1365" w:type="dxa"/>
            <w:noWrap/>
            <w:vAlign w:val="center"/>
          </w:tcPr>
          <w:p w14:paraId="60F4FCBF">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1689000</w:t>
            </w:r>
          </w:p>
        </w:tc>
        <w:tc>
          <w:tcPr>
            <w:tcW w:w="1179" w:type="dxa"/>
            <w:noWrap/>
            <w:vAlign w:val="center"/>
          </w:tcPr>
          <w:p w14:paraId="16BB6050">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1689000</w:t>
            </w:r>
          </w:p>
        </w:tc>
      </w:tr>
    </w:tbl>
    <w:p w14:paraId="3AF5361B">
      <w:pPr>
        <w:rPr>
          <w:rFonts w:ascii="宋体" w:hAnsi="宋体" w:eastAsia="宋体" w:cs="Times New Roman"/>
          <w:szCs w:val="24"/>
        </w:rPr>
      </w:pPr>
    </w:p>
    <w:p w14:paraId="257AA6C6">
      <w:pPr>
        <w:ind w:firstLine="480"/>
        <w:rPr>
          <w:rFonts w:ascii="宋体" w:hAnsi="宋体" w:eastAsia="宋体" w:cs="Times New Roman"/>
          <w:b/>
          <w:bCs/>
          <w:sz w:val="24"/>
          <w:szCs w:val="24"/>
        </w:rPr>
      </w:pPr>
      <w:bookmarkStart w:id="54" w:name="_Toc22322"/>
      <w:r>
        <w:rPr>
          <w:rFonts w:hint="eastAsia" w:ascii="宋体" w:hAnsi="宋体" w:eastAsia="宋体" w:cs="Times New Roman"/>
          <w:b/>
          <w:bCs/>
          <w:sz w:val="24"/>
          <w:szCs w:val="24"/>
        </w:rPr>
        <w:br w:type="page"/>
      </w:r>
    </w:p>
    <w:p w14:paraId="4F6C02FB">
      <w:pPr>
        <w:spacing w:line="560" w:lineRule="exact"/>
        <w:ind w:firstLine="482" w:firstLineChars="200"/>
        <w:jc w:val="left"/>
        <w:outlineLvl w:val="2"/>
        <w:rPr>
          <w:rFonts w:ascii="宋体" w:hAnsi="宋体" w:eastAsia="宋体" w:cs="Times New Roman"/>
          <w:b/>
          <w:bCs/>
          <w:sz w:val="24"/>
          <w:szCs w:val="24"/>
        </w:rPr>
      </w:pPr>
      <w:r>
        <w:rPr>
          <w:rFonts w:hint="eastAsia" w:ascii="宋体" w:hAnsi="宋体" w:eastAsia="宋体" w:cs="Times New Roman"/>
          <w:b/>
          <w:bCs/>
          <w:sz w:val="24"/>
          <w:szCs w:val="24"/>
        </w:rPr>
        <w:t>（二）</w:t>
      </w:r>
      <w:r>
        <w:rPr>
          <w:rFonts w:ascii="宋体" w:hAnsi="宋体" w:eastAsia="宋体" w:cs="Times New Roman"/>
          <w:b/>
          <w:bCs/>
          <w:sz w:val="24"/>
          <w:szCs w:val="24"/>
        </w:rPr>
        <w:t>商务要求</w:t>
      </w:r>
      <w:bookmarkEnd w:id="54"/>
    </w:p>
    <w:tbl>
      <w:tblPr>
        <w:tblStyle w:val="53"/>
        <w:tblW w:w="9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48"/>
        <w:gridCol w:w="7452"/>
      </w:tblGrid>
      <w:tr w14:paraId="6ED7B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14:paraId="2D63BE2D">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一）合同签订期</w:t>
            </w:r>
          </w:p>
        </w:tc>
        <w:tc>
          <w:tcPr>
            <w:tcW w:w="7452" w:type="dxa"/>
            <w:tcBorders>
              <w:top w:val="single" w:color="auto" w:sz="4" w:space="0"/>
              <w:left w:val="single" w:color="auto" w:sz="4" w:space="0"/>
              <w:bottom w:val="single" w:color="auto" w:sz="4" w:space="0"/>
              <w:right w:val="single" w:color="auto" w:sz="4" w:space="0"/>
            </w:tcBorders>
            <w:vAlign w:val="center"/>
          </w:tcPr>
          <w:p w14:paraId="6E3DC139">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自中标通知书发出之日起25日内。</w:t>
            </w:r>
          </w:p>
        </w:tc>
      </w:tr>
      <w:tr w14:paraId="1C5A7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14:paraId="3AC55F3F">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二）合同履约期限</w:t>
            </w:r>
          </w:p>
        </w:tc>
        <w:tc>
          <w:tcPr>
            <w:tcW w:w="7452" w:type="dxa"/>
            <w:tcBorders>
              <w:top w:val="single" w:color="auto" w:sz="4" w:space="0"/>
              <w:left w:val="single" w:color="auto" w:sz="4" w:space="0"/>
              <w:bottom w:val="single" w:color="auto" w:sz="4" w:space="0"/>
              <w:right w:val="single" w:color="auto" w:sz="4" w:space="0"/>
            </w:tcBorders>
            <w:vAlign w:val="center"/>
          </w:tcPr>
          <w:p w14:paraId="4E7657A6">
            <w:pPr>
              <w:spacing w:line="400" w:lineRule="exact"/>
              <w:ind w:firstLine="0" w:firstLineChars="0"/>
              <w:rPr>
                <w:rFonts w:ascii="宋体" w:hAnsi="宋体" w:eastAsia="宋体" w:cs="仿宋_GB2312"/>
                <w:szCs w:val="21"/>
              </w:rPr>
            </w:pPr>
            <w:r>
              <w:rPr>
                <w:rFonts w:hint="eastAsia" w:ascii="宋体" w:hAnsi="宋体" w:eastAsia="宋体" w:cs="仿宋_GB2312"/>
                <w:szCs w:val="21"/>
              </w:rPr>
              <w:t>合同签订后，接到采购人书面通知进场安装起  30 个日历日内安装调试完毕。</w:t>
            </w:r>
          </w:p>
        </w:tc>
      </w:tr>
      <w:tr w14:paraId="005F4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14:paraId="6243F552">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szCs w:val="21"/>
              </w:rPr>
              <w:t>（三）服务地点</w:t>
            </w:r>
          </w:p>
        </w:tc>
        <w:tc>
          <w:tcPr>
            <w:tcW w:w="7452" w:type="dxa"/>
            <w:tcBorders>
              <w:top w:val="single" w:color="auto" w:sz="4" w:space="0"/>
              <w:left w:val="single" w:color="auto" w:sz="4" w:space="0"/>
              <w:bottom w:val="single" w:color="auto" w:sz="4" w:space="0"/>
              <w:right w:val="single" w:color="auto" w:sz="4" w:space="0"/>
            </w:tcBorders>
            <w:vAlign w:val="center"/>
          </w:tcPr>
          <w:p w14:paraId="15404737">
            <w:pPr>
              <w:spacing w:line="400" w:lineRule="exact"/>
              <w:ind w:firstLine="0" w:firstLineChars="0"/>
              <w:rPr>
                <w:rFonts w:ascii="宋体" w:hAnsi="宋体" w:eastAsia="宋体" w:cs="仿宋_GB2312"/>
                <w:szCs w:val="21"/>
              </w:rPr>
            </w:pPr>
            <w:r>
              <w:rPr>
                <w:rFonts w:hint="eastAsia" w:ascii="宋体" w:hAnsi="宋体" w:eastAsia="宋体" w:cs="仿宋_GB2312"/>
                <w:szCs w:val="21"/>
              </w:rPr>
              <w:t>南宁市采购人指定地点。</w:t>
            </w:r>
          </w:p>
        </w:tc>
      </w:tr>
      <w:tr w14:paraId="5E0E8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Borders>
              <w:top w:val="single" w:color="auto" w:sz="4" w:space="0"/>
              <w:left w:val="single" w:color="auto" w:sz="4" w:space="0"/>
              <w:bottom w:val="single" w:color="auto" w:sz="4" w:space="0"/>
              <w:right w:val="single" w:color="auto" w:sz="4" w:space="0"/>
            </w:tcBorders>
            <w:vAlign w:val="center"/>
          </w:tcPr>
          <w:p w14:paraId="4D29B971">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（四）</w:t>
            </w:r>
            <w:r>
              <w:rPr>
                <w:rFonts w:hint="eastAsia" w:ascii="宋体" w:hAnsi="宋体" w:eastAsia="宋体" w:cs="仿宋_GB2312"/>
                <w:szCs w:val="21"/>
              </w:rPr>
              <w:t>付款方式</w:t>
            </w:r>
          </w:p>
        </w:tc>
        <w:tc>
          <w:tcPr>
            <w:tcW w:w="7452" w:type="dxa"/>
            <w:tcBorders>
              <w:top w:val="single" w:color="auto" w:sz="4" w:space="0"/>
              <w:left w:val="single" w:color="auto" w:sz="4" w:space="0"/>
              <w:bottom w:val="single" w:color="auto" w:sz="4" w:space="0"/>
              <w:right w:val="single" w:color="auto" w:sz="4" w:space="0"/>
            </w:tcBorders>
          </w:tcPr>
          <w:p w14:paraId="34011A5D">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签订合同之日起10个工作日内，招标人向中标人支付合同金额的30%作为预付款；中标人交货安装调试完毕并经招标人验收合格后，由中标人开具有效合格发票，招标人于10个工作日内向中标人支付合同金额的70%。</w:t>
            </w:r>
          </w:p>
        </w:tc>
      </w:tr>
      <w:tr w14:paraId="3669AD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Borders>
              <w:top w:val="single" w:color="auto" w:sz="4" w:space="0"/>
              <w:left w:val="single" w:color="auto" w:sz="4" w:space="0"/>
              <w:bottom w:val="single" w:color="auto" w:sz="4" w:space="0"/>
              <w:right w:val="single" w:color="auto" w:sz="4" w:space="0"/>
            </w:tcBorders>
            <w:vAlign w:val="center"/>
          </w:tcPr>
          <w:p w14:paraId="07451A73">
            <w:pPr>
              <w:widowControl/>
              <w:spacing w:line="400" w:lineRule="exact"/>
              <w:ind w:firstLine="0"/>
              <w:jc w:val="center"/>
              <w:rPr>
                <w:rFonts w:ascii="宋体" w:hAnsi="宋体" w:eastAsia="宋体" w:cs="仿宋_GB2312"/>
                <w:b/>
                <w:szCs w:val="21"/>
              </w:rPr>
            </w:pPr>
            <w:r>
              <w:rPr>
                <w:rFonts w:hint="eastAsia" w:ascii="宋体" w:hAnsi="宋体" w:eastAsia="宋体" w:cs="仿宋_GB2312"/>
                <w:b/>
                <w:szCs w:val="21"/>
              </w:rPr>
              <w:t>▲</w:t>
            </w:r>
            <w:r>
              <w:rPr>
                <w:rFonts w:hint="eastAsia" w:ascii="宋体" w:hAnsi="宋体" w:eastAsia="宋体" w:cs="仿宋_GB2312"/>
                <w:bCs/>
                <w:szCs w:val="21"/>
              </w:rPr>
              <w:t>（五）履约保证金</w:t>
            </w:r>
          </w:p>
        </w:tc>
        <w:tc>
          <w:tcPr>
            <w:tcW w:w="7452" w:type="dxa"/>
            <w:tcBorders>
              <w:top w:val="single" w:color="auto" w:sz="4" w:space="0"/>
              <w:left w:val="single" w:color="auto" w:sz="4" w:space="0"/>
              <w:bottom w:val="single" w:color="auto" w:sz="4" w:space="0"/>
              <w:right w:val="single" w:color="auto" w:sz="4" w:space="0"/>
            </w:tcBorders>
          </w:tcPr>
          <w:p w14:paraId="5E6197D9">
            <w:pPr>
              <w:spacing w:line="400" w:lineRule="exact"/>
              <w:ind w:firstLine="0" w:firstLineChars="0"/>
              <w:rPr>
                <w:rFonts w:ascii="宋体" w:hAnsi="宋体" w:eastAsia="宋体" w:cs="仿宋_GB2312"/>
                <w:szCs w:val="21"/>
              </w:rPr>
            </w:pPr>
            <w:r>
              <w:rPr>
                <w:rFonts w:hint="eastAsia" w:ascii="宋体" w:hAnsi="宋体" w:eastAsia="宋体" w:cs="仿宋_GB2312"/>
                <w:szCs w:val="21"/>
              </w:rPr>
              <w:t>1.履约保证金金额：履约保证金按合同金额的5%缴纳（如中标供应商为中小企业，按照合同金额的2%收取履约保证金），自中标通知书发出后、签订合同前，中标供应商应将履约保证金缴纳至采购人指定账户，逾期未缴纳的，视为中标供应商放弃中标资格，应赔偿采购人损失。</w:t>
            </w:r>
          </w:p>
          <w:p w14:paraId="78494116">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hint="eastAsia" w:ascii="宋体" w:hAnsi="宋体" w:eastAsia="宋体" w:cs="仿宋_GB2312"/>
                <w:iCs/>
                <w:szCs w:val="21"/>
              </w:rPr>
              <w:t>履约保证金递交方式：中标人在签订合同前以银行转账、支票、汇票、本票或者金融机构、担保机构出具的保函等非现金方式向采购人提交。</w:t>
            </w:r>
          </w:p>
          <w:p w14:paraId="798FFEDC">
            <w:pPr>
              <w:spacing w:line="400" w:lineRule="exact"/>
              <w:ind w:firstLine="0" w:firstLineChars="0"/>
              <w:rPr>
                <w:rFonts w:ascii="宋体" w:hAnsi="宋体" w:eastAsia="宋体" w:cs="仿宋_GB2312"/>
                <w:szCs w:val="21"/>
              </w:rPr>
            </w:pPr>
            <w:r>
              <w:rPr>
                <w:rFonts w:hint="eastAsia" w:ascii="宋体" w:hAnsi="宋体" w:eastAsia="宋体" w:cs="仿宋_GB2312"/>
                <w:szCs w:val="21"/>
              </w:rPr>
              <w:t>3.履约保证金退付方式、时间及条件： 本项目合同履约期限满，中标人履行完服务义务且无违约情况下无息退付。由中标人向履约保证金收取单位提供《广西壮族自治区政府采购项目合同验收书》（详见桂财采〔2015〕22号），采购人在收到合格材料后10个工作日内办理退还手续（不计利息）。</w:t>
            </w:r>
          </w:p>
          <w:p w14:paraId="0570B0B4">
            <w:pPr>
              <w:spacing w:line="400" w:lineRule="exact"/>
              <w:ind w:firstLine="0" w:firstLineChars="0"/>
              <w:rPr>
                <w:rFonts w:ascii="宋体" w:hAnsi="宋体" w:eastAsia="宋体" w:cs="仿宋_GB2312"/>
                <w:szCs w:val="21"/>
              </w:rPr>
            </w:pPr>
            <w:r>
              <w:rPr>
                <w:rFonts w:hint="eastAsia" w:ascii="宋体" w:hAnsi="宋体" w:eastAsia="宋体" w:cs="仿宋_GB2312"/>
                <w:szCs w:val="21"/>
              </w:rPr>
              <w:t>4.履约保证金缴纳账号信息：</w:t>
            </w:r>
          </w:p>
          <w:p w14:paraId="0D747BFE">
            <w:pPr>
              <w:spacing w:line="400" w:lineRule="exact"/>
              <w:ind w:firstLine="0" w:firstLineChars="0"/>
              <w:rPr>
                <w:rFonts w:ascii="宋体" w:hAnsi="宋体" w:eastAsia="宋体" w:cs="仿宋_GB2312"/>
                <w:szCs w:val="21"/>
              </w:rPr>
            </w:pPr>
            <w:r>
              <w:rPr>
                <w:rFonts w:hint="eastAsia" w:ascii="宋体" w:hAnsi="宋体" w:eastAsia="宋体" w:cs="仿宋_GB2312"/>
                <w:szCs w:val="21"/>
              </w:rPr>
              <w:t xml:space="preserve">开户名称：广西交通职业技术学院 </w:t>
            </w:r>
          </w:p>
          <w:p w14:paraId="3F0B9ADD">
            <w:pPr>
              <w:spacing w:line="400" w:lineRule="exact"/>
              <w:ind w:firstLine="0" w:firstLineChars="0"/>
              <w:rPr>
                <w:rFonts w:ascii="宋体" w:hAnsi="宋体" w:eastAsia="宋体" w:cs="仿宋_GB2312"/>
                <w:szCs w:val="21"/>
              </w:rPr>
            </w:pPr>
            <w:r>
              <w:rPr>
                <w:rFonts w:hint="eastAsia" w:ascii="宋体" w:hAnsi="宋体" w:eastAsia="宋体" w:cs="仿宋_GB2312"/>
                <w:szCs w:val="21"/>
              </w:rPr>
              <w:t>开户银行：中国建设银行股份有限公司南宁园湖北路支行</w:t>
            </w:r>
          </w:p>
          <w:p w14:paraId="55974DD1">
            <w:pPr>
              <w:spacing w:line="400" w:lineRule="exact"/>
              <w:ind w:firstLine="0" w:firstLineChars="0"/>
              <w:rPr>
                <w:rFonts w:ascii="宋体" w:hAnsi="宋体" w:eastAsia="宋体" w:cs="仿宋_GB2312"/>
                <w:szCs w:val="21"/>
              </w:rPr>
            </w:pPr>
            <w:r>
              <w:rPr>
                <w:rFonts w:hint="eastAsia" w:ascii="宋体" w:hAnsi="宋体" w:eastAsia="宋体" w:cs="仿宋_GB2312"/>
                <w:szCs w:val="21"/>
              </w:rPr>
              <w:t>银行账号： 45050160435309888999</w:t>
            </w:r>
          </w:p>
        </w:tc>
      </w:tr>
      <w:tr w14:paraId="342DD2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Borders>
              <w:top w:val="single" w:color="auto" w:sz="4" w:space="0"/>
              <w:left w:val="single" w:color="auto" w:sz="4" w:space="0"/>
              <w:bottom w:val="single" w:color="auto" w:sz="4" w:space="0"/>
              <w:right w:val="single" w:color="auto" w:sz="4" w:space="0"/>
            </w:tcBorders>
            <w:vAlign w:val="center"/>
          </w:tcPr>
          <w:p w14:paraId="64608C85">
            <w:pPr>
              <w:widowControl/>
              <w:spacing w:line="400" w:lineRule="exact"/>
              <w:jc w:val="center"/>
              <w:rPr>
                <w:rFonts w:ascii="宋体" w:hAnsi="宋体" w:eastAsia="宋体" w:cs="仿宋_GB2312"/>
                <w:szCs w:val="21"/>
              </w:rPr>
            </w:pPr>
            <w:r>
              <w:rPr>
                <w:rFonts w:hint="eastAsia" w:ascii="宋体" w:hAnsi="宋体" w:eastAsia="宋体" w:cs="仿宋_GB2312"/>
                <w:szCs w:val="21"/>
              </w:rPr>
              <w:t>▲（六）验收方法及要求</w:t>
            </w:r>
          </w:p>
        </w:tc>
        <w:tc>
          <w:tcPr>
            <w:tcW w:w="7452" w:type="dxa"/>
            <w:tcBorders>
              <w:top w:val="single" w:color="auto" w:sz="4" w:space="0"/>
              <w:left w:val="single" w:color="auto" w:sz="4" w:space="0"/>
              <w:bottom w:val="single" w:color="auto" w:sz="4" w:space="0"/>
              <w:right w:val="single" w:color="auto" w:sz="4" w:space="0"/>
            </w:tcBorders>
          </w:tcPr>
          <w:p w14:paraId="084E4AC7">
            <w:pPr>
              <w:spacing w:line="400" w:lineRule="exact"/>
              <w:ind w:firstLine="0" w:firstLineChars="0"/>
              <w:rPr>
                <w:rFonts w:ascii="宋体" w:hAnsi="宋体" w:eastAsia="宋体" w:cs="仿宋_GB2312"/>
                <w:szCs w:val="21"/>
              </w:rPr>
            </w:pPr>
            <w:r>
              <w:rPr>
                <w:rFonts w:hint="eastAsia" w:ascii="宋体" w:hAnsi="宋体" w:eastAsia="宋体" w:cs="仿宋_GB2312"/>
                <w:szCs w:val="21"/>
              </w:rPr>
              <w:t>1.验收标准、规范：按照《财政部关于进一步加强政府采购需求和履约验收管理的指导意见》（财库〔2016〕205号）、《关于印发广西壮族自治区政府采购项目履约验收管理办法的通知》（桂财采〔2015〕22号）等有关规定执行，并符合相关国家标准、行业标准、地方标准或其他强制性标准及规范、投标文件承诺及招标文件要求。</w:t>
            </w:r>
          </w:p>
          <w:p w14:paraId="265C81D6">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ascii="宋体" w:hAnsi="宋体" w:eastAsia="宋体" w:cs="仿宋_GB2312"/>
                <w:szCs w:val="21"/>
              </w:rPr>
              <w:t>中标人按要求完成交付后，应以书面形式正式向采购人递交验收申请书，采购人收到验收申请书后，按照采购人单位规定流程组织项目验收，验收过程中所产生的一切费用均由成交供应商承担，报价时应考虑相关费用。</w:t>
            </w:r>
          </w:p>
          <w:p w14:paraId="659C6853">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货物验收时由采购人对照采购文件的《技术参数及性能（配置）要求》进行全面核对检验，对所有要求出具的文件和材料的原件进行核查，如不符合采购文件要求或提供虚假承诺的，虚假检测报告等虚假材料的，采购人有权拒绝验收并认定中标人违约，采购人有权单方解除合同，中标人承担所有责任和费用，采购人保留进一步追究责任的权利。</w:t>
            </w:r>
          </w:p>
          <w:p w14:paraId="34E87E48">
            <w:pPr>
              <w:spacing w:line="400" w:lineRule="exact"/>
              <w:ind w:firstLine="0" w:firstLineChars="0"/>
              <w:rPr>
                <w:rFonts w:ascii="宋体" w:hAnsi="宋体" w:eastAsia="宋体" w:cs="仿宋_GB2312"/>
                <w:szCs w:val="21"/>
              </w:rPr>
            </w:pPr>
            <w:r>
              <w:rPr>
                <w:rFonts w:hint="eastAsia" w:ascii="宋体" w:hAnsi="宋体" w:eastAsia="宋体" w:cs="仿宋_GB2312"/>
                <w:szCs w:val="21"/>
              </w:rPr>
              <w:t>4</w:t>
            </w:r>
            <w:r>
              <w:rPr>
                <w:rFonts w:ascii="宋体" w:hAnsi="宋体" w:eastAsia="宋体" w:cs="仿宋_GB2312"/>
                <w:szCs w:val="21"/>
              </w:rPr>
              <w:t>.验收按项目要求及技术需求进行验收，包括但不限于全部设备、产品、型号、规格、数量、外型、外观、包装及资料、文件（如装箱单、保修单、随箱介质等）/各项服务等里程碑的交付物，所有产品在验收时应当符合国家法律法规，执行国家相关标准、行业标准，地方标准及招标文件中要求符合的技术标准。当成交供应商未能满足以下全部要求时，属于验收不合格：</w:t>
            </w:r>
          </w:p>
          <w:p w14:paraId="2F1C4919">
            <w:pPr>
              <w:spacing w:line="400" w:lineRule="exact"/>
              <w:ind w:firstLine="0" w:firstLineChars="0"/>
              <w:rPr>
                <w:rFonts w:ascii="宋体" w:hAnsi="宋体" w:eastAsia="宋体" w:cs="仿宋_GB2312"/>
                <w:szCs w:val="21"/>
              </w:rPr>
            </w:pPr>
            <w:r>
              <w:rPr>
                <w:rFonts w:ascii="宋体" w:hAnsi="宋体" w:eastAsia="宋体" w:cs="仿宋_GB2312"/>
                <w:szCs w:val="21"/>
              </w:rPr>
              <w:t>（1）按照合同规定提供了全部产品及完整的技术资料。</w:t>
            </w:r>
          </w:p>
          <w:p w14:paraId="6AA5F1F7">
            <w:pPr>
              <w:spacing w:line="400" w:lineRule="exact"/>
              <w:ind w:firstLine="0" w:firstLineChars="0"/>
              <w:rPr>
                <w:rFonts w:ascii="宋体" w:hAnsi="宋体" w:eastAsia="宋体" w:cs="仿宋_GB2312"/>
                <w:szCs w:val="21"/>
              </w:rPr>
            </w:pPr>
            <w:r>
              <w:rPr>
                <w:rFonts w:ascii="宋体" w:hAnsi="宋体" w:eastAsia="宋体" w:cs="仿宋_GB2312"/>
                <w:szCs w:val="21"/>
              </w:rPr>
              <w:t>（2）货物各项参数完全符合《主要技术参数及性能（配置）要求》的要求，性能满足要求，所有系统按要求完成安装调试，正常运行，仿真系统整体运行正常。</w:t>
            </w:r>
          </w:p>
          <w:p w14:paraId="236B9066">
            <w:pPr>
              <w:spacing w:line="400" w:lineRule="exact"/>
              <w:ind w:firstLine="0" w:firstLineChars="0"/>
              <w:rPr>
                <w:rFonts w:ascii="宋体" w:hAnsi="宋体" w:eastAsia="宋体" w:cs="仿宋_GB2312"/>
                <w:szCs w:val="21"/>
              </w:rPr>
            </w:pPr>
            <w:r>
              <w:rPr>
                <w:rFonts w:hint="eastAsia" w:ascii="宋体" w:hAnsi="宋体" w:eastAsia="宋体" w:cs="仿宋_GB2312"/>
                <w:szCs w:val="21"/>
              </w:rPr>
              <w:t>5</w:t>
            </w:r>
            <w:r>
              <w:rPr>
                <w:rFonts w:ascii="宋体" w:hAnsi="宋体" w:eastAsia="宋体" w:cs="仿宋_GB2312"/>
                <w:szCs w:val="21"/>
              </w:rPr>
              <w:t>.验收不合格时，采购人有权责令成交供应商限期整改，或有权拒绝验收并解除合同，相关损失与责任由成交供应商承担，采购人保留进一步追究成交供应商违约责任的权利。如存在争议，双方均有权向相关部门申请鉴定，鉴定费由中标人承担。</w:t>
            </w:r>
          </w:p>
          <w:p w14:paraId="665366DC">
            <w:pPr>
              <w:spacing w:line="400" w:lineRule="exact"/>
              <w:ind w:firstLine="0" w:firstLineChars="0"/>
              <w:rPr>
                <w:rFonts w:ascii="宋体" w:hAnsi="宋体" w:eastAsia="宋体" w:cs="仿宋_GB2312"/>
                <w:szCs w:val="21"/>
              </w:rPr>
            </w:pPr>
            <w:r>
              <w:rPr>
                <w:rFonts w:hint="eastAsia" w:ascii="宋体" w:hAnsi="宋体" w:eastAsia="宋体" w:cs="仿宋_GB2312"/>
                <w:szCs w:val="21"/>
              </w:rPr>
              <w:t>6</w:t>
            </w:r>
            <w:r>
              <w:rPr>
                <w:rFonts w:ascii="宋体" w:hAnsi="宋体" w:eastAsia="宋体" w:cs="仿宋_GB2312"/>
                <w:szCs w:val="21"/>
              </w:rPr>
              <w:t>.在验收过程中发现中标人有违约问题，暂缓资金结算，待违约问题解决后，方可办理资金结算事宜，在此期间，采购人不承担逾期付款责任。</w:t>
            </w:r>
          </w:p>
          <w:p w14:paraId="4FF0CA48">
            <w:pPr>
              <w:spacing w:line="400" w:lineRule="exact"/>
              <w:ind w:firstLine="0" w:firstLineChars="0"/>
              <w:rPr>
                <w:rFonts w:ascii="宋体" w:hAnsi="宋体" w:eastAsia="宋体" w:cs="仿宋_GB2312"/>
                <w:szCs w:val="21"/>
              </w:rPr>
            </w:pPr>
          </w:p>
        </w:tc>
      </w:tr>
      <w:tr w14:paraId="71BDA6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Borders>
              <w:top w:val="single" w:color="auto" w:sz="4" w:space="0"/>
              <w:left w:val="single" w:color="auto" w:sz="4" w:space="0"/>
              <w:bottom w:val="single" w:color="auto" w:sz="4" w:space="0"/>
              <w:right w:val="single" w:color="auto" w:sz="4" w:space="0"/>
            </w:tcBorders>
            <w:vAlign w:val="center"/>
          </w:tcPr>
          <w:p w14:paraId="07632D42">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（七）</w:t>
            </w:r>
            <w:r>
              <w:rPr>
                <w:rFonts w:hint="eastAsia" w:ascii="宋体" w:hAnsi="宋体" w:eastAsia="宋体" w:cs="仿宋_GB2312"/>
                <w:szCs w:val="21"/>
              </w:rPr>
              <w:t>售后服务要求</w:t>
            </w:r>
          </w:p>
        </w:tc>
        <w:tc>
          <w:tcPr>
            <w:tcW w:w="7452" w:type="dxa"/>
            <w:tcBorders>
              <w:top w:val="single" w:color="auto" w:sz="4" w:space="0"/>
              <w:left w:val="single" w:color="auto" w:sz="4" w:space="0"/>
              <w:bottom w:val="single" w:color="auto" w:sz="4" w:space="0"/>
              <w:right w:val="single" w:color="auto" w:sz="4" w:space="0"/>
            </w:tcBorders>
          </w:tcPr>
          <w:p w14:paraId="09652EEE">
            <w:pPr>
              <w:spacing w:line="400" w:lineRule="exact"/>
              <w:ind w:firstLine="0" w:firstLineChars="0"/>
              <w:rPr>
                <w:rFonts w:ascii="宋体" w:hAnsi="宋体" w:eastAsia="宋体" w:cs="仿宋_GB2312"/>
                <w:szCs w:val="21"/>
              </w:rPr>
            </w:pPr>
            <w:r>
              <w:rPr>
                <w:rFonts w:hint="eastAsia" w:ascii="宋体" w:hAnsi="宋体" w:eastAsia="宋体" w:cs="仿宋_GB2312"/>
                <w:szCs w:val="21"/>
              </w:rPr>
              <w:t>1.按国家有关产品“三包”规定执行“三包”，质保期自货物验收合格之日起计算，全部产品质保期需不少于3年，</w:t>
            </w:r>
            <w:r>
              <w:rPr>
                <w:rFonts w:hint="eastAsia"/>
              </w:rPr>
              <w:t>软件提供不少于3年质保服务</w:t>
            </w:r>
            <w:r>
              <w:rPr>
                <w:rFonts w:hint="eastAsia" w:ascii="宋体" w:hAnsi="宋体" w:eastAsia="宋体" w:cs="仿宋_GB2312"/>
                <w:szCs w:val="21"/>
              </w:rPr>
              <w:t>，</w:t>
            </w:r>
            <w:r>
              <w:rPr>
                <w:rFonts w:hint="eastAsia"/>
              </w:rPr>
              <w:t>质保期满后不升级不影响软件正常使用。</w:t>
            </w:r>
            <w:r>
              <w:rPr>
                <w:rFonts w:hint="eastAsia" w:ascii="宋体" w:hAnsi="宋体" w:eastAsia="宋体" w:cs="仿宋_GB2312"/>
                <w:szCs w:val="21"/>
              </w:rPr>
              <w:t>（“技术参数要求”中有特殊要求除外，若产品生产厂家质保期超过此年限的，合同履行过程中按厂家规定执行；若成交供应商质保期承诺优于产品生产厂家质保年限的，以成交供应商承诺执行），质保期满后仍需维护的，系统维护费用由供应商承担</w:t>
            </w:r>
          </w:p>
          <w:p w14:paraId="5394A779">
            <w:pPr>
              <w:spacing w:line="400" w:lineRule="exact"/>
              <w:ind w:firstLine="0" w:firstLineChars="0"/>
              <w:rPr>
                <w:rFonts w:ascii="宋体" w:hAnsi="宋体" w:eastAsia="宋体" w:cs="仿宋_GB2312"/>
                <w:szCs w:val="21"/>
              </w:rPr>
            </w:pPr>
            <w:r>
              <w:rPr>
                <w:rFonts w:hint="eastAsia" w:ascii="宋体" w:hAnsi="宋体" w:eastAsia="宋体" w:cs="仿宋_GB2312"/>
                <w:szCs w:val="21"/>
              </w:rPr>
              <w:t>2.成交供应商负责送货上门安装、调试，成交供应商须到采购人指定的现场安装、调试设备，提供完善的现场操作、设备使用、操作及维护培训；</w:t>
            </w:r>
          </w:p>
          <w:p w14:paraId="3EC2DCA3">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3.质保期内负责定期回访、上门服务、维修、更换损坏的设备和配件及对产品进行维护和保养、货物质量事故和质量缺陷由成交供应商无偿保修，提供终身维修；</w:t>
            </w:r>
          </w:p>
          <w:p w14:paraId="20464934">
            <w:pPr>
              <w:spacing w:line="400" w:lineRule="exact"/>
              <w:ind w:firstLine="0" w:firstLineChars="0"/>
              <w:rPr>
                <w:rFonts w:ascii="宋体" w:hAnsi="宋体" w:eastAsia="宋体" w:cs="仿宋_GB2312"/>
                <w:szCs w:val="21"/>
              </w:rPr>
            </w:pPr>
            <w:r>
              <w:rPr>
                <w:rFonts w:hint="eastAsia" w:ascii="宋体" w:hAnsi="宋体" w:eastAsia="宋体" w:cs="仿宋_GB2312"/>
                <w:szCs w:val="21"/>
              </w:rPr>
              <w:t>4.在成交供应商承诺的质保期内，设备保修包换所需要的配件均是原厂原装，不得使用兼容货物；</w:t>
            </w:r>
          </w:p>
          <w:p w14:paraId="4FD6D0D1">
            <w:pPr>
              <w:spacing w:line="400" w:lineRule="exact"/>
              <w:ind w:firstLine="0" w:firstLineChars="0"/>
              <w:rPr>
                <w:rFonts w:ascii="宋体" w:hAnsi="宋体" w:eastAsia="宋体" w:cs="仿宋_GB2312"/>
                <w:szCs w:val="21"/>
              </w:rPr>
            </w:pPr>
            <w:r>
              <w:rPr>
                <w:rFonts w:hint="eastAsia" w:ascii="宋体" w:hAnsi="宋体" w:eastAsia="宋体" w:cs="仿宋_GB2312"/>
                <w:szCs w:val="21"/>
              </w:rPr>
              <w:t>5.成交供应商在质保期内应当为采购人提供以下技术支持和服务：</w:t>
            </w:r>
          </w:p>
          <w:p w14:paraId="1F8F7214">
            <w:pPr>
              <w:spacing w:line="400" w:lineRule="exact"/>
              <w:ind w:firstLine="0" w:firstLineChars="0"/>
              <w:rPr>
                <w:rFonts w:ascii="宋体" w:hAnsi="宋体" w:eastAsia="宋体" w:cs="仿宋_GB2312"/>
                <w:szCs w:val="21"/>
              </w:rPr>
            </w:pPr>
            <w:r>
              <w:rPr>
                <w:rFonts w:hint="eastAsia" w:ascii="宋体" w:hAnsi="宋体" w:eastAsia="宋体" w:cs="仿宋_GB2312"/>
                <w:szCs w:val="21"/>
              </w:rPr>
              <w:t>质保期内提供24小时内响应并到达故障现场，同时提供</w:t>
            </w:r>
            <w:r>
              <w:rPr>
                <w:rFonts w:hint="eastAsia" w:ascii="宋体" w:hAnsi="宋体" w:eastAsia="宋体" w:cs="Times New Roman"/>
                <w:kern w:val="0"/>
                <w:sz w:val="22"/>
              </w:rPr>
              <w:t>不少于三次线下培训（培训讲师不少于2人，每次培训人次不低于10人）</w:t>
            </w:r>
            <w:r>
              <w:rPr>
                <w:rFonts w:hint="eastAsia" w:ascii="宋体" w:hAnsi="宋体" w:eastAsia="宋体" w:cs="仿宋_GB2312"/>
                <w:szCs w:val="21"/>
              </w:rPr>
              <w:t>。</w:t>
            </w:r>
          </w:p>
          <w:p w14:paraId="1EEA2812">
            <w:pPr>
              <w:spacing w:line="400" w:lineRule="exact"/>
              <w:ind w:firstLine="0" w:firstLineChars="0"/>
              <w:rPr>
                <w:rFonts w:ascii="宋体" w:hAnsi="宋体" w:eastAsia="宋体" w:cs="仿宋_GB2312"/>
                <w:szCs w:val="21"/>
              </w:rPr>
            </w:pPr>
            <w:r>
              <w:rPr>
                <w:rFonts w:hint="eastAsia" w:ascii="宋体" w:hAnsi="宋体" w:eastAsia="宋体" w:cs="仿宋_GB2312"/>
                <w:szCs w:val="21"/>
              </w:rPr>
              <w:t>6.质保期外服务要求</w:t>
            </w:r>
          </w:p>
          <w:p w14:paraId="6F571EBA">
            <w:pPr>
              <w:spacing w:line="400" w:lineRule="exact"/>
              <w:ind w:firstLine="0" w:firstLineChars="0"/>
              <w:rPr>
                <w:rFonts w:ascii="宋体" w:hAnsi="宋体" w:eastAsia="宋体" w:cs="仿宋_GB2312"/>
                <w:szCs w:val="21"/>
              </w:rPr>
            </w:pPr>
            <w:r>
              <w:rPr>
                <w:rFonts w:hint="eastAsia" w:ascii="宋体" w:hAnsi="宋体" w:eastAsia="宋体" w:cs="仿宋_GB2312"/>
                <w:szCs w:val="21"/>
              </w:rPr>
              <w:t>本项目中的所有硬件、软件、平台及系统提供</w:t>
            </w:r>
            <w:r>
              <w:rPr>
                <w:rFonts w:hint="eastAsia" w:ascii="宋体" w:hAnsi="宋体" w:eastAsia="宋体" w:cs="Times New Roman"/>
                <w:kern w:val="0"/>
                <w:sz w:val="22"/>
              </w:rPr>
              <w:t>不少于3年</w:t>
            </w:r>
            <w:r>
              <w:rPr>
                <w:rFonts w:ascii="宋体" w:hAnsi="宋体" w:eastAsia="宋体" w:cs="Times New Roman"/>
                <w:kern w:val="0"/>
                <w:sz w:val="22"/>
              </w:rPr>
              <w:t>质保</w:t>
            </w:r>
            <w:r>
              <w:rPr>
                <w:rFonts w:hint="eastAsia" w:ascii="宋体" w:hAnsi="宋体" w:eastAsia="宋体" w:cs="Times New Roman"/>
                <w:kern w:val="0"/>
                <w:sz w:val="22"/>
              </w:rPr>
              <w:t>及升级</w:t>
            </w:r>
            <w:r>
              <w:rPr>
                <w:rFonts w:ascii="宋体" w:hAnsi="宋体" w:eastAsia="宋体" w:cs="Times New Roman"/>
                <w:kern w:val="0"/>
                <w:sz w:val="22"/>
              </w:rPr>
              <w:t>服务，</w:t>
            </w:r>
            <w:r>
              <w:rPr>
                <w:rFonts w:hint="eastAsia" w:ascii="宋体" w:hAnsi="宋体" w:eastAsia="宋体" w:cs="Times New Roman"/>
                <w:kern w:val="0"/>
                <w:sz w:val="22"/>
              </w:rPr>
              <w:t>质保期满后不升级不影响正常使用</w:t>
            </w:r>
            <w:r>
              <w:rPr>
                <w:rFonts w:hint="eastAsia" w:ascii="宋体" w:hAnsi="宋体" w:eastAsia="宋体" w:cs="仿宋_GB2312"/>
                <w:szCs w:val="21"/>
              </w:rPr>
              <w:t>、维护，硬件损坏只收取硬件费用。</w:t>
            </w:r>
          </w:p>
          <w:p w14:paraId="6F48EAA1">
            <w:pPr>
              <w:spacing w:line="400" w:lineRule="exact"/>
              <w:ind w:firstLine="0" w:firstLineChars="0"/>
              <w:rPr>
                <w:rFonts w:ascii="宋体" w:hAnsi="宋体" w:eastAsia="宋体" w:cs="仿宋_GB2312"/>
                <w:szCs w:val="21"/>
              </w:rPr>
            </w:pPr>
            <w:r>
              <w:rPr>
                <w:rFonts w:hint="eastAsia" w:ascii="宋体" w:hAnsi="宋体" w:eastAsia="宋体" w:cs="仿宋_GB2312"/>
                <w:szCs w:val="21"/>
              </w:rPr>
              <w:t>7.备品备件及易损件</w:t>
            </w:r>
          </w:p>
          <w:p w14:paraId="0B0115AE">
            <w:pPr>
              <w:spacing w:line="400" w:lineRule="exact"/>
              <w:ind w:firstLine="0" w:firstLineChars="0"/>
              <w:rPr>
                <w:rFonts w:ascii="宋体" w:hAnsi="宋体" w:eastAsia="宋体" w:cs="仿宋_GB2312"/>
                <w:szCs w:val="21"/>
              </w:rPr>
            </w:pPr>
            <w:r>
              <w:rPr>
                <w:rFonts w:hint="eastAsia" w:ascii="宋体" w:hAnsi="宋体" w:eastAsia="宋体" w:cs="仿宋_GB2312"/>
                <w:szCs w:val="21"/>
              </w:rPr>
              <w:t>成交供应商售后服务中，维修使用的备品备件及易损件应为原厂配件，未经采购人同意不得使用非原厂配件；</w:t>
            </w:r>
          </w:p>
          <w:p w14:paraId="47E448C0">
            <w:pPr>
              <w:spacing w:line="400" w:lineRule="exact"/>
              <w:ind w:firstLine="0" w:firstLineChars="0"/>
              <w:rPr>
                <w:rFonts w:ascii="宋体" w:hAnsi="宋体" w:eastAsia="宋体" w:cs="仿宋_GB2312"/>
                <w:szCs w:val="21"/>
              </w:rPr>
            </w:pPr>
            <w:r>
              <w:rPr>
                <w:rFonts w:hint="eastAsia" w:ascii="宋体" w:hAnsi="宋体" w:eastAsia="宋体" w:cs="仿宋_GB2312"/>
                <w:szCs w:val="21"/>
              </w:rPr>
              <w:t>8.质保期内由于设备本身质量原因造成的任何损伤或损坏或因包装、运输不当引起的设备外观或内部的损坏及错发、漏发的情况，成交供应商负责修理或补发、更换，直到达到性能要求，不再收取任何费用。如果成交供应商在接到通知后没有更换有缺陷的产品，所造成的损失由成交供应商承担。</w:t>
            </w:r>
          </w:p>
        </w:tc>
      </w:tr>
      <w:tr w14:paraId="1A58C4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14:paraId="519E4E73">
            <w:pPr>
              <w:widowControl/>
              <w:spacing w:line="400" w:lineRule="exact"/>
              <w:jc w:val="center"/>
              <w:rPr>
                <w:rFonts w:ascii="宋体" w:hAnsi="宋体" w:eastAsia="宋体" w:cs="仿宋_GB2312"/>
                <w:szCs w:val="21"/>
              </w:rPr>
            </w:pPr>
            <w:r>
              <w:rPr>
                <w:rFonts w:hint="eastAsia" w:ascii="宋体" w:hAnsi="宋体" w:eastAsia="宋体" w:cs="仿宋_GB2312"/>
                <w:szCs w:val="21"/>
              </w:rPr>
              <w:t>▲（八）投标报价要求</w:t>
            </w:r>
          </w:p>
        </w:tc>
        <w:tc>
          <w:tcPr>
            <w:tcW w:w="7452" w:type="dxa"/>
            <w:tcBorders>
              <w:top w:val="single" w:color="auto" w:sz="4" w:space="0"/>
              <w:left w:val="single" w:color="auto" w:sz="4" w:space="0"/>
              <w:bottom w:val="single" w:color="auto" w:sz="4" w:space="0"/>
              <w:right w:val="single" w:color="auto" w:sz="4" w:space="0"/>
            </w:tcBorders>
          </w:tcPr>
          <w:p w14:paraId="58E1C32A">
            <w:pPr>
              <w:spacing w:line="400" w:lineRule="exact"/>
              <w:ind w:firstLine="0" w:firstLineChars="0"/>
              <w:rPr>
                <w:rFonts w:ascii="宋体" w:hAnsi="宋体" w:eastAsia="宋体" w:cs="Times New Roman"/>
                <w:bCs/>
                <w:szCs w:val="21"/>
              </w:rPr>
            </w:pPr>
            <w:r>
              <w:rPr>
                <w:rFonts w:hint="eastAsia" w:ascii="宋体" w:hAnsi="宋体" w:eastAsia="宋体" w:cs="仿宋_GB2312"/>
                <w:szCs w:val="21"/>
              </w:rPr>
              <w:t>1.投标总报价</w:t>
            </w:r>
            <w:r>
              <w:rPr>
                <w:rFonts w:ascii="宋体" w:hAnsi="宋体" w:eastAsia="宋体" w:cs="Times New Roman"/>
                <w:bCs/>
                <w:szCs w:val="21"/>
              </w:rPr>
              <w:t>为完成采购人全部</w:t>
            </w:r>
            <w:r>
              <w:rPr>
                <w:rFonts w:hint="eastAsia" w:ascii="宋体" w:hAnsi="宋体" w:eastAsia="宋体" w:cs="Times New Roman"/>
                <w:bCs/>
                <w:szCs w:val="21"/>
              </w:rPr>
              <w:t>采购</w:t>
            </w:r>
            <w:r>
              <w:rPr>
                <w:rFonts w:ascii="宋体" w:hAnsi="宋体" w:eastAsia="宋体" w:cs="Times New Roman"/>
                <w:bCs/>
                <w:szCs w:val="21"/>
              </w:rPr>
              <w:t>内容的报价，即履行合同的最终价格，包括</w:t>
            </w:r>
            <w:r>
              <w:rPr>
                <w:rFonts w:hint="eastAsia" w:ascii="宋体" w:hAnsi="宋体" w:eastAsia="宋体" w:cs="Times New Roman"/>
                <w:bCs/>
                <w:szCs w:val="21"/>
              </w:rPr>
              <w:t>中标人</w:t>
            </w:r>
            <w:r>
              <w:rPr>
                <w:rFonts w:ascii="宋体" w:hAnsi="宋体" w:eastAsia="宋体" w:cs="Times New Roman"/>
                <w:bCs/>
                <w:szCs w:val="21"/>
              </w:rPr>
              <w:t>完成本项目所需的一切工作内容而发生的所有费用</w:t>
            </w:r>
            <w:r>
              <w:rPr>
                <w:rFonts w:hint="eastAsia" w:ascii="宋体" w:hAnsi="宋体" w:eastAsia="宋体" w:cs="Times New Roman"/>
                <w:bCs/>
                <w:szCs w:val="21"/>
              </w:rPr>
              <w:t>包括但不限于：</w:t>
            </w:r>
          </w:p>
          <w:p w14:paraId="026F8A57">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（1）货物及标准附件、备品备件、专用工具的价格；</w:t>
            </w:r>
          </w:p>
          <w:p w14:paraId="7ABC3E41">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（2）人工、运输、装卸、安装、验收、技术支持、技术服务及培训、售后服务、清洁卫生费、垃圾清运费、保险、税金、其他所有成本费用，以及合同明示或暗示的所有责任、义务和一般风险等一切费用。</w:t>
            </w:r>
          </w:p>
          <w:p w14:paraId="28AE862C">
            <w:pPr>
              <w:spacing w:line="400" w:lineRule="exact"/>
              <w:ind w:firstLine="0" w:firstLineChars="0"/>
              <w:rPr>
                <w:rFonts w:ascii="宋体" w:hAnsi="宋体" w:eastAsia="宋体" w:cs="仿宋_GB2312"/>
                <w:szCs w:val="21"/>
              </w:rPr>
            </w:pPr>
            <w:r>
              <w:rPr>
                <w:rFonts w:hint="eastAsia" w:ascii="宋体" w:hAnsi="宋体" w:eastAsia="宋体" w:cs="仿宋_GB2312"/>
                <w:szCs w:val="21"/>
              </w:rPr>
              <w:t>2.投标总报价不得高于本标项的最高限价。</w:t>
            </w:r>
          </w:p>
          <w:p w14:paraId="07210659">
            <w:pPr>
              <w:spacing w:line="400" w:lineRule="exact"/>
              <w:ind w:firstLine="0" w:firstLineChars="0"/>
              <w:rPr>
                <w:rFonts w:ascii="宋体" w:hAnsi="宋体" w:eastAsia="宋体" w:cs="仿宋_GB2312"/>
                <w:szCs w:val="21"/>
              </w:rPr>
            </w:pPr>
            <w:r>
              <w:rPr>
                <w:rFonts w:hint="eastAsia" w:ascii="宋体" w:hAnsi="宋体" w:eastAsia="宋体" w:cs="仿宋_GB2312"/>
                <w:szCs w:val="21"/>
              </w:rPr>
              <w:t>3.本项目涉及所有资金往来的币种为人民币。</w:t>
            </w:r>
          </w:p>
          <w:p w14:paraId="1C1C14A4">
            <w:pPr>
              <w:spacing w:line="400" w:lineRule="exact"/>
              <w:ind w:firstLine="0" w:firstLineChars="0"/>
              <w:rPr>
                <w:rFonts w:ascii="宋体" w:hAnsi="宋体" w:eastAsia="宋体" w:cs="Times New Roman"/>
                <w:szCs w:val="21"/>
              </w:rPr>
            </w:pPr>
            <w:r>
              <w:rPr>
                <w:rFonts w:hint="eastAsia" w:ascii="宋体" w:hAnsi="宋体" w:eastAsia="宋体" w:cs="仿宋_GB2312"/>
                <w:szCs w:val="21"/>
              </w:rPr>
              <w:t>4.投标人应充分考虑由于国家政策变化、自然灾害、战争等不可抗力因素造成本合同中断引起损失风险。</w:t>
            </w:r>
          </w:p>
        </w:tc>
      </w:tr>
      <w:tr w14:paraId="21FCA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14:paraId="6DDB8ADD">
            <w:pPr>
              <w:widowControl/>
              <w:spacing w:line="400" w:lineRule="exact"/>
              <w:jc w:val="both"/>
              <w:rPr>
                <w:rFonts w:ascii="宋体" w:hAnsi="宋体" w:eastAsia="宋体" w:cs="仿宋_GB2312"/>
                <w:szCs w:val="21"/>
              </w:rPr>
            </w:pPr>
            <w:r>
              <w:rPr>
                <w:rFonts w:hint="eastAsia" w:ascii="宋体" w:hAnsi="宋体" w:eastAsia="宋体" w:cs="仿宋_GB2312"/>
                <w:szCs w:val="21"/>
              </w:rPr>
              <w:t>▲（九）其他要求</w:t>
            </w:r>
          </w:p>
        </w:tc>
        <w:tc>
          <w:tcPr>
            <w:tcW w:w="7452" w:type="dxa"/>
            <w:tcBorders>
              <w:top w:val="single" w:color="auto" w:sz="4" w:space="0"/>
              <w:left w:val="single" w:color="auto" w:sz="4" w:space="0"/>
              <w:bottom w:val="single" w:color="auto" w:sz="4" w:space="0"/>
              <w:right w:val="single" w:color="auto" w:sz="4" w:space="0"/>
            </w:tcBorders>
          </w:tcPr>
          <w:p w14:paraId="5FA0E49B">
            <w:pPr>
              <w:spacing w:line="400" w:lineRule="exact"/>
              <w:ind w:firstLine="0" w:firstLineChars="0"/>
              <w:rPr>
                <w:rFonts w:ascii="宋体" w:hAnsi="宋体" w:eastAsia="宋体" w:cs="仿宋_GB2312"/>
                <w:szCs w:val="21"/>
              </w:rPr>
            </w:pPr>
            <w:r>
              <w:rPr>
                <w:rFonts w:hint="eastAsia" w:ascii="宋体" w:hAnsi="宋体" w:eastAsia="宋体" w:cs="仿宋_GB2312"/>
                <w:szCs w:val="21"/>
              </w:rPr>
              <w:t>1.投标人应保证针对本项目的服务（或货物）所涉及的知识产权和所提供的相关技术资料是合法取得，并享有完整的知识产权，不会因为采购人的使用而被责令停止使用、追偿或要求赔偿损失，如出现此情况，一切经济和法律责任均由投标人承担。</w:t>
            </w:r>
          </w:p>
          <w:p w14:paraId="54550207">
            <w:pPr>
              <w:spacing w:line="400" w:lineRule="exact"/>
              <w:ind w:firstLine="0" w:firstLineChars="0"/>
              <w:rPr>
                <w:rFonts w:ascii="宋体" w:hAnsi="宋体" w:eastAsia="宋体" w:cs="仿宋_GB2312"/>
                <w:szCs w:val="21"/>
              </w:rPr>
            </w:pPr>
            <w:r>
              <w:rPr>
                <w:rFonts w:hint="eastAsia" w:ascii="宋体" w:hAnsi="宋体" w:eastAsia="宋体" w:cs="仿宋_GB2312"/>
                <w:szCs w:val="21"/>
              </w:rPr>
              <w:t>2.服务成果经采购人验收通过后，所有权归采购人所有，未经采购人同意中标人不得挪作他用，不得擅自公开相关项目数据或资料文件。</w:t>
            </w:r>
          </w:p>
          <w:p w14:paraId="21D2684F">
            <w:pPr>
              <w:spacing w:line="400" w:lineRule="exact"/>
              <w:ind w:firstLine="0" w:firstLineChars="0"/>
              <w:rPr>
                <w:rFonts w:ascii="宋体" w:hAnsi="宋体" w:eastAsia="宋体" w:cs="仿宋_GB2312"/>
                <w:szCs w:val="21"/>
              </w:rPr>
            </w:pPr>
            <w:r>
              <w:rPr>
                <w:rFonts w:hint="eastAsia" w:ascii="宋体" w:hAnsi="宋体" w:eastAsia="宋体" w:cs="仿宋_GB2312"/>
                <w:szCs w:val="21"/>
              </w:rPr>
              <w:t>3.保密要求：工作人员应对本项目中接触到的采购人所有的知识产权、商业秘密、技术成果等信息负保密义务。未经采购人书面同意，不得向社会公众或第三方通过任何途径出示、泄露，不得许可使用，不得对上述信息进行复制、传播、销售；保证不向外泄漏任何相关数据，不向外泄漏任何保密的技术资料。如出现工作人员泄密事件，中标人应依法承担法律责任。</w:t>
            </w:r>
          </w:p>
          <w:p w14:paraId="1CBB3B1A">
            <w:pPr>
              <w:spacing w:line="400" w:lineRule="exact"/>
              <w:ind w:firstLine="0" w:firstLineChars="0"/>
              <w:rPr>
                <w:rFonts w:ascii="宋体" w:hAnsi="宋体" w:eastAsia="宋体" w:cs="仿宋_GB2312"/>
                <w:szCs w:val="21"/>
              </w:rPr>
            </w:pPr>
            <w:r>
              <w:rPr>
                <w:rFonts w:hint="eastAsia" w:ascii="宋体" w:hAnsi="宋体" w:eastAsia="宋体" w:cs="仿宋_GB2312"/>
                <w:szCs w:val="21"/>
              </w:rPr>
              <w:t>4. 中标人必须服从招标人现场负责人的指挥，按指定地点进行安装；</w:t>
            </w:r>
          </w:p>
          <w:p w14:paraId="03E42CE1">
            <w:pPr>
              <w:spacing w:line="400" w:lineRule="exact"/>
              <w:ind w:firstLine="0" w:firstLineChars="0"/>
              <w:rPr>
                <w:rFonts w:ascii="宋体" w:hAnsi="宋体" w:eastAsia="宋体" w:cs="仿宋_GB2312"/>
                <w:szCs w:val="21"/>
              </w:rPr>
            </w:pPr>
            <w:r>
              <w:rPr>
                <w:rFonts w:hint="eastAsia" w:ascii="宋体" w:hAnsi="宋体" w:eastAsia="宋体" w:cs="仿宋_GB2312"/>
                <w:szCs w:val="21"/>
              </w:rPr>
              <w:t>5.安装过程中的所有安全保障由中标人自行负责；</w:t>
            </w:r>
          </w:p>
          <w:p w14:paraId="2C78AEC7">
            <w:pPr>
              <w:spacing w:line="400" w:lineRule="exact"/>
              <w:ind w:firstLine="0" w:firstLineChars="0"/>
              <w:rPr>
                <w:rFonts w:ascii="宋体" w:hAnsi="宋体" w:eastAsia="宋体" w:cs="仿宋_GB2312"/>
                <w:szCs w:val="21"/>
              </w:rPr>
            </w:pPr>
            <w:r>
              <w:rPr>
                <w:rFonts w:hint="eastAsia" w:ascii="宋体" w:hAnsi="宋体" w:eastAsia="宋体" w:cs="仿宋_GB2312"/>
                <w:szCs w:val="21"/>
              </w:rPr>
              <w:t>6.严格按投标产品的安装规范要求进行安装，确保安全；</w:t>
            </w:r>
          </w:p>
          <w:p w14:paraId="12D98630">
            <w:pPr>
              <w:spacing w:line="400" w:lineRule="exact"/>
              <w:ind w:firstLine="0" w:firstLineChars="0"/>
              <w:rPr>
                <w:rFonts w:ascii="宋体" w:hAnsi="宋体" w:eastAsia="宋体" w:cs="仿宋_GB2312"/>
                <w:szCs w:val="21"/>
              </w:rPr>
            </w:pPr>
            <w:r>
              <w:rPr>
                <w:rFonts w:hint="eastAsia" w:ascii="宋体" w:hAnsi="宋体" w:eastAsia="宋体" w:cs="仿宋_GB2312"/>
                <w:szCs w:val="21"/>
              </w:rPr>
              <w:t>7.如设备为特种设备，按照国家规定安装人员需持证上岗的，安装人员必须持证上岗安装。</w:t>
            </w:r>
          </w:p>
        </w:tc>
      </w:tr>
      <w:tr w14:paraId="68F5A2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14:paraId="29D04080">
            <w:pPr>
              <w:spacing w:line="400" w:lineRule="exact"/>
              <w:jc w:val="both"/>
              <w:rPr>
                <w:rFonts w:ascii="新宋体" w:hAnsi="Times New Roman" w:eastAsia="新宋体" w:cs="Times New Roman"/>
                <w:szCs w:val="21"/>
              </w:rPr>
            </w:pPr>
            <w:r>
              <w:rPr>
                <w:rFonts w:hint="eastAsia" w:ascii="宋体" w:hAnsi="宋体" w:eastAsia="宋体" w:cs="仿宋_GB2312"/>
                <w:szCs w:val="21"/>
              </w:rPr>
              <w:t>▲（十）</w:t>
            </w:r>
            <w:r>
              <w:rPr>
                <w:rFonts w:hint="eastAsia" w:ascii="新宋体" w:hAnsi="Times New Roman" w:eastAsia="新宋体" w:cs="Times New Roman"/>
                <w:szCs w:val="21"/>
              </w:rPr>
              <w:t>特殊说明</w:t>
            </w:r>
          </w:p>
        </w:tc>
        <w:tc>
          <w:tcPr>
            <w:tcW w:w="7452" w:type="dxa"/>
            <w:tcBorders>
              <w:top w:val="single" w:color="auto" w:sz="4" w:space="0"/>
              <w:left w:val="single" w:color="auto" w:sz="4" w:space="0"/>
              <w:bottom w:val="single" w:color="auto" w:sz="4" w:space="0"/>
              <w:right w:val="single" w:color="auto" w:sz="4" w:space="0"/>
            </w:tcBorders>
            <w:vAlign w:val="center"/>
          </w:tcPr>
          <w:p w14:paraId="0B400D11">
            <w:pPr>
              <w:spacing w:line="400" w:lineRule="exact"/>
              <w:rPr>
                <w:rFonts w:ascii="宋体" w:hAnsi="宋体" w:eastAsia="宋体" w:cs="Times New Roman"/>
                <w:szCs w:val="21"/>
              </w:rPr>
            </w:pPr>
            <w:r>
              <w:rPr>
                <w:rFonts w:hint="eastAsia" w:ascii="宋体" w:hAnsi="宋体" w:eastAsia="宋体" w:cs="Times New Roman"/>
                <w:szCs w:val="21"/>
              </w:rPr>
              <w:t>本项目不接受进口产品投标，如投标人采用进口产品投标则作无效投标处理。</w:t>
            </w:r>
          </w:p>
        </w:tc>
      </w:tr>
      <w:tr w14:paraId="60E6D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14:paraId="6417412D">
            <w:pPr>
              <w:widowControl/>
              <w:spacing w:line="400" w:lineRule="exact"/>
              <w:jc w:val="both"/>
              <w:rPr>
                <w:rFonts w:ascii="宋体" w:hAnsi="宋体" w:eastAsia="宋体" w:cs="仿宋_GB2312"/>
                <w:szCs w:val="21"/>
              </w:rPr>
            </w:pPr>
            <w:r>
              <w:rPr>
                <w:rFonts w:hint="eastAsia" w:ascii="宋体" w:hAnsi="宋体" w:eastAsia="宋体" w:cs="仿宋_GB2312"/>
                <w:szCs w:val="21"/>
              </w:rPr>
              <w:t>▲（十一）核心产品</w:t>
            </w:r>
          </w:p>
        </w:tc>
        <w:tc>
          <w:tcPr>
            <w:tcW w:w="7452" w:type="dxa"/>
            <w:tcBorders>
              <w:top w:val="single" w:color="auto" w:sz="4" w:space="0"/>
              <w:left w:val="single" w:color="auto" w:sz="4" w:space="0"/>
              <w:bottom w:val="single" w:color="auto" w:sz="4" w:space="0"/>
              <w:right w:val="single" w:color="auto" w:sz="4" w:space="0"/>
            </w:tcBorders>
          </w:tcPr>
          <w:p w14:paraId="103823CB">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本标项第十六项产品“BIMVR软件”为核心产品。</w:t>
            </w:r>
          </w:p>
          <w:p w14:paraId="509267B2">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多家投标人提供的核心产品品牌相同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14:paraId="7C252503">
      <w:pPr>
        <w:rPr>
          <w:rFonts w:ascii="宋体" w:hAnsi="宋体" w:eastAsia="宋体" w:cs="仿宋"/>
          <w:szCs w:val="21"/>
        </w:rPr>
      </w:pPr>
      <w:r>
        <w:rPr>
          <w:rFonts w:hint="eastAsia" w:ascii="宋体" w:hAnsi="宋体" w:eastAsia="宋体" w:cs="仿宋"/>
          <w:szCs w:val="21"/>
        </w:rPr>
        <w:br w:type="page"/>
      </w:r>
    </w:p>
    <w:p w14:paraId="5AFABE14">
      <w:pPr>
        <w:spacing w:line="360" w:lineRule="auto"/>
        <w:ind w:firstLine="562" w:firstLineChars="200"/>
        <w:jc w:val="left"/>
        <w:outlineLvl w:val="2"/>
        <w:rPr>
          <w:rFonts w:ascii="宋体" w:hAnsi="宋体" w:eastAsia="宋体" w:cs="仿宋_GB2312"/>
          <w:b/>
          <w:sz w:val="28"/>
          <w:szCs w:val="28"/>
        </w:rPr>
      </w:pPr>
      <w:r>
        <w:rPr>
          <w:rFonts w:hint="eastAsia" w:ascii="宋体" w:hAnsi="宋体" w:eastAsia="宋体" w:cs="仿宋_GB2312"/>
          <w:b/>
          <w:sz w:val="28"/>
          <w:szCs w:val="28"/>
        </w:rPr>
        <w:t>四、标项四（4分标：智能测量机器人系统）</w:t>
      </w:r>
    </w:p>
    <w:p w14:paraId="0C31BC8C">
      <w:pPr>
        <w:ind w:firstLine="482" w:firstLineChars="200"/>
        <w:outlineLvl w:val="2"/>
        <w:rPr>
          <w:rFonts w:ascii="宋体" w:hAnsi="宋体" w:eastAsia="宋体" w:cs="Times New Roman"/>
          <w:szCs w:val="24"/>
        </w:rPr>
      </w:pPr>
      <w:r>
        <w:rPr>
          <w:rFonts w:hint="eastAsia" w:ascii="宋体" w:hAnsi="宋体" w:eastAsia="宋体" w:cs="仿宋_GB2312"/>
          <w:b/>
          <w:sz w:val="24"/>
          <w:szCs w:val="24"/>
        </w:rPr>
        <w:t>（一）技术要求</w:t>
      </w:r>
    </w:p>
    <w:tbl>
      <w:tblPr>
        <w:tblStyle w:val="53"/>
        <w:tblW w:w="10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015"/>
        <w:gridCol w:w="5572"/>
        <w:gridCol w:w="450"/>
        <w:gridCol w:w="475"/>
        <w:gridCol w:w="1253"/>
        <w:gridCol w:w="1245"/>
      </w:tblGrid>
      <w:tr w14:paraId="595E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25" w:type="dxa"/>
            <w:vAlign w:val="center"/>
          </w:tcPr>
          <w:p w14:paraId="17167C7B">
            <w:pPr>
              <w:widowControl/>
              <w:ind w:firstLine="0"/>
              <w:jc w:val="center"/>
              <w:rPr>
                <w:rFonts w:ascii="宋体" w:hAnsi="宋体" w:eastAsia="宋体" w:cs="Times New Roman"/>
                <w:kern w:val="0"/>
                <w:sz w:val="22"/>
              </w:rPr>
            </w:pPr>
            <w:r>
              <w:rPr>
                <w:rFonts w:hint="eastAsia" w:ascii="宋体" w:hAnsi="宋体" w:eastAsia="宋体" w:cs="宋体"/>
                <w:kern w:val="0"/>
                <w:sz w:val="22"/>
              </w:rPr>
              <w:t>序号</w:t>
            </w:r>
          </w:p>
        </w:tc>
        <w:tc>
          <w:tcPr>
            <w:tcW w:w="1015" w:type="dxa"/>
            <w:vAlign w:val="center"/>
          </w:tcPr>
          <w:p w14:paraId="2E69E878">
            <w:pPr>
              <w:widowControl/>
              <w:ind w:firstLine="0"/>
              <w:jc w:val="center"/>
              <w:rPr>
                <w:rFonts w:ascii="宋体" w:hAnsi="宋体" w:eastAsia="宋体" w:cs="宋体"/>
                <w:kern w:val="0"/>
                <w:sz w:val="22"/>
              </w:rPr>
            </w:pPr>
            <w:r>
              <w:rPr>
                <w:rFonts w:hint="eastAsia" w:ascii="宋体" w:hAnsi="宋体" w:eastAsia="宋体" w:cs="宋体"/>
                <w:kern w:val="0"/>
                <w:sz w:val="22"/>
              </w:rPr>
              <w:t>标的</w:t>
            </w:r>
          </w:p>
          <w:p w14:paraId="55417ABD">
            <w:pPr>
              <w:widowControl/>
              <w:ind w:firstLine="0"/>
              <w:jc w:val="center"/>
              <w:rPr>
                <w:rFonts w:ascii="宋体" w:hAnsi="宋体" w:eastAsia="宋体" w:cs="Times New Roman"/>
                <w:kern w:val="0"/>
                <w:sz w:val="22"/>
              </w:rPr>
            </w:pPr>
            <w:r>
              <w:rPr>
                <w:rFonts w:hint="eastAsia" w:ascii="宋体" w:hAnsi="宋体" w:eastAsia="宋体" w:cs="宋体"/>
                <w:kern w:val="0"/>
                <w:sz w:val="22"/>
              </w:rPr>
              <w:t>名称</w:t>
            </w:r>
          </w:p>
        </w:tc>
        <w:tc>
          <w:tcPr>
            <w:tcW w:w="5572" w:type="dxa"/>
            <w:vAlign w:val="center"/>
          </w:tcPr>
          <w:p w14:paraId="1245AC80">
            <w:pPr>
              <w:widowControl/>
              <w:ind w:firstLine="0"/>
              <w:jc w:val="center"/>
              <w:rPr>
                <w:rFonts w:ascii="宋体" w:hAnsi="宋体" w:eastAsia="宋体" w:cs="Times New Roman"/>
                <w:kern w:val="0"/>
                <w:sz w:val="22"/>
              </w:rPr>
            </w:pPr>
            <w:r>
              <w:rPr>
                <w:rFonts w:hint="eastAsia" w:ascii="宋体" w:hAnsi="宋体" w:eastAsia="宋体" w:cs="宋体"/>
                <w:kern w:val="0"/>
                <w:sz w:val="22"/>
              </w:rPr>
              <w:t>技术参数及性能（配置）要求</w:t>
            </w:r>
          </w:p>
        </w:tc>
        <w:tc>
          <w:tcPr>
            <w:tcW w:w="450" w:type="dxa"/>
            <w:vAlign w:val="center"/>
          </w:tcPr>
          <w:p w14:paraId="1DC97812">
            <w:pPr>
              <w:widowControl/>
              <w:ind w:firstLine="0"/>
              <w:jc w:val="center"/>
              <w:rPr>
                <w:rFonts w:ascii="宋体" w:hAnsi="宋体" w:eastAsia="宋体" w:cs="Times New Roman"/>
                <w:kern w:val="0"/>
                <w:sz w:val="22"/>
              </w:rPr>
            </w:pPr>
            <w:r>
              <w:rPr>
                <w:rFonts w:hint="eastAsia" w:ascii="宋体" w:hAnsi="宋体" w:eastAsia="宋体" w:cs="宋体"/>
                <w:kern w:val="0"/>
                <w:sz w:val="22"/>
              </w:rPr>
              <w:t>数量</w:t>
            </w:r>
          </w:p>
        </w:tc>
        <w:tc>
          <w:tcPr>
            <w:tcW w:w="475" w:type="dxa"/>
            <w:vAlign w:val="center"/>
          </w:tcPr>
          <w:p w14:paraId="50B5C9C4">
            <w:pPr>
              <w:widowControl/>
              <w:ind w:firstLine="0"/>
              <w:jc w:val="center"/>
              <w:rPr>
                <w:rFonts w:ascii="宋体" w:hAnsi="宋体" w:eastAsia="宋体" w:cs="Times New Roman"/>
                <w:kern w:val="0"/>
                <w:sz w:val="22"/>
              </w:rPr>
            </w:pPr>
            <w:r>
              <w:rPr>
                <w:rFonts w:hint="eastAsia" w:ascii="宋体" w:hAnsi="宋体" w:eastAsia="宋体" w:cs="宋体"/>
                <w:kern w:val="0"/>
                <w:sz w:val="22"/>
              </w:rPr>
              <w:t>单位</w:t>
            </w:r>
          </w:p>
        </w:tc>
        <w:tc>
          <w:tcPr>
            <w:tcW w:w="1253" w:type="dxa"/>
            <w:vAlign w:val="center"/>
          </w:tcPr>
          <w:p w14:paraId="1FA63A3C">
            <w:pPr>
              <w:widowControl/>
              <w:ind w:firstLine="0"/>
              <w:jc w:val="center"/>
              <w:rPr>
                <w:rFonts w:ascii="宋体" w:hAnsi="宋体" w:eastAsia="宋体" w:cs="Times New Roman"/>
                <w:kern w:val="0"/>
                <w:sz w:val="22"/>
              </w:rPr>
            </w:pPr>
            <w:r>
              <w:rPr>
                <w:rFonts w:hint="eastAsia" w:ascii="宋体" w:hAnsi="宋体" w:eastAsia="宋体" w:cs="宋体"/>
                <w:kern w:val="0"/>
                <w:sz w:val="22"/>
              </w:rPr>
              <w:t>预算单价金额（元）</w:t>
            </w:r>
          </w:p>
        </w:tc>
        <w:tc>
          <w:tcPr>
            <w:tcW w:w="1245" w:type="dxa"/>
            <w:vAlign w:val="center"/>
          </w:tcPr>
          <w:p w14:paraId="26FC4194">
            <w:pPr>
              <w:widowControl/>
              <w:ind w:firstLine="0"/>
              <w:jc w:val="center"/>
              <w:rPr>
                <w:rFonts w:ascii="宋体" w:hAnsi="宋体" w:eastAsia="宋体" w:cs="Times New Roman"/>
                <w:kern w:val="0"/>
                <w:sz w:val="22"/>
              </w:rPr>
            </w:pPr>
            <w:r>
              <w:rPr>
                <w:rFonts w:hint="eastAsia" w:ascii="宋体" w:hAnsi="宋体" w:eastAsia="宋体" w:cs="宋体"/>
                <w:kern w:val="0"/>
                <w:sz w:val="22"/>
              </w:rPr>
              <w:t>预算金额合计（元）</w:t>
            </w:r>
          </w:p>
        </w:tc>
      </w:tr>
      <w:tr w14:paraId="108E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625" w:type="dxa"/>
            <w:vAlign w:val="center"/>
          </w:tcPr>
          <w:p w14:paraId="2F91509D">
            <w:pPr>
              <w:widowControl/>
              <w:ind w:firstLine="0"/>
              <w:jc w:val="center"/>
              <w:rPr>
                <w:rFonts w:ascii="宋体" w:hAnsi="宋体" w:eastAsia="宋体" w:cs="Times New Roman"/>
                <w:kern w:val="0"/>
                <w:sz w:val="22"/>
              </w:rPr>
            </w:pPr>
            <w:r>
              <w:rPr>
                <w:rFonts w:hint="eastAsia" w:ascii="宋体" w:hAnsi="宋体" w:eastAsia="宋体" w:cs="宋体"/>
                <w:kern w:val="0"/>
                <w:sz w:val="22"/>
              </w:rPr>
              <w:t>1</w:t>
            </w:r>
          </w:p>
        </w:tc>
        <w:tc>
          <w:tcPr>
            <w:tcW w:w="1015" w:type="dxa"/>
            <w:vAlign w:val="center"/>
          </w:tcPr>
          <w:p w14:paraId="3534FC1C">
            <w:pPr>
              <w:ind w:firstLine="0"/>
              <w:jc w:val="center"/>
              <w:rPr>
                <w:rFonts w:ascii="宋体" w:hAnsi="宋体" w:eastAsia="宋体" w:cs="Times New Roman"/>
                <w:kern w:val="0"/>
                <w:sz w:val="22"/>
              </w:rPr>
            </w:pPr>
            <w:r>
              <w:rPr>
                <w:rFonts w:hint="eastAsia" w:ascii="宋体" w:hAnsi="宋体" w:eastAsia="宋体" w:cs="等线"/>
                <w:sz w:val="22"/>
                <w:szCs w:val="21"/>
              </w:rPr>
              <w:t>智能测量机器人系统</w:t>
            </w:r>
          </w:p>
        </w:tc>
        <w:tc>
          <w:tcPr>
            <w:tcW w:w="5572" w:type="dxa"/>
          </w:tcPr>
          <w:p w14:paraId="17A8F8E6">
            <w:pPr>
              <w:ind w:firstLine="0"/>
              <w:jc w:val="left"/>
              <w:rPr>
                <w:rFonts w:ascii="宋体" w:hAnsi="宋体" w:eastAsia="宋体" w:cs="Times New Roman"/>
                <w:b/>
                <w:bCs/>
                <w:kern w:val="0"/>
                <w:sz w:val="22"/>
              </w:rPr>
            </w:pPr>
            <w:r>
              <w:rPr>
                <w:rFonts w:hint="eastAsia" w:ascii="宋体" w:hAnsi="宋体" w:eastAsia="宋体" w:cs="Times New Roman"/>
                <w:b/>
                <w:bCs/>
                <w:kern w:val="0"/>
                <w:sz w:val="22"/>
              </w:rPr>
              <w:t>一、</w:t>
            </w:r>
            <w:r>
              <w:rPr>
                <w:rFonts w:hint="eastAsia" w:ascii="宋体" w:hAnsi="宋体" w:eastAsia="宋体" w:cs="等线"/>
                <w:b/>
                <w:bCs/>
                <w:sz w:val="22"/>
                <w:szCs w:val="21"/>
              </w:rPr>
              <w:t>智能测量机器人</w:t>
            </w:r>
            <w:r>
              <w:rPr>
                <w:rFonts w:ascii="宋体" w:hAnsi="宋体" w:eastAsia="宋体" w:cs="等线"/>
                <w:b/>
                <w:bCs/>
                <w:sz w:val="22"/>
                <w:szCs w:val="21"/>
              </w:rPr>
              <w:t>系统</w:t>
            </w:r>
            <w:r>
              <w:rPr>
                <w:rFonts w:ascii="宋体" w:hAnsi="宋体" w:eastAsia="宋体" w:cs="Times New Roman"/>
                <w:b/>
                <w:bCs/>
                <w:kern w:val="0"/>
                <w:sz w:val="22"/>
              </w:rPr>
              <w:t>包括硬件部分及软件部分，其中硬件部分主要为</w:t>
            </w:r>
            <w:r>
              <w:rPr>
                <w:rFonts w:hint="eastAsia" w:ascii="宋体" w:hAnsi="宋体" w:eastAsia="宋体" w:cs="Times New Roman"/>
                <w:b/>
                <w:bCs/>
                <w:kern w:val="0"/>
                <w:sz w:val="22"/>
              </w:rPr>
              <w:t>智能测量模块1个、智能喷涂模块1个、智能巡检模块2个、3D打印模块2个，配套软件部分主要为智能测量协同控制系统1套，智能测量虚拟仿真实训系统1套66个节点。</w:t>
            </w:r>
          </w:p>
          <w:p w14:paraId="63BE9E67">
            <w:pPr>
              <w:ind w:firstLine="0"/>
              <w:jc w:val="left"/>
              <w:rPr>
                <w:rFonts w:ascii="宋体" w:hAnsi="宋体" w:eastAsia="宋体" w:cs="等线"/>
                <w:b/>
                <w:bCs/>
                <w:sz w:val="22"/>
                <w:szCs w:val="21"/>
              </w:rPr>
            </w:pPr>
            <w:r>
              <w:rPr>
                <w:rFonts w:hint="eastAsia" w:ascii="宋体" w:hAnsi="宋体" w:eastAsia="宋体" w:cs="等线"/>
                <w:b/>
                <w:bCs/>
                <w:sz w:val="22"/>
                <w:szCs w:val="21"/>
              </w:rPr>
              <w:t>二、</w:t>
            </w:r>
            <w:r>
              <w:rPr>
                <w:rFonts w:ascii="宋体" w:hAnsi="宋体" w:eastAsia="宋体" w:cs="等线"/>
                <w:b/>
                <w:bCs/>
                <w:sz w:val="22"/>
                <w:szCs w:val="21"/>
              </w:rPr>
              <w:t>智能测量</w:t>
            </w:r>
            <w:r>
              <w:rPr>
                <w:rFonts w:hint="eastAsia" w:ascii="宋体" w:hAnsi="宋体" w:eastAsia="宋体" w:cs="等线"/>
                <w:b/>
                <w:bCs/>
                <w:sz w:val="22"/>
                <w:szCs w:val="21"/>
              </w:rPr>
              <w:t>机器人系统</w:t>
            </w:r>
            <w:r>
              <w:rPr>
                <w:rFonts w:ascii="宋体" w:hAnsi="宋体" w:eastAsia="宋体" w:cs="等线"/>
                <w:b/>
                <w:bCs/>
                <w:sz w:val="22"/>
                <w:szCs w:val="21"/>
              </w:rPr>
              <w:t>技术参数：</w:t>
            </w:r>
          </w:p>
          <w:p w14:paraId="61A34BBB">
            <w:pPr>
              <w:ind w:firstLine="0"/>
              <w:jc w:val="left"/>
              <w:rPr>
                <w:rFonts w:ascii="宋体" w:hAnsi="宋体" w:eastAsia="宋体" w:cs="Times New Roman"/>
                <w:b/>
                <w:bCs/>
                <w:kern w:val="0"/>
                <w:sz w:val="22"/>
              </w:rPr>
            </w:pPr>
            <w:r>
              <w:rPr>
                <w:rFonts w:hint="eastAsia" w:ascii="宋体" w:hAnsi="宋体" w:eastAsia="宋体" w:cs="Times New Roman"/>
                <w:b/>
                <w:bCs/>
                <w:kern w:val="0"/>
                <w:sz w:val="22"/>
              </w:rPr>
              <w:t>（一）</w:t>
            </w:r>
            <w:r>
              <w:rPr>
                <w:rFonts w:ascii="宋体" w:hAnsi="宋体" w:eastAsia="宋体" w:cs="Times New Roman"/>
                <w:b/>
                <w:bCs/>
                <w:kern w:val="0"/>
                <w:sz w:val="22"/>
              </w:rPr>
              <w:t>智能测量</w:t>
            </w:r>
            <w:r>
              <w:rPr>
                <w:rFonts w:hint="eastAsia" w:ascii="宋体" w:hAnsi="宋体" w:eastAsia="宋体" w:cs="Times New Roman"/>
                <w:b/>
                <w:bCs/>
                <w:kern w:val="0"/>
                <w:sz w:val="22"/>
              </w:rPr>
              <w:t>模块软硬件要求：</w:t>
            </w:r>
          </w:p>
          <w:p w14:paraId="6C620DF7">
            <w:pPr>
              <w:numPr>
                <w:ilvl w:val="0"/>
                <w:numId w:val="21"/>
              </w:numPr>
              <w:ind w:left="454" w:firstLine="0"/>
              <w:jc w:val="left"/>
              <w:rPr>
                <w:rFonts w:ascii="宋体" w:hAnsi="宋体" w:eastAsia="宋体" w:cs="Times New Roman"/>
                <w:b/>
                <w:bCs/>
                <w:kern w:val="0"/>
                <w:sz w:val="22"/>
              </w:rPr>
            </w:pPr>
            <w:r>
              <w:rPr>
                <w:rFonts w:ascii="宋体" w:hAnsi="宋体" w:eastAsia="宋体" w:cs="Times New Roman"/>
                <w:b/>
                <w:bCs/>
                <w:kern w:val="0"/>
                <w:sz w:val="22"/>
              </w:rPr>
              <w:t>硬件要求</w:t>
            </w:r>
          </w:p>
          <w:p w14:paraId="18E255CA">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▲测量激光符合IEC 60825-1:2014人眼安全；配备完善的电气安全、电池安全及机械安全防护措施；</w:t>
            </w:r>
          </w:p>
          <w:p w14:paraId="3115A6A9">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工作温度-5℃-45℃，存储温度-20℃-60℃；</w:t>
            </w:r>
          </w:p>
          <w:p w14:paraId="4A82044B">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单站采集时间≤2min；</w:t>
            </w:r>
          </w:p>
          <w:p w14:paraId="0D1183EF">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▲最大测量半径不低于20m；</w:t>
            </w:r>
          </w:p>
          <w:p w14:paraId="2B0788CB">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▲测量精度±2mm；</w:t>
            </w:r>
          </w:p>
          <w:p w14:paraId="109F4783">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测量视场角水平360度，垂直不低于300度；</w:t>
            </w:r>
          </w:p>
          <w:p w14:paraId="7BB1EDC6">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工作续航≥4小时；</w:t>
            </w:r>
          </w:p>
          <w:p w14:paraId="23DD303E">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可测项：墙面平整度、墙面垂直度、阴阳角、方正性、天花平整度、楼板板底水平度、开间进深偏差、开间进深极差、踢脚线平整度、门套线垂直度、阴阳角直线度、地面水平度、地面平整度、飘窗水平度、净高、一米线标高、门窗洞口尺寸；</w:t>
            </w:r>
          </w:p>
          <w:p w14:paraId="57C8EEB6">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可测阶段：结构、砌筑（砌体/墙板）、抹灰；</w:t>
            </w:r>
          </w:p>
          <w:p w14:paraId="76B4B071">
            <w:pPr>
              <w:numPr>
                <w:ilvl w:val="0"/>
                <w:numId w:val="22"/>
              </w:numPr>
              <w:ind w:firstLine="0"/>
              <w:jc w:val="left"/>
              <w:rPr>
                <w:rFonts w:ascii="宋体" w:hAnsi="宋体" w:eastAsia="宋体" w:cs="Times New Roman"/>
                <w:kern w:val="0"/>
                <w:sz w:val="22"/>
              </w:rPr>
            </w:pPr>
            <w:r>
              <w:rPr>
                <w:rFonts w:ascii="宋体" w:hAnsi="宋体" w:eastAsia="宋体" w:cs="Times New Roman"/>
                <w:kern w:val="0"/>
                <w:sz w:val="22"/>
              </w:rPr>
              <w:t>设备应支持自动找平功能，无需人工调平。</w:t>
            </w:r>
          </w:p>
          <w:p w14:paraId="3D63CCF8">
            <w:pPr>
              <w:numPr>
                <w:ilvl w:val="0"/>
                <w:numId w:val="21"/>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软件要求</w:t>
            </w:r>
          </w:p>
          <w:p w14:paraId="3AE26F6E">
            <w:pPr>
              <w:numPr>
                <w:ilvl w:val="0"/>
                <w:numId w:val="23"/>
              </w:numPr>
              <w:ind w:firstLine="0"/>
              <w:jc w:val="left"/>
              <w:rPr>
                <w:rFonts w:ascii="宋体" w:hAnsi="宋体" w:eastAsia="宋体" w:cs="Times New Roman"/>
                <w:kern w:val="0"/>
                <w:sz w:val="22"/>
              </w:rPr>
            </w:pPr>
            <w:r>
              <w:rPr>
                <w:rFonts w:ascii="宋体" w:hAnsi="宋体" w:eastAsia="宋体" w:cs="Times New Roman"/>
                <w:kern w:val="0"/>
                <w:sz w:val="22"/>
              </w:rPr>
              <w:t>内置嵌入式边缘加速、一键操作，无需值守；</w:t>
            </w:r>
          </w:p>
          <w:p w14:paraId="0412C00D">
            <w:pPr>
              <w:numPr>
                <w:ilvl w:val="0"/>
                <w:numId w:val="23"/>
              </w:numPr>
              <w:ind w:firstLine="0"/>
              <w:jc w:val="left"/>
              <w:rPr>
                <w:rFonts w:ascii="宋体" w:hAnsi="宋体" w:eastAsia="宋体" w:cs="Times New Roman"/>
                <w:kern w:val="0"/>
                <w:sz w:val="22"/>
              </w:rPr>
            </w:pPr>
            <w:r>
              <w:rPr>
                <w:rFonts w:hint="eastAsia" w:ascii="宋体" w:hAnsi="宋体" w:eastAsia="宋体" w:cs="Times New Roman"/>
                <w:kern w:val="0"/>
                <w:sz w:val="22"/>
              </w:rPr>
              <w:t>支持</w:t>
            </w:r>
            <w:r>
              <w:rPr>
                <w:rFonts w:ascii="宋体" w:hAnsi="宋体" w:eastAsia="宋体" w:cs="Times New Roman"/>
                <w:kern w:val="0"/>
                <w:sz w:val="22"/>
              </w:rPr>
              <w:t>测量数据实时输出</w:t>
            </w:r>
            <w:r>
              <w:rPr>
                <w:rFonts w:hint="eastAsia" w:ascii="宋体" w:hAnsi="宋体" w:eastAsia="宋体" w:cs="Times New Roman"/>
                <w:kern w:val="0"/>
                <w:sz w:val="22"/>
              </w:rPr>
              <w:t>，没有</w:t>
            </w:r>
            <w:r>
              <w:rPr>
                <w:rFonts w:ascii="宋体" w:hAnsi="宋体" w:eastAsia="宋体" w:cs="Times New Roman"/>
                <w:kern w:val="0"/>
                <w:sz w:val="22"/>
              </w:rPr>
              <w:t>网络</w:t>
            </w:r>
            <w:r>
              <w:rPr>
                <w:rFonts w:hint="eastAsia" w:ascii="宋体" w:hAnsi="宋体" w:eastAsia="宋体" w:cs="Times New Roman"/>
                <w:kern w:val="0"/>
                <w:sz w:val="22"/>
              </w:rPr>
              <w:t>，也能</w:t>
            </w:r>
            <w:r>
              <w:rPr>
                <w:rFonts w:ascii="宋体" w:hAnsi="宋体" w:eastAsia="宋体" w:cs="Times New Roman"/>
                <w:kern w:val="0"/>
                <w:sz w:val="22"/>
              </w:rPr>
              <w:t>即时生成测量结果</w:t>
            </w:r>
            <w:r>
              <w:rPr>
                <w:rFonts w:hint="eastAsia" w:ascii="宋体" w:hAnsi="宋体" w:eastAsia="宋体" w:cs="Times New Roman"/>
                <w:kern w:val="0"/>
                <w:sz w:val="22"/>
              </w:rPr>
              <w:t>，</w:t>
            </w:r>
            <w:r>
              <w:rPr>
                <w:rFonts w:ascii="宋体" w:hAnsi="宋体" w:eastAsia="宋体" w:cs="Times New Roman"/>
                <w:kern w:val="0"/>
                <w:sz w:val="22"/>
              </w:rPr>
              <w:t>手机、PAD、PC多端协同共享数据，实时分享数据；</w:t>
            </w:r>
          </w:p>
          <w:p w14:paraId="7B2D9DAC">
            <w:pPr>
              <w:numPr>
                <w:ilvl w:val="0"/>
                <w:numId w:val="23"/>
              </w:numPr>
              <w:ind w:firstLine="0"/>
              <w:jc w:val="left"/>
              <w:rPr>
                <w:rFonts w:ascii="宋体" w:hAnsi="宋体" w:eastAsia="宋体" w:cs="Times New Roman"/>
                <w:kern w:val="0"/>
                <w:sz w:val="22"/>
              </w:rPr>
            </w:pPr>
            <w:r>
              <w:rPr>
                <w:rFonts w:ascii="宋体" w:hAnsi="宋体" w:eastAsia="宋体" w:cs="Times New Roman"/>
                <w:kern w:val="0"/>
                <w:sz w:val="22"/>
              </w:rPr>
              <w:t>支持实时生成测量报告、热力图修补量呈现</w:t>
            </w:r>
            <w:r>
              <w:rPr>
                <w:rFonts w:hint="eastAsia" w:ascii="宋体" w:hAnsi="宋体" w:eastAsia="宋体" w:cs="Times New Roman"/>
                <w:kern w:val="0"/>
                <w:sz w:val="22"/>
              </w:rPr>
              <w:t>，包括楼宇外立面平整度、垂直度、合格率分析、质量报表等</w:t>
            </w:r>
            <w:r>
              <w:rPr>
                <w:rFonts w:ascii="宋体" w:hAnsi="宋体" w:eastAsia="宋体" w:cs="Times New Roman"/>
                <w:kern w:val="0"/>
                <w:sz w:val="22"/>
              </w:rPr>
              <w:t>；</w:t>
            </w:r>
          </w:p>
          <w:p w14:paraId="12CB32C6">
            <w:pPr>
              <w:numPr>
                <w:ilvl w:val="0"/>
                <w:numId w:val="23"/>
              </w:numPr>
              <w:ind w:firstLine="0"/>
              <w:jc w:val="left"/>
              <w:rPr>
                <w:rFonts w:ascii="宋体" w:hAnsi="宋体" w:eastAsia="宋体" w:cs="Times New Roman"/>
                <w:kern w:val="0"/>
                <w:sz w:val="22"/>
              </w:rPr>
            </w:pPr>
            <w:r>
              <w:rPr>
                <w:rFonts w:hint="eastAsia" w:ascii="宋体" w:hAnsi="宋体" w:eastAsia="宋体" w:cs="Times New Roman"/>
                <w:kern w:val="0"/>
                <w:sz w:val="22"/>
              </w:rPr>
              <w:t>支持测量标准自定义，可自定义</w:t>
            </w:r>
            <w:r>
              <w:rPr>
                <w:rFonts w:ascii="宋体" w:hAnsi="宋体" w:eastAsia="宋体" w:cs="Times New Roman"/>
                <w:kern w:val="0"/>
                <w:sz w:val="22"/>
              </w:rPr>
              <w:t>落尺规则</w:t>
            </w:r>
            <w:r>
              <w:rPr>
                <w:rFonts w:hint="eastAsia" w:ascii="宋体" w:hAnsi="宋体" w:eastAsia="宋体" w:cs="Times New Roman"/>
                <w:kern w:val="0"/>
                <w:sz w:val="22"/>
              </w:rPr>
              <w:t>，</w:t>
            </w:r>
            <w:r>
              <w:rPr>
                <w:rFonts w:ascii="宋体" w:hAnsi="宋体" w:eastAsia="宋体" w:cs="Times New Roman"/>
                <w:kern w:val="0"/>
                <w:sz w:val="22"/>
              </w:rPr>
              <w:t>设定落尺墙边距</w:t>
            </w:r>
            <w:r>
              <w:rPr>
                <w:rFonts w:hint="eastAsia" w:ascii="宋体" w:hAnsi="宋体" w:eastAsia="宋体" w:cs="Times New Roman"/>
                <w:kern w:val="0"/>
                <w:sz w:val="22"/>
              </w:rPr>
              <w:t>；</w:t>
            </w:r>
          </w:p>
          <w:p w14:paraId="69C9A346">
            <w:pPr>
              <w:numPr>
                <w:ilvl w:val="0"/>
                <w:numId w:val="23"/>
              </w:numPr>
              <w:ind w:firstLine="0"/>
              <w:jc w:val="left"/>
              <w:rPr>
                <w:rFonts w:ascii="宋体" w:hAnsi="宋体" w:eastAsia="宋体" w:cs="Times New Roman"/>
                <w:kern w:val="0"/>
                <w:sz w:val="22"/>
              </w:rPr>
            </w:pPr>
            <w:r>
              <w:rPr>
                <w:rFonts w:hint="eastAsia" w:ascii="宋体" w:hAnsi="宋体" w:eastAsia="宋体" w:cs="Times New Roman"/>
                <w:kern w:val="0"/>
                <w:sz w:val="22"/>
              </w:rPr>
              <w:t>▲支持</w:t>
            </w:r>
            <w:r>
              <w:rPr>
                <w:rFonts w:ascii="宋体" w:hAnsi="宋体" w:eastAsia="宋体" w:cs="Times New Roman"/>
                <w:kern w:val="0"/>
                <w:sz w:val="22"/>
              </w:rPr>
              <w:t>建筑场景AI识别</w:t>
            </w:r>
            <w:r>
              <w:rPr>
                <w:rFonts w:hint="eastAsia" w:ascii="宋体" w:hAnsi="宋体" w:eastAsia="宋体" w:cs="Times New Roman"/>
                <w:kern w:val="0"/>
                <w:sz w:val="22"/>
              </w:rPr>
              <w:t>，具备</w:t>
            </w:r>
            <w:r>
              <w:rPr>
                <w:rFonts w:ascii="宋体" w:hAnsi="宋体" w:eastAsia="宋体" w:cs="Times New Roman"/>
                <w:kern w:val="0"/>
                <w:sz w:val="22"/>
              </w:rPr>
              <w:t>一米线识别，砌体、墙板二次结构</w:t>
            </w:r>
            <w:r>
              <w:rPr>
                <w:rFonts w:hint="eastAsia" w:ascii="宋体" w:hAnsi="宋体" w:eastAsia="宋体" w:cs="Times New Roman"/>
                <w:kern w:val="0"/>
                <w:sz w:val="22"/>
              </w:rPr>
              <w:t>、混凝土面、砌筑面；可以自动识别梁墙柱、门窗、配电箱等构件，实现自动下尺及规避下尺；</w:t>
            </w:r>
          </w:p>
          <w:p w14:paraId="01B3233A">
            <w:pPr>
              <w:numPr>
                <w:ilvl w:val="0"/>
                <w:numId w:val="23"/>
              </w:numPr>
              <w:ind w:firstLine="0"/>
              <w:jc w:val="left"/>
              <w:rPr>
                <w:rFonts w:ascii="宋体" w:hAnsi="宋体" w:eastAsia="宋体" w:cs="Times New Roman"/>
                <w:kern w:val="0"/>
                <w:sz w:val="22"/>
              </w:rPr>
            </w:pPr>
            <w:r>
              <w:rPr>
                <w:rFonts w:hint="eastAsia" w:ascii="宋体" w:hAnsi="宋体" w:eastAsia="宋体" w:cs="Times New Roman"/>
                <w:kern w:val="0"/>
                <w:sz w:val="22"/>
              </w:rPr>
              <w:t>支持</w:t>
            </w:r>
            <w:r>
              <w:rPr>
                <w:rFonts w:ascii="宋体" w:hAnsi="宋体" w:eastAsia="宋体" w:cs="Times New Roman"/>
                <w:kern w:val="0"/>
                <w:sz w:val="22"/>
              </w:rPr>
              <w:t>测量任务管理，支持实测任务创建和分配；测量项目管理，自行维护项目信息和设备分配；测量人员管理，支持维护管理员、测量员，设置不同权限进行数据分层管理；测量数据质量分析、进度分析、工效分析</w:t>
            </w:r>
            <w:r>
              <w:rPr>
                <w:rFonts w:hint="eastAsia" w:ascii="宋体" w:hAnsi="宋体" w:eastAsia="宋体" w:cs="Times New Roman"/>
                <w:kern w:val="0"/>
                <w:sz w:val="22"/>
              </w:rPr>
              <w:t>；</w:t>
            </w:r>
          </w:p>
          <w:p w14:paraId="3F618690">
            <w:pPr>
              <w:numPr>
                <w:ilvl w:val="0"/>
                <w:numId w:val="23"/>
              </w:numPr>
              <w:ind w:firstLine="0"/>
              <w:jc w:val="left"/>
              <w:rPr>
                <w:rFonts w:ascii="宋体" w:hAnsi="宋体" w:eastAsia="宋体" w:cs="Times New Roman"/>
                <w:kern w:val="0"/>
                <w:sz w:val="22"/>
              </w:rPr>
            </w:pPr>
            <w:r>
              <w:rPr>
                <w:rFonts w:hint="eastAsia" w:ascii="宋体" w:hAnsi="宋体" w:eastAsia="宋体" w:cs="Times New Roman"/>
                <w:kern w:val="0"/>
                <w:sz w:val="22"/>
              </w:rPr>
              <w:t>具备</w:t>
            </w:r>
            <w:r>
              <w:rPr>
                <w:rFonts w:ascii="宋体" w:hAnsi="宋体" w:eastAsia="宋体" w:cs="Times New Roman"/>
                <w:kern w:val="0"/>
                <w:sz w:val="22"/>
              </w:rPr>
              <w:t>多站点扫描、自动精细拼接、模型渲染</w:t>
            </w:r>
            <w:r>
              <w:rPr>
                <w:rFonts w:hint="eastAsia" w:ascii="宋体" w:hAnsi="宋体" w:eastAsia="宋体" w:cs="Times New Roman"/>
                <w:kern w:val="0"/>
                <w:sz w:val="22"/>
              </w:rPr>
              <w:t>的功能，能够进行</w:t>
            </w:r>
            <w:r>
              <w:rPr>
                <w:rFonts w:ascii="宋体" w:hAnsi="宋体" w:eastAsia="宋体" w:cs="Times New Roman"/>
                <w:kern w:val="0"/>
                <w:sz w:val="22"/>
              </w:rPr>
              <w:t>模型查看、模型分享、数据上传、点云输出、点云格式转换</w:t>
            </w:r>
            <w:r>
              <w:rPr>
                <w:rFonts w:hint="eastAsia" w:ascii="宋体" w:hAnsi="宋体" w:eastAsia="宋体" w:cs="Times New Roman"/>
                <w:kern w:val="0"/>
                <w:sz w:val="22"/>
              </w:rPr>
              <w:t>；</w:t>
            </w:r>
          </w:p>
          <w:p w14:paraId="6AE6BCE9">
            <w:pPr>
              <w:numPr>
                <w:ilvl w:val="0"/>
                <w:numId w:val="23"/>
              </w:numPr>
              <w:ind w:firstLine="0"/>
              <w:jc w:val="left"/>
              <w:rPr>
                <w:rFonts w:ascii="宋体" w:hAnsi="宋体" w:eastAsia="宋体" w:cs="Times New Roman"/>
                <w:kern w:val="0"/>
                <w:sz w:val="22"/>
              </w:rPr>
            </w:pPr>
            <w:r>
              <w:rPr>
                <w:rFonts w:hint="eastAsia" w:ascii="宋体" w:hAnsi="宋体" w:eastAsia="宋体" w:cs="Times New Roman"/>
                <w:kern w:val="0"/>
                <w:sz w:val="22"/>
              </w:rPr>
              <w:t>支持二维图纸矢量化（BIM化）功能；具有</w:t>
            </w:r>
            <w:r>
              <w:rPr>
                <w:rFonts w:ascii="宋体" w:hAnsi="宋体" w:eastAsia="宋体" w:cs="Times New Roman"/>
                <w:kern w:val="0"/>
                <w:sz w:val="22"/>
              </w:rPr>
              <w:t>CAD图纸自动原位嵌套实测爆点数据的功能，并将实测标签点位直接结合CAD图纸进行呈现</w:t>
            </w:r>
            <w:r>
              <w:rPr>
                <w:rFonts w:hint="eastAsia" w:ascii="宋体" w:hAnsi="宋体" w:eastAsia="宋体" w:cs="Times New Roman"/>
                <w:kern w:val="0"/>
                <w:sz w:val="22"/>
              </w:rPr>
              <w:t>；可以</w:t>
            </w:r>
            <w:r>
              <w:rPr>
                <w:rFonts w:ascii="宋体" w:hAnsi="宋体" w:eastAsia="宋体" w:cs="Times New Roman"/>
                <w:kern w:val="0"/>
                <w:sz w:val="22"/>
              </w:rPr>
              <w:t>结合图纸BIM信息进行爆点数据分析</w:t>
            </w:r>
            <w:r>
              <w:rPr>
                <w:rFonts w:hint="eastAsia" w:ascii="宋体" w:hAnsi="宋体" w:eastAsia="宋体" w:cs="Times New Roman"/>
                <w:kern w:val="0"/>
                <w:sz w:val="22"/>
              </w:rPr>
              <w:t>。</w:t>
            </w:r>
          </w:p>
          <w:p w14:paraId="16B9CD00">
            <w:pPr>
              <w:numPr>
                <w:ilvl w:val="0"/>
                <w:numId w:val="21"/>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其它</w:t>
            </w:r>
            <w:r>
              <w:rPr>
                <w:rFonts w:ascii="宋体" w:hAnsi="宋体" w:eastAsia="宋体" w:cs="Times New Roman"/>
                <w:b/>
                <w:bCs/>
                <w:kern w:val="0"/>
                <w:sz w:val="22"/>
              </w:rPr>
              <w:t>要求</w:t>
            </w:r>
          </w:p>
          <w:p w14:paraId="03A1C760">
            <w:pPr>
              <w:numPr>
                <w:ilvl w:val="0"/>
                <w:numId w:val="24"/>
              </w:numPr>
              <w:ind w:firstLine="0"/>
              <w:jc w:val="left"/>
              <w:rPr>
                <w:rFonts w:ascii="宋体" w:hAnsi="宋体" w:eastAsia="宋体" w:cs="Times New Roman"/>
                <w:kern w:val="0"/>
                <w:sz w:val="22"/>
              </w:rPr>
            </w:pPr>
            <w:r>
              <w:rPr>
                <w:rFonts w:ascii="宋体" w:hAnsi="宋体" w:eastAsia="宋体" w:cs="Times New Roman"/>
                <w:kern w:val="0"/>
                <w:sz w:val="22"/>
              </w:rPr>
              <w:t>所有硬件（含设备和模块）质保期不低于三年，</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Times New Roman"/>
                <w:kern w:val="0"/>
                <w:sz w:val="22"/>
              </w:rPr>
              <w:t>，在使用过程中发生质量问题，24小时内到达故障现场</w:t>
            </w:r>
            <w:r>
              <w:rPr>
                <w:rFonts w:hint="eastAsia" w:ascii="宋体" w:hAnsi="宋体" w:eastAsia="宋体" w:cs="Times New Roman"/>
                <w:kern w:val="0"/>
                <w:sz w:val="22"/>
              </w:rPr>
              <w:t>；</w:t>
            </w:r>
          </w:p>
          <w:p w14:paraId="0A1E4FF0">
            <w:pPr>
              <w:numPr>
                <w:ilvl w:val="0"/>
                <w:numId w:val="24"/>
              </w:numPr>
              <w:ind w:firstLine="0"/>
              <w:jc w:val="left"/>
              <w:rPr>
                <w:rFonts w:ascii="宋体" w:hAnsi="宋体" w:eastAsia="宋体" w:cs="Times New Roman"/>
                <w:kern w:val="0"/>
                <w:sz w:val="22"/>
              </w:rPr>
            </w:pPr>
            <w:r>
              <w:rPr>
                <w:rFonts w:ascii="宋体" w:hAnsi="宋体" w:eastAsia="宋体" w:cs="Times New Roman"/>
                <w:kern w:val="0"/>
                <w:sz w:val="22"/>
              </w:rPr>
              <w:t>所有配套软件需提供</w:t>
            </w:r>
            <w:r>
              <w:rPr>
                <w:rFonts w:hint="eastAsia" w:ascii="宋体" w:hAnsi="宋体" w:eastAsia="宋体" w:cs="Times New Roman"/>
                <w:kern w:val="0"/>
                <w:sz w:val="22"/>
              </w:rPr>
              <w:t>不少于3年</w:t>
            </w:r>
            <w:r>
              <w:rPr>
                <w:rFonts w:ascii="宋体" w:hAnsi="宋体" w:eastAsia="宋体" w:cs="Times New Roman"/>
                <w:kern w:val="0"/>
                <w:sz w:val="22"/>
              </w:rPr>
              <w:t>质保服务，</w:t>
            </w:r>
            <w:r>
              <w:rPr>
                <w:rFonts w:hint="eastAsia" w:ascii="宋体" w:hAnsi="宋体" w:eastAsia="宋体" w:cs="Times New Roman"/>
                <w:kern w:val="0"/>
                <w:sz w:val="22"/>
              </w:rPr>
              <w:t>无需二次升级（不升级不影响正常使用），提供不少于三次线下培训（培训讲师不少于2人，每次培训人次不低于10人）</w:t>
            </w:r>
            <w:r>
              <w:rPr>
                <w:rFonts w:ascii="宋体" w:hAnsi="宋体" w:eastAsia="宋体" w:cs="Times New Roman"/>
                <w:kern w:val="0"/>
                <w:sz w:val="22"/>
              </w:rPr>
              <w:t>，在使用过程中发生质量问题，24小时内到达故障现场</w:t>
            </w:r>
            <w:r>
              <w:rPr>
                <w:rFonts w:hint="eastAsia" w:ascii="宋体" w:hAnsi="宋体" w:eastAsia="宋体" w:cs="Times New Roman"/>
                <w:kern w:val="0"/>
                <w:sz w:val="22"/>
              </w:rPr>
              <w:t>；</w:t>
            </w:r>
          </w:p>
          <w:p w14:paraId="56F8F5FF">
            <w:pPr>
              <w:ind w:firstLine="0"/>
              <w:jc w:val="left"/>
              <w:rPr>
                <w:rFonts w:ascii="宋体" w:hAnsi="宋体" w:eastAsia="宋体" w:cs="Times New Roman"/>
                <w:b/>
                <w:bCs/>
                <w:kern w:val="0"/>
                <w:sz w:val="22"/>
              </w:rPr>
            </w:pPr>
            <w:r>
              <w:rPr>
                <w:rFonts w:hint="eastAsia" w:ascii="宋体" w:hAnsi="宋体" w:eastAsia="宋体" w:cs="Times New Roman"/>
                <w:b/>
                <w:bCs/>
                <w:kern w:val="0"/>
                <w:sz w:val="22"/>
              </w:rPr>
              <w:t>（二）</w:t>
            </w:r>
            <w:r>
              <w:rPr>
                <w:rFonts w:ascii="宋体" w:hAnsi="宋体" w:eastAsia="宋体" w:cs="Times New Roman"/>
                <w:b/>
                <w:bCs/>
                <w:kern w:val="0"/>
                <w:sz w:val="22"/>
              </w:rPr>
              <w:t>智能</w:t>
            </w:r>
            <w:r>
              <w:rPr>
                <w:rFonts w:hint="eastAsia" w:ascii="宋体" w:hAnsi="宋体" w:eastAsia="宋体" w:cs="Times New Roman"/>
                <w:b/>
                <w:bCs/>
                <w:kern w:val="0"/>
                <w:sz w:val="22"/>
              </w:rPr>
              <w:t>喷涂模块软硬件要求：</w:t>
            </w:r>
          </w:p>
          <w:p w14:paraId="1C6E5148">
            <w:pPr>
              <w:numPr>
                <w:ilvl w:val="0"/>
                <w:numId w:val="25"/>
              </w:numPr>
              <w:ind w:left="454" w:firstLine="0"/>
              <w:jc w:val="left"/>
              <w:rPr>
                <w:rFonts w:ascii="宋体" w:hAnsi="宋体" w:eastAsia="宋体" w:cs="Times New Roman"/>
                <w:b/>
                <w:bCs/>
                <w:kern w:val="0"/>
                <w:sz w:val="22"/>
              </w:rPr>
            </w:pPr>
            <w:r>
              <w:rPr>
                <w:rFonts w:ascii="宋体" w:hAnsi="宋体" w:eastAsia="宋体" w:cs="Times New Roman"/>
                <w:b/>
                <w:bCs/>
                <w:kern w:val="0"/>
                <w:sz w:val="22"/>
              </w:rPr>
              <w:t>硬件要求</w:t>
            </w:r>
          </w:p>
          <w:p w14:paraId="467F75CC">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（1）喷涂打磨三合一机器人</w:t>
            </w:r>
          </w:p>
          <w:p w14:paraId="41E1ACEA">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最大越障坡度≥</w:t>
            </w:r>
            <w:r>
              <w:rPr>
                <w:rFonts w:hint="eastAsia" w:ascii="宋体" w:hAnsi="宋体" w:eastAsia="宋体" w:cs="Times New Roman"/>
                <w:kern w:val="0"/>
                <w:sz w:val="22"/>
              </w:rPr>
              <w:t>5</w:t>
            </w:r>
            <w:r>
              <w:rPr>
                <w:rFonts w:ascii="宋体" w:hAnsi="宋体" w:eastAsia="宋体" w:cs="Times New Roman"/>
                <w:kern w:val="0"/>
                <w:sz w:val="22"/>
              </w:rPr>
              <w:t>°</w:t>
            </w:r>
            <w:r>
              <w:rPr>
                <w:rFonts w:hint="eastAsia" w:ascii="宋体" w:hAnsi="宋体" w:eastAsia="宋体" w:cs="Times New Roman"/>
                <w:kern w:val="0"/>
                <w:sz w:val="22"/>
              </w:rPr>
              <w:t>；</w:t>
            </w:r>
          </w:p>
          <w:p w14:paraId="421AB5DC">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最大越障高度≥20mm（滚动方向）</w:t>
            </w:r>
            <w:r>
              <w:rPr>
                <w:rFonts w:hint="eastAsia" w:ascii="宋体" w:hAnsi="宋体" w:eastAsia="宋体" w:cs="Times New Roman"/>
                <w:kern w:val="0"/>
                <w:sz w:val="22"/>
              </w:rPr>
              <w:t>；</w:t>
            </w:r>
          </w:p>
          <w:p w14:paraId="7FC7F26A">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最大越沟宽度≥50mm</w:t>
            </w:r>
            <w:r>
              <w:rPr>
                <w:rFonts w:hint="eastAsia" w:ascii="宋体" w:hAnsi="宋体" w:eastAsia="宋体" w:cs="Times New Roman"/>
                <w:kern w:val="0"/>
                <w:sz w:val="22"/>
              </w:rPr>
              <w:t>；</w:t>
            </w:r>
          </w:p>
          <w:p w14:paraId="14213703">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最大移动速度≥0.5</w:t>
            </w:r>
            <w:r>
              <w:rPr>
                <w:rFonts w:hint="eastAsia" w:ascii="宋体" w:hAnsi="宋体" w:eastAsia="宋体" w:cs="Times New Roman"/>
                <w:kern w:val="0"/>
                <w:sz w:val="22"/>
              </w:rPr>
              <w:t>m</w:t>
            </w:r>
            <w:r>
              <w:rPr>
                <w:rFonts w:ascii="宋体" w:hAnsi="宋体" w:eastAsia="宋体" w:cs="Times New Roman"/>
                <w:kern w:val="0"/>
                <w:sz w:val="22"/>
              </w:rPr>
              <w:t>/</w:t>
            </w:r>
            <w:r>
              <w:rPr>
                <w:rFonts w:hint="eastAsia" w:ascii="宋体" w:hAnsi="宋体" w:eastAsia="宋体" w:cs="Times New Roman"/>
                <w:kern w:val="0"/>
                <w:sz w:val="22"/>
              </w:rPr>
              <w:t>s；</w:t>
            </w:r>
          </w:p>
          <w:p w14:paraId="2CD22816">
            <w:pPr>
              <w:numPr>
                <w:ilvl w:val="0"/>
                <w:numId w:val="26"/>
              </w:numPr>
              <w:ind w:firstLine="0"/>
              <w:jc w:val="left"/>
              <w:rPr>
                <w:rFonts w:ascii="宋体" w:hAnsi="宋体" w:eastAsia="宋体" w:cs="Times New Roman"/>
                <w:kern w:val="0"/>
                <w:sz w:val="22"/>
              </w:rPr>
            </w:pPr>
            <w:r>
              <w:rPr>
                <w:rFonts w:hint="eastAsia" w:ascii="宋体" w:hAnsi="宋体" w:eastAsia="宋体" w:cs="Times New Roman"/>
                <w:kern w:val="0"/>
                <w:sz w:val="22"/>
              </w:rPr>
              <w:t>▲</w:t>
            </w:r>
            <w:r>
              <w:rPr>
                <w:rFonts w:ascii="宋体" w:hAnsi="宋体" w:eastAsia="宋体" w:cs="Times New Roman"/>
                <w:kern w:val="0"/>
                <w:sz w:val="22"/>
              </w:rPr>
              <w:t>最大</w:t>
            </w:r>
            <w:r>
              <w:rPr>
                <w:rFonts w:hint="eastAsia" w:ascii="宋体" w:hAnsi="宋体" w:eastAsia="宋体" w:cs="Times New Roman"/>
                <w:kern w:val="0"/>
                <w:sz w:val="22"/>
              </w:rPr>
              <w:t>打磨、</w:t>
            </w:r>
            <w:r>
              <w:rPr>
                <w:rFonts w:ascii="宋体" w:hAnsi="宋体" w:eastAsia="宋体" w:cs="Times New Roman"/>
                <w:kern w:val="0"/>
                <w:sz w:val="22"/>
              </w:rPr>
              <w:t>喷涂高度≥3</w:t>
            </w:r>
            <w:r>
              <w:rPr>
                <w:rFonts w:hint="eastAsia" w:ascii="宋体" w:hAnsi="宋体" w:eastAsia="宋体" w:cs="Times New Roman"/>
                <w:kern w:val="0"/>
                <w:sz w:val="22"/>
              </w:rPr>
              <w:t>m；</w:t>
            </w:r>
          </w:p>
          <w:p w14:paraId="14647CD3">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地面喷涂标高：0~120mm</w:t>
            </w:r>
            <w:r>
              <w:rPr>
                <w:rFonts w:hint="eastAsia" w:ascii="宋体" w:hAnsi="宋体" w:eastAsia="宋体" w:cs="Times New Roman"/>
                <w:kern w:val="0"/>
                <w:sz w:val="22"/>
              </w:rPr>
              <w:t>；</w:t>
            </w:r>
          </w:p>
          <w:p w14:paraId="2D1C2515">
            <w:pPr>
              <w:numPr>
                <w:ilvl w:val="0"/>
                <w:numId w:val="26"/>
              </w:numPr>
              <w:ind w:firstLine="0"/>
              <w:jc w:val="left"/>
            </w:pPr>
            <w:r>
              <w:rPr>
                <w:rFonts w:ascii="宋体" w:hAnsi="宋体" w:eastAsia="宋体" w:cs="Times New Roman"/>
                <w:kern w:val="0"/>
                <w:sz w:val="22"/>
              </w:rPr>
              <w:t>料桶容量≥</w:t>
            </w:r>
            <w:r>
              <w:rPr>
                <w:rFonts w:hint="eastAsia" w:ascii="宋体" w:hAnsi="宋体" w:eastAsia="宋体" w:cs="Times New Roman"/>
                <w:kern w:val="0"/>
                <w:sz w:val="22"/>
              </w:rPr>
              <w:t>30</w:t>
            </w:r>
            <w:r>
              <w:rPr>
                <w:rFonts w:ascii="宋体" w:hAnsi="宋体" w:eastAsia="宋体" w:cs="Times New Roman"/>
                <w:kern w:val="0"/>
                <w:sz w:val="22"/>
              </w:rPr>
              <w:t>升</w:t>
            </w:r>
            <w:r>
              <w:rPr>
                <w:rFonts w:hint="eastAsia" w:ascii="宋体" w:hAnsi="宋体" w:eastAsia="宋体" w:cs="Times New Roman"/>
                <w:kern w:val="0"/>
                <w:sz w:val="22"/>
              </w:rPr>
              <w:t>；</w:t>
            </w:r>
          </w:p>
          <w:p w14:paraId="08DE7253">
            <w:pPr>
              <w:numPr>
                <w:ilvl w:val="0"/>
                <w:numId w:val="26"/>
              </w:numPr>
              <w:ind w:firstLine="0"/>
              <w:jc w:val="left"/>
            </w:pPr>
            <w:r>
              <w:rPr>
                <w:rFonts w:hint="eastAsia" w:ascii="宋体" w:hAnsi="宋体" w:eastAsia="宋体" w:cs="Times New Roman"/>
                <w:kern w:val="0"/>
                <w:sz w:val="22"/>
              </w:rPr>
              <w:t>机器人除尘装置中储尘容量：≥12L；</w:t>
            </w:r>
          </w:p>
          <w:p w14:paraId="04E1B3E4">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工作续航≥</w:t>
            </w:r>
            <w:r>
              <w:rPr>
                <w:rFonts w:hint="eastAsia" w:ascii="宋体" w:hAnsi="宋体" w:eastAsia="宋体" w:cs="Times New Roman"/>
                <w:kern w:val="0"/>
                <w:sz w:val="22"/>
              </w:rPr>
              <w:t>4</w:t>
            </w:r>
            <w:r>
              <w:rPr>
                <w:rFonts w:ascii="宋体" w:hAnsi="宋体" w:eastAsia="宋体" w:cs="Times New Roman"/>
                <w:kern w:val="0"/>
                <w:sz w:val="22"/>
              </w:rPr>
              <w:t>小时</w:t>
            </w:r>
            <w:r>
              <w:rPr>
                <w:rFonts w:hint="eastAsia" w:ascii="宋体" w:hAnsi="宋体" w:eastAsia="宋体" w:cs="Times New Roman"/>
                <w:kern w:val="0"/>
                <w:sz w:val="22"/>
              </w:rPr>
              <w:t>；</w:t>
            </w:r>
          </w:p>
          <w:p w14:paraId="005BC953">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单面腻子施工效率≥50m²/h，</w:t>
            </w:r>
            <w:r>
              <w:rPr>
                <w:rFonts w:hint="eastAsia" w:ascii="宋体" w:hAnsi="宋体" w:eastAsia="宋体" w:cs="Times New Roman"/>
                <w:kern w:val="0"/>
                <w:sz w:val="22"/>
              </w:rPr>
              <w:t>打磨施工效率≥60</w:t>
            </w:r>
            <w:r>
              <w:rPr>
                <w:rFonts w:ascii="宋体" w:hAnsi="宋体" w:eastAsia="宋体" w:cs="Times New Roman"/>
                <w:kern w:val="0"/>
                <w:sz w:val="22"/>
              </w:rPr>
              <w:t>m²/h</w:t>
            </w:r>
            <w:r>
              <w:rPr>
                <w:rFonts w:hint="eastAsia" w:ascii="宋体" w:hAnsi="宋体" w:eastAsia="宋体" w:cs="Times New Roman"/>
                <w:kern w:val="0"/>
                <w:sz w:val="22"/>
              </w:rPr>
              <w:t>，</w:t>
            </w:r>
            <w:r>
              <w:rPr>
                <w:rFonts w:ascii="宋体" w:hAnsi="宋体" w:eastAsia="宋体" w:cs="Times New Roman"/>
                <w:kern w:val="0"/>
                <w:sz w:val="22"/>
              </w:rPr>
              <w:t>墙面漆施工效率≥150m²/h</w:t>
            </w:r>
            <w:r>
              <w:rPr>
                <w:rFonts w:hint="eastAsia" w:ascii="宋体" w:hAnsi="宋体" w:eastAsia="宋体" w:cs="Times New Roman"/>
                <w:kern w:val="0"/>
                <w:sz w:val="22"/>
              </w:rPr>
              <w:t>；</w:t>
            </w:r>
          </w:p>
          <w:p w14:paraId="3347B3D0">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自主导航、定位：内置激光雷达，可在室内环境下完成自主导航移动和精确定位</w:t>
            </w:r>
            <w:r>
              <w:rPr>
                <w:rFonts w:hint="eastAsia" w:ascii="宋体" w:hAnsi="宋体" w:eastAsia="宋体" w:cs="Times New Roman"/>
                <w:kern w:val="0"/>
                <w:sz w:val="22"/>
              </w:rPr>
              <w:t>；</w:t>
            </w:r>
          </w:p>
          <w:p w14:paraId="18DD77D9">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路径规划：通过自动路径规划软件，可生成移动和喷涂点位，形成喷涂路径</w:t>
            </w:r>
            <w:r>
              <w:rPr>
                <w:rFonts w:hint="eastAsia" w:ascii="宋体" w:hAnsi="宋体" w:eastAsia="宋体" w:cs="Times New Roman"/>
                <w:kern w:val="0"/>
                <w:sz w:val="22"/>
              </w:rPr>
              <w:t>；</w:t>
            </w:r>
          </w:p>
          <w:p w14:paraId="04C68908">
            <w:pPr>
              <w:numPr>
                <w:ilvl w:val="0"/>
                <w:numId w:val="26"/>
              </w:numPr>
              <w:ind w:firstLine="0"/>
              <w:jc w:val="left"/>
              <w:rPr>
                <w:rFonts w:ascii="宋体" w:hAnsi="宋体" w:eastAsia="宋体" w:cs="Times New Roman"/>
                <w:kern w:val="0"/>
                <w:sz w:val="22"/>
              </w:rPr>
            </w:pPr>
            <w:r>
              <w:rPr>
                <w:rFonts w:hint="eastAsia" w:ascii="宋体" w:hAnsi="宋体" w:eastAsia="宋体" w:cs="Times New Roman"/>
                <w:kern w:val="0"/>
                <w:sz w:val="22"/>
              </w:rPr>
              <w:t>▲</w:t>
            </w:r>
            <w:r>
              <w:rPr>
                <w:rFonts w:ascii="宋体" w:hAnsi="宋体" w:eastAsia="宋体" w:cs="Times New Roman"/>
                <w:kern w:val="0"/>
                <w:sz w:val="22"/>
              </w:rPr>
              <w:t>乳胶漆(底漆和面漆)自动喷涂：可以喷涂建筑内墙用无砂水性乳胶漆</w:t>
            </w:r>
            <w:r>
              <w:rPr>
                <w:rFonts w:hint="eastAsia" w:ascii="宋体" w:hAnsi="宋体" w:eastAsia="宋体" w:cs="Times New Roman"/>
                <w:kern w:val="0"/>
                <w:sz w:val="22"/>
              </w:rPr>
              <w:t>；</w:t>
            </w:r>
          </w:p>
          <w:p w14:paraId="53204358">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喷枪压力可调节，实现不同的雾化效果，满足不同的喷涂效果</w:t>
            </w:r>
            <w:r>
              <w:rPr>
                <w:rFonts w:hint="eastAsia" w:ascii="宋体" w:hAnsi="宋体" w:eastAsia="宋体" w:cs="Times New Roman"/>
                <w:kern w:val="0"/>
                <w:sz w:val="22"/>
              </w:rPr>
              <w:t>；</w:t>
            </w:r>
          </w:p>
          <w:p w14:paraId="350B6541">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可对建筑物室内立面墙、天花板、飘窗、阴阳角等特征进行自动喷涂</w:t>
            </w:r>
            <w:r>
              <w:rPr>
                <w:rFonts w:hint="eastAsia" w:ascii="宋体" w:hAnsi="宋体" w:eastAsia="宋体" w:cs="Times New Roman"/>
                <w:kern w:val="0"/>
                <w:sz w:val="22"/>
              </w:rPr>
              <w:t>,</w:t>
            </w:r>
            <w:r>
              <w:rPr>
                <w:rFonts w:ascii="宋体" w:hAnsi="宋体" w:eastAsia="宋体" w:cs="Times New Roman"/>
                <w:kern w:val="0"/>
                <w:sz w:val="22"/>
              </w:rPr>
              <w:t>自动作业覆盖率可达90%以上</w:t>
            </w:r>
            <w:r>
              <w:rPr>
                <w:rFonts w:hint="eastAsia" w:ascii="宋体" w:hAnsi="宋体" w:eastAsia="宋体" w:cs="Times New Roman"/>
                <w:kern w:val="0"/>
                <w:sz w:val="22"/>
              </w:rPr>
              <w:t>，可实现对室内立面墙面腻子打磨作业；</w:t>
            </w:r>
          </w:p>
          <w:p w14:paraId="1E4318ED">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内置若干限位开关，用以限制电机运动极限位置，保护运动部件</w:t>
            </w:r>
            <w:r>
              <w:rPr>
                <w:rFonts w:hint="eastAsia" w:ascii="宋体" w:hAnsi="宋体" w:eastAsia="宋体" w:cs="Times New Roman"/>
                <w:kern w:val="0"/>
                <w:sz w:val="22"/>
              </w:rPr>
              <w:t>；</w:t>
            </w:r>
          </w:p>
          <w:p w14:paraId="46E852F0">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状态指示灯，具有状态指示灯，用以显示当前工作状态:状态异常时(电机过载短路等)会有蜂鸣器警报提醒</w:t>
            </w:r>
            <w:r>
              <w:rPr>
                <w:rFonts w:hint="eastAsia" w:ascii="宋体" w:hAnsi="宋体" w:eastAsia="宋体" w:cs="Times New Roman"/>
                <w:kern w:val="0"/>
                <w:sz w:val="22"/>
              </w:rPr>
              <w:t>；</w:t>
            </w:r>
          </w:p>
          <w:p w14:paraId="5A29B5A7">
            <w:pPr>
              <w:numPr>
                <w:ilvl w:val="0"/>
                <w:numId w:val="26"/>
              </w:numPr>
              <w:ind w:firstLine="0"/>
              <w:jc w:val="left"/>
              <w:rPr>
                <w:rFonts w:ascii="宋体" w:hAnsi="宋体" w:eastAsia="宋体" w:cs="Times New Roman"/>
                <w:kern w:val="0"/>
                <w:sz w:val="22"/>
              </w:rPr>
            </w:pPr>
            <w:r>
              <w:rPr>
                <w:rFonts w:ascii="宋体" w:hAnsi="宋体" w:eastAsia="宋体" w:cs="Times New Roman"/>
                <w:kern w:val="0"/>
                <w:sz w:val="22"/>
              </w:rPr>
              <w:t>参数</w:t>
            </w:r>
            <w:r>
              <w:rPr>
                <w:rFonts w:hint="eastAsia" w:ascii="宋体" w:hAnsi="宋体" w:eastAsia="宋体" w:cs="Times New Roman"/>
                <w:kern w:val="0"/>
                <w:sz w:val="22"/>
              </w:rPr>
              <w:t>显示</w:t>
            </w:r>
            <w:r>
              <w:rPr>
                <w:rFonts w:ascii="宋体" w:hAnsi="宋体" w:eastAsia="宋体" w:cs="Times New Roman"/>
                <w:kern w:val="0"/>
                <w:sz w:val="22"/>
              </w:rPr>
              <w:t>：低电量报警，电池电量低于30%APP预警，低于20%时会有报警提示功能</w:t>
            </w:r>
            <w:r>
              <w:rPr>
                <w:rFonts w:hint="eastAsia" w:ascii="宋体" w:hAnsi="宋体" w:eastAsia="宋体" w:cs="Times New Roman"/>
                <w:kern w:val="0"/>
                <w:sz w:val="22"/>
              </w:rPr>
              <w:t>；</w:t>
            </w:r>
          </w:p>
          <w:p w14:paraId="230B4A69">
            <w:pPr>
              <w:numPr>
                <w:ilvl w:val="0"/>
                <w:numId w:val="26"/>
              </w:numPr>
              <w:ind w:firstLine="0"/>
              <w:jc w:val="left"/>
              <w:rPr>
                <w:rFonts w:ascii="宋体" w:hAnsi="宋体" w:eastAsia="宋体" w:cs="Times New Roman"/>
                <w:kern w:val="0"/>
                <w:sz w:val="22"/>
              </w:rPr>
            </w:pPr>
            <w:r>
              <w:rPr>
                <w:rFonts w:hint="eastAsia" w:ascii="宋体" w:hAnsi="宋体" w:eastAsia="宋体" w:cs="Times New Roman"/>
                <w:kern w:val="0"/>
                <w:sz w:val="22"/>
              </w:rPr>
              <w:t>▲支持</w:t>
            </w:r>
            <w:r>
              <w:rPr>
                <w:rFonts w:ascii="宋体" w:hAnsi="宋体" w:eastAsia="宋体" w:cs="Times New Roman"/>
                <w:kern w:val="0"/>
                <w:sz w:val="22"/>
              </w:rPr>
              <w:t>防碰撞检测，避免与作业人员或周围环境造成碰撞风险</w:t>
            </w:r>
            <w:r>
              <w:rPr>
                <w:rFonts w:hint="eastAsia" w:ascii="宋体" w:hAnsi="宋体" w:eastAsia="宋体" w:cs="Times New Roman"/>
                <w:kern w:val="0"/>
                <w:sz w:val="22"/>
              </w:rPr>
              <w:t>。</w:t>
            </w:r>
          </w:p>
          <w:p w14:paraId="09A8D4A9">
            <w:pPr>
              <w:numPr>
                <w:ilvl w:val="0"/>
                <w:numId w:val="27"/>
              </w:numPr>
              <w:ind w:firstLine="0"/>
              <w:jc w:val="left"/>
              <w:rPr>
                <w:rFonts w:ascii="宋体" w:hAnsi="宋体" w:eastAsia="宋体" w:cs="Times New Roman"/>
                <w:kern w:val="0"/>
                <w:sz w:val="22"/>
              </w:rPr>
            </w:pPr>
            <w:r>
              <w:rPr>
                <w:rFonts w:hint="eastAsia" w:ascii="宋体" w:hAnsi="宋体" w:eastAsia="宋体" w:cs="Times New Roman"/>
                <w:kern w:val="0"/>
                <w:sz w:val="22"/>
              </w:rPr>
              <w:t>地砖铺贴机器人</w:t>
            </w:r>
          </w:p>
          <w:p w14:paraId="1D7A824A">
            <w:pPr>
              <w:widowControl/>
              <w:numPr>
                <w:ilvl w:val="0"/>
                <w:numId w:val="28"/>
              </w:numPr>
              <w:ind w:firstLine="0"/>
              <w:jc w:val="left"/>
              <w:rPr>
                <w:rFonts w:ascii="宋体" w:hAnsi="宋体" w:eastAsia="宋体" w:cs="Times New Roman"/>
                <w:kern w:val="0"/>
                <w:sz w:val="22"/>
              </w:rPr>
            </w:pPr>
            <w:r>
              <w:rPr>
                <w:rFonts w:ascii="宋体" w:hAnsi="宋体" w:eastAsia="宋体" w:cs="Times New Roman"/>
                <w:kern w:val="0"/>
                <w:sz w:val="22"/>
              </w:rPr>
              <w:t>外形尺寸（长*宽*高）：≥780*1200*1800mm；</w:t>
            </w:r>
          </w:p>
          <w:p w14:paraId="05548821">
            <w:pPr>
              <w:widowControl/>
              <w:numPr>
                <w:ilvl w:val="0"/>
                <w:numId w:val="28"/>
              </w:numPr>
              <w:ind w:firstLine="0"/>
              <w:jc w:val="left"/>
              <w:rPr>
                <w:rFonts w:ascii="宋体" w:hAnsi="宋体" w:eastAsia="宋体" w:cs="Times New Roman"/>
                <w:kern w:val="0"/>
                <w:sz w:val="22"/>
              </w:rPr>
            </w:pPr>
            <w:r>
              <w:rPr>
                <w:rFonts w:ascii="宋体" w:hAnsi="宋体" w:eastAsia="宋体" w:cs="Times New Roman"/>
                <w:kern w:val="0"/>
                <w:sz w:val="22"/>
              </w:rPr>
              <w:t>移动速度：≥0.2m/s；</w:t>
            </w:r>
          </w:p>
          <w:p w14:paraId="75325BD0">
            <w:pPr>
              <w:widowControl/>
              <w:numPr>
                <w:ilvl w:val="0"/>
                <w:numId w:val="28"/>
              </w:numPr>
              <w:ind w:firstLine="0"/>
              <w:jc w:val="left"/>
              <w:rPr>
                <w:rFonts w:ascii="宋体" w:hAnsi="宋体" w:eastAsia="宋体" w:cs="Times New Roman"/>
                <w:kern w:val="0"/>
                <w:sz w:val="22"/>
              </w:rPr>
            </w:pPr>
            <w:r>
              <w:rPr>
                <w:rFonts w:ascii="宋体" w:hAnsi="宋体" w:eastAsia="宋体" w:cs="Times New Roman"/>
                <w:kern w:val="0"/>
                <w:sz w:val="22"/>
              </w:rPr>
              <w:t>最大爬坡角度：≥10°；最大越障高度：≥50mm；最大越沟宽度：≥60mm；</w:t>
            </w:r>
          </w:p>
          <w:p w14:paraId="7DE1A0DB">
            <w:pPr>
              <w:widowControl/>
              <w:numPr>
                <w:ilvl w:val="0"/>
                <w:numId w:val="28"/>
              </w:numPr>
              <w:ind w:firstLine="0"/>
              <w:jc w:val="left"/>
              <w:rPr>
                <w:rFonts w:ascii="宋体" w:hAnsi="宋体" w:eastAsia="宋体" w:cs="Times New Roman"/>
                <w:kern w:val="0"/>
                <w:sz w:val="22"/>
              </w:rPr>
            </w:pPr>
            <w:r>
              <w:rPr>
                <w:rFonts w:ascii="宋体" w:hAnsi="宋体" w:eastAsia="宋体" w:cs="Times New Roman"/>
                <w:kern w:val="0"/>
                <w:sz w:val="22"/>
              </w:rPr>
              <w:t>单次最大铺砖数量：≥9块；铺贴地砖尺寸：不低于800*800mm；最大浆料容量：≥60L；最大综合铺砖效率：≥30m²/h；</w:t>
            </w:r>
          </w:p>
          <w:p w14:paraId="2850567E">
            <w:pPr>
              <w:widowControl/>
              <w:numPr>
                <w:ilvl w:val="0"/>
                <w:numId w:val="28"/>
              </w:numPr>
              <w:ind w:firstLine="0"/>
              <w:jc w:val="left"/>
              <w:rPr>
                <w:rFonts w:ascii="宋体" w:hAnsi="宋体" w:eastAsia="宋体" w:cs="Times New Roman"/>
                <w:kern w:val="0"/>
                <w:sz w:val="22"/>
              </w:rPr>
            </w:pPr>
            <w:r>
              <w:rPr>
                <w:rFonts w:ascii="宋体" w:hAnsi="宋体" w:eastAsia="宋体" w:cs="Times New Roman"/>
                <w:kern w:val="0"/>
                <w:sz w:val="22"/>
              </w:rPr>
              <w:t>核心技术：激光SLAM导航技术、视觉识别技术、具备瓷砖排版、砖缝自动对齐等功能；</w:t>
            </w:r>
          </w:p>
          <w:p w14:paraId="782982D0">
            <w:pPr>
              <w:widowControl/>
              <w:numPr>
                <w:ilvl w:val="0"/>
                <w:numId w:val="28"/>
              </w:numPr>
              <w:ind w:firstLine="0"/>
              <w:jc w:val="left"/>
              <w:rPr>
                <w:rFonts w:ascii="宋体" w:hAnsi="宋体" w:eastAsia="宋体" w:cs="Times New Roman"/>
                <w:kern w:val="0"/>
                <w:sz w:val="22"/>
              </w:rPr>
            </w:pPr>
            <w:r>
              <w:rPr>
                <w:rFonts w:ascii="宋体" w:hAnsi="宋体" w:eastAsia="宋体" w:cs="Times New Roman"/>
                <w:kern w:val="0"/>
                <w:sz w:val="22"/>
              </w:rPr>
              <w:t>砖缝宽度误差：±0.5mm</w:t>
            </w:r>
            <w:r>
              <w:rPr>
                <w:rFonts w:hint="eastAsia" w:ascii="宋体" w:hAnsi="宋体" w:eastAsia="宋体" w:cs="Times New Roman"/>
                <w:kern w:val="0"/>
                <w:sz w:val="22"/>
              </w:rPr>
              <w:t>以</w:t>
            </w:r>
            <w:r>
              <w:rPr>
                <w:rFonts w:ascii="宋体" w:hAnsi="宋体" w:eastAsia="宋体" w:cs="Times New Roman"/>
                <w:kern w:val="0"/>
                <w:sz w:val="22"/>
              </w:rPr>
              <w:t>内，两砖高低差控制：±0.5 mm</w:t>
            </w:r>
            <w:r>
              <w:rPr>
                <w:rFonts w:hint="eastAsia" w:ascii="宋体" w:hAnsi="宋体" w:eastAsia="宋体" w:cs="Times New Roman"/>
                <w:kern w:val="0"/>
                <w:sz w:val="22"/>
              </w:rPr>
              <w:t>以</w:t>
            </w:r>
            <w:r>
              <w:rPr>
                <w:rFonts w:ascii="宋体" w:hAnsi="宋体" w:eastAsia="宋体" w:cs="Times New Roman"/>
                <w:kern w:val="0"/>
                <w:sz w:val="22"/>
              </w:rPr>
              <w:t>内；</w:t>
            </w:r>
          </w:p>
          <w:p w14:paraId="7780AB5A">
            <w:pPr>
              <w:widowControl/>
              <w:numPr>
                <w:ilvl w:val="0"/>
                <w:numId w:val="28"/>
              </w:numPr>
              <w:ind w:firstLine="0"/>
              <w:jc w:val="left"/>
            </w:pPr>
            <w:r>
              <w:rPr>
                <w:rFonts w:ascii="宋体" w:hAnsi="宋体" w:eastAsia="宋体" w:cs="Times New Roman"/>
                <w:kern w:val="0"/>
                <w:sz w:val="22"/>
              </w:rPr>
              <w:t>综合覆盖率</w:t>
            </w:r>
            <w:r>
              <w:rPr>
                <w:rFonts w:hint="eastAsia" w:ascii="宋体" w:hAnsi="宋体" w:eastAsia="宋体" w:cs="Times New Roman"/>
                <w:kern w:val="0"/>
                <w:sz w:val="22"/>
              </w:rPr>
              <w:t>：≥</w:t>
            </w:r>
            <w:r>
              <w:rPr>
                <w:rFonts w:ascii="宋体" w:hAnsi="宋体" w:eastAsia="宋体" w:cs="Times New Roman"/>
                <w:kern w:val="0"/>
                <w:sz w:val="22"/>
              </w:rPr>
              <w:t>85%；</w:t>
            </w:r>
          </w:p>
          <w:p w14:paraId="4598B8C4">
            <w:pPr>
              <w:widowControl/>
              <w:numPr>
                <w:ilvl w:val="0"/>
                <w:numId w:val="28"/>
              </w:numPr>
              <w:ind w:firstLine="0"/>
              <w:jc w:val="left"/>
            </w:pPr>
            <w:r>
              <w:rPr>
                <w:rFonts w:ascii="宋体" w:hAnsi="宋体" w:eastAsia="宋体" w:cs="Times New Roman"/>
                <w:kern w:val="0"/>
                <w:sz w:val="22"/>
              </w:rPr>
              <w:t>出浆与地砖铺贴一体施工</w:t>
            </w:r>
            <w:r>
              <w:rPr>
                <w:rFonts w:hint="eastAsia" w:ascii="宋体" w:hAnsi="宋体" w:eastAsia="宋体" w:cs="Times New Roman"/>
                <w:kern w:val="0"/>
                <w:sz w:val="22"/>
              </w:rPr>
              <w:t>。</w:t>
            </w:r>
          </w:p>
          <w:p w14:paraId="3F57092B">
            <w:pPr>
              <w:numPr>
                <w:ilvl w:val="0"/>
                <w:numId w:val="25"/>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软件</w:t>
            </w:r>
            <w:r>
              <w:rPr>
                <w:rFonts w:ascii="宋体" w:hAnsi="宋体" w:eastAsia="宋体" w:cs="Times New Roman"/>
                <w:b/>
                <w:bCs/>
                <w:kern w:val="0"/>
                <w:sz w:val="22"/>
              </w:rPr>
              <w:t>要求</w:t>
            </w:r>
          </w:p>
          <w:p w14:paraId="7E8B3856">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（1）智能喷涂模块虚拟仿真设计与协同系统</w:t>
            </w:r>
          </w:p>
          <w:p w14:paraId="731B7FCF">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w:t>
            </w:r>
            <w:r>
              <w:rPr>
                <w:rFonts w:ascii="宋体" w:hAnsi="宋体" w:eastAsia="宋体" w:cs="Times New Roman"/>
                <w:kern w:val="0"/>
                <w:sz w:val="22"/>
              </w:rPr>
              <w:t>喷涂路径规划，可以依据施工图纸进行喷涂路径的规划：提供起点、路径点、终点的创建与编辑功能；支持便捷添加点位，添加的点位能自动捕捉到喷涂动作变化的边界点；支持作业段的生成，同时支持保存与加载本地路径规划数据，生成的作业段可查看添加的点位；</w:t>
            </w:r>
          </w:p>
          <w:p w14:paraId="5C3856A3">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▲智能喷涂模块虚拟仿真设计与协同系统应支持主设计喷涂工艺和虚拟仿真内容，软件自带模型及对应的功能参数设置模块，支持设计完成的喷涂工艺案例可以上传到云平台，再展示端下载使用；</w:t>
            </w:r>
          </w:p>
          <w:p w14:paraId="114C5C3A">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智能喷涂模块虚拟仿真设计与协同系统中应具备设置运行速度；支持开始、停止、复位等控制按钮；支持喷涂设置、喷枪设置、记录腻子、底漆、面漆等信息的设置；</w:t>
            </w:r>
          </w:p>
          <w:p w14:paraId="74F57E89">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▲智能喷涂模块虚拟仿真设计与协同系统应支持特殊造型的墙面喷涂工艺自定义设置：支持对各个组成部分进行单独控制设置：包括移动、升降机设置、机械臂移动设置与喷枪工作状态设置，</w:t>
            </w:r>
            <w:r>
              <w:rPr>
                <w:rFonts w:ascii="宋体" w:hAnsi="宋体" w:eastAsia="宋体" w:cs="Times New Roman"/>
                <w:kern w:val="0"/>
                <w:sz w:val="22"/>
              </w:rPr>
              <w:t>支持依据现场实际施工情况进行机器人工作流的创建，通过改变工作流中节点的属性实现喷涂动作的设定</w:t>
            </w:r>
            <w:r>
              <w:rPr>
                <w:rFonts w:hint="eastAsia" w:ascii="宋体" w:hAnsi="宋体" w:eastAsia="宋体" w:cs="Times New Roman"/>
                <w:kern w:val="0"/>
                <w:sz w:val="22"/>
              </w:rPr>
              <w:t>，同时</w:t>
            </w:r>
            <w:r>
              <w:rPr>
                <w:rFonts w:ascii="宋体" w:hAnsi="宋体" w:eastAsia="宋体" w:cs="Times New Roman"/>
                <w:kern w:val="0"/>
                <w:sz w:val="22"/>
              </w:rPr>
              <w:t>喷涂动作设定支持语音输入转换成控制机器人动作执行的命令，实现语音控制机器人动作的执行；</w:t>
            </w:r>
          </w:p>
          <w:p w14:paraId="46066CB9">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能灵活设置喷涂工艺，保证到达指定位置，支持自定义移动设置，可以设置机器人移动底座的移动参数，直线移动状态可进行移动距离设置，转向状态可进行转向角度设置；</w:t>
            </w:r>
          </w:p>
          <w:p w14:paraId="13CB98E7">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能灵活设置喷涂工艺，保证喷涂工具达到高度，支持升降机自定义升降设置：升降机设置提供不使用、升降到指定坐标、升降相对高度三种状态设置升降机的升降参数，升降到指定坐标状态可进行升降机升降到指定的空间坐标设置，升降相对高度状态可进行升降机相对上次点位的移动高度设置；</w:t>
            </w:r>
          </w:p>
          <w:p w14:paraId="3596EF24">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能灵活设置喷涂工艺，支持机械臂控制与喷枪工作状态自定义设置：机械臂控制与喷枪工作状态设置提供不使用、移动到指定坐标、静止、加料四种状态，移动到指定坐标状态可进行指定坐标、喷枪工作状态、工作角度的参数设置，静止状态可进行喷枪工作状态、工作角度的参数设置，加料状态可进行加料量的参数设置；</w:t>
            </w:r>
          </w:p>
          <w:p w14:paraId="44F505E9">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需快速验证喷涂工艺，可在虚拟场景进行工艺模拟：制作完成的场景支持上传至机器人协同控制系统，可设置机械臂的运动路径、机器人位置等内容，可在虚拟场景进行演示；</w:t>
            </w:r>
          </w:p>
          <w:p w14:paraId="73624AC9">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的虚拟场景的工艺设计，能同时控制实体机器人动作：可与虚拟VR场景虚实双向互通，虚拟场景中移动机器人则实际场景机器人跟随移动，机器人应能准确对应同步完成虚拟施工场景中施工步骤的每一个动作；</w:t>
            </w:r>
          </w:p>
          <w:p w14:paraId="0E03044C">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应支持模型BIM信息显示：机器人协同系统应具有直接加载、读取BIM信息数据的功能，如构件计算公式和计算值、图元信息、类别、砼标号、砼类型、厚度、标高信息、汇总类型、材质、砂浆标号、砂浆类型、截面高度宽度等属性信息</w:t>
            </w:r>
          </w:p>
          <w:p w14:paraId="0AA6C561">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智能喷涂模块虚拟仿真设计与协同系统应支持设置项目虚拟的经纬度信息，并模拟当下和任意时节的光照情况；</w:t>
            </w:r>
          </w:p>
          <w:p w14:paraId="44AC7880">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支持数字孪生虚实互动：具备数字孪生仿真软件应具备数字孪生虚实互动功能，系统中显示机器人姿态与关节角度与实体机器人完全一致；手动拖动机器人进行运动时，系统中的虚拟机器人自动同步运动；调整系统中虚拟机器人的关节位置并运动时，实体机器人跟随同步运动；</w:t>
            </w:r>
          </w:p>
          <w:p w14:paraId="0F3E1DAB">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智能喷涂模块虚拟仿真设计与协同系统后台应具备库管理功能、案例管理功能，能够按照权限对库、案例进行增删改查；</w:t>
            </w:r>
          </w:p>
          <w:p w14:paraId="055D1FEA">
            <w:pPr>
              <w:numPr>
                <w:ilvl w:val="0"/>
                <w:numId w:val="29"/>
              </w:numPr>
              <w:ind w:firstLine="0"/>
              <w:jc w:val="left"/>
              <w:rPr>
                <w:rFonts w:ascii="宋体" w:hAnsi="宋体" w:eastAsia="宋体" w:cs="Times New Roman"/>
                <w:kern w:val="0"/>
                <w:sz w:val="22"/>
              </w:rPr>
            </w:pPr>
            <w:r>
              <w:rPr>
                <w:rFonts w:hint="eastAsia" w:ascii="宋体" w:hAnsi="宋体" w:eastAsia="宋体" w:cs="Times New Roman"/>
                <w:kern w:val="0"/>
                <w:sz w:val="22"/>
              </w:rPr>
              <w:t>智能喷涂模块虚拟仿真设计与协同系统全景图应有完善的网页管理平台，登录后可查看用户在虚拟现实设计平台场景中生成的全景图；</w:t>
            </w:r>
          </w:p>
          <w:p w14:paraId="16B380AE">
            <w:pPr>
              <w:numPr>
                <w:ilvl w:val="0"/>
                <w:numId w:val="29"/>
              </w:numPr>
              <w:ind w:firstLine="0"/>
              <w:jc w:val="left"/>
            </w:pPr>
            <w:r>
              <w:rPr>
                <w:rFonts w:hint="eastAsia" w:ascii="宋体" w:hAnsi="宋体" w:eastAsia="宋体" w:cs="Times New Roman"/>
                <w:kern w:val="0"/>
                <w:sz w:val="22"/>
              </w:rPr>
              <w:t>智能喷涂模块虚拟仿真设计与协同系统可通过喷腻子、喷乳胶漆、刮腻子、打磨、停止等按钮，控制机器人的喷涂、刮涂、打磨、停止等动作，系统还机器人除尘装置中储尘容量：≥12L；执行，并可以通过内置遥控器控制机器人前后左右移动及左右旋转；</w:t>
            </w:r>
          </w:p>
          <w:p w14:paraId="740E5A95">
            <w:pPr>
              <w:numPr>
                <w:ilvl w:val="0"/>
                <w:numId w:val="29"/>
              </w:numPr>
              <w:ind w:firstLine="0"/>
              <w:jc w:val="left"/>
            </w:pPr>
            <w:r>
              <w:rPr>
                <w:rFonts w:hint="eastAsia" w:ascii="宋体" w:hAnsi="宋体" w:eastAsia="宋体" w:cs="Times New Roman"/>
                <w:kern w:val="0"/>
                <w:sz w:val="22"/>
              </w:rPr>
              <w:t>▲支持ROS、Python编程二次开发、控制。</w:t>
            </w:r>
          </w:p>
          <w:p w14:paraId="7E09F74B">
            <w:pPr>
              <w:numPr>
                <w:ilvl w:val="255"/>
                <w:numId w:val="0"/>
              </w:numPr>
              <w:jc w:val="left"/>
            </w:pPr>
            <w:r>
              <w:rPr>
                <w:rFonts w:hint="eastAsia"/>
              </w:rPr>
              <w:t>（2）智能地砖铺贴机器人控制系统</w:t>
            </w:r>
          </w:p>
          <w:p w14:paraId="3DFDE4DD">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w:t>
            </w:r>
            <w:r>
              <w:rPr>
                <w:rFonts w:ascii="宋体" w:hAnsi="宋体" w:eastAsia="宋体" w:cs="Times New Roman"/>
                <w:kern w:val="0"/>
                <w:sz w:val="22"/>
              </w:rPr>
              <w:t>支持 2D 模式与 3D 模式，2D 模式为默认模式；3D 模式可通过鼠标控制拖动调整视角，且实现缩小与放大操作，两种模式切换功能正常，无画面异常；</w:t>
            </w:r>
          </w:p>
          <w:p w14:paraId="579B2A53">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w:t>
            </w:r>
            <w:r>
              <w:rPr>
                <w:rFonts w:ascii="宋体" w:hAnsi="宋体" w:eastAsia="宋体" w:cs="Times New Roman"/>
                <w:kern w:val="0"/>
                <w:sz w:val="22"/>
              </w:rPr>
              <w:t>至少包含遥控移动模块、瓷砖排版模块、铺贴预览模块、任务执行模块，各模块功能独立且可协同工作，覆盖机器人移动控制、瓷砖排版、铺贴预览及任务执行等环节；</w:t>
            </w:r>
          </w:p>
          <w:p w14:paraId="2656EED5">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智能地砖铺贴机器人控制系统的</w:t>
            </w:r>
            <w:r>
              <w:rPr>
                <w:rFonts w:ascii="宋体" w:hAnsi="宋体" w:eastAsia="宋体" w:cs="Times New Roman"/>
                <w:kern w:val="0"/>
                <w:sz w:val="22"/>
              </w:rPr>
              <w:t>遥控移动模块应支持机器人前进、后退、左右转向操作，配备紧急停止控制按钮，且操作按钮布局清晰；</w:t>
            </w:r>
          </w:p>
          <w:p w14:paraId="044A06FA">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智能地砖铺贴机器人控制系统的</w:t>
            </w:r>
            <w:r>
              <w:rPr>
                <w:rFonts w:ascii="宋体" w:hAnsi="宋体" w:eastAsia="宋体" w:cs="Times New Roman"/>
                <w:kern w:val="0"/>
                <w:sz w:val="22"/>
              </w:rPr>
              <w:t>遥控移动模块应实时显示机器人线速度与角速度，数据显示准确；界面应设返回主页按钮，点击可返回系统主页面，响应正常；</w:t>
            </w:r>
          </w:p>
          <w:p w14:paraId="5863E2B9">
            <w:pPr>
              <w:widowControl/>
              <w:numPr>
                <w:ilvl w:val="0"/>
                <w:numId w:val="30"/>
              </w:num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智能地砖铺贴机器人控制系统的</w:t>
            </w:r>
            <w:r>
              <w:rPr>
                <w:rFonts w:ascii="宋体" w:hAnsi="宋体" w:eastAsia="宋体" w:cs="Times New Roman"/>
                <w:kern w:val="0"/>
                <w:sz w:val="22"/>
              </w:rPr>
              <w:t>瓷砖排版模块应具备十字激光与网格激光功能，十字激光可通过鼠标拖拽调整位置，房间内与房间外显示不同颜色，且房间外时提示 “请将十字定位线放置在房间内”；网格激光基于十字激光位置生成网格，网格粗细代表砖缝；</w:t>
            </w:r>
          </w:p>
          <w:p w14:paraId="5D5893EF">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智能地砖铺贴机器人控制系统的</w:t>
            </w:r>
            <w:r>
              <w:rPr>
                <w:rFonts w:ascii="宋体" w:hAnsi="宋体" w:eastAsia="宋体" w:cs="Times New Roman"/>
                <w:kern w:val="0"/>
                <w:sz w:val="22"/>
              </w:rPr>
              <w:t>瓷砖排版模块支持设置总瓷砖数，并可选择向左或向右铺贴方向；网格颜色可区分瓷砖大小适配情况，且符合瓷砖大小网格的区域可添加白色半透明遮罩层；</w:t>
            </w:r>
          </w:p>
          <w:p w14:paraId="1B154065">
            <w:pPr>
              <w:widowControl/>
              <w:numPr>
                <w:ilvl w:val="0"/>
                <w:numId w:val="30"/>
              </w:numPr>
              <w:ind w:firstLine="0"/>
              <w:jc w:val="left"/>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智能地砖铺贴机器人控制系统的</w:t>
            </w:r>
            <w:r>
              <w:rPr>
                <w:rFonts w:ascii="宋体" w:hAnsi="宋体" w:eastAsia="宋体" w:cs="Times New Roman"/>
                <w:kern w:val="0"/>
                <w:sz w:val="22"/>
              </w:rPr>
              <w:t>瓷砖排版模块需在遮罩层区域选择铺设方式区域，未选择符合要求区域时，提示选择 瓷砖铺设方式，选择成功后，区域内显示彩色网格及箭头，方可进行铺砖</w:t>
            </w:r>
            <w:r>
              <w:rPr>
                <w:rFonts w:hint="eastAsia" w:ascii="宋体" w:hAnsi="宋体" w:eastAsia="宋体" w:cs="Times New Roman"/>
                <w:kern w:val="0"/>
                <w:sz w:val="22"/>
              </w:rPr>
              <w:t>方式</w:t>
            </w:r>
            <w:r>
              <w:rPr>
                <w:rFonts w:ascii="宋体" w:hAnsi="宋体" w:eastAsia="宋体" w:cs="Times New Roman"/>
                <w:kern w:val="0"/>
                <w:sz w:val="22"/>
              </w:rPr>
              <w:t>预览；</w:t>
            </w:r>
          </w:p>
          <w:p w14:paraId="0F817795">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智能地砖铺贴机器人控制系统的</w:t>
            </w:r>
            <w:r>
              <w:rPr>
                <w:rFonts w:ascii="宋体" w:hAnsi="宋体" w:eastAsia="宋体" w:cs="Times New Roman"/>
                <w:kern w:val="0"/>
                <w:sz w:val="22"/>
              </w:rPr>
              <w:t>铺贴预览模块应支持显示预设铺贴区域及红色箭头标注的铺贴路线，支持播放机器人铺设瓷砖动画；具备坐标重置功能，可将机器人恢复至初始位置；可返回瓷砖排版模块重新排版；并进入任务执行模块；</w:t>
            </w:r>
          </w:p>
          <w:p w14:paraId="23052FF7">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智能地砖铺贴机器人控制系统的</w:t>
            </w:r>
            <w:r>
              <w:rPr>
                <w:rFonts w:ascii="宋体" w:hAnsi="宋体" w:eastAsia="宋体" w:cs="Times New Roman"/>
                <w:kern w:val="0"/>
                <w:sz w:val="22"/>
              </w:rPr>
              <w:t>任务执行模块支持查看任务状态面板，面板显示任务状态（如任务中）、铺贴速度、瓷砖槽信息、总瓷砖数、当前瓷砖及铺贴进度条；</w:t>
            </w:r>
          </w:p>
          <w:p w14:paraId="7861C3A7">
            <w:pPr>
              <w:widowControl/>
              <w:numPr>
                <w:ilvl w:val="0"/>
                <w:numId w:val="30"/>
              </w:numPr>
              <w:ind w:firstLine="0"/>
              <w:jc w:val="left"/>
              <w:rPr>
                <w:rFonts w:ascii="宋体" w:hAnsi="宋体" w:eastAsia="宋体" w:cs="Times New Roman"/>
                <w:kern w:val="0"/>
                <w:sz w:val="22"/>
              </w:rPr>
            </w:pPr>
            <w:r>
              <w:rPr>
                <w:rFonts w:hint="eastAsia" w:ascii="宋体" w:hAnsi="宋体" w:eastAsia="宋体" w:cs="Times New Roman"/>
                <w:kern w:val="0"/>
                <w:sz w:val="22"/>
              </w:rPr>
              <w:t>智能地砖铺贴机器人控制系统的</w:t>
            </w:r>
            <w:r>
              <w:rPr>
                <w:rFonts w:ascii="宋体" w:hAnsi="宋体" w:eastAsia="宋体" w:cs="Times New Roman"/>
                <w:kern w:val="0"/>
                <w:sz w:val="22"/>
              </w:rPr>
              <w:t>任务执行模块应具备开始铺贴、开始、停止功能，控制机器人执行参数设定以及铺贴的执行与停止；</w:t>
            </w:r>
          </w:p>
          <w:p w14:paraId="50D87405">
            <w:pPr>
              <w:widowControl/>
              <w:numPr>
                <w:ilvl w:val="0"/>
                <w:numId w:val="30"/>
              </w:numPr>
              <w:ind w:firstLine="0"/>
              <w:jc w:val="left"/>
              <w:rPr>
                <w:rFonts w:ascii="宋体" w:hAnsi="宋体" w:eastAsia="宋体" w:cs="Times New Roman"/>
                <w:kern w:val="0"/>
                <w:sz w:val="22"/>
              </w:rPr>
            </w:pPr>
            <w:r>
              <w:rPr>
                <w:rFonts w:ascii="宋体" w:hAnsi="宋体" w:eastAsia="宋体" w:cs="Times New Roman"/>
                <w:kern w:val="0"/>
                <w:sz w:val="22"/>
              </w:rPr>
              <w:t>地砖铺贴执行中，应支持机器人实体与软件中模型保持虚实一致的动作；</w:t>
            </w:r>
          </w:p>
          <w:p w14:paraId="711C6C68">
            <w:pPr>
              <w:widowControl/>
              <w:numPr>
                <w:ilvl w:val="0"/>
                <w:numId w:val="30"/>
              </w:numPr>
              <w:ind w:firstLine="0"/>
              <w:jc w:val="left"/>
            </w:pPr>
            <w:r>
              <w:rPr>
                <w:rFonts w:hint="eastAsia" w:ascii="宋体" w:hAnsi="宋体" w:eastAsia="宋体" w:cs="Times New Roman"/>
                <w:kern w:val="0"/>
                <w:sz w:val="22"/>
              </w:rPr>
              <w:t>智能地砖铺贴机器人控制系统</w:t>
            </w:r>
            <w:r>
              <w:rPr>
                <w:rFonts w:ascii="宋体" w:hAnsi="宋体" w:eastAsia="宋体" w:cs="Times New Roman"/>
                <w:kern w:val="0"/>
                <w:sz w:val="22"/>
              </w:rPr>
              <w:t>支持ROS、Python编程二次开发。</w:t>
            </w:r>
          </w:p>
          <w:p w14:paraId="74CD2DF6">
            <w:pPr>
              <w:numPr>
                <w:ilvl w:val="0"/>
                <w:numId w:val="25"/>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其它</w:t>
            </w:r>
            <w:r>
              <w:rPr>
                <w:rFonts w:ascii="宋体" w:hAnsi="宋体" w:eastAsia="宋体" w:cs="Times New Roman"/>
                <w:b/>
                <w:bCs/>
                <w:kern w:val="0"/>
                <w:sz w:val="22"/>
              </w:rPr>
              <w:t>要求</w:t>
            </w:r>
          </w:p>
          <w:p w14:paraId="6D8E58F7">
            <w:pPr>
              <w:numPr>
                <w:ilvl w:val="0"/>
                <w:numId w:val="31"/>
              </w:numPr>
              <w:ind w:firstLine="0"/>
              <w:jc w:val="left"/>
              <w:rPr>
                <w:rFonts w:ascii="宋体" w:hAnsi="宋体" w:eastAsia="宋体" w:cs="Times New Roman"/>
                <w:kern w:val="0"/>
                <w:sz w:val="22"/>
              </w:rPr>
            </w:pPr>
            <w:r>
              <w:rPr>
                <w:rFonts w:ascii="宋体" w:hAnsi="宋体" w:eastAsia="宋体" w:cs="Times New Roman"/>
                <w:kern w:val="0"/>
                <w:sz w:val="22"/>
              </w:rPr>
              <w:t>所有硬件（含设备和模块）质保期不低于三年，</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Times New Roman"/>
                <w:kern w:val="0"/>
                <w:sz w:val="22"/>
              </w:rPr>
              <w:t>在使用过程中发生质量问题，24小时内到达故障现场</w:t>
            </w:r>
            <w:r>
              <w:rPr>
                <w:rFonts w:hint="eastAsia" w:ascii="宋体" w:hAnsi="宋体" w:eastAsia="宋体" w:cs="Times New Roman"/>
                <w:kern w:val="0"/>
                <w:sz w:val="22"/>
              </w:rPr>
              <w:t>；</w:t>
            </w:r>
          </w:p>
          <w:p w14:paraId="279B43D4">
            <w:pPr>
              <w:numPr>
                <w:ilvl w:val="0"/>
                <w:numId w:val="31"/>
              </w:numPr>
              <w:ind w:firstLine="0"/>
              <w:jc w:val="left"/>
              <w:rPr>
                <w:rFonts w:ascii="宋体" w:hAnsi="宋体" w:eastAsia="宋体" w:cs="Times New Roman"/>
                <w:kern w:val="0"/>
                <w:sz w:val="22"/>
              </w:rPr>
            </w:pPr>
            <w:r>
              <w:rPr>
                <w:rFonts w:ascii="宋体" w:hAnsi="宋体" w:eastAsia="宋体" w:cs="Times New Roman"/>
                <w:kern w:val="0"/>
                <w:sz w:val="22"/>
              </w:rPr>
              <w:t>所有配套软件需提供</w:t>
            </w:r>
            <w:r>
              <w:rPr>
                <w:rFonts w:hint="eastAsia" w:ascii="宋体" w:hAnsi="宋体" w:eastAsia="宋体" w:cs="Times New Roman"/>
                <w:kern w:val="0"/>
                <w:sz w:val="22"/>
              </w:rPr>
              <w:t>不少于3年</w:t>
            </w:r>
            <w:r>
              <w:rPr>
                <w:rFonts w:ascii="宋体" w:hAnsi="宋体" w:eastAsia="宋体" w:cs="Times New Roman"/>
                <w:kern w:val="0"/>
                <w:sz w:val="22"/>
              </w:rPr>
              <w:t>质保服务，</w:t>
            </w:r>
            <w:r>
              <w:rPr>
                <w:rFonts w:hint="eastAsia" w:ascii="宋体" w:hAnsi="宋体" w:eastAsia="宋体" w:cs="Times New Roman"/>
                <w:kern w:val="0"/>
                <w:sz w:val="22"/>
              </w:rPr>
              <w:t>无需二次升级（不升级不影响正常使用），提供不少于三次线下培训（培训讲师不少于2人，每次培训人次不低于10人）</w:t>
            </w:r>
            <w:r>
              <w:rPr>
                <w:rFonts w:ascii="宋体" w:hAnsi="宋体" w:eastAsia="宋体" w:cs="Times New Roman"/>
                <w:kern w:val="0"/>
                <w:sz w:val="22"/>
              </w:rPr>
              <w:t>，在使用过程中发生质量问题，24小时内到达故障现场</w:t>
            </w:r>
            <w:r>
              <w:rPr>
                <w:rFonts w:hint="eastAsia" w:ascii="宋体" w:hAnsi="宋体" w:eastAsia="宋体" w:cs="Times New Roman"/>
                <w:kern w:val="0"/>
                <w:sz w:val="22"/>
              </w:rPr>
              <w:t>；</w:t>
            </w:r>
          </w:p>
          <w:p w14:paraId="7F95F804">
            <w:pPr>
              <w:ind w:firstLine="0"/>
              <w:jc w:val="left"/>
              <w:rPr>
                <w:rFonts w:ascii="宋体" w:hAnsi="宋体" w:eastAsia="宋体" w:cs="Times New Roman"/>
                <w:kern w:val="0"/>
                <w:sz w:val="22"/>
              </w:rPr>
            </w:pPr>
            <w:r>
              <w:rPr>
                <w:rFonts w:hint="eastAsia" w:ascii="宋体" w:hAnsi="宋体" w:eastAsia="宋体" w:cs="Times New Roman"/>
                <w:kern w:val="0"/>
                <w:sz w:val="22"/>
              </w:rPr>
              <w:t>（三）</w:t>
            </w:r>
            <w:r>
              <w:rPr>
                <w:rFonts w:ascii="宋体" w:hAnsi="宋体" w:eastAsia="宋体" w:cs="Times New Roman"/>
                <w:b/>
                <w:bCs/>
                <w:kern w:val="0"/>
                <w:sz w:val="22"/>
              </w:rPr>
              <w:t>智能</w:t>
            </w:r>
            <w:r>
              <w:rPr>
                <w:rFonts w:hint="eastAsia" w:ascii="宋体" w:hAnsi="宋体" w:eastAsia="宋体" w:cs="Times New Roman"/>
                <w:b/>
                <w:bCs/>
                <w:kern w:val="0"/>
                <w:sz w:val="22"/>
              </w:rPr>
              <w:t>巡检模块软硬件要求：</w:t>
            </w:r>
          </w:p>
          <w:p w14:paraId="40E4FCD2">
            <w:pPr>
              <w:numPr>
                <w:ilvl w:val="0"/>
                <w:numId w:val="32"/>
              </w:numPr>
              <w:ind w:left="0" w:firstLine="0"/>
              <w:jc w:val="left"/>
              <w:rPr>
                <w:rFonts w:ascii="宋体" w:hAnsi="宋体" w:eastAsia="宋体" w:cs="Times New Roman"/>
                <w:b/>
                <w:bCs/>
                <w:kern w:val="0"/>
                <w:sz w:val="22"/>
              </w:rPr>
            </w:pPr>
            <w:r>
              <w:rPr>
                <w:rFonts w:hint="eastAsia" w:ascii="宋体" w:hAnsi="宋体" w:eastAsia="宋体" w:cs="Times New Roman"/>
                <w:b/>
                <w:bCs/>
                <w:kern w:val="0"/>
                <w:sz w:val="22"/>
              </w:rPr>
              <w:t>硬件要求</w:t>
            </w:r>
          </w:p>
          <w:p w14:paraId="144C2EFA">
            <w:pPr>
              <w:numPr>
                <w:ilvl w:val="0"/>
                <w:numId w:val="33"/>
              </w:numPr>
              <w:ind w:firstLine="0"/>
              <w:jc w:val="left"/>
              <w:rPr>
                <w:rFonts w:ascii="宋体" w:hAnsi="宋体" w:eastAsia="宋体" w:cs="Times New Roman"/>
                <w:kern w:val="0"/>
                <w:sz w:val="22"/>
              </w:rPr>
            </w:pPr>
            <w:r>
              <w:rPr>
                <w:rFonts w:hint="eastAsia" w:ascii="宋体" w:hAnsi="宋体" w:eastAsia="宋体" w:cs="Times New Roman"/>
                <w:kern w:val="0"/>
                <w:sz w:val="22"/>
              </w:rPr>
              <w:t>外形尺寸：≥ 610*370*503 (mm)；</w:t>
            </w:r>
          </w:p>
          <w:p w14:paraId="54658B7E">
            <w:pPr>
              <w:numPr>
                <w:ilvl w:val="0"/>
                <w:numId w:val="33"/>
              </w:numPr>
              <w:ind w:firstLine="0"/>
              <w:jc w:val="left"/>
              <w:rPr>
                <w:rFonts w:ascii="宋体" w:hAnsi="宋体" w:eastAsia="宋体" w:cs="Times New Roman"/>
                <w:kern w:val="0"/>
                <w:sz w:val="22"/>
              </w:rPr>
            </w:pPr>
            <w:r>
              <w:rPr>
                <w:rFonts w:hint="eastAsia" w:ascii="宋体" w:hAnsi="宋体" w:eastAsia="宋体" w:cs="Times New Roman"/>
                <w:kern w:val="0"/>
                <w:sz w:val="22"/>
              </w:rPr>
              <w:t>重量： ≤15kg；</w:t>
            </w:r>
          </w:p>
          <w:p w14:paraId="4CDDE66F">
            <w:pPr>
              <w:numPr>
                <w:ilvl w:val="0"/>
                <w:numId w:val="33"/>
              </w:numPr>
              <w:ind w:firstLine="0"/>
              <w:jc w:val="left"/>
              <w:rPr>
                <w:rFonts w:ascii="宋体" w:hAnsi="宋体" w:eastAsia="宋体" w:cs="Times New Roman"/>
                <w:kern w:val="0"/>
                <w:sz w:val="22"/>
              </w:rPr>
            </w:pPr>
            <w:r>
              <w:rPr>
                <w:rFonts w:ascii="宋体" w:hAnsi="宋体" w:eastAsia="宋体" w:cs="Times New Roman"/>
                <w:kern w:val="0"/>
                <w:sz w:val="22"/>
              </w:rPr>
              <w:t>智能巡检模块</w:t>
            </w:r>
            <w:r>
              <w:rPr>
                <w:rFonts w:hint="eastAsia" w:ascii="宋体" w:hAnsi="宋体" w:eastAsia="宋体" w:cs="Times New Roman"/>
                <w:kern w:val="0"/>
                <w:sz w:val="22"/>
              </w:rPr>
              <w:t>续航时间不低于4h</w:t>
            </w:r>
            <w:r>
              <w:rPr>
                <w:rFonts w:ascii="宋体" w:hAnsi="宋体" w:eastAsia="宋体" w:cs="Times New Roman"/>
                <w:kern w:val="0"/>
                <w:sz w:val="22"/>
              </w:rPr>
              <w:t>；</w:t>
            </w:r>
          </w:p>
          <w:p w14:paraId="16E0CFF3">
            <w:pPr>
              <w:numPr>
                <w:ilvl w:val="0"/>
                <w:numId w:val="33"/>
              </w:numPr>
              <w:ind w:firstLine="0"/>
              <w:jc w:val="left"/>
              <w:rPr>
                <w:rFonts w:ascii="宋体" w:hAnsi="宋体" w:eastAsia="宋体" w:cs="Times New Roman"/>
                <w:kern w:val="0"/>
                <w:sz w:val="22"/>
              </w:rPr>
            </w:pPr>
            <w:r>
              <w:rPr>
                <w:rFonts w:ascii="宋体" w:hAnsi="宋体" w:eastAsia="宋体" w:cs="Times New Roman"/>
                <w:kern w:val="0"/>
                <w:sz w:val="22"/>
              </w:rPr>
              <w:t>智能巡检模块</w:t>
            </w:r>
            <w:r>
              <w:rPr>
                <w:rFonts w:hint="eastAsia" w:ascii="宋体" w:hAnsi="宋体" w:eastAsia="宋体" w:cs="Times New Roman"/>
                <w:kern w:val="0"/>
                <w:sz w:val="22"/>
              </w:rPr>
              <w:t>定位精度：≤</w:t>
            </w:r>
            <w:r>
              <w:rPr>
                <w:rFonts w:ascii="宋体" w:hAnsi="宋体" w:eastAsia="宋体" w:cs="Times New Roman"/>
                <w:kern w:val="0"/>
                <w:sz w:val="22"/>
              </w:rPr>
              <w:t>10cm；</w:t>
            </w:r>
          </w:p>
          <w:p w14:paraId="72B55557">
            <w:pPr>
              <w:numPr>
                <w:ilvl w:val="0"/>
                <w:numId w:val="33"/>
              </w:numPr>
              <w:ind w:firstLine="0"/>
              <w:jc w:val="left"/>
              <w:rPr>
                <w:rFonts w:ascii="宋体" w:hAnsi="宋体" w:eastAsia="宋体" w:cs="Times New Roman"/>
                <w:kern w:val="0"/>
                <w:sz w:val="22"/>
              </w:rPr>
            </w:pPr>
            <w:r>
              <w:rPr>
                <w:rFonts w:ascii="宋体" w:hAnsi="宋体" w:eastAsia="宋体" w:cs="Times New Roman"/>
                <w:kern w:val="0"/>
                <w:sz w:val="22"/>
              </w:rPr>
              <w:t>智能巡检模块可攀爬台阶角度不小于</w:t>
            </w:r>
            <w:r>
              <w:rPr>
                <w:rFonts w:hint="eastAsia" w:ascii="宋体" w:hAnsi="宋体" w:eastAsia="宋体" w:cs="Times New Roman"/>
                <w:kern w:val="0"/>
                <w:sz w:val="22"/>
              </w:rPr>
              <w:t>30</w:t>
            </w:r>
            <w:r>
              <w:rPr>
                <w:rFonts w:ascii="宋体" w:hAnsi="宋体" w:eastAsia="宋体" w:cs="Times New Roman"/>
                <w:kern w:val="0"/>
                <w:sz w:val="22"/>
              </w:rPr>
              <w:t>°；</w:t>
            </w:r>
          </w:p>
          <w:p w14:paraId="40E0AEFE">
            <w:pPr>
              <w:numPr>
                <w:ilvl w:val="0"/>
                <w:numId w:val="33"/>
              </w:numPr>
              <w:ind w:firstLine="0"/>
              <w:jc w:val="left"/>
            </w:pPr>
            <w:r>
              <w:rPr>
                <w:spacing w:val="-8"/>
              </w:rPr>
              <w:t>可攀爬台阶最大高度</w:t>
            </w:r>
            <w:r>
              <w:rPr>
                <w:rFonts w:hint="eastAsia"/>
                <w:spacing w:val="-8"/>
              </w:rPr>
              <w:t>：</w:t>
            </w:r>
            <w:r>
              <w:rPr>
                <w:spacing w:val="-8"/>
              </w:rPr>
              <w:t xml:space="preserve"> </w:t>
            </w:r>
            <w:r>
              <w:rPr>
                <w:rFonts w:hint="eastAsia"/>
                <w:spacing w:val="-8"/>
              </w:rPr>
              <w:t>≥</w:t>
            </w:r>
            <w:r>
              <w:rPr>
                <w:rFonts w:hint="eastAsia"/>
                <w:spacing w:val="-6"/>
              </w:rPr>
              <w:t>1</w:t>
            </w:r>
            <w:r>
              <w:rPr>
                <w:spacing w:val="-6"/>
              </w:rPr>
              <w:t>5cm</w:t>
            </w:r>
            <w:r>
              <w:rPr>
                <w:rFonts w:hint="eastAsia"/>
                <w:spacing w:val="-6"/>
              </w:rPr>
              <w:t>；</w:t>
            </w:r>
          </w:p>
          <w:p w14:paraId="111A48F5">
            <w:pPr>
              <w:numPr>
                <w:ilvl w:val="0"/>
                <w:numId w:val="33"/>
              </w:numPr>
              <w:ind w:firstLine="0"/>
              <w:jc w:val="left"/>
              <w:rPr>
                <w:rFonts w:ascii="宋体" w:hAnsi="宋体" w:eastAsia="宋体" w:cs="Times New Roman"/>
                <w:kern w:val="0"/>
                <w:sz w:val="22"/>
              </w:rPr>
            </w:pPr>
            <w:r>
              <w:rPr>
                <w:rFonts w:ascii="宋体" w:hAnsi="宋体" w:eastAsia="宋体" w:cs="Times New Roman"/>
                <w:kern w:val="0"/>
                <w:sz w:val="22"/>
              </w:rPr>
              <w:t>智能巡检模块刹车距离</w:t>
            </w:r>
            <w:r>
              <w:rPr>
                <w:rFonts w:hint="eastAsia" w:ascii="宋体" w:hAnsi="宋体" w:eastAsia="宋体" w:cs="Times New Roman"/>
                <w:kern w:val="0"/>
                <w:sz w:val="22"/>
              </w:rPr>
              <w:t>：≤0.1m</w:t>
            </w:r>
            <w:r>
              <w:rPr>
                <w:rFonts w:ascii="宋体" w:hAnsi="宋体" w:eastAsia="宋体" w:cs="Times New Roman"/>
                <w:kern w:val="0"/>
                <w:sz w:val="22"/>
              </w:rPr>
              <w:t>；</w:t>
            </w:r>
          </w:p>
          <w:p w14:paraId="5FD9C5DB">
            <w:pPr>
              <w:numPr>
                <w:ilvl w:val="0"/>
                <w:numId w:val="33"/>
              </w:numPr>
              <w:ind w:firstLine="0"/>
              <w:jc w:val="left"/>
              <w:rPr>
                <w:rFonts w:ascii="宋体" w:hAnsi="宋体" w:eastAsia="宋体" w:cs="Times New Roman"/>
                <w:kern w:val="0"/>
                <w:sz w:val="22"/>
              </w:rPr>
            </w:pPr>
            <w:r>
              <w:rPr>
                <w:rFonts w:ascii="宋体" w:hAnsi="宋体" w:eastAsia="宋体" w:cs="Times New Roman"/>
                <w:kern w:val="0"/>
                <w:sz w:val="22"/>
              </w:rPr>
              <w:t>智能巡检模块行走速度</w:t>
            </w:r>
            <w:r>
              <w:rPr>
                <w:rFonts w:hint="eastAsia" w:ascii="宋体" w:hAnsi="宋体" w:eastAsia="宋体" w:cs="Times New Roman"/>
                <w:kern w:val="0"/>
                <w:sz w:val="22"/>
              </w:rPr>
              <w:t>：≥1.5</w:t>
            </w:r>
            <w:r>
              <w:rPr>
                <w:rFonts w:ascii="宋体" w:hAnsi="宋体" w:eastAsia="宋体" w:cs="Times New Roman"/>
                <w:kern w:val="0"/>
                <w:sz w:val="22"/>
              </w:rPr>
              <w:t>m/s；</w:t>
            </w:r>
          </w:p>
          <w:p w14:paraId="116D4427">
            <w:pPr>
              <w:widowControl/>
              <w:numPr>
                <w:ilvl w:val="0"/>
                <w:numId w:val="33"/>
              </w:numPr>
              <w:ind w:firstLine="0"/>
              <w:jc w:val="left"/>
            </w:pPr>
            <w:r>
              <w:rPr>
                <w:rFonts w:ascii="宋体" w:hAnsi="宋体" w:eastAsia="宋体" w:cs="Times New Roman"/>
                <w:kern w:val="0"/>
                <w:sz w:val="22"/>
              </w:rPr>
              <w:t>智能巡检模块</w:t>
            </w:r>
            <w:r>
              <w:rPr>
                <w:rFonts w:hint="eastAsia" w:ascii="宋体" w:hAnsi="宋体" w:eastAsia="宋体" w:cs="Times New Roman"/>
                <w:kern w:val="0"/>
                <w:sz w:val="22"/>
              </w:rPr>
              <w:t>相机精度：≥</w:t>
            </w:r>
            <w:r>
              <w:rPr>
                <w:rFonts w:ascii="宋体" w:hAnsi="宋体" w:eastAsia="宋体" w:cs="Times New Roman"/>
                <w:kern w:val="0"/>
                <w:sz w:val="22"/>
              </w:rPr>
              <w:t>400W像素</w:t>
            </w:r>
            <w:r>
              <w:rPr>
                <w:rFonts w:hint="eastAsia" w:ascii="宋体" w:hAnsi="宋体" w:eastAsia="宋体" w:cs="Times New Roman"/>
                <w:kern w:val="0"/>
                <w:sz w:val="22"/>
              </w:rPr>
              <w:t>;</w:t>
            </w:r>
          </w:p>
          <w:p w14:paraId="0ABE46A3">
            <w:pPr>
              <w:widowControl/>
              <w:numPr>
                <w:ilvl w:val="0"/>
                <w:numId w:val="33"/>
              </w:numPr>
              <w:ind w:firstLine="0"/>
              <w:jc w:val="left"/>
            </w:pPr>
            <w:r>
              <w:rPr>
                <w:rFonts w:hint="eastAsia" w:ascii="宋体" w:hAnsi="宋体" w:eastAsia="宋体" w:cs="Times New Roman"/>
                <w:kern w:val="0"/>
                <w:sz w:val="22"/>
              </w:rPr>
              <w:t>▲</w:t>
            </w:r>
            <w:r>
              <w:rPr>
                <w:rFonts w:ascii="宋体" w:hAnsi="宋体" w:eastAsia="宋体" w:cs="Times New Roman"/>
                <w:kern w:val="0"/>
                <w:sz w:val="22"/>
              </w:rPr>
              <w:t>智能巡检模块</w:t>
            </w:r>
            <w:r>
              <w:rPr>
                <w:rFonts w:hint="eastAsia" w:ascii="宋体" w:hAnsi="宋体" w:eastAsia="宋体" w:cs="Times New Roman"/>
                <w:kern w:val="0"/>
                <w:sz w:val="22"/>
              </w:rPr>
              <w:t>配备高清云台，可搭载摄像机、双光热成像仪等设备，实时采集环境数据，支持精准监测与分析；</w:t>
            </w:r>
          </w:p>
          <w:p w14:paraId="40026626">
            <w:pPr>
              <w:numPr>
                <w:ilvl w:val="0"/>
                <w:numId w:val="33"/>
              </w:numPr>
              <w:ind w:firstLine="0"/>
              <w:jc w:val="left"/>
              <w:rPr>
                <w:rFonts w:ascii="宋体" w:hAnsi="宋体" w:eastAsia="宋体" w:cs="Times New Roman"/>
                <w:kern w:val="0"/>
                <w:sz w:val="22"/>
              </w:rPr>
            </w:pPr>
            <w:r>
              <w:rPr>
                <w:rFonts w:ascii="宋体" w:hAnsi="宋体" w:eastAsia="宋体" w:cs="Times New Roman"/>
                <w:kern w:val="0"/>
                <w:sz w:val="22"/>
              </w:rPr>
              <w:t>智能巡检模块支持适应各种不同的环境，包括室内、室外、狭窄空间、不平坦地形等。</w:t>
            </w:r>
          </w:p>
          <w:p w14:paraId="5152F278">
            <w:pPr>
              <w:numPr>
                <w:ilvl w:val="0"/>
                <w:numId w:val="32"/>
              </w:numPr>
              <w:ind w:left="0" w:firstLine="0"/>
              <w:jc w:val="left"/>
              <w:rPr>
                <w:rFonts w:ascii="宋体" w:hAnsi="宋体" w:eastAsia="宋体" w:cs="Times New Roman"/>
                <w:b/>
                <w:bCs/>
                <w:kern w:val="0"/>
                <w:sz w:val="22"/>
              </w:rPr>
            </w:pPr>
            <w:r>
              <w:rPr>
                <w:rFonts w:hint="eastAsia" w:ascii="宋体" w:hAnsi="宋体" w:eastAsia="宋体" w:cs="Times New Roman"/>
                <w:b/>
                <w:bCs/>
                <w:kern w:val="0"/>
                <w:sz w:val="22"/>
              </w:rPr>
              <w:t>软件要求</w:t>
            </w:r>
          </w:p>
          <w:p w14:paraId="0303F124">
            <w:pPr>
              <w:widowControl/>
              <w:numPr>
                <w:ilvl w:val="0"/>
                <w:numId w:val="34"/>
              </w:numPr>
              <w:ind w:firstLine="0"/>
              <w:jc w:val="left"/>
              <w:rPr>
                <w:rFonts w:ascii="宋体" w:hAnsi="宋体" w:eastAsia="宋体" w:cs="Times New Roman"/>
                <w:kern w:val="0"/>
                <w:sz w:val="22"/>
              </w:rPr>
            </w:pPr>
            <w:r>
              <w:rPr>
                <w:rFonts w:ascii="宋体" w:hAnsi="宋体" w:eastAsia="宋体" w:cs="Times New Roman"/>
                <w:kern w:val="0"/>
                <w:sz w:val="22"/>
              </w:rPr>
              <w:t>▲智能巡检模块支持自主导航并规划最佳巡检路径。通过搭载传感器和地图数据，它们可以避开障碍物，选择最优路径，无需人工干预即可完成巡检任务；</w:t>
            </w:r>
          </w:p>
          <w:p w14:paraId="708A1E95">
            <w:pPr>
              <w:widowControl/>
              <w:numPr>
                <w:ilvl w:val="0"/>
                <w:numId w:val="34"/>
              </w:numPr>
              <w:ind w:firstLine="0"/>
              <w:jc w:val="left"/>
              <w:rPr>
                <w:rFonts w:ascii="宋体" w:hAnsi="宋体" w:eastAsia="宋体" w:cs="Times New Roman"/>
                <w:kern w:val="0"/>
                <w:sz w:val="22"/>
              </w:rPr>
            </w:pPr>
            <w:r>
              <w:rPr>
                <w:rFonts w:ascii="宋体" w:hAnsi="宋体" w:eastAsia="宋体" w:cs="Times New Roman"/>
                <w:kern w:val="0"/>
                <w:sz w:val="22"/>
              </w:rPr>
              <w:t>▲智能巡检</w:t>
            </w:r>
            <w:r>
              <w:rPr>
                <w:rFonts w:hint="eastAsia" w:ascii="宋体" w:hAnsi="宋体" w:eastAsia="宋体" w:cs="Times New Roman"/>
                <w:kern w:val="0"/>
                <w:sz w:val="22"/>
              </w:rPr>
              <w:t>模块</w:t>
            </w:r>
            <w:r>
              <w:rPr>
                <w:rFonts w:ascii="宋体" w:hAnsi="宋体" w:eastAsia="宋体" w:cs="Times New Roman"/>
                <w:kern w:val="0"/>
                <w:sz w:val="22"/>
              </w:rPr>
              <w:t>支持</w:t>
            </w:r>
            <w:r>
              <w:rPr>
                <w:rFonts w:hint="eastAsia" w:ascii="宋体" w:hAnsi="宋体" w:eastAsia="宋体" w:cs="Times New Roman"/>
                <w:kern w:val="0"/>
                <w:sz w:val="22"/>
              </w:rPr>
              <w:t>AI异常检测与智能报警：基于预设规则与AI算法，自动识别火灾、设备破损、人员安全行为等异常，即时触发报警并推送信息至系统平台，确保快速响应；</w:t>
            </w:r>
          </w:p>
          <w:p w14:paraId="7F05586C">
            <w:pPr>
              <w:widowControl/>
              <w:numPr>
                <w:ilvl w:val="0"/>
                <w:numId w:val="34"/>
              </w:numPr>
              <w:ind w:firstLine="0"/>
              <w:jc w:val="left"/>
              <w:rPr>
                <w:rFonts w:ascii="宋体" w:hAnsi="宋体" w:eastAsia="宋体" w:cs="Times New Roman"/>
                <w:kern w:val="0"/>
                <w:sz w:val="22"/>
              </w:rPr>
            </w:pPr>
            <w:r>
              <w:rPr>
                <w:rFonts w:ascii="宋体" w:hAnsi="宋体" w:eastAsia="宋体" w:cs="Times New Roman"/>
                <w:kern w:val="0"/>
                <w:sz w:val="22"/>
              </w:rPr>
              <w:t>智能巡检模块支持适应各种不同的环境，包括室内、室外、狭窄空间、不平坦地形等；</w:t>
            </w:r>
          </w:p>
          <w:p w14:paraId="321BBA94">
            <w:pPr>
              <w:widowControl/>
              <w:numPr>
                <w:ilvl w:val="0"/>
                <w:numId w:val="34"/>
              </w:numPr>
              <w:ind w:firstLine="0"/>
              <w:jc w:val="left"/>
              <w:rPr>
                <w:rFonts w:ascii="宋体" w:hAnsi="宋体" w:eastAsia="宋体" w:cs="Times New Roman"/>
                <w:kern w:val="0"/>
                <w:sz w:val="22"/>
              </w:rPr>
            </w:pPr>
            <w:r>
              <w:rPr>
                <w:rFonts w:ascii="宋体" w:hAnsi="宋体" w:eastAsia="宋体" w:cs="Times New Roman"/>
                <w:kern w:val="0"/>
                <w:sz w:val="22"/>
              </w:rPr>
              <w:t>智能巡检模块对违规行为自动抓拍并声音警示，辅助现场安全管理；</w:t>
            </w:r>
          </w:p>
          <w:p w14:paraId="3BBEB1AE">
            <w:pPr>
              <w:widowControl/>
              <w:numPr>
                <w:ilvl w:val="0"/>
                <w:numId w:val="34"/>
              </w:numPr>
              <w:ind w:firstLine="0"/>
              <w:jc w:val="left"/>
              <w:rPr>
                <w:rFonts w:ascii="宋体" w:hAnsi="宋体" w:eastAsia="宋体" w:cs="Times New Roman"/>
                <w:kern w:val="0"/>
                <w:sz w:val="22"/>
              </w:rPr>
            </w:pPr>
            <w:r>
              <w:rPr>
                <w:rFonts w:ascii="宋体" w:hAnsi="宋体" w:eastAsia="宋体" w:cs="Times New Roman"/>
                <w:kern w:val="0"/>
                <w:sz w:val="22"/>
              </w:rPr>
              <w:t>智能巡检模块支持按照预定的路线和时间进行定点巡检，覆盖设备或场所的每个区域。它们可以自动执行各种操作，如开关控制、设备启停和数据采集等，以提高效率和节省人力资源；</w:t>
            </w:r>
          </w:p>
          <w:p w14:paraId="119DB808">
            <w:pPr>
              <w:widowControl/>
              <w:numPr>
                <w:ilvl w:val="0"/>
                <w:numId w:val="34"/>
              </w:numPr>
              <w:ind w:firstLine="0"/>
              <w:jc w:val="left"/>
              <w:rPr>
                <w:rFonts w:ascii="宋体" w:hAnsi="宋体" w:eastAsia="宋体" w:cs="Times New Roman"/>
                <w:kern w:val="0"/>
                <w:sz w:val="22"/>
              </w:rPr>
            </w:pPr>
            <w:r>
              <w:rPr>
                <w:rFonts w:ascii="宋体" w:hAnsi="宋体" w:eastAsia="宋体" w:cs="Times New Roman"/>
                <w:kern w:val="0"/>
                <w:sz w:val="22"/>
              </w:rPr>
              <w:t>▲智能巡检模块支持无人值守运行和远程监控。它们可以通过无线网络连接到中央控制系统，操作人员可以远程监控机器人的状态、数据和视频图像，随时进行指导和干预。</w:t>
            </w:r>
          </w:p>
          <w:p w14:paraId="4595E287">
            <w:pPr>
              <w:numPr>
                <w:ilvl w:val="0"/>
                <w:numId w:val="32"/>
              </w:numPr>
              <w:ind w:left="0" w:firstLine="0"/>
              <w:jc w:val="left"/>
              <w:rPr>
                <w:rFonts w:ascii="宋体" w:hAnsi="宋体" w:eastAsia="宋体" w:cs="Times New Roman"/>
                <w:b/>
                <w:bCs/>
                <w:kern w:val="0"/>
                <w:sz w:val="22"/>
              </w:rPr>
            </w:pPr>
            <w:r>
              <w:rPr>
                <w:rFonts w:hint="eastAsia" w:ascii="宋体" w:hAnsi="宋体" w:eastAsia="宋体" w:cs="Times New Roman"/>
                <w:b/>
                <w:bCs/>
                <w:kern w:val="0"/>
                <w:sz w:val="22"/>
              </w:rPr>
              <w:t>其它要求</w:t>
            </w:r>
          </w:p>
          <w:p w14:paraId="5AB739B2">
            <w:pPr>
              <w:numPr>
                <w:ilvl w:val="0"/>
                <w:numId w:val="35"/>
              </w:numPr>
              <w:ind w:firstLine="0"/>
              <w:jc w:val="left"/>
              <w:rPr>
                <w:rFonts w:ascii="宋体" w:hAnsi="宋体" w:eastAsia="宋体" w:cs="Times New Roman"/>
                <w:kern w:val="0"/>
                <w:sz w:val="22"/>
              </w:rPr>
            </w:pPr>
            <w:r>
              <w:rPr>
                <w:rFonts w:ascii="宋体" w:hAnsi="宋体" w:eastAsia="宋体" w:cs="Times New Roman"/>
                <w:kern w:val="0"/>
                <w:sz w:val="22"/>
              </w:rPr>
              <w:t>所有硬件（含设备和模块）质保期不低于三年，</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Times New Roman"/>
                <w:kern w:val="0"/>
                <w:sz w:val="22"/>
              </w:rPr>
              <w:t>，在使用过程中发生质量问题，24小时内到达故障现场</w:t>
            </w:r>
            <w:r>
              <w:rPr>
                <w:rFonts w:hint="eastAsia" w:ascii="宋体" w:hAnsi="宋体" w:eastAsia="宋体" w:cs="Times New Roman"/>
                <w:kern w:val="0"/>
                <w:sz w:val="22"/>
              </w:rPr>
              <w:t>；</w:t>
            </w:r>
          </w:p>
          <w:p w14:paraId="105A9E77">
            <w:pPr>
              <w:numPr>
                <w:ilvl w:val="0"/>
                <w:numId w:val="35"/>
              </w:numPr>
              <w:ind w:firstLine="0"/>
              <w:jc w:val="left"/>
              <w:rPr>
                <w:rFonts w:ascii="宋体" w:hAnsi="宋体" w:eastAsia="宋体" w:cs="Times New Roman"/>
                <w:kern w:val="0"/>
                <w:sz w:val="22"/>
              </w:rPr>
            </w:pPr>
            <w:r>
              <w:rPr>
                <w:rFonts w:ascii="宋体" w:hAnsi="宋体" w:eastAsia="宋体" w:cs="Times New Roman"/>
                <w:kern w:val="0"/>
                <w:sz w:val="22"/>
              </w:rPr>
              <w:t>所有配套软件需提供</w:t>
            </w:r>
            <w:r>
              <w:rPr>
                <w:rFonts w:hint="eastAsia" w:ascii="宋体" w:hAnsi="宋体" w:eastAsia="宋体" w:cs="Times New Roman"/>
                <w:kern w:val="0"/>
                <w:sz w:val="22"/>
              </w:rPr>
              <w:t>不少于3年</w:t>
            </w:r>
            <w:r>
              <w:rPr>
                <w:rFonts w:ascii="宋体" w:hAnsi="宋体" w:eastAsia="宋体" w:cs="Times New Roman"/>
                <w:kern w:val="0"/>
                <w:sz w:val="22"/>
              </w:rPr>
              <w:t>质保服务，</w:t>
            </w:r>
            <w:r>
              <w:rPr>
                <w:rFonts w:hint="eastAsia" w:ascii="宋体" w:hAnsi="宋体" w:eastAsia="宋体" w:cs="Times New Roman"/>
                <w:kern w:val="0"/>
                <w:sz w:val="22"/>
              </w:rPr>
              <w:t>无需二次升级（不升级不影响正常使用），提供不少于三次线下培训（培训讲师不少于2人，每次培训人次不低于10人），</w:t>
            </w:r>
            <w:r>
              <w:rPr>
                <w:rFonts w:ascii="宋体" w:hAnsi="宋体" w:eastAsia="宋体" w:cs="Times New Roman"/>
                <w:kern w:val="0"/>
                <w:sz w:val="22"/>
              </w:rPr>
              <w:t>在使用过程中发生质量问题，24小时内到达故障现场</w:t>
            </w:r>
            <w:r>
              <w:rPr>
                <w:rFonts w:hint="eastAsia" w:ascii="宋体" w:hAnsi="宋体" w:eastAsia="宋体" w:cs="Times New Roman"/>
                <w:kern w:val="0"/>
                <w:sz w:val="22"/>
              </w:rPr>
              <w:t>；</w:t>
            </w:r>
          </w:p>
          <w:p w14:paraId="2BF689ED">
            <w:pPr>
              <w:ind w:firstLine="0"/>
              <w:jc w:val="left"/>
              <w:rPr>
                <w:rFonts w:ascii="宋体" w:hAnsi="宋体" w:eastAsia="宋体" w:cs="Times New Roman"/>
                <w:kern w:val="0"/>
                <w:sz w:val="22"/>
              </w:rPr>
            </w:pPr>
            <w:r>
              <w:rPr>
                <w:rFonts w:hint="eastAsia" w:ascii="宋体" w:hAnsi="宋体" w:eastAsia="宋体" w:cs="Times New Roman"/>
                <w:kern w:val="0"/>
                <w:sz w:val="22"/>
              </w:rPr>
              <w:t>（四）</w:t>
            </w:r>
            <w:r>
              <w:rPr>
                <w:rFonts w:hint="eastAsia" w:ascii="宋体" w:hAnsi="宋体" w:eastAsia="宋体" w:cs="Times New Roman"/>
                <w:b/>
                <w:bCs/>
                <w:kern w:val="0"/>
                <w:sz w:val="22"/>
              </w:rPr>
              <w:t>3D打印模块软硬件要求：</w:t>
            </w:r>
          </w:p>
          <w:p w14:paraId="675E5C48">
            <w:pPr>
              <w:numPr>
                <w:ilvl w:val="0"/>
                <w:numId w:val="36"/>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硬件</w:t>
            </w:r>
            <w:r>
              <w:rPr>
                <w:rFonts w:ascii="宋体" w:hAnsi="宋体" w:eastAsia="宋体" w:cs="Times New Roman"/>
                <w:b/>
                <w:bCs/>
                <w:kern w:val="0"/>
                <w:sz w:val="22"/>
              </w:rPr>
              <w:t>要求</w:t>
            </w:r>
          </w:p>
          <w:p w14:paraId="698B3499">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固体激光器：要求采用主流品牌风冷固体激光器，不低于英诺（光波）品牌，波长</w:t>
            </w:r>
            <w:r>
              <w:rPr>
                <w:rFonts w:ascii="Arial" w:hAnsi="Arial" w:eastAsia="宋体" w:cs="Arial"/>
                <w:kern w:val="0"/>
                <w:sz w:val="22"/>
              </w:rPr>
              <w:t>≥</w:t>
            </w:r>
            <w:r>
              <w:rPr>
                <w:rFonts w:hint="eastAsia" w:ascii="宋体" w:hAnsi="宋体" w:eastAsia="宋体" w:cs="Times New Roman"/>
                <w:kern w:val="0"/>
                <w:sz w:val="22"/>
              </w:rPr>
              <w:t>350nm,功率为≥3000mW，光斑直径0.12-0.8mm，脉冲稳定性≤10%，功率稳定性≤6%；</w:t>
            </w:r>
          </w:p>
          <w:p w14:paraId="6BD5C82E">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振镜扫描器：典型扫描速度8-15m/s,最大扫描速度18m/s,增益误差&lt;5mrad;零点漂移&lt;5mrad;跟踪误差&lt;3mrad;重复性&lt;2.2urad；</w:t>
            </w:r>
          </w:p>
          <w:p w14:paraId="69BE1503">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▲成型范围：≥600*600*400mm(L×W×H)；</w:t>
            </w:r>
          </w:p>
          <w:p w14:paraId="4E4C6BA3">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▲分层厚度0.05-0.25mm；</w:t>
            </w:r>
          </w:p>
          <w:p w14:paraId="17D2C970">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成型精度： ±0.1mm（L≤100mm）or ±0.1% x L（L&gt;100mm）；</w:t>
            </w:r>
          </w:p>
          <w:p w14:paraId="0AC71C6F">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垂直分辨率：</w:t>
            </w:r>
            <w:r>
              <w:rPr>
                <w:rFonts w:ascii="Arial" w:hAnsi="Arial" w:cs="Arial"/>
              </w:rPr>
              <w:t>≤</w:t>
            </w:r>
            <w:r>
              <w:rPr>
                <w:rFonts w:hint="eastAsia" w:ascii="宋体" w:hAnsi="宋体" w:eastAsia="宋体" w:cs="Times New Roman"/>
                <w:kern w:val="0"/>
                <w:sz w:val="22"/>
              </w:rPr>
              <w:t>0.002mm；</w:t>
            </w:r>
          </w:p>
          <w:p w14:paraId="3DE758AC">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重复精度：</w:t>
            </w:r>
            <w:r>
              <w:rPr>
                <w:rFonts w:ascii="Arial" w:hAnsi="Arial" w:eastAsia="宋体" w:cs="Arial"/>
                <w:kern w:val="0"/>
                <w:sz w:val="22"/>
              </w:rPr>
              <w:t>≤</w:t>
            </w:r>
            <w:r>
              <w:rPr>
                <w:rFonts w:hint="eastAsia" w:ascii="宋体" w:hAnsi="宋体" w:eastAsia="宋体" w:cs="Times New Roman"/>
                <w:kern w:val="0"/>
                <w:sz w:val="22"/>
              </w:rPr>
              <w:t>0.01mm；</w:t>
            </w:r>
          </w:p>
          <w:p w14:paraId="0BA51EBC">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安全警示：具备三色报警指示灯，具备安全警示标识；</w:t>
            </w:r>
          </w:p>
          <w:p w14:paraId="04D67220">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具备光斑模态检测功能，能对液面聚焦平面的光斑形态进行实时、有效的监测控制，并通过工艺算法软件进行打印策略的修正和调整，以充分确保打印质量的一致性；</w:t>
            </w:r>
          </w:p>
          <w:p w14:paraId="089866D6">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电气控制系统要求采用上下位机的控制架构，以通过主从式控制方式, 提高控制系统的可靠性、稳定性；电气系统中接有多路滤波器，减少外部EMI信号对设备的影响，同时保证设备本身的EMI的抑制能力；电气系统中电源入口接有漏电保护器，各电源支路都接有熔断器，需要控制大电流都采用接触器控制，提高电气系统的安全性能；</w:t>
            </w:r>
          </w:p>
          <w:p w14:paraId="12D803A8">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▲光斑：具备可变光斑技术及专利，光斑直径0.1-0.8mm，可以识别截面信息，可以识别截面信息，自动在单层截面内切换大小光斑。扫描轮廓时切换为小光斑，保证做件精度与表面质量</w:t>
            </w:r>
          </w:p>
          <w:p w14:paraId="305ABE06">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扫描填充时切换为大光斑，缩短填充时间，提高效率；</w:t>
            </w:r>
          </w:p>
          <w:p w14:paraId="049687F7">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采用前聚焦方式，聚焦镜位于光路模块内部，不暴露于外部，以保证密封性，抵抗外来因素如灰尘杂质等的影响；</w:t>
            </w:r>
          </w:p>
          <w:p w14:paraId="2546C1DA">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 xml:space="preserve">▲刮板：要求真空吸附式刮刀，保证在全部成型区液面不平度≤0.02mm； </w:t>
            </w:r>
          </w:p>
          <w:p w14:paraId="6B5A04A6">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铸铝型加热板：为避免热气加快导轨、电机等精密部件的腐蚀，向上升起的热气也影响到光学镜片的正常工作等，要求为非热风加热方式，树脂槽加热要求采用电加热板，要求采用双路冗余保护，保证效果和安全性；</w:t>
            </w:r>
          </w:p>
          <w:p w14:paraId="3FA41111">
            <w:pPr>
              <w:numPr>
                <w:ilvl w:val="0"/>
                <w:numId w:val="37"/>
              </w:numPr>
              <w:ind w:left="454" w:firstLine="0"/>
              <w:jc w:val="left"/>
              <w:rPr>
                <w:rFonts w:ascii="宋体" w:hAnsi="宋体" w:eastAsia="宋体" w:cs="Times New Roman"/>
                <w:kern w:val="0"/>
                <w:sz w:val="22"/>
              </w:rPr>
            </w:pPr>
            <w:r>
              <w:rPr>
                <w:rFonts w:hint="eastAsia" w:ascii="宋体" w:hAnsi="宋体" w:eastAsia="宋体" w:cs="Times New Roman"/>
                <w:kern w:val="0"/>
                <w:sz w:val="22"/>
              </w:rPr>
              <w:t>控制方式：工业控制计算机，主频1.6G及以上，内存2G及以上，硬盘500G及以上，带15寸以上显示器；</w:t>
            </w:r>
          </w:p>
          <w:p w14:paraId="46CB88B4">
            <w:pPr>
              <w:numPr>
                <w:ilvl w:val="0"/>
                <w:numId w:val="36"/>
              </w:numPr>
              <w:ind w:left="454" w:firstLine="0"/>
              <w:jc w:val="left"/>
              <w:rPr>
                <w:rFonts w:ascii="宋体" w:hAnsi="宋体" w:eastAsia="宋体" w:cs="Times New Roman"/>
                <w:kern w:val="0"/>
                <w:sz w:val="22"/>
              </w:rPr>
            </w:pPr>
            <w:r>
              <w:rPr>
                <w:rFonts w:hint="eastAsia" w:ascii="宋体" w:hAnsi="宋体" w:eastAsia="宋体" w:cs="Times New Roman"/>
                <w:b/>
                <w:bCs/>
                <w:kern w:val="0"/>
                <w:sz w:val="22"/>
              </w:rPr>
              <w:t>软件要求</w:t>
            </w:r>
          </w:p>
          <w:p w14:paraId="51B306E9">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▲具备自动标定功能：采用自动标定技术并具备专利证明，标定幅面涵盖从250*250mm到2000*500mm；对成型平面不少于1000个点进行位置自动标定，避免手动标定精度及稳定性的缺陷；</w:t>
            </w:r>
          </w:p>
          <w:p w14:paraId="11625706">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要求配套提供使用DPC制作工艺包，用PC机分担工控机的计算量。通过将路径规划、光学参数优化的计算工作放在了安装于PC上的DPC里，使得机器控制软件只用去负责执行规划好的路径，缓解了工控机的计算压力，并使得路径规划更加智能化。可节省客户摸索材料及成型特性的时间，提高客户打件质量；</w:t>
            </w:r>
          </w:p>
          <w:p w14:paraId="4DC7B62C">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核心算法：有效的振镜扫描路径规划和曝光策略算法，提高打印效率、改善材料成型内应力效应、提高打印精度和表面质量、还原材料原生性能等方面均有针对性、高专业度的控制机制；</w:t>
            </w:r>
          </w:p>
          <w:p w14:paraId="1B763FBF">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电控系统引入压差检测传感器，并采用有效的液位控制算法，可对刮刀涂覆系统负压实现快速、稳定的调整控制，有效减少打印过程中的液位调整时间，大幅提高设备打印效率；</w:t>
            </w:r>
          </w:p>
          <w:p w14:paraId="50AA6229">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功率检测：要求激光功率在线检测，自动匹配扫描速度；</w:t>
            </w:r>
          </w:p>
          <w:p w14:paraId="1172C84D">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▲设备控制软件：要求设备控制软件具有自主知识产权，全中文界面；</w:t>
            </w:r>
          </w:p>
          <w:p w14:paraId="5C15FBF1">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要求具备偏差设置功能，保证做件精度 ，用户可对做件参数进行保存与调用；</w:t>
            </w:r>
          </w:p>
          <w:p w14:paraId="41883BF0">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要求具备液位检测\液位补偿：保证液平面精确检测、自动液位补偿；</w:t>
            </w:r>
          </w:p>
          <w:p w14:paraId="19F5E775">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要求能实现一键操作，实现刮刀清理/刮刀测试/激光功率检测/自动液位调整/回零；</w:t>
            </w:r>
          </w:p>
          <w:p w14:paraId="0635C1D5">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软件需具备时间模拟完成时间和剩余时间显示图形化显示加工进度。</w:t>
            </w:r>
          </w:p>
          <w:p w14:paraId="3107A916">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▲要求数据处理软件具有自主知识产权，投标时提供软件著作权证书复印件；</w:t>
            </w:r>
          </w:p>
          <w:p w14:paraId="33F64EC6">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支持导入数据格式:stl,obj,off, ply,obj,3mf,3dm,step,iges,polydevs,cli,pst等；</w:t>
            </w:r>
          </w:p>
          <w:p w14:paraId="5FB37EAB">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可导出数据格式:stl,obj,ply,off,3mf,pst,polydevs,cli等；</w:t>
            </w:r>
          </w:p>
          <w:p w14:paraId="46BC1157">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三角面片标记：修复功能是基于三角形的操作，此功能支持对模型表面三角面片进行多种形式的标记和选择，包括标记单个三角形、多个三角形、标记外壳、标记平面和标记曲面等，并且支持扩大和缩小标记范围、分离和复制标记等操作；</w:t>
            </w:r>
          </w:p>
          <w:p w14:paraId="7A188CF3">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动修复：能够通过手动操作完成基于三角形的简单修复，包括增加新三角形、删除标记的三角形、翻转标记的三角形、剪切标记的三角形等操作；</w:t>
            </w:r>
          </w:p>
          <w:p w14:paraId="5D4B6D98">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半自动修复：半自动修复能够通过特定的损坏或错误类型进行针对性的修复。包括缝合三角形、删除双面、关闭孔洞、弧面补洞、修复取向、删除壳体、分解重叠面、去除模型内壳、自相交检测与修复等操作；</w:t>
            </w:r>
          </w:p>
          <w:p w14:paraId="249968F7">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自动修复：能够对模型损坏并不复杂的情况进行直接自动修复；</w:t>
            </w:r>
          </w:p>
          <w:p w14:paraId="4481F6DE">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检测错误：通过点击检测错误功能按钮，可以对模型的错误情况进行全面的检测，并显示模型信息和损坏信息，包括顶点数、三角形数目、壳、非流行边、无效边界、孔洞、无效取向、自相交等。</w:t>
            </w:r>
          </w:p>
          <w:p w14:paraId="6C8D7A8D">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支持多种模型编辑操作，包括模型的合并/拆分、简单切割、自由切割、打孔、抽壳添加蜂巢、网格重构、布尔运算、添加标签（自定义文字/ logo）、拉伸、面转实体、添加支柱、Z轴补偿、结构模块等主要功能；</w:t>
            </w:r>
          </w:p>
          <w:p w14:paraId="38BD4B80">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支持对模型进行添加纹理和编辑纹理的操作，包括单区域贴图、多区域贴图、纹理编辑、纹理液化、纹理切割、组合色块、删除纹理、2D纹理转3D等主要功能；</w:t>
            </w:r>
          </w:p>
          <w:p w14:paraId="7BE84830">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能够支持对模型进行添加支撑的操作，提供多种支撑类型供用户使用，支撑类型包括：点支撑，树支撑，线支撑，体支撑和智能支撑（DLP &amp; SLA）；</w:t>
            </w:r>
          </w:p>
          <w:p w14:paraId="447610B9">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自动支撑：很多模型并不总是只包含一个支撑区域，有可能包含许多未连接的支撑区域。自动支撑则可以支持整个模型或每一个支撑区域只需一步就可以完成添加支撑的操作。</w:t>
            </w:r>
          </w:p>
          <w:p w14:paraId="029FA484">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手动支撑：对于更多需要用户自定义支撑参数的使用场景，软件提供手动添加支撑的功能，用户可以根据实际的使用需求，手动添加点支撑、树支撑、线支撑、体支撑或智能支撑，并支持对支撑参数进一步修改。</w:t>
            </w:r>
          </w:p>
          <w:p w14:paraId="1FAEA845">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设置无支撑区域：支持用户选择一个区域为无支撑区域，在后续添加支撑时，软</w:t>
            </w:r>
            <w:r>
              <w:rPr>
                <w:rFonts w:hint="eastAsia" w:ascii="宋体" w:hAnsi="宋体" w:eastAsia="宋体" w:cs="Times New Roman"/>
                <w:kern w:val="0"/>
                <w:sz w:val="22"/>
                <w:shd w:val="clear" w:color="auto" w:fill="FFFFFF" w:themeFill="background1"/>
              </w:rPr>
              <w:t>件</w:t>
            </w:r>
            <w:r>
              <w:rPr>
                <w:rFonts w:hint="eastAsia" w:ascii="宋体" w:hAnsi="宋体" w:eastAsia="宋体" w:cs="Times New Roman"/>
                <w:kern w:val="0"/>
                <w:sz w:val="22"/>
              </w:rPr>
              <w:t>能够主动避开这部分区域。</w:t>
            </w:r>
          </w:p>
          <w:p w14:paraId="529AC788">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支撑文件的导入/导出：支持对生成的支撑文件执行一键导入或导出的操作。</w:t>
            </w:r>
          </w:p>
          <w:p w14:paraId="750ADF75">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软件为模型提供多种测量方式，包括基本测量、距离测量、角度测量和半径测量。</w:t>
            </w:r>
          </w:p>
          <w:p w14:paraId="7B94F0B0">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基本测量：主要用于测量基本图像元素——点、直线、三角形的坐标信息</w:t>
            </w:r>
          </w:p>
          <w:p w14:paraId="22A72A92">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距离测量：主要用于测量距离信息，包括点到点、点到线、点到三角形、线到线、线到面、面到面等多种测量方式</w:t>
            </w:r>
          </w:p>
          <w:p w14:paraId="0765AB3E">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角度测量：角度测量用于测量角度信息，包括3点测量、线到线、线到面等多种角度测量方式</w:t>
            </w:r>
          </w:p>
          <w:p w14:paraId="04406A6A">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半径测量：半径测量用于测量圆或圆弧的半径信息，包括3点测量、圆测量等测量方式。</w:t>
            </w:r>
          </w:p>
          <w:p w14:paraId="08099FDA">
            <w:pPr>
              <w:numPr>
                <w:ilvl w:val="0"/>
                <w:numId w:val="38"/>
              </w:numPr>
              <w:ind w:firstLine="0"/>
              <w:jc w:val="left"/>
              <w:rPr>
                <w:rFonts w:ascii="宋体" w:hAnsi="宋体" w:eastAsia="宋体" w:cs="Times New Roman"/>
                <w:kern w:val="0"/>
                <w:sz w:val="22"/>
              </w:rPr>
            </w:pPr>
            <w:r>
              <w:rPr>
                <w:rFonts w:hint="eastAsia" w:ascii="宋体" w:hAnsi="宋体" w:eastAsia="宋体" w:cs="Times New Roman"/>
                <w:kern w:val="0"/>
                <w:sz w:val="22"/>
              </w:rPr>
              <w:t>分析与报告模块主要用于帮助用户对模型进行多维度的测量分析，并支持生成标准的分析报告，此功能模块包含碰撞检测、壁厚分析、角度分析、杯口检测、体积估算、成本估算、加工时间估算、生成报告等主要功能</w:t>
            </w:r>
          </w:p>
          <w:p w14:paraId="0EB1A156">
            <w:pPr>
              <w:numPr>
                <w:ilvl w:val="0"/>
                <w:numId w:val="36"/>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其它</w:t>
            </w:r>
            <w:r>
              <w:rPr>
                <w:rFonts w:ascii="宋体" w:hAnsi="宋体" w:eastAsia="宋体" w:cs="Times New Roman"/>
                <w:b/>
                <w:bCs/>
                <w:kern w:val="0"/>
                <w:sz w:val="22"/>
              </w:rPr>
              <w:t>要求</w:t>
            </w:r>
          </w:p>
          <w:p w14:paraId="5BAB495D">
            <w:pPr>
              <w:numPr>
                <w:ilvl w:val="0"/>
                <w:numId w:val="39"/>
              </w:numPr>
              <w:ind w:firstLine="0"/>
              <w:jc w:val="left"/>
              <w:rPr>
                <w:rFonts w:ascii="宋体" w:hAnsi="宋体" w:eastAsia="宋体" w:cs="Times New Roman"/>
                <w:kern w:val="0"/>
                <w:sz w:val="22"/>
              </w:rPr>
            </w:pPr>
            <w:r>
              <w:rPr>
                <w:rFonts w:hint="eastAsia" w:ascii="宋体" w:hAnsi="宋体" w:eastAsia="宋体" w:cs="Times New Roman"/>
                <w:kern w:val="0"/>
                <w:sz w:val="22"/>
              </w:rPr>
              <w:t>所有硬件（含设备和模块）质保期不低于三年，提供不少于三次线下培训（培训讲师不少于2人，每次培训人次不低于10人），在使用过程中发生质量问题，24小时内到达故障现场；</w:t>
            </w:r>
          </w:p>
          <w:p w14:paraId="108B6A27">
            <w:pPr>
              <w:numPr>
                <w:ilvl w:val="0"/>
                <w:numId w:val="39"/>
              </w:numPr>
              <w:ind w:firstLine="0"/>
              <w:jc w:val="left"/>
              <w:rPr>
                <w:rFonts w:ascii="宋体" w:hAnsi="宋体" w:eastAsia="宋体" w:cs="Times New Roman"/>
                <w:kern w:val="0"/>
                <w:sz w:val="22"/>
              </w:rPr>
            </w:pPr>
            <w:r>
              <w:rPr>
                <w:rFonts w:hint="eastAsia" w:ascii="宋体" w:hAnsi="宋体" w:eastAsia="宋体" w:cs="Times New Roman"/>
                <w:kern w:val="0"/>
                <w:sz w:val="22"/>
              </w:rPr>
              <w:t>所有配套软件需提供不少于3年质保服务，无需二次升级（不升级不影响正常使用），提供不少于三次线下培训（培训讲师不少于2人，每次培训人次不低于10人），在使用过程中发生质量问题，24小时内到达故障现场；</w:t>
            </w:r>
          </w:p>
          <w:p w14:paraId="7161CF34">
            <w:pPr>
              <w:ind w:firstLine="0"/>
              <w:jc w:val="left"/>
              <w:rPr>
                <w:rFonts w:ascii="宋体" w:hAnsi="宋体" w:eastAsia="宋体" w:cs="Times New Roman"/>
                <w:b/>
                <w:bCs/>
                <w:kern w:val="0"/>
                <w:sz w:val="22"/>
              </w:rPr>
            </w:pPr>
            <w:r>
              <w:rPr>
                <w:rFonts w:hint="eastAsia" w:ascii="宋体" w:hAnsi="宋体" w:eastAsia="宋体" w:cs="Times New Roman"/>
                <w:b/>
                <w:bCs/>
                <w:kern w:val="0"/>
                <w:sz w:val="22"/>
              </w:rPr>
              <w:t>（五）</w:t>
            </w:r>
            <w:r>
              <w:rPr>
                <w:rFonts w:ascii="宋体" w:hAnsi="宋体" w:eastAsia="宋体" w:cs="Times New Roman"/>
                <w:b/>
                <w:bCs/>
                <w:kern w:val="0"/>
                <w:sz w:val="22"/>
              </w:rPr>
              <w:t>智能测量</w:t>
            </w:r>
            <w:r>
              <w:rPr>
                <w:rFonts w:hint="eastAsia" w:ascii="宋体" w:hAnsi="宋体" w:eastAsia="宋体" w:cs="Times New Roman"/>
                <w:b/>
                <w:bCs/>
                <w:kern w:val="0"/>
                <w:sz w:val="22"/>
              </w:rPr>
              <w:t>协同控制系统要求：</w:t>
            </w:r>
          </w:p>
          <w:p w14:paraId="336156E3">
            <w:pPr>
              <w:numPr>
                <w:ilvl w:val="255"/>
                <w:numId w:val="0"/>
              </w:numPr>
              <w:jc w:val="left"/>
              <w:rPr>
                <w:rFonts w:ascii="宋体" w:hAnsi="宋体" w:eastAsia="宋体" w:cs="Times New Roman"/>
                <w:b/>
                <w:bCs/>
                <w:kern w:val="0"/>
                <w:sz w:val="22"/>
              </w:rPr>
            </w:pPr>
            <w:r>
              <w:rPr>
                <w:rFonts w:hint="eastAsia" w:ascii="宋体" w:hAnsi="宋体" w:eastAsia="宋体" w:cs="Times New Roman"/>
                <w:b/>
                <w:bCs/>
                <w:kern w:val="0"/>
                <w:sz w:val="22"/>
              </w:rPr>
              <w:t>1.协同控制系统要求</w:t>
            </w:r>
          </w:p>
          <w:p w14:paraId="26998D44">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协同控制系统应支持TCP协议；</w:t>
            </w:r>
          </w:p>
          <w:p w14:paraId="3F41DD27">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协同控制系统应支持控制机器人前进、后退、转弯；</w:t>
            </w:r>
          </w:p>
          <w:p w14:paraId="3F44B1A4">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协同控制系统应支持设置机器人行进速度；</w:t>
            </w:r>
          </w:p>
          <w:p w14:paraId="60CD464C">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协同控制系统应支持控制喷涂</w:t>
            </w:r>
            <w:r>
              <w:rPr>
                <w:rFonts w:hint="eastAsia" w:ascii="宋体" w:hAnsi="宋体" w:eastAsia="宋体" w:cs="Times New Roman"/>
                <w:kern w:val="0"/>
                <w:sz w:val="22"/>
              </w:rPr>
              <w:t>模块</w:t>
            </w:r>
            <w:r>
              <w:rPr>
                <w:rFonts w:ascii="宋体" w:hAnsi="宋体" w:eastAsia="宋体" w:cs="Times New Roman"/>
                <w:kern w:val="0"/>
                <w:sz w:val="22"/>
              </w:rPr>
              <w:t>移动和实操</w:t>
            </w:r>
            <w:r>
              <w:rPr>
                <w:rFonts w:hint="eastAsia" w:ascii="宋体" w:hAnsi="宋体" w:eastAsia="宋体" w:cs="Times New Roman"/>
                <w:kern w:val="0"/>
                <w:sz w:val="22"/>
              </w:rPr>
              <w:t>、测量模块操作；</w:t>
            </w:r>
          </w:p>
          <w:p w14:paraId="4DBE3E78">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协同控制系统应支持控制灰缝宽度，支持设计组砌方法；</w:t>
            </w:r>
          </w:p>
          <w:p w14:paraId="6B58C37C">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协同控制系统应支持BIM模型数据导入；</w:t>
            </w:r>
          </w:p>
          <w:p w14:paraId="1A1CD0FE">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协同控制系统应支持在虚拟场景中做机器人施工组织的设计与模拟；</w:t>
            </w:r>
          </w:p>
          <w:p w14:paraId="7F1A5A7F">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协同控制系统应支持定制场景加载；</w:t>
            </w:r>
          </w:p>
          <w:p w14:paraId="0ABB2744">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协同控制系统应支持在场景内呈现机器人施工动画；</w:t>
            </w:r>
          </w:p>
          <w:p w14:paraId="7D3D8588">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协同控制系统应支持在智慧桌面呈现机器人施工动画；</w:t>
            </w:r>
          </w:p>
          <w:p w14:paraId="1529AE2B">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协同控制系统应具有直接加载、读取BIM信息数据的功能：如构件计算公式和计算值、图元信息、类别、砼标号、砼类型、厚度、标高信息、汇总类型、材质、砂浆标号、砂浆类型、截面高度宽度等属性信息；</w:t>
            </w:r>
          </w:p>
          <w:p w14:paraId="63EF530D">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协同控制系统应具备自主知识产权，应支持Revit、Bentley、Tekla、Catia、ArchiCAD、NavisWorks、SolidWorks、3Dmax、SketchUp等主流建模软件的模型加载，拥有极强兼容性；</w:t>
            </w:r>
          </w:p>
          <w:p w14:paraId="4A74271C">
            <w:pPr>
              <w:numPr>
                <w:ilvl w:val="0"/>
                <w:numId w:val="40"/>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协同控制系统应支持机器人数字孪生：与虚拟场景虚实双向互通，虚拟场景中移动机器人则实际场景机器人跟随移动，机器人应能准确对应同步完成虚拟施工场景中施工步骤的每一个动作。</w:t>
            </w:r>
          </w:p>
          <w:p w14:paraId="34D2BE0F">
            <w:pPr>
              <w:numPr>
                <w:ilvl w:val="255"/>
                <w:numId w:val="0"/>
              </w:numPr>
              <w:jc w:val="left"/>
              <w:rPr>
                <w:rFonts w:ascii="宋体" w:hAnsi="宋体" w:eastAsia="宋体" w:cs="Times New Roman"/>
                <w:b/>
                <w:bCs/>
                <w:kern w:val="0"/>
                <w:sz w:val="22"/>
              </w:rPr>
            </w:pPr>
            <w:r>
              <w:rPr>
                <w:rFonts w:hint="eastAsia" w:ascii="宋体" w:hAnsi="宋体" w:eastAsia="宋体" w:cs="Times New Roman"/>
                <w:b/>
                <w:bCs/>
                <w:kern w:val="0"/>
                <w:sz w:val="22"/>
              </w:rPr>
              <w:t>2.协同制作系统要求</w:t>
            </w:r>
          </w:p>
          <w:p w14:paraId="29FFAA27">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▲应具备自主知识产权，支持Revit、Bentley、Rhino、Catia、SolidWorks、3ds Max、SketchUp、Tekla、ArchiCAD、NavisWorks等主流建模软件的模型导入，能够支持BIM模型和3D模型无缝导入VR设计平台，其中Revit模型导入后需保留完整的模型信息、材质属性；</w:t>
            </w:r>
          </w:p>
          <w:p w14:paraId="37687AD2">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为满足易用性，系统需支持中文界面操作、快捷简单；</w:t>
            </w:r>
          </w:p>
          <w:p w14:paraId="4A5A022A">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系统应支持直接加载、读取BIM信息数据的功能，所有砼构件至少应包含构件图元信息、构件名称、类别、混凝土类型、混凝土强度等级、标高信息、材质、截面高度和宽度等对应的属性信息；</w:t>
            </w:r>
          </w:p>
          <w:p w14:paraId="1C85D7D6">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系统应支持BIM团队或设计团队在不进行编程的前提下，通过点击或拖拽操作就能够进行VR交互设计，交互内容包含但不限于开关灯、开关门、材质替换、施工过程模拟、24小时光照模拟、播放视频；</w:t>
            </w:r>
          </w:p>
          <w:p w14:paraId="26D38157">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系统应具备专业VR场景编辑功能，如材质编辑功能、构件编辑功能、动画制作功能、交互区域自定义功能、灯光编辑功能等，以上所有编辑操作无需进行编程即可完成；</w:t>
            </w:r>
          </w:p>
          <w:p w14:paraId="192488E6">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系统应包含漫反射贴图、法线贴图、反射贴图等功能，包含不少于200种常用材质，软件可提供粒子系统，支持对任意平面、弧面进行图片或者视频的投影；</w:t>
            </w:r>
          </w:p>
          <w:p w14:paraId="74A4EB97">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系统应支持设置项目虚拟的经纬度信息，并模拟当下和任意时节的光照情况；</w:t>
            </w:r>
          </w:p>
          <w:p w14:paraId="1342A80E">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系统应支持全局光和局部光设计，所有光源支持环境光阴影、阴影遮罩，单场景内可支持无限多数量的光源；</w:t>
            </w:r>
          </w:p>
          <w:p w14:paraId="3A111252">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能够把虚拟现实设计平台生成的全景图自动同步到720云平台，在720云平台可直接查看生成的全景图，720云平台包含可视化编辑、背景音乐设置、语音解说设置、链接电话与导航、天空地面遮罩、开场提示、自定义邮件、自定义logo、自定义作者名、离线下载、密码访问等功能，可视化编辑中可进行语音、图文、视频热点编辑和沙盘小地图编辑，以及视频、图片贴片编辑；</w:t>
            </w:r>
          </w:p>
          <w:p w14:paraId="0B6AAAD8">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对不同的构件进行考核，可将考核对象拖到考核物体列表上，为方便定位考核物体坐标点，应支持自动填写考核物体目标点和考核物体打散点，自动填写后显示该构件的位置和旋转值，还可设置局部位置坐标误差，显示误差X、Y值，可选择是否使用旋转角度误差；</w:t>
            </w:r>
          </w:p>
          <w:p w14:paraId="7F4B1F9C">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的考核模块应可设置考核ID，可设置考核时间和单项考核物体的分值，可为单项考核构件设置提示，能够设置考核物体的触发操作，应可设置评分机制，如记录从开始的正确分数和记录正确的分数，应可选择是否保留打散恢复显示动画；</w:t>
            </w:r>
          </w:p>
          <w:p w14:paraId="44731540">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系统应有量房设计模块，可定义构件、可添加长度测量值，定义构件后可在构件属性中添加提示文本、提示声音、提示区域；</w:t>
            </w:r>
          </w:p>
          <w:p w14:paraId="54124B65">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系统应支持滤镜相机，可导入软件自带滤镜资源，如闪亮特效、运动模糊、AO阴影特效、色调、抗锯齿、人眼适应；</w:t>
            </w:r>
          </w:p>
          <w:p w14:paraId="2A09764C">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系统为方便用户调整光照效果，环境光设置应有一键敞亮模式，系统可导入自带的BIM材质，可为BIM模型重新自动配色；</w:t>
            </w:r>
          </w:p>
          <w:p w14:paraId="24BF3D1B">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系统应支持设置交互为播放360全景视频、3D动画、视频、音乐、PPT、Flash、CAD；</w:t>
            </w:r>
          </w:p>
          <w:p w14:paraId="77DEC6F9">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系统应支持一键禁止和开启所有BIM模型的BIM信息，可删除所有自定义BIM信息；</w:t>
            </w:r>
          </w:p>
          <w:p w14:paraId="3F6D746A">
            <w:pPr>
              <w:numPr>
                <w:ilvl w:val="0"/>
                <w:numId w:val="41"/>
              </w:numPr>
              <w:ind w:firstLine="0"/>
              <w:jc w:val="left"/>
              <w:rPr>
                <w:rFonts w:ascii="宋体" w:hAnsi="宋体" w:eastAsia="宋体" w:cs="Times New Roman"/>
                <w:kern w:val="0"/>
                <w:sz w:val="22"/>
              </w:rPr>
            </w:pPr>
            <w:r>
              <w:rPr>
                <w:rFonts w:hint="eastAsia" w:ascii="宋体" w:hAnsi="宋体" w:eastAsia="宋体" w:cs="Times New Roman"/>
                <w:kern w:val="0"/>
                <w:sz w:val="22"/>
              </w:rPr>
              <w:t>系统支持为交互设置先后顺序，并能够为每一个交互指定交互正确时的反馈交互和错误时的反馈交互，支持设置已完步骤的交互为显示或隐藏，支持所有交互完成后给出总分和得分。</w:t>
            </w:r>
          </w:p>
          <w:p w14:paraId="4BC4BF14">
            <w:pPr>
              <w:numPr>
                <w:ilvl w:val="255"/>
                <w:numId w:val="0"/>
              </w:numPr>
              <w:jc w:val="left"/>
              <w:rPr>
                <w:rFonts w:ascii="宋体" w:hAnsi="宋体" w:eastAsia="宋体" w:cs="Times New Roman"/>
                <w:b/>
                <w:bCs/>
                <w:kern w:val="0"/>
                <w:sz w:val="22"/>
              </w:rPr>
            </w:pPr>
            <w:r>
              <w:rPr>
                <w:rFonts w:hint="eastAsia" w:ascii="宋体" w:hAnsi="宋体" w:eastAsia="宋体" w:cs="Times New Roman"/>
                <w:b/>
                <w:bCs/>
                <w:kern w:val="0"/>
                <w:sz w:val="22"/>
              </w:rPr>
              <w:t>3.其他要求</w:t>
            </w:r>
          </w:p>
          <w:p w14:paraId="0F47BEA1">
            <w:pPr>
              <w:numPr>
                <w:ilvl w:val="0"/>
                <w:numId w:val="42"/>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协同控制系统质保期</w:t>
            </w:r>
            <w:r>
              <w:rPr>
                <w:rFonts w:hint="eastAsia" w:ascii="宋体" w:hAnsi="宋体" w:eastAsia="宋体" w:cs="Times New Roman"/>
                <w:kern w:val="0"/>
                <w:sz w:val="22"/>
              </w:rPr>
              <w:t>不低于</w:t>
            </w:r>
            <w:r>
              <w:rPr>
                <w:rFonts w:ascii="宋体" w:hAnsi="宋体" w:eastAsia="宋体" w:cs="Times New Roman"/>
                <w:kern w:val="0"/>
                <w:sz w:val="22"/>
              </w:rPr>
              <w:t>三年，质保期过后无需二次升级</w:t>
            </w:r>
            <w:r>
              <w:rPr>
                <w:rFonts w:hint="eastAsia" w:ascii="宋体" w:hAnsi="宋体" w:eastAsia="宋体" w:cs="Times New Roman"/>
                <w:kern w:val="0"/>
                <w:sz w:val="22"/>
              </w:rPr>
              <w:t>（不升级不影响系统正常使用）</w:t>
            </w:r>
            <w:r>
              <w:rPr>
                <w:rFonts w:ascii="宋体" w:hAnsi="宋体" w:eastAsia="宋体" w:cs="Times New Roman"/>
                <w:kern w:val="0"/>
                <w:sz w:val="22"/>
              </w:rPr>
              <w:t>。</w:t>
            </w:r>
            <w:r>
              <w:rPr>
                <w:rFonts w:hint="eastAsia" w:ascii="宋体" w:hAnsi="宋体" w:eastAsia="宋体" w:cs="Times New Roman"/>
                <w:kern w:val="0"/>
                <w:sz w:val="22"/>
              </w:rPr>
              <w:t>智能测量</w:t>
            </w:r>
            <w:r>
              <w:rPr>
                <w:rFonts w:ascii="宋体" w:hAnsi="宋体" w:eastAsia="宋体" w:cs="Times New Roman"/>
                <w:kern w:val="0"/>
                <w:sz w:val="22"/>
              </w:rPr>
              <w:t>协同控制系统</w:t>
            </w:r>
            <w:r>
              <w:rPr>
                <w:rFonts w:hint="eastAsia" w:ascii="宋体" w:hAnsi="宋体" w:eastAsia="宋体" w:cs="Times New Roman"/>
                <w:kern w:val="0"/>
                <w:sz w:val="22"/>
              </w:rPr>
              <w:t>提供不少于三次线下培训（培训讲师不少于2人，每次培训人次不低于10人）</w:t>
            </w:r>
            <w:r>
              <w:rPr>
                <w:rFonts w:ascii="宋体" w:hAnsi="宋体" w:eastAsia="宋体" w:cs="Times New Roman"/>
                <w:kern w:val="0"/>
                <w:sz w:val="22"/>
              </w:rPr>
              <w:t>，如在使用过程中发生质量问题，中标人应在接到</w:t>
            </w:r>
            <w:r>
              <w:rPr>
                <w:rFonts w:hint="eastAsia" w:ascii="宋体" w:hAnsi="宋体" w:eastAsia="宋体" w:cs="Times New Roman"/>
                <w:kern w:val="0"/>
                <w:sz w:val="22"/>
              </w:rPr>
              <w:t>采购</w:t>
            </w:r>
            <w:r>
              <w:rPr>
                <w:rFonts w:ascii="宋体" w:hAnsi="宋体" w:eastAsia="宋体" w:cs="Times New Roman"/>
                <w:kern w:val="0"/>
                <w:sz w:val="22"/>
              </w:rPr>
              <w:t>方通知后在二十四小时内到达故障现场。</w:t>
            </w:r>
          </w:p>
          <w:p w14:paraId="24E1DD8D">
            <w:pPr>
              <w:ind w:firstLine="0"/>
              <w:jc w:val="left"/>
              <w:rPr>
                <w:rFonts w:ascii="宋体" w:hAnsi="宋体" w:eastAsia="宋体" w:cs="Times New Roman"/>
                <w:b/>
                <w:bCs/>
                <w:kern w:val="0"/>
                <w:sz w:val="22"/>
              </w:rPr>
            </w:pPr>
            <w:r>
              <w:rPr>
                <w:rFonts w:hint="eastAsia" w:ascii="宋体" w:hAnsi="宋体" w:eastAsia="宋体" w:cs="Times New Roman"/>
                <w:b/>
                <w:bCs/>
                <w:kern w:val="0"/>
                <w:sz w:val="22"/>
              </w:rPr>
              <w:t>（六）</w:t>
            </w:r>
            <w:r>
              <w:rPr>
                <w:rFonts w:ascii="宋体" w:hAnsi="宋体" w:eastAsia="宋体" w:cs="Times New Roman"/>
                <w:b/>
                <w:bCs/>
                <w:kern w:val="0"/>
                <w:sz w:val="22"/>
              </w:rPr>
              <w:t>智能测量</w:t>
            </w:r>
            <w:r>
              <w:rPr>
                <w:rFonts w:hint="eastAsia" w:ascii="宋体" w:hAnsi="宋体" w:eastAsia="宋体" w:cs="Times New Roman"/>
                <w:b/>
                <w:bCs/>
                <w:kern w:val="0"/>
                <w:sz w:val="22"/>
              </w:rPr>
              <w:t>虚拟仿真实训系统要求：</w:t>
            </w:r>
          </w:p>
          <w:p w14:paraId="49B336BB">
            <w:pPr>
              <w:numPr>
                <w:ilvl w:val="0"/>
                <w:numId w:val="43"/>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智能测量虚拟仿真实训系统要求</w:t>
            </w:r>
          </w:p>
          <w:p w14:paraId="56D8F409">
            <w:pPr>
              <w:ind w:firstLine="0"/>
              <w:jc w:val="left"/>
              <w:rPr>
                <w:rFonts w:ascii="宋体" w:hAnsi="宋体" w:eastAsia="宋体" w:cs="Times New Roman"/>
                <w:kern w:val="0"/>
                <w:sz w:val="22"/>
              </w:rPr>
            </w:pPr>
            <w:r>
              <w:rPr>
                <w:rFonts w:ascii="宋体" w:hAnsi="宋体" w:eastAsia="宋体" w:cs="Times New Roman"/>
                <w:kern w:val="0"/>
                <w:sz w:val="22"/>
              </w:rPr>
              <w:t>1)</w:t>
            </w:r>
            <w:r>
              <w:rPr>
                <w:rFonts w:hint="eastAsia" w:ascii="宋体" w:hAnsi="宋体" w:eastAsia="宋体" w:cs="Times New Roman"/>
                <w:kern w:val="0"/>
                <w:sz w:val="22"/>
              </w:rPr>
              <w:t>支持66个节点同时登录；</w:t>
            </w:r>
          </w:p>
          <w:p w14:paraId="6AD4457D">
            <w:pPr>
              <w:ind w:firstLine="0"/>
              <w:jc w:val="left"/>
              <w:rPr>
                <w:rFonts w:ascii="宋体" w:hAnsi="宋体" w:eastAsia="宋体" w:cs="Times New Roman"/>
                <w:kern w:val="0"/>
                <w:sz w:val="22"/>
              </w:rPr>
            </w:pPr>
            <w:r>
              <w:rPr>
                <w:rFonts w:ascii="宋体" w:hAnsi="宋体" w:eastAsia="宋体" w:cs="Times New Roman"/>
                <w:kern w:val="0"/>
                <w:sz w:val="22"/>
              </w:rPr>
              <w:t>2)</w:t>
            </w:r>
            <w:r>
              <w:rPr>
                <w:rFonts w:hint="eastAsia" w:ascii="宋体" w:hAnsi="宋体" w:eastAsia="宋体" w:cs="Times New Roman"/>
                <w:kern w:val="0"/>
                <w:sz w:val="22"/>
              </w:rPr>
              <w:t xml:space="preserve">智能测量虚拟仿真实训系统应支持自主漫游与交互：体验时能切换为沉浸式体验和鸟瞰式体验，且在任意情形下均能在场景中自主漫游与自主交互； </w:t>
            </w:r>
          </w:p>
          <w:p w14:paraId="5EF7243D">
            <w:pPr>
              <w:ind w:firstLine="0"/>
              <w:jc w:val="left"/>
              <w:rPr>
                <w:rFonts w:ascii="宋体" w:hAnsi="宋体" w:eastAsia="宋体" w:cs="Times New Roman"/>
                <w:kern w:val="0"/>
                <w:sz w:val="22"/>
              </w:rPr>
            </w:pPr>
            <w:r>
              <w:rPr>
                <w:rFonts w:ascii="宋体" w:hAnsi="宋体" w:eastAsia="宋体" w:cs="Times New Roman"/>
                <w:kern w:val="0"/>
                <w:sz w:val="22"/>
              </w:rPr>
              <w:t>3)</w:t>
            </w:r>
            <w:r>
              <w:rPr>
                <w:rFonts w:hint="eastAsia" w:ascii="宋体" w:hAnsi="宋体" w:eastAsia="宋体" w:cs="Times New Roman"/>
                <w:kern w:val="0"/>
                <w:sz w:val="22"/>
              </w:rPr>
              <w:t>智能测量虚拟仿真实训系统应支持练习考核计时与实时任务进度：支持实时进行正计时，实时更新当前任务进度；</w:t>
            </w:r>
          </w:p>
          <w:p w14:paraId="09A4DAD4">
            <w:pPr>
              <w:ind w:firstLine="0"/>
              <w:jc w:val="left"/>
              <w:rPr>
                <w:rFonts w:ascii="宋体" w:hAnsi="宋体" w:eastAsia="宋体" w:cs="Times New Roman"/>
                <w:kern w:val="0"/>
                <w:sz w:val="22"/>
              </w:rPr>
            </w:pPr>
            <w:r>
              <w:rPr>
                <w:rFonts w:ascii="宋体" w:hAnsi="宋体" w:eastAsia="宋体" w:cs="Times New Roman"/>
                <w:kern w:val="0"/>
                <w:sz w:val="22"/>
              </w:rPr>
              <w:t>4)</w:t>
            </w:r>
            <w:r>
              <w:rPr>
                <w:rFonts w:hint="eastAsia" w:ascii="宋体" w:hAnsi="宋体" w:eastAsia="宋体" w:cs="Times New Roman"/>
                <w:kern w:val="0"/>
                <w:sz w:val="22"/>
              </w:rPr>
              <w:t>智能测量虚拟仿真实训系统应支持施工路径的策划及工艺参数设置：在二维图中进行机器人施工路径的策划及参数设置，在确定前路径策划可以更改设置的各个点位；</w:t>
            </w:r>
          </w:p>
          <w:p w14:paraId="72E6AB9D">
            <w:pPr>
              <w:ind w:firstLine="0"/>
              <w:jc w:val="left"/>
              <w:rPr>
                <w:rFonts w:ascii="宋体" w:hAnsi="宋体" w:eastAsia="宋体" w:cs="Times New Roman"/>
                <w:kern w:val="0"/>
                <w:sz w:val="22"/>
              </w:rPr>
            </w:pPr>
            <w:r>
              <w:rPr>
                <w:rFonts w:ascii="宋体" w:hAnsi="宋体" w:eastAsia="宋体" w:cs="Times New Roman"/>
                <w:kern w:val="0"/>
                <w:sz w:val="22"/>
              </w:rPr>
              <w:t>5)</w:t>
            </w:r>
            <w:r>
              <w:rPr>
                <w:rFonts w:hint="eastAsia" w:ascii="宋体" w:hAnsi="宋体" w:eastAsia="宋体" w:cs="Times New Roman"/>
                <w:kern w:val="0"/>
                <w:sz w:val="22"/>
              </w:rPr>
              <w:t>智能测量虚拟仿真实训系统应支持在三维模式下预览策划实施的成果；</w:t>
            </w:r>
          </w:p>
          <w:p w14:paraId="0864D99C">
            <w:pPr>
              <w:ind w:firstLine="0"/>
              <w:jc w:val="left"/>
              <w:rPr>
                <w:rFonts w:ascii="宋体" w:hAnsi="宋体" w:eastAsia="宋体" w:cs="Times New Roman"/>
                <w:kern w:val="0"/>
                <w:sz w:val="22"/>
              </w:rPr>
            </w:pPr>
            <w:r>
              <w:rPr>
                <w:rFonts w:ascii="宋体" w:hAnsi="宋体" w:eastAsia="宋体" w:cs="Times New Roman"/>
                <w:kern w:val="0"/>
                <w:sz w:val="22"/>
              </w:rPr>
              <w:t>6)</w:t>
            </w:r>
            <w:r>
              <w:rPr>
                <w:rFonts w:hint="eastAsia" w:ascii="宋体" w:hAnsi="宋体" w:eastAsia="宋体" w:cs="Times New Roman"/>
                <w:kern w:val="0"/>
                <w:sz w:val="22"/>
              </w:rPr>
              <w:t>智能测量虚拟仿真实训系统应支持文档和动画帮助：点击帮助按钮后，画面中出现该处的解释文档或者动画；</w:t>
            </w:r>
          </w:p>
          <w:p w14:paraId="436413FD">
            <w:pPr>
              <w:ind w:firstLine="0"/>
              <w:jc w:val="left"/>
              <w:rPr>
                <w:rFonts w:ascii="宋体" w:hAnsi="宋体" w:eastAsia="宋体" w:cs="Times New Roman"/>
                <w:kern w:val="0"/>
                <w:sz w:val="22"/>
              </w:rPr>
            </w:pPr>
            <w:r>
              <w:rPr>
                <w:rFonts w:ascii="宋体" w:hAnsi="宋体" w:eastAsia="宋体" w:cs="Times New Roman"/>
                <w:kern w:val="0"/>
                <w:sz w:val="22"/>
              </w:rPr>
              <w:t>7)</w:t>
            </w:r>
            <w:r>
              <w:rPr>
                <w:rFonts w:hint="eastAsia" w:ascii="宋体" w:hAnsi="宋体" w:eastAsia="宋体" w:cs="Times New Roman"/>
                <w:kern w:val="0"/>
                <w:sz w:val="22"/>
              </w:rPr>
              <w:t>智能测量虚拟仿真实训系统应支持虚拟练习完成之后进行虚拟考核：测试题目分为单选、多选、判断；考核中支持在题目列表中选择题目进行答题，用不同的颜色代表未做、在做、已做试题；</w:t>
            </w:r>
          </w:p>
          <w:p w14:paraId="4B4674C7">
            <w:pPr>
              <w:ind w:firstLine="0"/>
              <w:jc w:val="left"/>
              <w:rPr>
                <w:rFonts w:ascii="宋体" w:hAnsi="宋体" w:eastAsia="宋体" w:cs="Times New Roman"/>
                <w:kern w:val="0"/>
                <w:sz w:val="22"/>
              </w:rPr>
            </w:pPr>
            <w:r>
              <w:rPr>
                <w:rFonts w:ascii="宋体" w:hAnsi="宋体" w:eastAsia="宋体" w:cs="Times New Roman"/>
                <w:kern w:val="0"/>
                <w:sz w:val="22"/>
              </w:rPr>
              <w:t>8)</w:t>
            </w:r>
            <w:r>
              <w:rPr>
                <w:rFonts w:hint="eastAsia" w:ascii="宋体" w:hAnsi="宋体" w:eastAsia="宋体" w:cs="Times New Roman"/>
                <w:kern w:val="0"/>
                <w:sz w:val="22"/>
              </w:rPr>
              <w:t>智能测量虚拟仿真实训系统支持虚拟仿真交互式练习与考核，将机器人现场施工的业务在系统中通过仿真的形式表现，且在考核过程中出具试题、穿插试验、虚拟的机器人控制系统等，如实反映机器人现实操作，其中考核试题不低于50道，交互步骤不低于50步；</w:t>
            </w:r>
          </w:p>
          <w:p w14:paraId="5B274379">
            <w:pPr>
              <w:ind w:firstLine="0"/>
              <w:jc w:val="left"/>
              <w:rPr>
                <w:rFonts w:ascii="宋体" w:hAnsi="宋体" w:eastAsia="宋体" w:cs="Times New Roman"/>
                <w:kern w:val="0"/>
                <w:sz w:val="22"/>
              </w:rPr>
            </w:pPr>
            <w:r>
              <w:rPr>
                <w:rFonts w:ascii="宋体" w:hAnsi="宋体" w:eastAsia="宋体" w:cs="Times New Roman"/>
                <w:kern w:val="0"/>
                <w:sz w:val="22"/>
              </w:rPr>
              <w:t>9)</w:t>
            </w:r>
            <w:r>
              <w:rPr>
                <w:rFonts w:hint="eastAsia" w:ascii="宋体" w:hAnsi="宋体" w:eastAsia="宋体" w:cs="Times New Roman"/>
                <w:kern w:val="0"/>
                <w:sz w:val="22"/>
              </w:rPr>
              <w:t>智能测量虚拟仿真实训系统至少包含以下教学与练习考核模块：“机器人认知”、“知识点练习”、“模拟练习”、“大赛考核”；</w:t>
            </w:r>
          </w:p>
          <w:p w14:paraId="31D940CE">
            <w:pPr>
              <w:ind w:firstLine="0"/>
              <w:jc w:val="left"/>
              <w:rPr>
                <w:rFonts w:ascii="宋体" w:hAnsi="宋体" w:eastAsia="宋体" w:cs="Times New Roman"/>
                <w:kern w:val="0"/>
                <w:sz w:val="22"/>
              </w:rPr>
            </w:pPr>
            <w:r>
              <w:rPr>
                <w:rFonts w:ascii="宋体" w:hAnsi="宋体" w:eastAsia="宋体" w:cs="Times New Roman"/>
                <w:kern w:val="0"/>
                <w:sz w:val="22"/>
              </w:rPr>
              <w:t>10)</w:t>
            </w:r>
            <w:r>
              <w:rPr>
                <w:rFonts w:hint="eastAsia" w:ascii="宋体" w:hAnsi="宋体" w:eastAsia="宋体" w:cs="Times New Roman"/>
                <w:kern w:val="0"/>
                <w:sz w:val="22"/>
              </w:rPr>
              <w:t>智能测量虚拟仿真实训系统机器人认知模块至少需包含：机器人外观认知、机器人使用手册、机器人标签显示三大模块；</w:t>
            </w:r>
          </w:p>
          <w:p w14:paraId="00E02F80">
            <w:pPr>
              <w:ind w:firstLine="0"/>
              <w:jc w:val="left"/>
              <w:rPr>
                <w:rFonts w:ascii="宋体" w:hAnsi="宋体" w:eastAsia="宋体" w:cs="Times New Roman"/>
                <w:kern w:val="0"/>
                <w:sz w:val="22"/>
              </w:rPr>
            </w:pPr>
            <w:r>
              <w:rPr>
                <w:rFonts w:ascii="宋体" w:hAnsi="宋体" w:eastAsia="宋体" w:cs="Times New Roman"/>
                <w:kern w:val="0"/>
                <w:sz w:val="22"/>
              </w:rPr>
              <w:t>11)</w:t>
            </w:r>
            <w:r>
              <w:rPr>
                <w:rFonts w:hint="eastAsia" w:ascii="宋体" w:hAnsi="宋体" w:eastAsia="宋体" w:cs="Times New Roman"/>
                <w:kern w:val="0"/>
                <w:sz w:val="22"/>
              </w:rPr>
              <w:t>智能测量虚拟仿真实训系统的机器人外观认知教学应包含：支持标签，点击相应的标签应弹出例如机器人指示灯、机器人控制屏、机器人开/关机等相关知识点介绍，以快速了解机器人；支持使用手册，手册中至少包含以下工序及内容，喷涂机器人施工准备、方案策划、喷涂准备、喷涂执行、施工结束，全流程现场施工的使用流程及理论基础；应可以查看机器人各个结构的标签，更加直观便捷的了解机器人各个部分。以上操作过程中应均可进行720度场景旋转，放大缩小进行查看，便于直观了解；</w:t>
            </w:r>
          </w:p>
          <w:p w14:paraId="01643651">
            <w:pPr>
              <w:ind w:firstLine="0"/>
              <w:jc w:val="left"/>
              <w:rPr>
                <w:rFonts w:ascii="宋体" w:hAnsi="宋体" w:eastAsia="宋体" w:cs="Times New Roman"/>
                <w:kern w:val="0"/>
                <w:sz w:val="22"/>
              </w:rPr>
            </w:pPr>
            <w:r>
              <w:rPr>
                <w:rFonts w:ascii="宋体" w:hAnsi="宋体" w:eastAsia="宋体" w:cs="Times New Roman"/>
                <w:kern w:val="0"/>
                <w:sz w:val="22"/>
              </w:rPr>
              <w:t>12)</w:t>
            </w:r>
            <w:r>
              <w:rPr>
                <w:rFonts w:hint="eastAsia" w:ascii="宋体" w:hAnsi="宋体" w:eastAsia="宋体" w:cs="Times New Roman"/>
                <w:kern w:val="0"/>
                <w:sz w:val="22"/>
              </w:rPr>
              <w:t>智能测量虚拟仿真实训系统应支持知识点练习模块：在知识点练习中，应支持通过练习题目作答来学习和了解机器人模拟过程和模拟过程中所需要的相关知识，并在提交后弹出练习结果给出解析；</w:t>
            </w:r>
          </w:p>
          <w:p w14:paraId="0B2566B0">
            <w:pPr>
              <w:ind w:firstLine="0"/>
              <w:jc w:val="left"/>
              <w:rPr>
                <w:rFonts w:ascii="宋体" w:hAnsi="宋体" w:eastAsia="宋体" w:cs="Times New Roman"/>
                <w:kern w:val="0"/>
                <w:sz w:val="22"/>
              </w:rPr>
            </w:pPr>
            <w:r>
              <w:rPr>
                <w:rFonts w:ascii="宋体" w:hAnsi="宋体" w:eastAsia="宋体" w:cs="Times New Roman"/>
                <w:kern w:val="0"/>
                <w:sz w:val="22"/>
              </w:rPr>
              <w:t>13)</w:t>
            </w:r>
            <w:r>
              <w:rPr>
                <w:rFonts w:hint="eastAsia" w:ascii="宋体" w:hAnsi="宋体" w:eastAsia="宋体" w:cs="Times New Roman"/>
                <w:kern w:val="0"/>
                <w:sz w:val="22"/>
              </w:rPr>
              <w:t>智能测量虚拟仿真实训系统应支持模拟练习模块：应包含施工准备、方案策划、喷涂准备、喷涂执行、施工结束五大部分，与机器人现场施工流程相对应；</w:t>
            </w:r>
          </w:p>
          <w:p w14:paraId="06B0F3D8">
            <w:pPr>
              <w:ind w:firstLine="0"/>
              <w:jc w:val="left"/>
              <w:rPr>
                <w:rFonts w:ascii="宋体" w:hAnsi="宋体" w:eastAsia="宋体" w:cs="Times New Roman"/>
                <w:kern w:val="0"/>
                <w:sz w:val="22"/>
              </w:rPr>
            </w:pPr>
            <w:r>
              <w:rPr>
                <w:rFonts w:ascii="宋体" w:hAnsi="宋体" w:eastAsia="宋体" w:cs="Times New Roman"/>
                <w:kern w:val="0"/>
                <w:sz w:val="22"/>
              </w:rPr>
              <w:t>14)</w:t>
            </w:r>
            <w:r>
              <w:rPr>
                <w:rFonts w:hint="eastAsia" w:ascii="宋体" w:hAnsi="宋体" w:eastAsia="宋体" w:cs="Times New Roman"/>
                <w:kern w:val="0"/>
                <w:sz w:val="22"/>
              </w:rPr>
              <w:t>智能测量虚拟仿真实训系统的施工准备模块至少需包含以下工序内容：装备准备、场地准备、工具准备、消防准备、机器人准备，满足机器人入场施工前所有准备工作要求，需在准备完成提交后实时给出在施工准备模块得分情况；</w:t>
            </w:r>
          </w:p>
          <w:p w14:paraId="6B9AE54F">
            <w:pPr>
              <w:ind w:firstLine="0"/>
              <w:jc w:val="left"/>
              <w:rPr>
                <w:rFonts w:ascii="宋体" w:hAnsi="宋体" w:eastAsia="宋体" w:cs="Times New Roman"/>
                <w:kern w:val="0"/>
                <w:sz w:val="22"/>
              </w:rPr>
            </w:pPr>
            <w:r>
              <w:rPr>
                <w:rFonts w:ascii="宋体" w:hAnsi="宋体" w:eastAsia="宋体" w:cs="Times New Roman"/>
                <w:kern w:val="0"/>
                <w:sz w:val="22"/>
              </w:rPr>
              <w:t>15)</w:t>
            </w:r>
            <w:r>
              <w:rPr>
                <w:rFonts w:hint="eastAsia" w:ascii="宋体" w:hAnsi="宋体" w:eastAsia="宋体" w:cs="Times New Roman"/>
                <w:kern w:val="0"/>
                <w:sz w:val="22"/>
              </w:rPr>
              <w:t>▲智能测量虚拟仿真实训系统的方案策划模块需包含以下内容：扫描建图、工艺动作设计、喷涂路径规划、喷涂任务规划、方案预览、预估数据总览等模块：</w:t>
            </w:r>
          </w:p>
          <w:p w14:paraId="3E8DB58E">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①扫描建图后，应可切换图纸、建图结果、对比图层进行查看；</w:t>
            </w:r>
          </w:p>
          <w:p w14:paraId="4729954A">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②工艺动作设计满足墙面喷涂各种作业场景的动作设计：工作区域应包含墙面、含窗墙面、含门墙面、阴角与阳角墙面，支持工艺工作命名、工艺参数设置（喷涂高度、门窗阴角阳角选择、喷涂点位个数、喷枪距墙距离、喷枪上下角度、喷枪左右角度、喷枪点位高度、喷枪开关状态、显示当前工艺动作预计使用涂料）；</w:t>
            </w:r>
          </w:p>
          <w:p w14:paraId="54D641D9">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③喷涂路径规划，可以依据施工图纸进行喷涂路径的规划：提供起点、路径点、终点的创建与编辑功能；支持便捷添加点位，添加的点位能自动捕捉到喷涂动作变化的边界点；支持作业段的生成，同时支持保存与加载本地路径规划数据，生成的作业段可查看添加的点位；</w:t>
            </w:r>
          </w:p>
          <w:p w14:paraId="09CB2C6B">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④喷涂任务规划可以进行喷涂任务规划设置（支持喷涂压力、喷涂速度、喷嘴型号、漆水比、小车行进速度的设置），支持各个作业段的工艺动作的设置，作业段的起点或者终点可设置为特殊工艺（如阴阳角喷涂工艺），同时可以显示设置作业段的预计使用涂料的工程量；</w:t>
            </w:r>
          </w:p>
          <w:p w14:paraId="3F7D33C6">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⑤喷涂方案预览可以对喷涂任务规划的结果作预喷演示，反映任务规划的可视情况，在播放时支持多种倍数速设置（最高不低于8倍速），当发现没有达到任务规划的预期时，可以返回工艺动作设计、喷涂路径规划、喷涂任务规划环节进行修改，且可在喷涂预览中预览修改后的虚拟喷涂；</w:t>
            </w:r>
          </w:p>
          <w:p w14:paraId="72032089">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⑥预估数据总览模块可以查看机器人作业任务（统计工作段与导航段数据）、机器人预计能耗、预计消耗涂料、预计消耗水、机器人行驶距离、机器人作业面积、机器人执行任务时长、机器人作业功效、机器人工作段行驶距离、机器人导航段行驶距离、单平涂料消耗量、单平水消耗量；</w:t>
            </w:r>
          </w:p>
          <w:p w14:paraId="19705B07">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⑦方案策划完成后可实时给出方案策划模块得分；</w:t>
            </w:r>
          </w:p>
          <w:p w14:paraId="6DD7258C">
            <w:pPr>
              <w:ind w:firstLine="0"/>
              <w:jc w:val="left"/>
              <w:rPr>
                <w:rFonts w:ascii="宋体" w:hAnsi="宋体" w:eastAsia="宋体" w:cs="Times New Roman"/>
                <w:kern w:val="0"/>
                <w:sz w:val="22"/>
              </w:rPr>
            </w:pPr>
            <w:r>
              <w:rPr>
                <w:rFonts w:ascii="宋体" w:hAnsi="宋体" w:eastAsia="宋体" w:cs="Times New Roman"/>
                <w:kern w:val="0"/>
                <w:sz w:val="22"/>
              </w:rPr>
              <w:t>16)</w:t>
            </w:r>
            <w:r>
              <w:rPr>
                <w:rFonts w:hint="eastAsia" w:ascii="宋体" w:hAnsi="宋体" w:eastAsia="宋体" w:cs="Times New Roman"/>
                <w:kern w:val="0"/>
                <w:sz w:val="22"/>
              </w:rPr>
              <w:t>智能测量虚拟仿真实训系统的喷涂准备模块应至少包含以下功能：喷料调配、涂料搅拌、倒入涂料、测试喷涂，严格按照施工要求进行虚拟流程模拟，可根据喷涂工艺的要求自行调整漆水比例；支持试喷模拟操作；</w:t>
            </w:r>
          </w:p>
          <w:p w14:paraId="1A8512F1">
            <w:pPr>
              <w:ind w:firstLine="0"/>
              <w:jc w:val="left"/>
              <w:rPr>
                <w:rFonts w:ascii="宋体" w:hAnsi="宋体" w:eastAsia="宋体" w:cs="Times New Roman"/>
                <w:kern w:val="0"/>
                <w:sz w:val="22"/>
              </w:rPr>
            </w:pPr>
            <w:r>
              <w:rPr>
                <w:rFonts w:ascii="宋体" w:hAnsi="宋体" w:eastAsia="宋体" w:cs="Times New Roman"/>
                <w:kern w:val="0"/>
                <w:sz w:val="22"/>
              </w:rPr>
              <w:t>17)</w:t>
            </w:r>
            <w:r>
              <w:rPr>
                <w:rFonts w:hint="eastAsia" w:ascii="宋体" w:hAnsi="宋体" w:eastAsia="宋体" w:cs="Times New Roman"/>
                <w:kern w:val="0"/>
                <w:sz w:val="22"/>
              </w:rPr>
              <w:t>▲智能测量虚拟仿真实训系统的喷涂执行模块，应包含控制喷涂机器人app的软件操作界面，及控制喷涂功能；在施工过程支持通过鼠标操作调整视角和具体来观察机器人喷涂情况；施工完成后应支持喷涂质量检测判断，并设置成品保护相关操作；完成提交后支持实时给出在喷涂执行模块得分情况；</w:t>
            </w:r>
          </w:p>
          <w:p w14:paraId="6CC6B944">
            <w:pPr>
              <w:ind w:firstLine="0"/>
              <w:jc w:val="left"/>
              <w:rPr>
                <w:rFonts w:ascii="宋体" w:hAnsi="宋体" w:eastAsia="宋体" w:cs="Times New Roman"/>
                <w:kern w:val="0"/>
                <w:sz w:val="22"/>
              </w:rPr>
            </w:pPr>
            <w:r>
              <w:rPr>
                <w:rFonts w:ascii="宋体" w:hAnsi="宋体" w:eastAsia="宋体" w:cs="Times New Roman"/>
                <w:kern w:val="0"/>
                <w:sz w:val="22"/>
              </w:rPr>
              <w:t>18)</w:t>
            </w:r>
            <w:r>
              <w:rPr>
                <w:rFonts w:hint="eastAsia" w:ascii="宋体" w:hAnsi="宋体" w:eastAsia="宋体" w:cs="Times New Roman"/>
                <w:kern w:val="0"/>
                <w:sz w:val="22"/>
              </w:rPr>
              <w:t>智能测量虚拟仿真实训系统在进入施工结束模块，系统支持模拟机器人余料处理；具备设备清洗场景，同时支持考核清水量的问题；系统需内置机器人操作中的突发事件的考核；支持机器人入库、断电充电等相关工作流程进行全过程虚拟仿真的交付场景；完成提交后支持实时给出在施工结束模块得分情况；</w:t>
            </w:r>
          </w:p>
          <w:p w14:paraId="437B74F2">
            <w:pPr>
              <w:ind w:firstLine="0"/>
              <w:jc w:val="left"/>
              <w:rPr>
                <w:rFonts w:ascii="宋体" w:hAnsi="宋体" w:eastAsia="宋体" w:cs="Times New Roman"/>
                <w:kern w:val="0"/>
                <w:sz w:val="22"/>
              </w:rPr>
            </w:pPr>
            <w:r>
              <w:rPr>
                <w:rFonts w:ascii="宋体" w:hAnsi="宋体" w:eastAsia="宋体" w:cs="Times New Roman"/>
                <w:kern w:val="0"/>
                <w:sz w:val="22"/>
              </w:rPr>
              <w:t>19)</w:t>
            </w:r>
            <w:r>
              <w:rPr>
                <w:rFonts w:hint="eastAsia" w:ascii="宋体" w:hAnsi="宋体" w:eastAsia="宋体" w:cs="Times New Roman"/>
                <w:kern w:val="0"/>
                <w:sz w:val="22"/>
              </w:rPr>
              <w:t>▲智能测量虚拟仿真实训系统应具备管理后台，支持控制使用时间，考试时间；并具备题库更新、试卷更新功能；后台具备记录得分详情并支持考核得分记录的导出</w:t>
            </w:r>
            <w:r>
              <w:rPr>
                <w:rFonts w:ascii="宋体" w:hAnsi="宋体" w:eastAsia="宋体" w:cs="Times New Roman"/>
                <w:kern w:val="0"/>
                <w:sz w:val="22"/>
              </w:rPr>
              <w:t>。</w:t>
            </w:r>
          </w:p>
          <w:p w14:paraId="76832FE9">
            <w:pPr>
              <w:numPr>
                <w:ilvl w:val="0"/>
                <w:numId w:val="43"/>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5G+远程实训系统</w:t>
            </w:r>
          </w:p>
          <w:p w14:paraId="21F99641">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（1）配套硬件要求</w:t>
            </w:r>
          </w:p>
          <w:p w14:paraId="3F221647">
            <w:pPr>
              <w:numPr>
                <w:ilvl w:val="0"/>
                <w:numId w:val="44"/>
              </w:numPr>
              <w:ind w:firstLine="0"/>
              <w:jc w:val="left"/>
              <w:rPr>
                <w:rFonts w:ascii="宋体" w:hAnsi="宋体" w:eastAsia="宋体" w:cs="Times New Roman"/>
                <w:kern w:val="0"/>
                <w:sz w:val="22"/>
              </w:rPr>
            </w:pPr>
            <w:r>
              <w:rPr>
                <w:rFonts w:hint="eastAsia" w:ascii="宋体" w:hAnsi="宋体" w:eastAsia="宋体" w:cs="Times New Roman"/>
                <w:kern w:val="0"/>
                <w:sz w:val="22"/>
              </w:rPr>
              <w:t>摄像头：学校端配备高清摄像头，分辨率不低于1080P，帧率达到30fps及以上，摄像头用于采集现场环境画面；</w:t>
            </w:r>
          </w:p>
          <w:p w14:paraId="24CA6CD6">
            <w:pPr>
              <w:numPr>
                <w:ilvl w:val="0"/>
                <w:numId w:val="44"/>
              </w:numPr>
              <w:ind w:firstLine="0"/>
              <w:jc w:val="left"/>
              <w:rPr>
                <w:rFonts w:ascii="宋体" w:hAnsi="宋体" w:eastAsia="宋体" w:cs="Times New Roman"/>
                <w:kern w:val="0"/>
                <w:sz w:val="22"/>
              </w:rPr>
            </w:pPr>
            <w:r>
              <w:rPr>
                <w:rFonts w:hint="eastAsia" w:ascii="宋体" w:hAnsi="宋体" w:eastAsia="宋体" w:cs="Times New Roman"/>
                <w:kern w:val="0"/>
                <w:sz w:val="22"/>
              </w:rPr>
              <w:t>网络类型及速率：采用高速网络，网速≥500M/S，以保障远程连接的流畅性和实时性，满足双向视频回传以及机器人远程操作指令传输的需求。</w:t>
            </w:r>
          </w:p>
          <w:p w14:paraId="4AD46D75">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（2）配套软件要求</w:t>
            </w:r>
          </w:p>
          <w:p w14:paraId="20FA4061">
            <w:pPr>
              <w:numPr>
                <w:ilvl w:val="0"/>
                <w:numId w:val="45"/>
              </w:numPr>
              <w:ind w:firstLine="0"/>
              <w:jc w:val="left"/>
              <w:rPr>
                <w:rFonts w:ascii="宋体" w:hAnsi="宋体" w:eastAsia="宋体" w:cs="Times New Roman"/>
                <w:kern w:val="0"/>
                <w:sz w:val="22"/>
              </w:rPr>
            </w:pPr>
            <w:r>
              <w:rPr>
                <w:rFonts w:hint="eastAsia" w:ascii="宋体" w:hAnsi="宋体" w:eastAsia="宋体" w:cs="Times New Roman"/>
                <w:kern w:val="0"/>
                <w:sz w:val="22"/>
              </w:rPr>
              <w:t>登录与权限管理：支持多角色登录，包括学校的学校管理员、教师、学生，以及企业负责人、机器人工程师。教师及以上角色具备选课权限，学生主要为操作角色；机器人工程师及企业负责人可接收指导实训工单；</w:t>
            </w:r>
          </w:p>
          <w:p w14:paraId="2DCC67F9">
            <w:pPr>
              <w:numPr>
                <w:ilvl w:val="0"/>
                <w:numId w:val="45"/>
              </w:numPr>
              <w:ind w:firstLine="0"/>
              <w:jc w:val="left"/>
              <w:rPr>
                <w:rFonts w:ascii="宋体" w:hAnsi="宋体" w:eastAsia="宋体" w:cs="Times New Roman"/>
                <w:kern w:val="0"/>
                <w:sz w:val="22"/>
              </w:rPr>
            </w:pPr>
            <w:r>
              <w:rPr>
                <w:rFonts w:hint="eastAsia" w:ascii="宋体" w:hAnsi="宋体" w:eastAsia="宋体" w:cs="Times New Roman"/>
                <w:kern w:val="0"/>
                <w:sz w:val="22"/>
              </w:rPr>
              <w:t>资源管理：机器人资源和现场工程师资源预约管理功能需支持至少100个并发预约请求，预约响应时间不超过1秒。排课系统能够按照学校区分，支持至少10所学校的课程安排，课程冲突检测时间不超过5秒；</w:t>
            </w:r>
          </w:p>
          <w:p w14:paraId="197CDE9D">
            <w:pPr>
              <w:numPr>
                <w:ilvl w:val="0"/>
                <w:numId w:val="45"/>
              </w:numPr>
              <w:ind w:firstLine="0"/>
              <w:jc w:val="left"/>
              <w:rPr>
                <w:rFonts w:ascii="宋体" w:hAnsi="宋体" w:eastAsia="宋体" w:cs="Times New Roman"/>
                <w:kern w:val="0"/>
                <w:sz w:val="22"/>
              </w:rPr>
            </w:pPr>
            <w:r>
              <w:rPr>
                <w:rFonts w:hint="eastAsia" w:ascii="宋体" w:hAnsi="宋体" w:eastAsia="宋体" w:cs="Times New Roman"/>
                <w:kern w:val="0"/>
                <w:sz w:val="22"/>
              </w:rPr>
              <w:t>实训功能：系统可以进行建筑施工机器人的策划与远程控制实训。</w:t>
            </w:r>
          </w:p>
          <w:p w14:paraId="401C9828">
            <w:pPr>
              <w:numPr>
                <w:ilvl w:val="0"/>
                <w:numId w:val="45"/>
              </w:numPr>
              <w:ind w:firstLine="0"/>
              <w:jc w:val="left"/>
              <w:rPr>
                <w:rFonts w:ascii="宋体" w:hAnsi="宋体" w:eastAsia="宋体" w:cs="Times New Roman"/>
                <w:kern w:val="0"/>
                <w:sz w:val="22"/>
              </w:rPr>
            </w:pPr>
            <w:r>
              <w:rPr>
                <w:rFonts w:hint="eastAsia" w:ascii="宋体" w:hAnsi="宋体" w:eastAsia="宋体" w:cs="Times New Roman"/>
                <w:kern w:val="0"/>
                <w:sz w:val="22"/>
              </w:rPr>
              <w:t>策划功能兼容智能测量虚拟仿真实训系统，包含进入方案策划模块需包含扫描建图、工艺动作设计、喷涂路径规划、喷涂任务规划、喷涂数方案预览、预估数据总览等模块:①扫描建图后，应可依次切换图纸、建图结果、对比图层进行查看；</w:t>
            </w:r>
          </w:p>
          <w:p w14:paraId="45BC6207">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②工艺动作设计满足墙面喷涂各种作业场景的动作设计包含墙面、含窗墙面、含门墙面、阴角与阳角墙面，支持工艺工作命名、工艺参数设置（喷涂高度、门窗阴角阳角选择、喷涂点位个数、喷枪距墙距离、喷枪上下角度、喷枪左右角度、喷枪点位高度、喷枪开关状态、显示当前工艺动作预计使用涂料）；</w:t>
            </w:r>
          </w:p>
          <w:p w14:paraId="10610F59">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③喷涂路径规划，可以依据施工图纸进行喷涂路径的规划，提供起点、路径点、终点的创建与编辑功能、并且添加的点能自动捕捉到喷涂动作变化的边界点，支持作业段的生成，同时支持将当前账号的路径规划的本地保存与加载，生成的作业段可下拉查看添加的点位；</w:t>
            </w:r>
          </w:p>
          <w:p w14:paraId="1876A447">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④喷涂任务规划可以进行喷涂任务规划设置（支持喷涂压力、喷涂速度、喷嘴型号、漆水比、小车行进速度的设置），在作业范围设置时，选中作业段列表中的作业段进行作业段工艺动作的设置选择，且包含作业段中起点或者终点为特殊工艺（阴阳角喷涂工艺）时的工艺动作选择，同时可以显示设置作业段的预计使用涂料的工程量；</w:t>
            </w:r>
          </w:p>
          <w:p w14:paraId="0666F23B">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⑤喷涂方案预览可以对喷涂任务规划的结果作预喷演示，反映任务规划的可视情况，在播放时支持1倍、2倍、4倍、8倍速的选择，当发现没有达到任务规划的预期时，可以返回工艺动作设计、喷涂路径规划、喷涂任务规划环节进行修改，且可在喷涂预览中预览修改后的虚拟喷涂；</w:t>
            </w:r>
          </w:p>
          <w:p w14:paraId="07B3A0A5">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⑥预估数据总览模块可以查看机器人作业任务（统计工作段与导航段数据）、机器人预计能耗、预计消耗涂料、预计消耗水、机器人行驶距离、机器人作业面积、机器人执行任务时长、机器人作业功效、机器人工作段行驶距离、机器人导航段行驶距离、单平涂料消耗量、单平水消耗量，并可以查看统计数据的名词解释；</w:t>
            </w:r>
          </w:p>
          <w:p w14:paraId="6E079274">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⑦在方案策划完成提交后实时给出在方案策划模块得分情况；</w:t>
            </w:r>
          </w:p>
          <w:p w14:paraId="596D4010">
            <w:pPr>
              <w:numPr>
                <w:ilvl w:val="0"/>
                <w:numId w:val="45"/>
              </w:numPr>
              <w:ind w:firstLine="0"/>
              <w:jc w:val="left"/>
              <w:rPr>
                <w:rFonts w:ascii="宋体" w:hAnsi="宋体" w:eastAsia="宋体" w:cs="Times New Roman"/>
                <w:kern w:val="0"/>
                <w:sz w:val="22"/>
              </w:rPr>
            </w:pPr>
            <w:r>
              <w:rPr>
                <w:rFonts w:hint="eastAsia" w:ascii="宋体" w:hAnsi="宋体" w:eastAsia="宋体" w:cs="Times New Roman"/>
                <w:kern w:val="0"/>
                <w:sz w:val="22"/>
              </w:rPr>
              <w:t>执行功能兼容机器人控制系统，需具备功能如下：</w:t>
            </w:r>
          </w:p>
          <w:p w14:paraId="094711AF">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①系统可以通过网络远程控制企业机器人执行命令，通过大屏可以实时看到企业端机器人执行动作；</w:t>
            </w:r>
          </w:p>
          <w:p w14:paraId="52101F87">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②系统可以通过开始、暂停与重置按钮，控制机器人的喷涂（执行策划命令）、暂停、重置动作；③系统可以支持地图缩略图的显隐；</w:t>
            </w:r>
          </w:p>
          <w:p w14:paraId="1D11B1C7">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④系统可控制机器人的前进、后退、左右等行走动作及暂停动作；</w:t>
            </w:r>
          </w:p>
          <w:p w14:paraId="63A220E7">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⑤系统支持小车、机械臂、升降机各自工作状态的查看；</w:t>
            </w:r>
          </w:p>
          <w:p w14:paraId="07DBAF54">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⑥系统还应单独支持向上喷涂、向下喷涂、向前移动、复位、底部喷涂姿态、开启喷涂、清洗等单个动作的控制；</w:t>
            </w:r>
          </w:p>
          <w:p w14:paraId="723FD418">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⑦系统还可以通过IO开关的操作组合来控制机器人的试喷、喷涂、清洗等任务执行；</w:t>
            </w:r>
          </w:p>
          <w:p w14:paraId="59C38F61">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⑧系统支持依据现场实际施工情况进行机器人工作流的创建，通过改变工作流中节点的属性实现喷涂动作的设定；</w:t>
            </w:r>
          </w:p>
          <w:p w14:paraId="69F3605B">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⑨系统喷涂动作设定支持语音输入转换成控制机器人动作执行的命令，实现语音控制机器人动作的执行；</w:t>
            </w:r>
          </w:p>
          <w:p w14:paraId="6317674F">
            <w:pPr>
              <w:numPr>
                <w:ilvl w:val="255"/>
                <w:numId w:val="0"/>
              </w:numPr>
              <w:jc w:val="left"/>
              <w:rPr>
                <w:rFonts w:ascii="宋体" w:hAnsi="宋体" w:eastAsia="宋体" w:cs="Times New Roman"/>
                <w:kern w:val="0"/>
                <w:sz w:val="22"/>
              </w:rPr>
            </w:pPr>
            <w:r>
              <w:rPr>
                <w:rFonts w:hint="eastAsia" w:ascii="宋体" w:hAnsi="宋体" w:eastAsia="宋体" w:cs="Times New Roman"/>
                <w:kern w:val="0"/>
                <w:sz w:val="22"/>
              </w:rPr>
              <w:t>⑩系统在执行过程中可以查看喷涂任务列表，从而查看任务执行情况；</w:t>
            </w:r>
          </w:p>
          <w:p w14:paraId="6ABF5252">
            <w:pPr>
              <w:numPr>
                <w:ilvl w:val="255"/>
                <w:numId w:val="0"/>
              </w:numPr>
              <w:jc w:val="left"/>
              <w:rPr>
                <w:rFonts w:ascii="宋体" w:hAnsi="宋体" w:eastAsia="宋体" w:cs="Times New Roman"/>
                <w:kern w:val="0"/>
                <w:sz w:val="22"/>
              </w:rPr>
            </w:pPr>
            <w:r>
              <w:rPr>
                <w:rFonts w:ascii="Cambria Math" w:hAnsi="Cambria Math" w:eastAsia="微软雅黑" w:cs="Cambria Math"/>
                <w:kern w:val="0"/>
                <w:sz w:val="22"/>
              </w:rPr>
              <w:t>⑪</w:t>
            </w:r>
            <w:r>
              <w:rPr>
                <w:rFonts w:hint="eastAsia" w:ascii="宋体" w:hAnsi="宋体" w:eastAsia="宋体" w:cs="Times New Roman"/>
                <w:kern w:val="0"/>
                <w:sz w:val="22"/>
              </w:rPr>
              <w:t>系统能依据激光雷达的数据信息实时显示机器人周围的障碍物情况；</w:t>
            </w:r>
          </w:p>
          <w:p w14:paraId="1AC483A1">
            <w:pPr>
              <w:numPr>
                <w:ilvl w:val="0"/>
                <w:numId w:val="45"/>
              </w:numPr>
              <w:ind w:firstLine="0"/>
              <w:jc w:val="left"/>
              <w:rPr>
                <w:rFonts w:ascii="宋体" w:hAnsi="宋体" w:eastAsia="宋体" w:cs="Times New Roman"/>
                <w:kern w:val="0"/>
                <w:sz w:val="22"/>
              </w:rPr>
            </w:pPr>
            <w:r>
              <w:rPr>
                <w:rFonts w:hint="eastAsia" w:ascii="宋体" w:hAnsi="宋体" w:eastAsia="宋体" w:cs="Times New Roman"/>
                <w:kern w:val="0"/>
                <w:sz w:val="22"/>
              </w:rPr>
              <w:t>考核与统计功能：知识点考核和实训任务考核题目存储量不少于500道，题目加载时间不超过2秒。实训情况排名统计支持实时更新，数据统计延迟不超过5分钟。</w:t>
            </w:r>
          </w:p>
          <w:p w14:paraId="7DFF1E4D">
            <w:pPr>
              <w:numPr>
                <w:ilvl w:val="0"/>
                <w:numId w:val="43"/>
              </w:numPr>
              <w:ind w:left="454" w:firstLine="0"/>
              <w:jc w:val="left"/>
              <w:rPr>
                <w:rFonts w:ascii="宋体" w:hAnsi="宋体" w:eastAsia="宋体" w:cs="Times New Roman"/>
                <w:b/>
                <w:bCs/>
                <w:kern w:val="0"/>
                <w:sz w:val="22"/>
              </w:rPr>
            </w:pPr>
            <w:r>
              <w:rPr>
                <w:rFonts w:hint="eastAsia" w:ascii="宋体" w:hAnsi="宋体" w:eastAsia="宋体" w:cs="Times New Roman"/>
                <w:b/>
                <w:bCs/>
                <w:kern w:val="0"/>
                <w:sz w:val="22"/>
              </w:rPr>
              <w:t>其他要求</w:t>
            </w:r>
          </w:p>
          <w:p w14:paraId="020986AE">
            <w:pPr>
              <w:numPr>
                <w:ilvl w:val="0"/>
                <w:numId w:val="46"/>
              </w:numPr>
              <w:ind w:firstLine="0"/>
              <w:jc w:val="left"/>
              <w:rPr>
                <w:rFonts w:ascii="宋体" w:hAnsi="宋体" w:eastAsia="宋体" w:cs="Times New Roman"/>
                <w:kern w:val="0"/>
                <w:sz w:val="22"/>
              </w:rPr>
            </w:pPr>
            <w:r>
              <w:rPr>
                <w:rFonts w:hint="eastAsia" w:ascii="宋体" w:hAnsi="宋体" w:eastAsia="宋体" w:cs="Times New Roman"/>
                <w:kern w:val="0"/>
                <w:sz w:val="22"/>
              </w:rPr>
              <w:t>智能测量</w:t>
            </w:r>
            <w:r>
              <w:rPr>
                <w:rFonts w:ascii="宋体" w:hAnsi="宋体" w:eastAsia="宋体" w:cs="Times New Roman"/>
                <w:kern w:val="0"/>
                <w:sz w:val="22"/>
              </w:rPr>
              <w:t>虚拟仿真实训系统</w:t>
            </w:r>
            <w:r>
              <w:rPr>
                <w:rFonts w:hint="eastAsia" w:ascii="宋体" w:hAnsi="宋体" w:eastAsia="宋体" w:cs="Times New Roman"/>
                <w:kern w:val="0"/>
                <w:sz w:val="22"/>
              </w:rPr>
              <w:t>、5G+远程实训系统模块</w:t>
            </w:r>
            <w:r>
              <w:rPr>
                <w:rFonts w:ascii="宋体" w:hAnsi="宋体" w:eastAsia="宋体" w:cs="Times New Roman"/>
                <w:kern w:val="0"/>
                <w:sz w:val="22"/>
              </w:rPr>
              <w:t>质保期</w:t>
            </w:r>
            <w:r>
              <w:rPr>
                <w:rFonts w:hint="eastAsia" w:ascii="宋体" w:hAnsi="宋体" w:eastAsia="宋体" w:cs="Times New Roman"/>
                <w:kern w:val="0"/>
                <w:sz w:val="22"/>
              </w:rPr>
              <w:t>不低于</w:t>
            </w:r>
            <w:r>
              <w:rPr>
                <w:rFonts w:ascii="宋体" w:hAnsi="宋体" w:eastAsia="宋体" w:cs="Times New Roman"/>
                <w:kern w:val="0"/>
                <w:sz w:val="22"/>
              </w:rPr>
              <w:t>三年，质保期过后无需二次升级</w:t>
            </w:r>
            <w:r>
              <w:rPr>
                <w:rFonts w:hint="eastAsia" w:ascii="宋体" w:hAnsi="宋体" w:eastAsia="宋体" w:cs="Times New Roman"/>
                <w:kern w:val="0"/>
                <w:sz w:val="22"/>
              </w:rPr>
              <w:t>（不升级不影响系统正常使用）</w:t>
            </w:r>
            <w:r>
              <w:rPr>
                <w:rFonts w:ascii="宋体" w:hAnsi="宋体" w:eastAsia="宋体" w:cs="Times New Roman"/>
                <w:kern w:val="0"/>
                <w:sz w:val="22"/>
              </w:rPr>
              <w:t>。</w:t>
            </w:r>
            <w:r>
              <w:rPr>
                <w:rFonts w:hint="eastAsia" w:ascii="宋体" w:hAnsi="宋体" w:eastAsia="宋体" w:cs="Times New Roman"/>
                <w:kern w:val="0"/>
                <w:sz w:val="22"/>
              </w:rPr>
              <w:t>智能测量</w:t>
            </w:r>
            <w:r>
              <w:rPr>
                <w:rFonts w:ascii="宋体" w:hAnsi="宋体" w:eastAsia="宋体" w:cs="Times New Roman"/>
                <w:kern w:val="0"/>
                <w:sz w:val="22"/>
              </w:rPr>
              <w:t>虚拟仿真实训系统</w:t>
            </w:r>
            <w:r>
              <w:rPr>
                <w:rFonts w:hint="eastAsia" w:ascii="宋体" w:hAnsi="宋体" w:eastAsia="宋体" w:cs="Times New Roman"/>
                <w:kern w:val="0"/>
                <w:sz w:val="22"/>
              </w:rPr>
              <w:t>、5G+远程实训系统模块</w:t>
            </w:r>
            <w:r>
              <w:rPr>
                <w:rFonts w:ascii="宋体" w:hAnsi="宋体" w:eastAsia="宋体" w:cs="Times New Roman"/>
                <w:kern w:val="0"/>
                <w:sz w:val="22"/>
              </w:rPr>
              <w:t>培训应不少于三次</w:t>
            </w:r>
            <w:r>
              <w:rPr>
                <w:rFonts w:hint="eastAsia" w:ascii="宋体" w:hAnsi="宋体" w:eastAsia="宋体" w:cs="Times New Roman"/>
                <w:kern w:val="0"/>
                <w:sz w:val="22"/>
              </w:rPr>
              <w:t>，质保期内提供不少于三次线下培训（培训讲师不少于2人，每次培训人次不低于10人），</w:t>
            </w:r>
            <w:r>
              <w:rPr>
                <w:rFonts w:ascii="宋体" w:hAnsi="宋体" w:eastAsia="宋体" w:cs="Times New Roman"/>
                <w:kern w:val="0"/>
                <w:sz w:val="22"/>
              </w:rPr>
              <w:t>如在使用过程中发生质量问题，中标人应在接到</w:t>
            </w:r>
            <w:r>
              <w:rPr>
                <w:rFonts w:hint="eastAsia" w:ascii="宋体" w:hAnsi="宋体" w:eastAsia="宋体" w:cs="Times New Roman"/>
                <w:kern w:val="0"/>
                <w:sz w:val="22"/>
              </w:rPr>
              <w:t>采购</w:t>
            </w:r>
            <w:r>
              <w:rPr>
                <w:rFonts w:ascii="宋体" w:hAnsi="宋体" w:eastAsia="宋体" w:cs="Times New Roman"/>
                <w:kern w:val="0"/>
                <w:sz w:val="22"/>
              </w:rPr>
              <w:t>方通知后在二十四小时内到达故障现场。</w:t>
            </w:r>
          </w:p>
        </w:tc>
        <w:tc>
          <w:tcPr>
            <w:tcW w:w="450" w:type="dxa"/>
            <w:vAlign w:val="center"/>
          </w:tcPr>
          <w:p w14:paraId="607B8566">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1</w:t>
            </w:r>
          </w:p>
        </w:tc>
        <w:tc>
          <w:tcPr>
            <w:tcW w:w="475" w:type="dxa"/>
            <w:vAlign w:val="center"/>
          </w:tcPr>
          <w:p w14:paraId="65F4A622">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套</w:t>
            </w:r>
          </w:p>
        </w:tc>
        <w:tc>
          <w:tcPr>
            <w:tcW w:w="1253" w:type="dxa"/>
            <w:vAlign w:val="center"/>
          </w:tcPr>
          <w:p w14:paraId="24490444">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2630000</w:t>
            </w:r>
          </w:p>
        </w:tc>
        <w:tc>
          <w:tcPr>
            <w:tcW w:w="1245" w:type="dxa"/>
            <w:vAlign w:val="center"/>
          </w:tcPr>
          <w:p w14:paraId="3C0C7E28">
            <w:pPr>
              <w:widowControl/>
              <w:ind w:firstLine="0"/>
              <w:jc w:val="center"/>
              <w:rPr>
                <w:rFonts w:ascii="宋体" w:hAnsi="宋体" w:eastAsia="宋体" w:cs="Times New Roman"/>
                <w:kern w:val="0"/>
                <w:sz w:val="22"/>
              </w:rPr>
            </w:pPr>
            <w:r>
              <w:rPr>
                <w:rFonts w:hint="eastAsia" w:ascii="宋体" w:hAnsi="宋体" w:eastAsia="宋体" w:cs="Times New Roman"/>
                <w:kern w:val="0"/>
                <w:sz w:val="22"/>
              </w:rPr>
              <w:t>2630000</w:t>
            </w:r>
          </w:p>
        </w:tc>
      </w:tr>
    </w:tbl>
    <w:p w14:paraId="5C0D826B">
      <w:pPr>
        <w:rPr>
          <w:rFonts w:ascii="宋体" w:hAnsi="宋体" w:eastAsia="宋体" w:cs="Times New Roman"/>
          <w:szCs w:val="24"/>
        </w:rPr>
      </w:pPr>
    </w:p>
    <w:p w14:paraId="2CEDD0C9">
      <w:pPr>
        <w:rPr>
          <w:rFonts w:ascii="宋体" w:hAnsi="宋体" w:eastAsia="宋体" w:cs="Times New Roman"/>
          <w:szCs w:val="24"/>
        </w:rPr>
      </w:pPr>
      <w:r>
        <w:rPr>
          <w:rFonts w:ascii="宋体" w:hAnsi="宋体" w:eastAsia="宋体" w:cs="Times New Roman"/>
          <w:szCs w:val="24"/>
        </w:rPr>
        <w:br w:type="page"/>
      </w:r>
    </w:p>
    <w:p w14:paraId="003D5FA9">
      <w:pPr>
        <w:ind w:firstLine="482" w:firstLineChars="200"/>
        <w:outlineLvl w:val="2"/>
        <w:rPr>
          <w:rFonts w:ascii="宋体" w:hAnsi="宋体" w:eastAsia="宋体" w:cs="仿宋_GB2312"/>
          <w:b/>
          <w:sz w:val="24"/>
          <w:szCs w:val="24"/>
        </w:rPr>
      </w:pPr>
      <w:r>
        <w:rPr>
          <w:rFonts w:hint="eastAsia" w:ascii="宋体" w:hAnsi="宋体" w:eastAsia="宋体" w:cs="仿宋_GB2312"/>
          <w:b/>
          <w:sz w:val="24"/>
          <w:szCs w:val="24"/>
        </w:rPr>
        <w:t>（二）</w:t>
      </w:r>
      <w:r>
        <w:rPr>
          <w:rFonts w:ascii="宋体" w:hAnsi="宋体" w:eastAsia="宋体" w:cs="仿宋_GB2312"/>
          <w:b/>
          <w:sz w:val="24"/>
          <w:szCs w:val="24"/>
        </w:rPr>
        <w:t>商务要求</w:t>
      </w:r>
    </w:p>
    <w:tbl>
      <w:tblPr>
        <w:tblStyle w:val="53"/>
        <w:tblW w:w="100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71"/>
        <w:gridCol w:w="7644"/>
      </w:tblGrid>
      <w:tr w14:paraId="463C8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2D6D2172">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一）合同签订期</w:t>
            </w:r>
          </w:p>
        </w:tc>
        <w:tc>
          <w:tcPr>
            <w:tcW w:w="7644" w:type="dxa"/>
            <w:tcBorders>
              <w:top w:val="single" w:color="auto" w:sz="4" w:space="0"/>
              <w:left w:val="single" w:color="auto" w:sz="4" w:space="0"/>
              <w:bottom w:val="single" w:color="auto" w:sz="4" w:space="0"/>
              <w:right w:val="single" w:color="auto" w:sz="4" w:space="0"/>
            </w:tcBorders>
            <w:vAlign w:val="center"/>
          </w:tcPr>
          <w:p w14:paraId="5236DF71">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自中标通知书发出之日起25日内。</w:t>
            </w:r>
          </w:p>
        </w:tc>
      </w:tr>
      <w:tr w14:paraId="6029D1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57387B32">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w:t>
            </w:r>
            <w:r>
              <w:rPr>
                <w:rFonts w:hint="eastAsia" w:ascii="宋体" w:hAnsi="宋体" w:eastAsia="宋体" w:cs="仿宋_GB2312"/>
                <w:szCs w:val="21"/>
              </w:rPr>
              <w:t>二）合同履约期限</w:t>
            </w:r>
          </w:p>
        </w:tc>
        <w:tc>
          <w:tcPr>
            <w:tcW w:w="7644" w:type="dxa"/>
            <w:tcBorders>
              <w:top w:val="single" w:color="auto" w:sz="4" w:space="0"/>
              <w:left w:val="single" w:color="auto" w:sz="4" w:space="0"/>
              <w:bottom w:val="single" w:color="auto" w:sz="4" w:space="0"/>
              <w:right w:val="single" w:color="auto" w:sz="4" w:space="0"/>
            </w:tcBorders>
            <w:vAlign w:val="center"/>
          </w:tcPr>
          <w:p w14:paraId="78B19D88">
            <w:pPr>
              <w:spacing w:line="400" w:lineRule="exact"/>
              <w:ind w:firstLine="0" w:firstLineChars="0"/>
              <w:rPr>
                <w:rFonts w:ascii="宋体" w:hAnsi="宋体" w:eastAsia="宋体" w:cs="仿宋_GB2312"/>
                <w:szCs w:val="21"/>
              </w:rPr>
            </w:pPr>
            <w:r>
              <w:rPr>
                <w:rFonts w:hint="eastAsia" w:ascii="宋体" w:hAnsi="宋体" w:eastAsia="宋体" w:cs="仿宋_GB2312"/>
                <w:szCs w:val="21"/>
              </w:rPr>
              <w:t>合同签订后，接到采购人书面通知进场安装起30个日历日内安装调试完毕。</w:t>
            </w:r>
          </w:p>
        </w:tc>
      </w:tr>
      <w:tr w14:paraId="0F9D2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1FB4D077">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szCs w:val="21"/>
              </w:rPr>
              <w:t>（三）服务地点</w:t>
            </w:r>
          </w:p>
        </w:tc>
        <w:tc>
          <w:tcPr>
            <w:tcW w:w="7644" w:type="dxa"/>
            <w:tcBorders>
              <w:top w:val="single" w:color="auto" w:sz="4" w:space="0"/>
              <w:left w:val="single" w:color="auto" w:sz="4" w:space="0"/>
              <w:bottom w:val="single" w:color="auto" w:sz="4" w:space="0"/>
              <w:right w:val="single" w:color="auto" w:sz="4" w:space="0"/>
            </w:tcBorders>
            <w:vAlign w:val="center"/>
          </w:tcPr>
          <w:p w14:paraId="7BC66237">
            <w:pPr>
              <w:spacing w:line="400" w:lineRule="exact"/>
              <w:ind w:firstLine="0" w:firstLineChars="0"/>
              <w:rPr>
                <w:rFonts w:ascii="宋体" w:hAnsi="宋体" w:eastAsia="宋体" w:cs="仿宋_GB2312"/>
                <w:szCs w:val="21"/>
              </w:rPr>
            </w:pPr>
            <w:r>
              <w:rPr>
                <w:rFonts w:hint="eastAsia" w:ascii="宋体" w:hAnsi="宋体" w:eastAsia="宋体" w:cs="仿宋_GB2312"/>
                <w:szCs w:val="21"/>
              </w:rPr>
              <w:t>南宁市采购人指定地点。</w:t>
            </w:r>
          </w:p>
        </w:tc>
      </w:tr>
      <w:tr w14:paraId="5064B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587666A1">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（四）</w:t>
            </w:r>
            <w:r>
              <w:rPr>
                <w:rFonts w:hint="eastAsia" w:ascii="宋体" w:hAnsi="宋体" w:eastAsia="宋体" w:cs="仿宋_GB2312"/>
                <w:szCs w:val="21"/>
              </w:rPr>
              <w:t>付款方式</w:t>
            </w:r>
          </w:p>
        </w:tc>
        <w:tc>
          <w:tcPr>
            <w:tcW w:w="7644" w:type="dxa"/>
            <w:tcBorders>
              <w:top w:val="single" w:color="auto" w:sz="4" w:space="0"/>
              <w:left w:val="single" w:color="auto" w:sz="4" w:space="0"/>
              <w:bottom w:val="single" w:color="auto" w:sz="4" w:space="0"/>
              <w:right w:val="single" w:color="auto" w:sz="4" w:space="0"/>
            </w:tcBorders>
          </w:tcPr>
          <w:p w14:paraId="169291B5">
            <w:pPr>
              <w:spacing w:line="400" w:lineRule="exact"/>
              <w:ind w:firstLine="0" w:firstLineChars="0"/>
              <w:rPr>
                <w:rFonts w:ascii="宋体" w:hAnsi="宋体" w:eastAsia="宋体" w:cs="仿宋_GB2312"/>
                <w:szCs w:val="21"/>
              </w:rPr>
            </w:pPr>
            <w:r>
              <w:rPr>
                <w:rFonts w:hint="eastAsia" w:ascii="宋体" w:hAnsi="宋体" w:eastAsia="宋体" w:cs="仿宋_GB2312"/>
                <w:szCs w:val="21"/>
              </w:rPr>
              <w:t>自签订合同之日起10个工作日内，招标人向中标人支付合同金额的30%作为预付款；中标人交货安装调试完毕并经招标人验收合格后，由中标人开具有效合格发票，招标人于10个工作日内向中标人支付合同金额的70%。</w:t>
            </w:r>
          </w:p>
        </w:tc>
      </w:tr>
      <w:tr w14:paraId="59709A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90"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52DA84DB">
            <w:pPr>
              <w:widowControl/>
              <w:spacing w:line="400" w:lineRule="exact"/>
              <w:ind w:firstLine="0"/>
              <w:jc w:val="center"/>
              <w:rPr>
                <w:rFonts w:ascii="宋体" w:hAnsi="宋体" w:eastAsia="宋体" w:cs="仿宋_GB2312"/>
                <w:b/>
                <w:szCs w:val="21"/>
              </w:rPr>
            </w:pPr>
            <w:r>
              <w:rPr>
                <w:rFonts w:hint="eastAsia" w:ascii="宋体" w:hAnsi="宋体" w:eastAsia="宋体" w:cs="仿宋_GB2312"/>
                <w:b/>
                <w:szCs w:val="21"/>
              </w:rPr>
              <w:t>▲</w:t>
            </w:r>
            <w:r>
              <w:rPr>
                <w:rFonts w:hint="eastAsia" w:ascii="宋体" w:hAnsi="宋体" w:eastAsia="宋体" w:cs="仿宋_GB2312"/>
                <w:bCs/>
                <w:szCs w:val="21"/>
              </w:rPr>
              <w:t>（五）履约保证金</w:t>
            </w:r>
          </w:p>
        </w:tc>
        <w:tc>
          <w:tcPr>
            <w:tcW w:w="7644" w:type="dxa"/>
            <w:tcBorders>
              <w:top w:val="single" w:color="auto" w:sz="4" w:space="0"/>
              <w:left w:val="single" w:color="auto" w:sz="4" w:space="0"/>
              <w:bottom w:val="single" w:color="auto" w:sz="4" w:space="0"/>
              <w:right w:val="single" w:color="auto" w:sz="4" w:space="0"/>
            </w:tcBorders>
          </w:tcPr>
          <w:p w14:paraId="18CB3967">
            <w:pPr>
              <w:spacing w:line="400" w:lineRule="exact"/>
              <w:ind w:firstLine="0" w:firstLineChars="0"/>
              <w:rPr>
                <w:rFonts w:ascii="宋体" w:hAnsi="宋体" w:eastAsia="宋体" w:cs="仿宋_GB2312"/>
                <w:szCs w:val="21"/>
              </w:rPr>
            </w:pPr>
            <w:r>
              <w:rPr>
                <w:rFonts w:hint="eastAsia" w:ascii="宋体" w:hAnsi="宋体" w:eastAsia="宋体" w:cs="仿宋_GB2312"/>
                <w:szCs w:val="21"/>
              </w:rPr>
              <w:t>1.履约保证金金额：履约保证金按合同金额的5%缴纳（如中标供应商为中小企业，按照合同金额的2%收取履约保证金），自中标通知书发出后、签订合同前，中标供应商应将履约保证金缴纳至采购人指定账户，逾期未缴纳的，视为中标供应商放弃中标资格，应赔偿采购人损失。</w:t>
            </w:r>
          </w:p>
          <w:p w14:paraId="173F8E84">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hint="eastAsia" w:ascii="宋体" w:hAnsi="宋体" w:eastAsia="宋体" w:cs="仿宋_GB2312"/>
                <w:iCs/>
                <w:szCs w:val="21"/>
              </w:rPr>
              <w:t>履约保证金递交方式：中标人在签订合同前以银行转账、支票、汇票、本票或者金融机构、担保机构出具的保函等非现金方式向采购人提交。</w:t>
            </w:r>
          </w:p>
          <w:p w14:paraId="4326F31A">
            <w:pPr>
              <w:spacing w:line="400" w:lineRule="exact"/>
              <w:ind w:firstLine="0" w:firstLineChars="0"/>
              <w:rPr>
                <w:rFonts w:ascii="宋体" w:hAnsi="宋体" w:eastAsia="宋体" w:cs="仿宋_GB2312"/>
                <w:szCs w:val="21"/>
              </w:rPr>
            </w:pPr>
            <w:r>
              <w:rPr>
                <w:rFonts w:hint="eastAsia" w:ascii="宋体" w:hAnsi="宋体" w:eastAsia="宋体" w:cs="仿宋_GB2312"/>
                <w:szCs w:val="21"/>
              </w:rPr>
              <w:t>3.履约保证金退付方式、时间及条件： 本项目合同履约期限满，中标人履行完服务义务且无违约情况下无息退付。由中标人向履约保证金收取单位提供《广西壮族自治区政府采购项目合同验收书》（详见桂财采〔2015〕22号），采购人在收到合格材料后10个工作日内办理退还手续（不计利息）。</w:t>
            </w:r>
          </w:p>
          <w:p w14:paraId="1D575E79">
            <w:pPr>
              <w:spacing w:line="400" w:lineRule="exact"/>
              <w:ind w:firstLine="0" w:firstLineChars="0"/>
              <w:rPr>
                <w:rFonts w:ascii="宋体" w:hAnsi="宋体" w:eastAsia="宋体" w:cs="仿宋_GB2312"/>
                <w:szCs w:val="21"/>
              </w:rPr>
            </w:pPr>
            <w:r>
              <w:rPr>
                <w:rFonts w:hint="eastAsia" w:ascii="宋体" w:hAnsi="宋体" w:eastAsia="宋体" w:cs="仿宋_GB2312"/>
                <w:szCs w:val="21"/>
              </w:rPr>
              <w:t>4.履约保证金缴纳账号信息：</w:t>
            </w:r>
          </w:p>
          <w:p w14:paraId="4882DB20">
            <w:pPr>
              <w:spacing w:line="400" w:lineRule="exact"/>
              <w:ind w:firstLine="0" w:firstLineChars="0"/>
              <w:rPr>
                <w:rFonts w:ascii="宋体" w:hAnsi="宋体" w:eastAsia="宋体" w:cs="仿宋_GB2312"/>
                <w:szCs w:val="21"/>
              </w:rPr>
            </w:pPr>
            <w:r>
              <w:rPr>
                <w:rFonts w:hint="eastAsia" w:ascii="宋体" w:hAnsi="宋体" w:eastAsia="宋体" w:cs="仿宋_GB2312"/>
                <w:szCs w:val="21"/>
              </w:rPr>
              <w:t xml:space="preserve">开户名称：广西交通职业技术学院 </w:t>
            </w:r>
          </w:p>
          <w:p w14:paraId="404CA2C1">
            <w:pPr>
              <w:spacing w:line="400" w:lineRule="exact"/>
              <w:ind w:firstLine="0" w:firstLineChars="0"/>
              <w:rPr>
                <w:rFonts w:ascii="宋体" w:hAnsi="宋体" w:eastAsia="宋体" w:cs="仿宋_GB2312"/>
                <w:szCs w:val="21"/>
              </w:rPr>
            </w:pPr>
            <w:r>
              <w:rPr>
                <w:rFonts w:hint="eastAsia" w:ascii="宋体" w:hAnsi="宋体" w:eastAsia="宋体" w:cs="仿宋_GB2312"/>
                <w:szCs w:val="21"/>
              </w:rPr>
              <w:t>开户银行：中国建设银行股份有限公司南宁园湖北路支行</w:t>
            </w:r>
          </w:p>
          <w:p w14:paraId="301FC366">
            <w:pPr>
              <w:spacing w:line="400" w:lineRule="exact"/>
              <w:ind w:firstLine="0" w:firstLineChars="0"/>
              <w:rPr>
                <w:rFonts w:ascii="宋体" w:hAnsi="宋体" w:eastAsia="宋体" w:cs="仿宋_GB2312"/>
                <w:szCs w:val="21"/>
              </w:rPr>
            </w:pPr>
            <w:r>
              <w:rPr>
                <w:rFonts w:hint="eastAsia" w:ascii="宋体" w:hAnsi="宋体" w:eastAsia="宋体" w:cs="仿宋_GB2312"/>
                <w:szCs w:val="21"/>
              </w:rPr>
              <w:t>银行账号： 45050160435309888999</w:t>
            </w:r>
          </w:p>
        </w:tc>
      </w:tr>
      <w:tr w14:paraId="65E2A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71" w:type="dxa"/>
            <w:tcBorders>
              <w:top w:val="single" w:color="auto" w:sz="4" w:space="0"/>
              <w:left w:val="single" w:color="auto" w:sz="4" w:space="0"/>
              <w:bottom w:val="single" w:color="auto" w:sz="4" w:space="0"/>
              <w:right w:val="single" w:color="auto" w:sz="4" w:space="0"/>
            </w:tcBorders>
            <w:vAlign w:val="center"/>
          </w:tcPr>
          <w:p w14:paraId="104DC00E">
            <w:pPr>
              <w:widowControl/>
              <w:spacing w:line="400" w:lineRule="exact"/>
              <w:jc w:val="center"/>
              <w:rPr>
                <w:rFonts w:ascii="宋体" w:hAnsi="宋体" w:eastAsia="宋体" w:cs="仿宋_GB2312"/>
                <w:szCs w:val="21"/>
              </w:rPr>
            </w:pPr>
            <w:r>
              <w:rPr>
                <w:rFonts w:hint="eastAsia" w:ascii="宋体" w:hAnsi="宋体" w:eastAsia="宋体" w:cs="仿宋_GB2312"/>
                <w:szCs w:val="21"/>
              </w:rPr>
              <w:t>▲（六）验收方法及要求</w:t>
            </w:r>
          </w:p>
        </w:tc>
        <w:tc>
          <w:tcPr>
            <w:tcW w:w="7644" w:type="dxa"/>
            <w:tcBorders>
              <w:top w:val="single" w:color="auto" w:sz="4" w:space="0"/>
              <w:left w:val="single" w:color="auto" w:sz="4" w:space="0"/>
              <w:bottom w:val="single" w:color="auto" w:sz="4" w:space="0"/>
              <w:right w:val="single" w:color="auto" w:sz="4" w:space="0"/>
            </w:tcBorders>
          </w:tcPr>
          <w:p w14:paraId="7F4F37EC">
            <w:pPr>
              <w:spacing w:line="400" w:lineRule="exact"/>
              <w:ind w:firstLine="0" w:firstLineChars="0"/>
              <w:rPr>
                <w:rFonts w:ascii="宋体" w:hAnsi="宋体" w:eastAsia="宋体" w:cs="仿宋_GB2312"/>
                <w:szCs w:val="21"/>
              </w:rPr>
            </w:pPr>
            <w:r>
              <w:rPr>
                <w:rFonts w:hint="eastAsia" w:ascii="宋体" w:hAnsi="宋体" w:eastAsia="宋体" w:cs="仿宋_GB2312"/>
                <w:szCs w:val="21"/>
              </w:rPr>
              <w:t>1.验收标准、规范：按照《财政部关于进一步加强政府采购需求和履约验收管理的指导意见》（财库〔2016〕205号）、《关于印发广西壮族自治区政府采购项目履约验收管理办法的通知》（桂财采〔2015〕22号）等有关规定执行，并符合相关国家标准、行业标准、地方标准或其他强制性标准及规范、投标文件承诺及招标文件要求。</w:t>
            </w:r>
          </w:p>
          <w:p w14:paraId="620B8A48">
            <w:pPr>
              <w:spacing w:line="400" w:lineRule="exact"/>
              <w:ind w:firstLine="0" w:firstLineChars="0"/>
              <w:rPr>
                <w:rFonts w:ascii="宋体" w:hAnsi="宋体" w:eastAsia="宋体" w:cs="仿宋_GB2312"/>
                <w:szCs w:val="21"/>
              </w:rPr>
            </w:pPr>
            <w:r>
              <w:rPr>
                <w:rFonts w:hint="eastAsia" w:ascii="宋体" w:hAnsi="宋体" w:eastAsia="宋体" w:cs="仿宋_GB2312"/>
                <w:szCs w:val="21"/>
              </w:rPr>
              <w:t>2.</w:t>
            </w:r>
            <w:r>
              <w:rPr>
                <w:rFonts w:ascii="宋体" w:hAnsi="宋体" w:eastAsia="宋体" w:cs="仿宋_GB2312"/>
                <w:szCs w:val="21"/>
              </w:rPr>
              <w:t>中标人按要求完成交付后，应以书面形式正式向采购人递交验收申请书，采购人收到验收申请书后，按照采购人单位规定流程组织项目验收，验收过程中所产生的一切费用均由成交供应商承担，报价时应考虑相关费用。</w:t>
            </w:r>
          </w:p>
          <w:p w14:paraId="3663868D">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货物验收时由采购人对照采购文件的《技术参数及性能（配置）要求》进行全面核对检验，对所有要求出具的文件和材料的原件进行核查，如不符合采购文件要求或提供虚假承诺的，虚假检测报告等虚假材料的，采购人有权拒绝验收并认定中标人违约，采购人有权单方解除合同，中标人承担所有责任和费用，采购人保留进一步追究责任的权利。</w:t>
            </w:r>
          </w:p>
          <w:p w14:paraId="5A79DA12">
            <w:pPr>
              <w:spacing w:line="400" w:lineRule="exact"/>
              <w:ind w:firstLine="0" w:firstLineChars="0"/>
              <w:rPr>
                <w:rFonts w:ascii="宋体" w:hAnsi="宋体" w:eastAsia="宋体" w:cs="仿宋_GB2312"/>
                <w:szCs w:val="21"/>
              </w:rPr>
            </w:pPr>
            <w:r>
              <w:rPr>
                <w:rFonts w:hint="eastAsia" w:ascii="宋体" w:hAnsi="宋体" w:eastAsia="宋体" w:cs="仿宋_GB2312"/>
                <w:szCs w:val="21"/>
              </w:rPr>
              <w:t>4</w:t>
            </w:r>
            <w:r>
              <w:rPr>
                <w:rFonts w:ascii="宋体" w:hAnsi="宋体" w:eastAsia="宋体" w:cs="仿宋_GB2312"/>
                <w:szCs w:val="21"/>
              </w:rPr>
              <w:t>.验收按项目要求及技术需求进行验收，包括但不限于全部设备、产品、型号、规格、数量、外型、外观、包装及资料、文件（如装箱单、保修单、随箱介质等）/各项服务等里程碑的交付物，所有产品在验收时应当符合国家法律法规，执行国家相关标准、行业标准，地方标准及招标文件中要求符合的技术标准。当成交供应商未能满足以下全部要求时，属于验收不合格：</w:t>
            </w:r>
          </w:p>
          <w:p w14:paraId="5757643B">
            <w:pPr>
              <w:spacing w:line="400" w:lineRule="exact"/>
              <w:ind w:firstLine="0" w:firstLineChars="0"/>
              <w:rPr>
                <w:rFonts w:ascii="宋体" w:hAnsi="宋体" w:eastAsia="宋体" w:cs="仿宋_GB2312"/>
                <w:szCs w:val="21"/>
              </w:rPr>
            </w:pPr>
            <w:r>
              <w:rPr>
                <w:rFonts w:ascii="宋体" w:hAnsi="宋体" w:eastAsia="宋体" w:cs="仿宋_GB2312"/>
                <w:szCs w:val="21"/>
              </w:rPr>
              <w:t>（1）按照合同规定提供了全部产品及完整的技术资料。</w:t>
            </w:r>
          </w:p>
          <w:p w14:paraId="7ABD6D9A">
            <w:pPr>
              <w:spacing w:line="400" w:lineRule="exact"/>
              <w:ind w:firstLine="0" w:firstLineChars="0"/>
              <w:rPr>
                <w:rFonts w:ascii="宋体" w:hAnsi="宋体" w:eastAsia="宋体" w:cs="仿宋_GB2312"/>
                <w:szCs w:val="21"/>
              </w:rPr>
            </w:pPr>
            <w:r>
              <w:rPr>
                <w:rFonts w:ascii="宋体" w:hAnsi="宋体" w:eastAsia="宋体" w:cs="仿宋_GB2312"/>
                <w:szCs w:val="21"/>
              </w:rPr>
              <w:t>（2）货物各项参数完全符合《主要技术参数及性能（配置）要求》的要求，性能满足要求，所有系统按要求完成安装调试，正常运行，仿真系统整体运行正常。</w:t>
            </w:r>
          </w:p>
          <w:p w14:paraId="78618850">
            <w:pPr>
              <w:spacing w:line="400" w:lineRule="exact"/>
              <w:ind w:firstLine="0" w:firstLineChars="0"/>
              <w:rPr>
                <w:rFonts w:ascii="宋体" w:hAnsi="宋体" w:eastAsia="宋体" w:cs="仿宋_GB2312"/>
                <w:szCs w:val="21"/>
              </w:rPr>
            </w:pPr>
            <w:r>
              <w:rPr>
                <w:rFonts w:hint="eastAsia" w:ascii="宋体" w:hAnsi="宋体" w:eastAsia="宋体" w:cs="仿宋_GB2312"/>
                <w:szCs w:val="21"/>
              </w:rPr>
              <w:t>5</w:t>
            </w:r>
            <w:r>
              <w:rPr>
                <w:rFonts w:ascii="宋体" w:hAnsi="宋体" w:eastAsia="宋体" w:cs="仿宋_GB2312"/>
                <w:szCs w:val="21"/>
              </w:rPr>
              <w:t>.验收不合格时，采购人有权责令成交供应商限期整改，或有权拒绝验收并解除合同，相关损失与责任由成交供应商承担，采购人保留进一步追究成交供应商违约责任的权利。如存在争议，双方均有权向相关部门申请鉴定，鉴定费由中标人承担。</w:t>
            </w:r>
          </w:p>
          <w:p w14:paraId="7D7B2E5B">
            <w:pPr>
              <w:spacing w:line="400" w:lineRule="exact"/>
              <w:ind w:firstLine="0" w:firstLineChars="0"/>
              <w:rPr>
                <w:rFonts w:ascii="宋体" w:hAnsi="宋体" w:eastAsia="宋体" w:cs="仿宋_GB2312"/>
                <w:szCs w:val="21"/>
              </w:rPr>
            </w:pPr>
            <w:r>
              <w:rPr>
                <w:rFonts w:hint="eastAsia" w:ascii="宋体" w:hAnsi="宋体" w:eastAsia="宋体" w:cs="仿宋_GB2312"/>
                <w:szCs w:val="21"/>
              </w:rPr>
              <w:t>6</w:t>
            </w:r>
            <w:r>
              <w:rPr>
                <w:rFonts w:ascii="宋体" w:hAnsi="宋体" w:eastAsia="宋体" w:cs="仿宋_GB2312"/>
                <w:szCs w:val="21"/>
              </w:rPr>
              <w:t>.在验收过程中发现中标人有违约问题，暂缓资金结算，待违约问题解决后，方可办理资金结算事宜，在此期间，采购人不承担逾期付款责任。</w:t>
            </w:r>
          </w:p>
        </w:tc>
      </w:tr>
      <w:tr w14:paraId="78C6F5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371" w:type="dxa"/>
            <w:tcBorders>
              <w:top w:val="single" w:color="auto" w:sz="4" w:space="0"/>
              <w:left w:val="single" w:color="auto" w:sz="4" w:space="0"/>
              <w:bottom w:val="single" w:color="auto" w:sz="4" w:space="0"/>
              <w:right w:val="single" w:color="auto" w:sz="4" w:space="0"/>
            </w:tcBorders>
            <w:vAlign w:val="center"/>
          </w:tcPr>
          <w:p w14:paraId="75C5D0E5">
            <w:pPr>
              <w:widowControl/>
              <w:spacing w:line="400" w:lineRule="exact"/>
              <w:ind w:firstLine="0"/>
              <w:jc w:val="center"/>
              <w:rPr>
                <w:rFonts w:ascii="宋体" w:hAnsi="宋体" w:eastAsia="宋体" w:cs="仿宋_GB2312"/>
                <w:szCs w:val="21"/>
              </w:rPr>
            </w:pPr>
            <w:r>
              <w:rPr>
                <w:rFonts w:hint="eastAsia" w:ascii="宋体" w:hAnsi="宋体" w:eastAsia="宋体" w:cs="仿宋_GB2312"/>
                <w:b/>
                <w:szCs w:val="21"/>
              </w:rPr>
              <w:t>▲</w:t>
            </w:r>
            <w:r>
              <w:rPr>
                <w:rFonts w:hint="eastAsia" w:ascii="宋体" w:hAnsi="宋体" w:eastAsia="宋体" w:cs="仿宋_GB2312"/>
                <w:bCs/>
                <w:szCs w:val="21"/>
              </w:rPr>
              <w:t>（七）</w:t>
            </w:r>
            <w:r>
              <w:rPr>
                <w:rFonts w:hint="eastAsia" w:ascii="宋体" w:hAnsi="宋体" w:eastAsia="宋体" w:cs="仿宋_GB2312"/>
                <w:szCs w:val="21"/>
              </w:rPr>
              <w:t>售后服务要求</w:t>
            </w:r>
          </w:p>
        </w:tc>
        <w:tc>
          <w:tcPr>
            <w:tcW w:w="7644" w:type="dxa"/>
            <w:tcBorders>
              <w:top w:val="single" w:color="auto" w:sz="4" w:space="0"/>
              <w:left w:val="single" w:color="auto" w:sz="4" w:space="0"/>
              <w:bottom w:val="single" w:color="auto" w:sz="4" w:space="0"/>
              <w:right w:val="single" w:color="auto" w:sz="4" w:space="0"/>
            </w:tcBorders>
          </w:tcPr>
          <w:p w14:paraId="55DC7259">
            <w:pPr>
              <w:spacing w:line="400" w:lineRule="exact"/>
              <w:ind w:firstLine="0" w:firstLineChars="0"/>
              <w:rPr>
                <w:rFonts w:ascii="宋体" w:hAnsi="宋体" w:eastAsia="宋体" w:cs="仿宋_GB2312"/>
                <w:szCs w:val="21"/>
              </w:rPr>
            </w:pPr>
            <w:r>
              <w:rPr>
                <w:rFonts w:hint="eastAsia" w:ascii="宋体" w:hAnsi="宋体" w:eastAsia="宋体" w:cs="仿宋_GB2312"/>
                <w:szCs w:val="21"/>
              </w:rPr>
              <w:t>1.按国家有关产品“三包”规定执行“三包”，质保期自货物验收合格之日起计算，所有硬件质保期不少于3年，所有配套软件需提供不少于3年质保服务。（“技术参数要求”中有特殊要求除外，若产品生产厂家质保期超过此年限的，合同履行过程中按厂家规定执行；若成交供应商质保期承诺优于产品生产厂家质保年限的，以成交供应商承诺执行），质保期满后仍需维护的，系统维护费用由供应商承担</w:t>
            </w:r>
          </w:p>
          <w:p w14:paraId="130118EB">
            <w:pPr>
              <w:spacing w:line="400" w:lineRule="exact"/>
              <w:ind w:firstLine="0" w:firstLineChars="0"/>
              <w:rPr>
                <w:rFonts w:ascii="宋体" w:hAnsi="宋体" w:eastAsia="宋体" w:cs="仿宋_GB2312"/>
                <w:szCs w:val="21"/>
              </w:rPr>
            </w:pPr>
            <w:r>
              <w:rPr>
                <w:rFonts w:hint="eastAsia" w:ascii="宋体" w:hAnsi="宋体" w:eastAsia="宋体" w:cs="仿宋_GB2312"/>
                <w:szCs w:val="21"/>
              </w:rPr>
              <w:t>2.成交供应商负责送货上门安装、调试，成交供应商须到采购人指定的现场安装、调试设备，提供完善的现场操作、设备使用、操作及维护培训；</w:t>
            </w:r>
          </w:p>
          <w:p w14:paraId="402F30E5">
            <w:pPr>
              <w:spacing w:line="400" w:lineRule="exact"/>
              <w:ind w:firstLine="0" w:firstLineChars="0"/>
              <w:rPr>
                <w:rFonts w:ascii="宋体" w:hAnsi="宋体" w:eastAsia="宋体" w:cs="仿宋_GB2312"/>
                <w:szCs w:val="21"/>
              </w:rPr>
            </w:pPr>
            <w:r>
              <w:rPr>
                <w:rFonts w:hint="eastAsia" w:ascii="宋体" w:hAnsi="宋体" w:eastAsia="宋体" w:cs="仿宋_GB2312"/>
                <w:szCs w:val="21"/>
              </w:rPr>
              <w:t>3.质保期内负责定期回访、上门服务、维修、更换损坏的设备和配件及对产品进行维护和保养、货物质量事故和质量缺陷由成交供应商无偿保修，提供终身维修；</w:t>
            </w:r>
          </w:p>
          <w:p w14:paraId="499486CC">
            <w:pPr>
              <w:spacing w:line="400" w:lineRule="exact"/>
              <w:ind w:firstLine="0" w:firstLineChars="0"/>
              <w:rPr>
                <w:rFonts w:ascii="宋体" w:hAnsi="宋体" w:eastAsia="宋体" w:cs="仿宋_GB2312"/>
                <w:szCs w:val="21"/>
              </w:rPr>
            </w:pPr>
            <w:r>
              <w:rPr>
                <w:rFonts w:hint="eastAsia" w:ascii="宋体" w:hAnsi="宋体" w:eastAsia="宋体" w:cs="仿宋_GB2312"/>
                <w:szCs w:val="21"/>
              </w:rPr>
              <w:t>4.在成交供应商承诺的质保期内，设备保修包换所需要的配件均是原厂原装，不得使用兼容货物；</w:t>
            </w:r>
          </w:p>
          <w:p w14:paraId="776B2226">
            <w:pPr>
              <w:spacing w:line="400" w:lineRule="exact"/>
              <w:ind w:firstLine="0" w:firstLineChars="0"/>
              <w:rPr>
                <w:rFonts w:ascii="宋体" w:hAnsi="宋体" w:eastAsia="宋体" w:cs="仿宋_GB2312"/>
                <w:szCs w:val="21"/>
              </w:rPr>
            </w:pPr>
            <w:r>
              <w:rPr>
                <w:rFonts w:hint="eastAsia" w:ascii="宋体" w:hAnsi="宋体" w:eastAsia="宋体" w:cs="仿宋_GB2312"/>
                <w:szCs w:val="21"/>
              </w:rPr>
              <w:t>5.成交供应商在质保期内应当为采购人提供以下技术支持和服务：</w:t>
            </w:r>
          </w:p>
          <w:p w14:paraId="51CAFAFD">
            <w:pPr>
              <w:spacing w:line="400" w:lineRule="exact"/>
              <w:ind w:firstLine="0" w:firstLineChars="0"/>
              <w:rPr>
                <w:rFonts w:ascii="宋体" w:hAnsi="宋体" w:eastAsia="宋体" w:cs="仿宋_GB2312"/>
                <w:szCs w:val="21"/>
              </w:rPr>
            </w:pPr>
            <w:r>
              <w:rPr>
                <w:rFonts w:hint="eastAsia" w:ascii="宋体" w:hAnsi="宋体" w:eastAsia="宋体" w:cs="仿宋_GB2312"/>
                <w:szCs w:val="21"/>
              </w:rPr>
              <w:t>所有硬件及软件均须提供不少于三次培训，</w:t>
            </w:r>
            <w:r>
              <w:rPr>
                <w:rFonts w:hint="eastAsia" w:ascii="宋体" w:hAnsi="宋体" w:eastAsia="宋体" w:cs="Times New Roman"/>
                <w:kern w:val="0"/>
                <w:sz w:val="22"/>
              </w:rPr>
              <w:t>培训讲师不少于2人，</w:t>
            </w:r>
            <w:r>
              <w:rPr>
                <w:rFonts w:hint="eastAsia" w:ascii="宋体" w:hAnsi="宋体" w:eastAsia="宋体" w:cs="仿宋_GB2312"/>
                <w:szCs w:val="21"/>
              </w:rPr>
              <w:t>每次培训人次不低于10人，在使用过程中发生质量问题，中标人应在接到采购方通知后，24小时内到达故障现场。</w:t>
            </w:r>
          </w:p>
          <w:p w14:paraId="0303E025">
            <w:pPr>
              <w:spacing w:line="400" w:lineRule="exact"/>
              <w:ind w:firstLine="0" w:firstLineChars="0"/>
              <w:rPr>
                <w:rFonts w:ascii="宋体" w:hAnsi="宋体" w:eastAsia="宋体" w:cs="仿宋_GB2312"/>
                <w:szCs w:val="21"/>
              </w:rPr>
            </w:pPr>
            <w:r>
              <w:rPr>
                <w:rFonts w:hint="eastAsia" w:ascii="宋体" w:hAnsi="宋体" w:eastAsia="宋体" w:cs="仿宋_GB2312"/>
                <w:szCs w:val="21"/>
              </w:rPr>
              <w:t>6.质保期外服务要求</w:t>
            </w:r>
          </w:p>
          <w:p w14:paraId="3F00642C">
            <w:pPr>
              <w:spacing w:line="400" w:lineRule="exact"/>
              <w:ind w:firstLine="0" w:firstLineChars="0"/>
              <w:rPr>
                <w:rFonts w:ascii="宋体" w:hAnsi="宋体" w:eastAsia="宋体" w:cs="仿宋_GB2312"/>
                <w:szCs w:val="21"/>
              </w:rPr>
            </w:pPr>
            <w:r>
              <w:rPr>
                <w:rFonts w:hint="eastAsia" w:ascii="宋体" w:hAnsi="宋体" w:eastAsia="宋体" w:cs="仿宋_GB2312"/>
                <w:szCs w:val="21"/>
              </w:rPr>
              <w:t>与所购硬件配套的系统无需二次升级（不升级不影响系统正常使用），硬件损坏只收取硬件费用。</w:t>
            </w:r>
          </w:p>
          <w:p w14:paraId="492C6E6A">
            <w:pPr>
              <w:spacing w:line="400" w:lineRule="exact"/>
              <w:ind w:firstLine="0" w:firstLineChars="0"/>
              <w:rPr>
                <w:rFonts w:ascii="宋体" w:hAnsi="宋体" w:eastAsia="宋体" w:cs="仿宋_GB2312"/>
                <w:szCs w:val="21"/>
              </w:rPr>
            </w:pPr>
            <w:r>
              <w:rPr>
                <w:rFonts w:hint="eastAsia" w:ascii="宋体" w:hAnsi="宋体" w:eastAsia="宋体" w:cs="仿宋_GB2312"/>
                <w:szCs w:val="21"/>
              </w:rPr>
              <w:t>7.备品备件及易损件</w:t>
            </w:r>
          </w:p>
          <w:p w14:paraId="060D9583">
            <w:pPr>
              <w:spacing w:line="400" w:lineRule="exact"/>
              <w:ind w:firstLine="0" w:firstLineChars="0"/>
              <w:rPr>
                <w:rFonts w:ascii="宋体" w:hAnsi="宋体" w:eastAsia="宋体" w:cs="仿宋_GB2312"/>
                <w:szCs w:val="21"/>
              </w:rPr>
            </w:pPr>
            <w:r>
              <w:rPr>
                <w:rFonts w:hint="eastAsia" w:ascii="宋体" w:hAnsi="宋体" w:eastAsia="宋体" w:cs="仿宋_GB2312"/>
                <w:szCs w:val="21"/>
              </w:rPr>
              <w:t>成交供应商售后服务中，维修使用的备品备件及易损件应为原厂配件，未经采购人同意不得使用非原厂配件；</w:t>
            </w:r>
          </w:p>
          <w:p w14:paraId="78C97C04">
            <w:pPr>
              <w:spacing w:line="400" w:lineRule="exact"/>
              <w:ind w:firstLine="0" w:firstLineChars="0"/>
              <w:rPr>
                <w:rFonts w:ascii="宋体" w:hAnsi="宋体" w:eastAsia="宋体" w:cs="仿宋_GB2312"/>
                <w:szCs w:val="21"/>
              </w:rPr>
            </w:pPr>
            <w:r>
              <w:rPr>
                <w:rFonts w:hint="eastAsia" w:ascii="宋体" w:hAnsi="宋体" w:eastAsia="宋体" w:cs="仿宋_GB2312"/>
                <w:szCs w:val="21"/>
              </w:rPr>
              <w:t>8.质保期内由于设备本身质量原因造成的任何损伤或损坏或因包装、运输不当引起的设备外观或内部的损坏及错发、漏发的情况，成交供应商负责修理或补发、更换，直到达到性能要求，不再收取任何费用。如果成交供应商在接到通知后没有更换有缺陷的产品，所造成的损失由成交供应商承担。</w:t>
            </w:r>
          </w:p>
        </w:tc>
      </w:tr>
      <w:tr w14:paraId="7BEE33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618B0C3B">
            <w:pPr>
              <w:widowControl/>
              <w:spacing w:line="400" w:lineRule="exact"/>
              <w:jc w:val="center"/>
              <w:rPr>
                <w:rFonts w:ascii="宋体" w:hAnsi="宋体" w:eastAsia="宋体" w:cs="仿宋_GB2312"/>
                <w:szCs w:val="21"/>
              </w:rPr>
            </w:pPr>
            <w:r>
              <w:rPr>
                <w:rFonts w:hint="eastAsia" w:ascii="宋体" w:hAnsi="宋体" w:eastAsia="宋体" w:cs="仿宋_GB2312"/>
                <w:szCs w:val="21"/>
              </w:rPr>
              <w:t>▲（八）投标报价要求</w:t>
            </w:r>
          </w:p>
        </w:tc>
        <w:tc>
          <w:tcPr>
            <w:tcW w:w="7644" w:type="dxa"/>
            <w:tcBorders>
              <w:top w:val="single" w:color="auto" w:sz="4" w:space="0"/>
              <w:left w:val="single" w:color="auto" w:sz="4" w:space="0"/>
              <w:bottom w:val="single" w:color="auto" w:sz="4" w:space="0"/>
              <w:right w:val="single" w:color="auto" w:sz="4" w:space="0"/>
            </w:tcBorders>
          </w:tcPr>
          <w:p w14:paraId="22135F6C">
            <w:pPr>
              <w:spacing w:line="400" w:lineRule="exact"/>
              <w:ind w:firstLine="0" w:firstLineChars="0"/>
              <w:rPr>
                <w:rFonts w:ascii="宋体" w:hAnsi="宋体" w:eastAsia="宋体" w:cs="Times New Roman"/>
                <w:bCs/>
                <w:szCs w:val="21"/>
              </w:rPr>
            </w:pPr>
            <w:r>
              <w:rPr>
                <w:rFonts w:hint="eastAsia" w:ascii="宋体" w:hAnsi="宋体" w:eastAsia="宋体" w:cs="仿宋_GB2312"/>
                <w:szCs w:val="21"/>
              </w:rPr>
              <w:t>1.投标总报价</w:t>
            </w:r>
            <w:r>
              <w:rPr>
                <w:rFonts w:ascii="宋体" w:hAnsi="宋体" w:eastAsia="宋体" w:cs="Times New Roman"/>
                <w:bCs/>
                <w:szCs w:val="21"/>
              </w:rPr>
              <w:t>为完成采购人全部</w:t>
            </w:r>
            <w:r>
              <w:rPr>
                <w:rFonts w:hint="eastAsia" w:ascii="宋体" w:hAnsi="宋体" w:eastAsia="宋体" w:cs="Times New Roman"/>
                <w:bCs/>
                <w:szCs w:val="21"/>
              </w:rPr>
              <w:t>采购</w:t>
            </w:r>
            <w:r>
              <w:rPr>
                <w:rFonts w:ascii="宋体" w:hAnsi="宋体" w:eastAsia="宋体" w:cs="Times New Roman"/>
                <w:bCs/>
                <w:szCs w:val="21"/>
              </w:rPr>
              <w:t>内容的报价，即履行合同的最终价格，包括</w:t>
            </w:r>
            <w:r>
              <w:rPr>
                <w:rFonts w:hint="eastAsia" w:ascii="宋体" w:hAnsi="宋体" w:eastAsia="宋体" w:cs="Times New Roman"/>
                <w:bCs/>
                <w:szCs w:val="21"/>
              </w:rPr>
              <w:t>中标人</w:t>
            </w:r>
            <w:r>
              <w:rPr>
                <w:rFonts w:ascii="宋体" w:hAnsi="宋体" w:eastAsia="宋体" w:cs="Times New Roman"/>
                <w:bCs/>
                <w:szCs w:val="21"/>
              </w:rPr>
              <w:t>完成本项目所需的一切工作内容而发生的所有费用</w:t>
            </w:r>
            <w:r>
              <w:rPr>
                <w:rFonts w:hint="eastAsia" w:ascii="宋体" w:hAnsi="宋体" w:eastAsia="宋体" w:cs="Times New Roman"/>
                <w:bCs/>
                <w:szCs w:val="21"/>
              </w:rPr>
              <w:t>包括但不限于：</w:t>
            </w:r>
          </w:p>
          <w:p w14:paraId="13B86339">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（1）货物及标准附件、备品备件、专用工具的价格；</w:t>
            </w:r>
          </w:p>
          <w:p w14:paraId="3B4BD97F">
            <w:pPr>
              <w:spacing w:line="400" w:lineRule="exact"/>
              <w:ind w:firstLine="0" w:firstLineChars="0"/>
              <w:rPr>
                <w:rFonts w:ascii="宋体" w:hAnsi="宋体" w:eastAsia="宋体" w:cs="Times New Roman"/>
                <w:bCs/>
                <w:szCs w:val="21"/>
              </w:rPr>
            </w:pPr>
            <w:r>
              <w:rPr>
                <w:rFonts w:hint="eastAsia" w:ascii="宋体" w:hAnsi="宋体" w:eastAsia="宋体" w:cs="Times New Roman"/>
                <w:bCs/>
                <w:szCs w:val="21"/>
              </w:rPr>
              <w:t>（2）人工、运输、装卸、安装、验收、技术支持、技术服务及培训、售后服务、清洁卫生费、垃圾清运费、保险、税金、其他所有成本费用，以及合同明示或暗示的所有责任、义务和一般风险等一切费用。</w:t>
            </w:r>
          </w:p>
          <w:p w14:paraId="4AA5589C">
            <w:pPr>
              <w:spacing w:line="400" w:lineRule="exact"/>
              <w:ind w:firstLine="0" w:firstLineChars="0"/>
              <w:rPr>
                <w:rFonts w:ascii="宋体" w:hAnsi="宋体" w:eastAsia="宋体" w:cs="仿宋_GB2312"/>
                <w:szCs w:val="21"/>
              </w:rPr>
            </w:pPr>
            <w:r>
              <w:rPr>
                <w:rFonts w:hint="eastAsia" w:ascii="宋体" w:hAnsi="宋体" w:eastAsia="宋体" w:cs="仿宋_GB2312"/>
                <w:szCs w:val="21"/>
              </w:rPr>
              <w:t>2.投标总报价不得高于本标项的最高限价。</w:t>
            </w:r>
          </w:p>
          <w:p w14:paraId="2DAA770F">
            <w:pPr>
              <w:spacing w:line="400" w:lineRule="exact"/>
              <w:ind w:firstLine="0" w:firstLineChars="0"/>
              <w:rPr>
                <w:rFonts w:ascii="宋体" w:hAnsi="宋体" w:eastAsia="宋体" w:cs="仿宋_GB2312"/>
                <w:szCs w:val="21"/>
              </w:rPr>
            </w:pPr>
            <w:r>
              <w:rPr>
                <w:rFonts w:hint="eastAsia" w:ascii="宋体" w:hAnsi="宋体" w:eastAsia="宋体" w:cs="仿宋_GB2312"/>
                <w:szCs w:val="21"/>
              </w:rPr>
              <w:t>3.本项目涉及所有资金往来的币种为人民币。</w:t>
            </w:r>
          </w:p>
          <w:p w14:paraId="07AAE04F">
            <w:pPr>
              <w:spacing w:line="400" w:lineRule="exact"/>
              <w:ind w:firstLine="0" w:firstLineChars="0"/>
              <w:rPr>
                <w:rFonts w:ascii="宋体" w:hAnsi="宋体" w:eastAsia="宋体" w:cs="Times New Roman"/>
                <w:szCs w:val="21"/>
              </w:rPr>
            </w:pPr>
            <w:r>
              <w:rPr>
                <w:rFonts w:hint="eastAsia" w:ascii="宋体" w:hAnsi="宋体" w:eastAsia="宋体" w:cs="仿宋_GB2312"/>
                <w:szCs w:val="21"/>
              </w:rPr>
              <w:t>4.投标人应充分考虑由于国家政策变化、自然灾害、战争等不可抗力因素造成本合同中断引起损失风险。</w:t>
            </w:r>
          </w:p>
        </w:tc>
      </w:tr>
      <w:tr w14:paraId="67805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0"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585891D9">
            <w:pPr>
              <w:widowControl/>
              <w:spacing w:line="400" w:lineRule="exact"/>
              <w:jc w:val="center"/>
              <w:rPr>
                <w:rFonts w:ascii="宋体" w:hAnsi="宋体" w:eastAsia="宋体" w:cs="仿宋_GB2312"/>
                <w:szCs w:val="21"/>
              </w:rPr>
            </w:pPr>
            <w:r>
              <w:rPr>
                <w:rFonts w:hint="eastAsia" w:ascii="宋体" w:hAnsi="宋体" w:eastAsia="宋体" w:cs="仿宋_GB2312"/>
                <w:szCs w:val="21"/>
              </w:rPr>
              <w:t>▲（九）其他要求</w:t>
            </w:r>
          </w:p>
        </w:tc>
        <w:tc>
          <w:tcPr>
            <w:tcW w:w="7644" w:type="dxa"/>
            <w:tcBorders>
              <w:top w:val="single" w:color="auto" w:sz="4" w:space="0"/>
              <w:left w:val="single" w:color="auto" w:sz="4" w:space="0"/>
              <w:bottom w:val="single" w:color="auto" w:sz="4" w:space="0"/>
              <w:right w:val="single" w:color="auto" w:sz="4" w:space="0"/>
            </w:tcBorders>
          </w:tcPr>
          <w:p w14:paraId="7FBFAFFE">
            <w:pPr>
              <w:spacing w:line="400" w:lineRule="exact"/>
              <w:ind w:firstLine="0" w:firstLineChars="0"/>
              <w:rPr>
                <w:rFonts w:ascii="宋体" w:hAnsi="宋体" w:eastAsia="宋体" w:cs="仿宋_GB2312"/>
                <w:szCs w:val="21"/>
              </w:rPr>
            </w:pPr>
            <w:r>
              <w:rPr>
                <w:rFonts w:hint="eastAsia" w:ascii="宋体" w:hAnsi="宋体" w:eastAsia="宋体" w:cs="仿宋_GB2312"/>
                <w:szCs w:val="21"/>
              </w:rPr>
              <w:t>1.投标人应保证针对本项目的服务（或货物）所涉及的知识产权和所提供的相关技术资料是合法取得，并享有完整的知识产权，不会因为采购人的使用而被责令停止使用、追偿或要求赔偿损失，如出现此情况，一切经济和法律责任均由投标人承担。</w:t>
            </w:r>
          </w:p>
          <w:p w14:paraId="40075F10">
            <w:pPr>
              <w:spacing w:line="400" w:lineRule="exact"/>
              <w:ind w:firstLine="0" w:firstLineChars="0"/>
              <w:rPr>
                <w:rFonts w:ascii="宋体" w:hAnsi="宋体" w:eastAsia="宋体" w:cs="仿宋_GB2312"/>
                <w:szCs w:val="21"/>
              </w:rPr>
            </w:pPr>
            <w:r>
              <w:rPr>
                <w:rFonts w:hint="eastAsia" w:ascii="宋体" w:hAnsi="宋体" w:eastAsia="宋体" w:cs="仿宋_GB2312"/>
                <w:szCs w:val="21"/>
              </w:rPr>
              <w:t>2.服务成果经采购人验收通过后，所有权归采购人所有，未经采购人同意中标人不得挪作他用，不得擅自公开相关项目数据或资料文件。</w:t>
            </w:r>
          </w:p>
          <w:p w14:paraId="39FA782B">
            <w:pPr>
              <w:spacing w:line="400" w:lineRule="exact"/>
              <w:ind w:firstLine="0" w:firstLineChars="0"/>
              <w:rPr>
                <w:rFonts w:ascii="宋体" w:hAnsi="宋体" w:eastAsia="宋体" w:cs="仿宋_GB2312"/>
                <w:szCs w:val="21"/>
              </w:rPr>
            </w:pPr>
            <w:r>
              <w:rPr>
                <w:rFonts w:hint="eastAsia" w:ascii="宋体" w:hAnsi="宋体" w:eastAsia="宋体" w:cs="仿宋_GB2312"/>
                <w:szCs w:val="21"/>
              </w:rPr>
              <w:t>3.保密要求：工作人员应对本项目中接触到的采购人所有的知识产权、商业秘密、技术成果等信息负保密义务。未经采购人书面同意，不得向社会公众或第三方通过任何途径出示、泄露，不得许可使用，不得对上述信息进行复制、传播、销售；保证不向外泄漏任何相关数据，不向外泄漏任何保密的技术资料。如出现工作人员泄密事件，中标人应依法承担法律责任。</w:t>
            </w:r>
          </w:p>
          <w:p w14:paraId="33B8C6EA">
            <w:pPr>
              <w:spacing w:line="400" w:lineRule="exact"/>
              <w:ind w:firstLine="0" w:firstLineChars="0"/>
              <w:rPr>
                <w:rFonts w:ascii="宋体" w:hAnsi="宋体" w:eastAsia="宋体" w:cs="仿宋_GB2312"/>
                <w:szCs w:val="21"/>
              </w:rPr>
            </w:pPr>
            <w:r>
              <w:rPr>
                <w:rFonts w:hint="eastAsia" w:ascii="宋体" w:hAnsi="宋体" w:eastAsia="宋体" w:cs="仿宋_GB2312"/>
                <w:szCs w:val="21"/>
              </w:rPr>
              <w:t>4. 中标人必须服从招标人现场负责人的指挥，按指定地点进行安装；</w:t>
            </w:r>
          </w:p>
          <w:p w14:paraId="7298E7D1">
            <w:pPr>
              <w:spacing w:line="400" w:lineRule="exact"/>
              <w:ind w:firstLine="0" w:firstLineChars="0"/>
              <w:rPr>
                <w:rFonts w:ascii="宋体" w:hAnsi="宋体" w:eastAsia="宋体" w:cs="仿宋_GB2312"/>
                <w:szCs w:val="21"/>
              </w:rPr>
            </w:pPr>
            <w:r>
              <w:rPr>
                <w:rFonts w:hint="eastAsia" w:ascii="宋体" w:hAnsi="宋体" w:eastAsia="宋体" w:cs="仿宋_GB2312"/>
                <w:szCs w:val="21"/>
              </w:rPr>
              <w:t>5.安装过程中的所有安全保障由中标人自行负责；</w:t>
            </w:r>
          </w:p>
          <w:p w14:paraId="6F65C5B4">
            <w:pPr>
              <w:spacing w:line="400" w:lineRule="exact"/>
              <w:ind w:firstLine="0" w:firstLineChars="0"/>
              <w:rPr>
                <w:rFonts w:ascii="宋体" w:hAnsi="宋体" w:eastAsia="宋体" w:cs="仿宋_GB2312"/>
                <w:szCs w:val="21"/>
              </w:rPr>
            </w:pPr>
            <w:r>
              <w:rPr>
                <w:rFonts w:hint="eastAsia" w:ascii="宋体" w:hAnsi="宋体" w:eastAsia="宋体" w:cs="仿宋_GB2312"/>
                <w:szCs w:val="21"/>
              </w:rPr>
              <w:t>6.严格按投标产品的安装规范要求进行安装，确保安全；</w:t>
            </w:r>
          </w:p>
          <w:p w14:paraId="0A19E314">
            <w:pPr>
              <w:spacing w:line="400" w:lineRule="exact"/>
              <w:ind w:firstLine="0" w:firstLineChars="0"/>
              <w:rPr>
                <w:rFonts w:ascii="宋体" w:hAnsi="宋体" w:eastAsia="宋体" w:cs="仿宋_GB2312"/>
                <w:szCs w:val="21"/>
              </w:rPr>
            </w:pPr>
            <w:r>
              <w:rPr>
                <w:rFonts w:hint="eastAsia" w:ascii="宋体" w:hAnsi="宋体" w:eastAsia="宋体" w:cs="仿宋_GB2312"/>
                <w:szCs w:val="21"/>
              </w:rPr>
              <w:t>7.如设备为特种设备，按照国家规定安装人员需持证上岗的，安装人员必须持证上岗安装。</w:t>
            </w:r>
          </w:p>
        </w:tc>
      </w:tr>
      <w:tr w14:paraId="1FBA9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31DF9997">
            <w:pPr>
              <w:spacing w:line="400" w:lineRule="exact"/>
              <w:jc w:val="center"/>
              <w:rPr>
                <w:rFonts w:ascii="新宋体" w:hAnsi="Times New Roman" w:eastAsia="新宋体" w:cs="Times New Roman"/>
                <w:szCs w:val="21"/>
              </w:rPr>
            </w:pPr>
            <w:r>
              <w:rPr>
                <w:rFonts w:hint="eastAsia" w:ascii="宋体" w:hAnsi="宋体" w:eastAsia="宋体" w:cs="仿宋_GB2312"/>
                <w:szCs w:val="21"/>
              </w:rPr>
              <w:t>▲（十）</w:t>
            </w:r>
            <w:r>
              <w:rPr>
                <w:rFonts w:hint="eastAsia" w:ascii="新宋体" w:hAnsi="Times New Roman" w:eastAsia="新宋体" w:cs="Times New Roman"/>
                <w:szCs w:val="21"/>
              </w:rPr>
              <w:t>特殊说明</w:t>
            </w:r>
          </w:p>
        </w:tc>
        <w:tc>
          <w:tcPr>
            <w:tcW w:w="7644" w:type="dxa"/>
            <w:tcBorders>
              <w:top w:val="single" w:color="auto" w:sz="4" w:space="0"/>
              <w:left w:val="single" w:color="auto" w:sz="4" w:space="0"/>
              <w:bottom w:val="single" w:color="auto" w:sz="4" w:space="0"/>
              <w:right w:val="single" w:color="auto" w:sz="4" w:space="0"/>
            </w:tcBorders>
            <w:vAlign w:val="center"/>
          </w:tcPr>
          <w:p w14:paraId="771E822D">
            <w:pPr>
              <w:spacing w:line="400" w:lineRule="exact"/>
              <w:rPr>
                <w:rFonts w:ascii="宋体" w:hAnsi="宋体" w:eastAsia="宋体" w:cs="Times New Roman"/>
                <w:szCs w:val="21"/>
              </w:rPr>
            </w:pPr>
            <w:r>
              <w:rPr>
                <w:rFonts w:hint="eastAsia" w:ascii="宋体" w:hAnsi="宋体" w:eastAsia="宋体" w:cs="Times New Roman"/>
                <w:szCs w:val="21"/>
              </w:rPr>
              <w:t>本项目不接受进口产品投标，如投标人采用进口产品投标则作无效投标处理。</w:t>
            </w:r>
          </w:p>
        </w:tc>
      </w:tr>
      <w:tr w14:paraId="03E52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2371" w:type="dxa"/>
            <w:tcBorders>
              <w:top w:val="single" w:color="auto" w:sz="4" w:space="0"/>
              <w:left w:val="single" w:color="auto" w:sz="4" w:space="0"/>
              <w:bottom w:val="single" w:color="auto" w:sz="4" w:space="0"/>
              <w:right w:val="single" w:color="auto" w:sz="4" w:space="0"/>
            </w:tcBorders>
            <w:vAlign w:val="center"/>
          </w:tcPr>
          <w:p w14:paraId="5E8938E6">
            <w:pPr>
              <w:widowControl/>
              <w:spacing w:line="400" w:lineRule="exact"/>
              <w:jc w:val="center"/>
              <w:rPr>
                <w:rFonts w:ascii="宋体" w:hAnsi="宋体" w:eastAsia="宋体" w:cs="仿宋_GB2312"/>
                <w:szCs w:val="21"/>
              </w:rPr>
            </w:pPr>
            <w:r>
              <w:rPr>
                <w:rFonts w:hint="eastAsia" w:ascii="宋体" w:hAnsi="宋体" w:eastAsia="宋体" w:cs="仿宋_GB2312"/>
                <w:szCs w:val="21"/>
              </w:rPr>
              <w:t>▲（十一）核心产品</w:t>
            </w:r>
          </w:p>
        </w:tc>
        <w:tc>
          <w:tcPr>
            <w:tcW w:w="7644" w:type="dxa"/>
            <w:tcBorders>
              <w:top w:val="single" w:color="auto" w:sz="4" w:space="0"/>
              <w:left w:val="single" w:color="auto" w:sz="4" w:space="0"/>
              <w:bottom w:val="single" w:color="auto" w:sz="4" w:space="0"/>
              <w:right w:val="single" w:color="auto" w:sz="4" w:space="0"/>
            </w:tcBorders>
          </w:tcPr>
          <w:p w14:paraId="519FF93D">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本标项第（二）项产品“智能喷涂模块”为核心产品。</w:t>
            </w:r>
          </w:p>
          <w:p w14:paraId="48E99CA7">
            <w:pPr>
              <w:widowControl/>
              <w:spacing w:line="400" w:lineRule="exact"/>
              <w:ind w:firstLine="0" w:firstLineChars="0"/>
              <w:rPr>
                <w:rFonts w:ascii="宋体" w:hAnsi="宋体" w:eastAsia="宋体" w:cs="仿宋_GB2312"/>
                <w:szCs w:val="21"/>
              </w:rPr>
            </w:pPr>
            <w:r>
              <w:rPr>
                <w:rFonts w:hint="eastAsia" w:ascii="宋体" w:hAnsi="宋体" w:eastAsia="宋体" w:cs="仿宋_GB2312"/>
                <w:szCs w:val="21"/>
              </w:rPr>
              <w:t>多家投标人提供的核心产品品牌相同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14:paraId="655DA500">
      <w:pPr>
        <w:spacing w:line="428" w:lineRule="exact"/>
        <w:ind w:left="119"/>
        <w:rPr>
          <w:rFonts w:ascii="Arial Unicode MS" w:hAnsi="Arial Unicode MS" w:eastAsia="Arial Unicode MS" w:cs="Arial Unicode MS"/>
          <w:sz w:val="32"/>
          <w:szCs w:val="32"/>
        </w:rPr>
      </w:pPr>
      <w:r>
        <w:rPr>
          <w:rFonts w:hint="eastAsia" w:ascii="宋体" w:hAnsi="宋体" w:eastAsia="宋体" w:cs="仿宋"/>
          <w:szCs w:val="21"/>
        </w:rPr>
        <w:br w:type="page"/>
      </w:r>
      <w:r>
        <w:rPr>
          <w:rFonts w:hint="eastAsia" w:ascii="黑体" w:hAnsi="黑体" w:eastAsia="黑体" w:cs="黑体"/>
          <w:sz w:val="32"/>
          <w:szCs w:val="32"/>
        </w:rPr>
        <w:t>附件1：</w:t>
      </w:r>
    </w:p>
    <w:p w14:paraId="3A08A42B">
      <w:pPr>
        <w:spacing w:before="7"/>
        <w:ind w:firstLine="340"/>
        <w:rPr>
          <w:rFonts w:ascii="Arial Unicode MS" w:hAnsi="Arial Unicode MS" w:eastAsia="Arial Unicode MS" w:cs="Arial Unicode MS"/>
          <w:sz w:val="17"/>
          <w:szCs w:val="17"/>
        </w:rPr>
      </w:pPr>
    </w:p>
    <w:p w14:paraId="577FEBD1">
      <w:pPr>
        <w:spacing w:line="528" w:lineRule="exact"/>
        <w:ind w:firstLine="881"/>
        <w:jc w:val="center"/>
        <w:rPr>
          <w:rFonts w:ascii="Arial Unicode MS" w:hAnsi="Arial Unicode MS" w:eastAsia="Arial Unicode MS" w:cs="Arial Unicode MS"/>
          <w:sz w:val="40"/>
          <w:szCs w:val="40"/>
        </w:rPr>
      </w:pPr>
      <w:r>
        <w:rPr>
          <w:rFonts w:hint="eastAsia" w:ascii="方正小标宋简体" w:hAnsi="方正小标宋简体" w:eastAsia="方正小标宋简体" w:cs="方正小标宋简体"/>
          <w:sz w:val="44"/>
          <w:szCs w:val="44"/>
        </w:rPr>
        <w:t>节能产品政府采购品目清单</w:t>
      </w:r>
    </w:p>
    <w:tbl>
      <w:tblPr>
        <w:tblStyle w:val="53"/>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952"/>
        <w:gridCol w:w="2019"/>
        <w:gridCol w:w="1912"/>
        <w:gridCol w:w="3086"/>
      </w:tblGrid>
      <w:tr w14:paraId="78D2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6AB1F735">
            <w:pPr>
              <w:ind w:firstLine="0"/>
              <w:jc w:val="center"/>
              <w:rPr>
                <w:rFonts w:ascii="宋体" w:hAnsi="宋体" w:cs="宋体"/>
                <w:b/>
                <w:bCs/>
                <w:w w:val="99"/>
                <w:sz w:val="24"/>
              </w:rPr>
            </w:pPr>
            <w:r>
              <w:rPr>
                <w:rFonts w:hint="eastAsia" w:ascii="宋体" w:hAnsi="宋体" w:cs="宋体"/>
                <w:b/>
                <w:bCs/>
                <w:w w:val="99"/>
                <w:sz w:val="24"/>
              </w:rPr>
              <w:t>品目</w:t>
            </w:r>
          </w:p>
          <w:p w14:paraId="6091E8E3">
            <w:pPr>
              <w:ind w:firstLine="0"/>
              <w:jc w:val="center"/>
              <w:rPr>
                <w:rFonts w:ascii="宋体" w:hAnsi="宋体"/>
                <w:sz w:val="24"/>
              </w:rPr>
            </w:pPr>
            <w:r>
              <w:rPr>
                <w:rFonts w:hint="eastAsia" w:ascii="宋体" w:hAnsi="宋体" w:cs="宋体"/>
                <w:b/>
                <w:bCs/>
                <w:w w:val="99"/>
                <w:sz w:val="24"/>
              </w:rPr>
              <w:t>序号</w:t>
            </w:r>
          </w:p>
        </w:tc>
        <w:tc>
          <w:tcPr>
            <w:tcW w:w="5883" w:type="dxa"/>
            <w:gridSpan w:val="3"/>
            <w:tcBorders>
              <w:top w:val="single" w:color="000000" w:sz="4" w:space="0"/>
              <w:left w:val="single" w:color="000000" w:sz="4" w:space="0"/>
              <w:bottom w:val="single" w:color="000000" w:sz="4" w:space="0"/>
              <w:right w:val="single" w:color="000000" w:sz="4" w:space="0"/>
            </w:tcBorders>
            <w:vAlign w:val="center"/>
          </w:tcPr>
          <w:p w14:paraId="4628DD94">
            <w:pPr>
              <w:ind w:firstLine="0"/>
              <w:jc w:val="center"/>
              <w:rPr>
                <w:rFonts w:ascii="宋体" w:hAnsi="宋体"/>
                <w:sz w:val="24"/>
              </w:rPr>
            </w:pPr>
            <w:r>
              <w:rPr>
                <w:rFonts w:hint="eastAsia" w:ascii="宋体" w:hAnsi="宋体" w:cs="宋体"/>
                <w:b/>
                <w:bCs/>
                <w:w w:val="99"/>
                <w:sz w:val="24"/>
              </w:rPr>
              <w:t>名称</w:t>
            </w:r>
          </w:p>
        </w:tc>
        <w:tc>
          <w:tcPr>
            <w:tcW w:w="3086" w:type="dxa"/>
            <w:tcBorders>
              <w:top w:val="single" w:color="000000" w:sz="4" w:space="0"/>
              <w:left w:val="single" w:color="000000" w:sz="4" w:space="0"/>
              <w:bottom w:val="single" w:color="000000" w:sz="4" w:space="0"/>
              <w:right w:val="single" w:color="000000" w:sz="4" w:space="0"/>
            </w:tcBorders>
            <w:vAlign w:val="center"/>
          </w:tcPr>
          <w:p w14:paraId="0274F5B4">
            <w:pPr>
              <w:ind w:firstLine="0"/>
              <w:jc w:val="center"/>
              <w:rPr>
                <w:rFonts w:ascii="宋体" w:hAnsi="宋体"/>
                <w:sz w:val="24"/>
              </w:rPr>
            </w:pPr>
            <w:r>
              <w:rPr>
                <w:rFonts w:hint="eastAsia" w:ascii="宋体" w:hAnsi="宋体" w:cs="宋体"/>
                <w:b/>
                <w:bCs/>
                <w:w w:val="99"/>
                <w:sz w:val="24"/>
              </w:rPr>
              <w:t>依据的标准</w:t>
            </w:r>
          </w:p>
        </w:tc>
      </w:tr>
      <w:tr w14:paraId="379F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985" w:type="dxa"/>
            <w:vMerge w:val="restart"/>
            <w:tcBorders>
              <w:top w:val="single" w:color="000000" w:sz="4" w:space="0"/>
              <w:left w:val="single" w:color="000000" w:sz="4" w:space="0"/>
              <w:bottom w:val="single" w:color="000000" w:sz="4" w:space="0"/>
              <w:right w:val="single" w:color="000000" w:sz="4" w:space="0"/>
            </w:tcBorders>
            <w:vAlign w:val="center"/>
          </w:tcPr>
          <w:p w14:paraId="108F16DE">
            <w:pPr>
              <w:jc w:val="center"/>
              <w:rPr>
                <w:rFonts w:ascii="宋体" w:hAnsi="宋体"/>
                <w:sz w:val="24"/>
              </w:rPr>
            </w:pPr>
            <w:r>
              <w:rPr>
                <w:rFonts w:hint="eastAsia" w:ascii="宋体" w:hAnsi="宋体"/>
                <w:sz w:val="24"/>
              </w:rPr>
              <w:t>1</w:t>
            </w: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14:paraId="763BD9DB">
            <w:pPr>
              <w:ind w:firstLine="0"/>
              <w:jc w:val="center"/>
              <w:rPr>
                <w:rFonts w:ascii="宋体" w:hAnsi="宋体"/>
                <w:sz w:val="24"/>
              </w:rPr>
            </w:pPr>
            <w:r>
              <w:rPr>
                <w:rFonts w:hint="eastAsia" w:ascii="宋体" w:hAnsi="宋体" w:cs="仿宋_GB2312"/>
                <w:sz w:val="24"/>
              </w:rPr>
              <w:t>A02010100</w:t>
            </w:r>
            <w:r>
              <w:rPr>
                <w:rFonts w:hint="eastAsia" w:ascii="宋体" w:hAnsi="宋体" w:cs="宋体"/>
                <w:w w:val="99"/>
                <w:sz w:val="24"/>
              </w:rPr>
              <w:t>计算机</w:t>
            </w:r>
          </w:p>
        </w:tc>
        <w:tc>
          <w:tcPr>
            <w:tcW w:w="2019" w:type="dxa"/>
            <w:tcBorders>
              <w:top w:val="single" w:color="000000" w:sz="4" w:space="0"/>
              <w:left w:val="single" w:color="000000" w:sz="4" w:space="0"/>
              <w:bottom w:val="single" w:color="000000" w:sz="4" w:space="0"/>
              <w:right w:val="single" w:color="000000" w:sz="4" w:space="0"/>
            </w:tcBorders>
            <w:vAlign w:val="center"/>
          </w:tcPr>
          <w:p w14:paraId="477383D2">
            <w:pPr>
              <w:pStyle w:val="261"/>
              <w:spacing w:before="93"/>
              <w:ind w:right="5" w:firstLine="0"/>
              <w:jc w:val="center"/>
              <w:rPr>
                <w:rFonts w:ascii="宋体" w:hAnsi="宋体" w:cs="宋体"/>
                <w:kern w:val="2"/>
                <w:sz w:val="24"/>
                <w:szCs w:val="24"/>
              </w:rPr>
            </w:pPr>
            <w:r>
              <w:rPr>
                <w:rFonts w:hint="eastAsia" w:ascii="宋体" w:hAnsi="宋体" w:cs="宋体"/>
                <w:w w:val="99"/>
                <w:kern w:val="2"/>
                <w:sz w:val="24"/>
                <w:szCs w:val="24"/>
              </w:rPr>
              <w:t>★</w:t>
            </w:r>
            <w:r>
              <w:rPr>
                <w:rFonts w:hint="eastAsia" w:ascii="宋体" w:hAnsi="宋体" w:cs="仿宋_GB2312"/>
                <w:kern w:val="2"/>
                <w:sz w:val="24"/>
                <w:szCs w:val="24"/>
              </w:rPr>
              <w:t>A02010105</w:t>
            </w:r>
            <w:r>
              <w:rPr>
                <w:rFonts w:hint="eastAsia" w:ascii="宋体" w:hAnsi="宋体" w:cs="宋体"/>
                <w:w w:val="99"/>
                <w:kern w:val="2"/>
                <w:sz w:val="24"/>
                <w:szCs w:val="24"/>
              </w:rPr>
              <w:t>台式计算机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4266E8FD">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68107AD8">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《微型计算机能效限定值及能效等级》（GB28380）</w:t>
            </w:r>
          </w:p>
        </w:tc>
      </w:tr>
      <w:tr w14:paraId="0B69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3AE9A455">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0ED95A7D">
            <w:pPr>
              <w:widowControl/>
              <w:ind w:firstLine="0"/>
              <w:jc w:val="center"/>
              <w:rPr>
                <w:rFonts w:ascii="宋体" w:hAnsi="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1D91D96C">
            <w:pPr>
              <w:pStyle w:val="261"/>
              <w:spacing w:before="44"/>
              <w:ind w:right="5" w:firstLine="0"/>
              <w:jc w:val="center"/>
              <w:rPr>
                <w:rFonts w:ascii="宋体" w:hAnsi="宋体" w:cs="宋体"/>
                <w:kern w:val="2"/>
                <w:sz w:val="24"/>
                <w:szCs w:val="24"/>
              </w:rPr>
            </w:pPr>
            <w:r>
              <w:rPr>
                <w:rFonts w:hint="eastAsia" w:ascii="宋体" w:hAnsi="宋体" w:cs="宋体"/>
                <w:w w:val="99"/>
                <w:kern w:val="2"/>
                <w:sz w:val="24"/>
                <w:szCs w:val="24"/>
              </w:rPr>
              <w:t>★</w:t>
            </w:r>
            <w:r>
              <w:rPr>
                <w:rFonts w:hint="eastAsia" w:ascii="宋体" w:hAnsi="宋体" w:cs="仿宋_GB2312"/>
                <w:kern w:val="2"/>
                <w:sz w:val="24"/>
                <w:szCs w:val="24"/>
              </w:rPr>
              <w:t>A02010108</w:t>
            </w:r>
            <w:r>
              <w:rPr>
                <w:rFonts w:hint="eastAsia" w:ascii="宋体" w:hAnsi="宋体" w:cs="宋体"/>
                <w:w w:val="99"/>
                <w:kern w:val="2"/>
                <w:sz w:val="24"/>
                <w:szCs w:val="24"/>
              </w:rPr>
              <w:t>便携式计算机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22F0A63D">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0DC66CB7">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《微型计算机能效限定值及能效等级》（GB28380）</w:t>
            </w:r>
          </w:p>
        </w:tc>
      </w:tr>
      <w:tr w14:paraId="6757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5B0BDF8D">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7B8580A7">
            <w:pPr>
              <w:widowControl/>
              <w:ind w:firstLine="0"/>
              <w:jc w:val="center"/>
              <w:rPr>
                <w:rFonts w:ascii="宋体" w:hAnsi="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4FCE3EB5">
            <w:pPr>
              <w:pStyle w:val="261"/>
              <w:spacing w:before="64"/>
              <w:ind w:left="7" w:right="5" w:firstLine="0"/>
              <w:jc w:val="center"/>
              <w:rPr>
                <w:rFonts w:ascii="宋体" w:hAnsi="宋体" w:cs="宋体"/>
                <w:kern w:val="2"/>
                <w:sz w:val="24"/>
                <w:szCs w:val="24"/>
                <w:lang w:eastAsia="zh-CN"/>
              </w:rPr>
            </w:pPr>
            <w:r>
              <w:rPr>
                <w:rFonts w:hint="eastAsia" w:ascii="宋体" w:hAnsi="宋体" w:cs="宋体"/>
                <w:w w:val="99"/>
                <w:kern w:val="2"/>
                <w:sz w:val="24"/>
                <w:szCs w:val="24"/>
                <w:lang w:eastAsia="zh-CN"/>
              </w:rPr>
              <w:t>★</w:t>
            </w:r>
            <w:r>
              <w:rPr>
                <w:rFonts w:hint="eastAsia" w:ascii="宋体" w:hAnsi="宋体" w:cs="仿宋_GB2312"/>
                <w:kern w:val="2"/>
                <w:sz w:val="24"/>
                <w:szCs w:val="24"/>
                <w:lang w:eastAsia="zh-CN"/>
              </w:rPr>
              <w:t>A02010109平板式计算机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1189BA49">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0EF2382F">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《微型计算机能效限定值及能效等级》（GB28380）</w:t>
            </w:r>
          </w:p>
        </w:tc>
      </w:tr>
      <w:tr w14:paraId="64B9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985" w:type="dxa"/>
            <w:vMerge w:val="restart"/>
            <w:tcBorders>
              <w:top w:val="single" w:color="000000" w:sz="4" w:space="0"/>
              <w:left w:val="single" w:color="000000" w:sz="4" w:space="0"/>
              <w:bottom w:val="single" w:color="000000" w:sz="4" w:space="0"/>
              <w:right w:val="single" w:color="000000" w:sz="4" w:space="0"/>
            </w:tcBorders>
            <w:vAlign w:val="center"/>
          </w:tcPr>
          <w:p w14:paraId="5F30C47A">
            <w:pPr>
              <w:jc w:val="center"/>
              <w:rPr>
                <w:rFonts w:ascii="宋体" w:hAnsi="宋体"/>
                <w:sz w:val="24"/>
              </w:rPr>
            </w:pPr>
            <w:r>
              <w:rPr>
                <w:rFonts w:hint="eastAsia" w:ascii="宋体" w:hAnsi="宋体"/>
                <w:sz w:val="24"/>
              </w:rPr>
              <w:t>2</w:t>
            </w: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14:paraId="1CAC149E">
            <w:pPr>
              <w:pStyle w:val="261"/>
              <w:ind w:firstLine="0"/>
              <w:jc w:val="center"/>
              <w:rPr>
                <w:rFonts w:ascii="宋体" w:hAnsi="宋体" w:cs="宋体"/>
                <w:kern w:val="2"/>
                <w:sz w:val="24"/>
                <w:szCs w:val="24"/>
              </w:rPr>
            </w:pPr>
            <w:r>
              <w:rPr>
                <w:rFonts w:hint="eastAsia" w:ascii="宋体" w:hAnsi="宋体" w:cs="仿宋_GB2312"/>
                <w:kern w:val="2"/>
                <w:sz w:val="24"/>
                <w:szCs w:val="24"/>
              </w:rPr>
              <w:t>A02020000</w:t>
            </w:r>
            <w:r>
              <w:rPr>
                <w:rFonts w:hint="eastAsia" w:ascii="宋体" w:hAnsi="宋体" w:cs="宋体"/>
                <w:w w:val="99"/>
                <w:kern w:val="2"/>
                <w:sz w:val="24"/>
                <w:szCs w:val="24"/>
              </w:rPr>
              <w:t>办公设备</w:t>
            </w:r>
          </w:p>
        </w:tc>
        <w:tc>
          <w:tcPr>
            <w:tcW w:w="2019" w:type="dxa"/>
            <w:vMerge w:val="restart"/>
            <w:tcBorders>
              <w:top w:val="single" w:color="000000" w:sz="4" w:space="0"/>
              <w:left w:val="single" w:color="000000" w:sz="4" w:space="0"/>
              <w:bottom w:val="single" w:color="000000" w:sz="4" w:space="0"/>
              <w:right w:val="single" w:color="000000" w:sz="4" w:space="0"/>
            </w:tcBorders>
            <w:vAlign w:val="center"/>
          </w:tcPr>
          <w:p w14:paraId="7454462E">
            <w:pPr>
              <w:ind w:firstLine="0"/>
              <w:jc w:val="center"/>
              <w:rPr>
                <w:rFonts w:ascii="宋体" w:hAnsi="宋体"/>
                <w:sz w:val="24"/>
              </w:rPr>
            </w:pPr>
            <w:r>
              <w:rPr>
                <w:rFonts w:hint="eastAsia" w:ascii="宋体" w:hAnsi="宋体" w:cs="宋体"/>
                <w:spacing w:val="1"/>
                <w:w w:val="99"/>
                <w:sz w:val="24"/>
              </w:rPr>
              <w:t>A02021000</w:t>
            </w:r>
            <w:r>
              <w:rPr>
                <w:rFonts w:hint="eastAsia" w:ascii="宋体" w:hAnsi="宋体" w:cs="Arial"/>
                <w:sz w:val="24"/>
                <w:shd w:val="clear" w:color="auto" w:fill="FFFFFF"/>
              </w:rPr>
              <w:t>打印机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27C31759">
            <w:pPr>
              <w:ind w:firstLine="0"/>
              <w:jc w:val="center"/>
              <w:rPr>
                <w:rFonts w:ascii="宋体" w:hAnsi="宋体"/>
                <w:sz w:val="24"/>
              </w:rPr>
            </w:pPr>
            <w:r>
              <w:rPr>
                <w:rFonts w:hint="eastAsia" w:ascii="宋体" w:hAnsi="宋体"/>
                <w:sz w:val="24"/>
              </w:rPr>
              <w:t>A02021001 A3黑白打印机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2552EB0B">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30B0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2F65A88F">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5349820E">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5E6491F1">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68D077DF">
            <w:pPr>
              <w:ind w:firstLine="0"/>
              <w:jc w:val="center"/>
              <w:rPr>
                <w:rFonts w:ascii="宋体" w:hAnsi="宋体"/>
                <w:sz w:val="24"/>
              </w:rPr>
            </w:pPr>
            <w:r>
              <w:rPr>
                <w:rFonts w:hint="eastAsia" w:ascii="宋体" w:hAnsi="宋体"/>
                <w:sz w:val="24"/>
              </w:rPr>
              <w:t>A02021002 A3彩色打印机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38D00A95">
            <w:pPr>
              <w:pStyle w:val="261"/>
              <w:spacing w:before="131" w:line="276" w:lineRule="auto"/>
              <w:ind w:left="7"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73B6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50EC6554">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610C5E4E">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7DF7C4B7">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0681A8F4">
            <w:pPr>
              <w:ind w:firstLine="0"/>
              <w:jc w:val="center"/>
              <w:rPr>
                <w:rFonts w:ascii="宋体" w:hAnsi="宋体"/>
                <w:sz w:val="24"/>
              </w:rPr>
            </w:pPr>
            <w:r>
              <w:rPr>
                <w:rFonts w:hint="eastAsia" w:ascii="宋体" w:hAnsi="宋体"/>
                <w:sz w:val="24"/>
              </w:rPr>
              <w:t>A02021003 A4黑白打印机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23AEDA8E">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6D76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3D89DEF2">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3D958116">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4580B14B">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5FBF9EF7">
            <w:pPr>
              <w:ind w:firstLine="0"/>
              <w:jc w:val="center"/>
              <w:rPr>
                <w:rFonts w:ascii="宋体" w:hAnsi="宋体"/>
                <w:sz w:val="24"/>
              </w:rPr>
            </w:pPr>
            <w:r>
              <w:rPr>
                <w:rFonts w:hint="eastAsia" w:ascii="宋体" w:hAnsi="宋体"/>
                <w:sz w:val="24"/>
              </w:rPr>
              <w:t>A02021004 A4彩色打印机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5291ACC5">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6196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7F0D86EC">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5C83AE44">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0C8F6662">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363C1AD4">
            <w:pPr>
              <w:ind w:firstLine="0"/>
              <w:jc w:val="center"/>
              <w:rPr>
                <w:rFonts w:ascii="宋体" w:hAnsi="宋体"/>
                <w:sz w:val="24"/>
              </w:rPr>
            </w:pPr>
            <w:r>
              <w:rPr>
                <w:rFonts w:hint="eastAsia" w:ascii="宋体" w:hAnsi="宋体"/>
                <w:sz w:val="24"/>
              </w:rPr>
              <w:t>A02021005 3D打印机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0FB4A5AF">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5AD5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3A33F076">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7CCB95B0">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37926FE3">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28AD0357">
            <w:pPr>
              <w:ind w:firstLine="0"/>
              <w:jc w:val="center"/>
              <w:rPr>
                <w:rFonts w:ascii="宋体" w:hAnsi="宋体"/>
                <w:sz w:val="24"/>
              </w:rPr>
            </w:pPr>
            <w:r>
              <w:rPr>
                <w:rFonts w:hint="eastAsia" w:ascii="宋体" w:hAnsi="宋体"/>
                <w:sz w:val="24"/>
              </w:rPr>
              <w:t>A02021006票据打印机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11451FB7">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4297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289A18B4">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4E58469A">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4ABA58E7">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393A4484">
            <w:pPr>
              <w:ind w:firstLine="0"/>
              <w:jc w:val="center"/>
              <w:rPr>
                <w:rFonts w:ascii="宋体" w:hAnsi="宋体"/>
                <w:sz w:val="24"/>
              </w:rPr>
            </w:pPr>
            <w:r>
              <w:rPr>
                <w:rFonts w:hint="eastAsia" w:ascii="宋体" w:hAnsi="宋体"/>
                <w:sz w:val="24"/>
              </w:rPr>
              <w:t>A02021007条码打印机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73581E62">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1CCD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367E5B0C">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6094BC07">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209267BA">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5B353100">
            <w:pPr>
              <w:ind w:firstLine="0"/>
              <w:jc w:val="center"/>
              <w:rPr>
                <w:rFonts w:ascii="宋体" w:hAnsi="宋体"/>
                <w:sz w:val="24"/>
              </w:rPr>
            </w:pPr>
            <w:r>
              <w:rPr>
                <w:rFonts w:hint="eastAsia" w:ascii="宋体" w:hAnsi="宋体"/>
                <w:sz w:val="24"/>
              </w:rPr>
              <w:t>A02021008地址打印机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705891B1">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67F6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0FD7FB6D">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00D6537E">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2DC85DCB">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5694B867">
            <w:pPr>
              <w:ind w:firstLine="0"/>
              <w:jc w:val="center"/>
              <w:rPr>
                <w:rFonts w:ascii="宋体" w:hAnsi="宋体"/>
                <w:sz w:val="24"/>
              </w:rPr>
            </w:pPr>
            <w:r>
              <w:rPr>
                <w:rFonts w:hint="eastAsia" w:ascii="宋体" w:hAnsi="宋体"/>
                <w:sz w:val="24"/>
              </w:rPr>
              <w:t>A02021099其他打印机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06887241">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3704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721890E2">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6E7D2024">
            <w:pPr>
              <w:widowControl/>
              <w:ind w:firstLine="0"/>
              <w:jc w:val="center"/>
              <w:rPr>
                <w:rFonts w:ascii="宋体" w:hAnsi="宋体" w:cs="宋体"/>
                <w:sz w:val="24"/>
              </w:rPr>
            </w:pPr>
          </w:p>
        </w:tc>
        <w:tc>
          <w:tcPr>
            <w:tcW w:w="2019" w:type="dxa"/>
            <w:vMerge w:val="restart"/>
            <w:tcBorders>
              <w:top w:val="single" w:color="000000" w:sz="4" w:space="0"/>
              <w:left w:val="single" w:color="000000" w:sz="4" w:space="0"/>
              <w:bottom w:val="single" w:color="000000" w:sz="4" w:space="0"/>
              <w:right w:val="single" w:color="000000" w:sz="4" w:space="0"/>
            </w:tcBorders>
            <w:vAlign w:val="center"/>
          </w:tcPr>
          <w:p w14:paraId="7BCA1E21">
            <w:pPr>
              <w:ind w:firstLine="0"/>
              <w:jc w:val="center"/>
              <w:rPr>
                <w:rFonts w:ascii="宋体" w:hAnsi="宋体"/>
                <w:sz w:val="24"/>
              </w:rPr>
            </w:pPr>
            <w:r>
              <w:rPr>
                <w:rFonts w:hint="eastAsia" w:ascii="宋体" w:hAnsi="宋体"/>
                <w:sz w:val="24"/>
              </w:rPr>
              <w:t>A02021100输入输出设备</w:t>
            </w:r>
          </w:p>
        </w:tc>
        <w:tc>
          <w:tcPr>
            <w:tcW w:w="1912" w:type="dxa"/>
            <w:tcBorders>
              <w:top w:val="single" w:color="000000" w:sz="4" w:space="0"/>
              <w:left w:val="single" w:color="000000" w:sz="4" w:space="0"/>
              <w:bottom w:val="single" w:color="000000" w:sz="4" w:space="0"/>
              <w:right w:val="single" w:color="000000" w:sz="4" w:space="0"/>
            </w:tcBorders>
            <w:vAlign w:val="center"/>
          </w:tcPr>
          <w:p w14:paraId="7929D4C9">
            <w:pPr>
              <w:ind w:firstLine="0"/>
              <w:jc w:val="center"/>
              <w:rPr>
                <w:rFonts w:ascii="宋体" w:hAnsi="宋体"/>
                <w:sz w:val="24"/>
              </w:rPr>
            </w:pPr>
            <w:r>
              <w:rPr>
                <w:rFonts w:hint="eastAsia" w:ascii="宋体" w:hAnsi="宋体" w:cs="宋体"/>
                <w:w w:val="99"/>
                <w:sz w:val="24"/>
              </w:rPr>
              <w:t>★</w:t>
            </w:r>
            <w:r>
              <w:rPr>
                <w:rFonts w:hint="eastAsia" w:ascii="宋体" w:hAnsi="宋体"/>
                <w:sz w:val="24"/>
              </w:rPr>
              <w:t>A02021104液晶显示器</w:t>
            </w:r>
          </w:p>
        </w:tc>
        <w:tc>
          <w:tcPr>
            <w:tcW w:w="3086" w:type="dxa"/>
            <w:tcBorders>
              <w:top w:val="single" w:color="000000" w:sz="4" w:space="0"/>
              <w:left w:val="single" w:color="000000" w:sz="4" w:space="0"/>
              <w:bottom w:val="single" w:color="000000" w:sz="4" w:space="0"/>
              <w:right w:val="single" w:color="000000" w:sz="4" w:space="0"/>
            </w:tcBorders>
            <w:vAlign w:val="center"/>
          </w:tcPr>
          <w:p w14:paraId="227CF9C7">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《计算机显示器能效限定值及能效等级》（GB21520）</w:t>
            </w:r>
          </w:p>
        </w:tc>
      </w:tr>
      <w:tr w14:paraId="06CF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00079EAB">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7D4C5A48">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2ED18C7B">
            <w:pPr>
              <w:widowControl/>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47CEE9CC">
            <w:pPr>
              <w:ind w:firstLine="0"/>
              <w:jc w:val="center"/>
              <w:rPr>
                <w:rFonts w:ascii="宋体" w:hAnsi="宋体"/>
                <w:sz w:val="24"/>
              </w:rPr>
            </w:pPr>
            <w:r>
              <w:rPr>
                <w:rFonts w:hint="eastAsia" w:ascii="宋体" w:hAnsi="宋体"/>
                <w:sz w:val="24"/>
              </w:rPr>
              <w:t>A02021118扫描仪</w:t>
            </w:r>
          </w:p>
        </w:tc>
        <w:tc>
          <w:tcPr>
            <w:tcW w:w="3086" w:type="dxa"/>
            <w:tcBorders>
              <w:top w:val="single" w:color="000000" w:sz="4" w:space="0"/>
              <w:left w:val="single" w:color="000000" w:sz="4" w:space="0"/>
              <w:bottom w:val="single" w:color="000000" w:sz="4" w:space="0"/>
              <w:right w:val="single" w:color="000000" w:sz="4" w:space="0"/>
            </w:tcBorders>
            <w:vAlign w:val="center"/>
          </w:tcPr>
          <w:p w14:paraId="2C5B413B">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参照《复印机、打印机和传真机能效限定值及能效等级》（GB21521）中打印速度为15页/分的针式打印机相关要求</w:t>
            </w:r>
          </w:p>
        </w:tc>
      </w:tr>
      <w:tr w14:paraId="3E7E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2718206A">
            <w:pPr>
              <w:ind w:firstLine="0"/>
              <w:jc w:val="center"/>
              <w:rPr>
                <w:rFonts w:ascii="宋体" w:hAnsi="宋体"/>
                <w:sz w:val="24"/>
              </w:rPr>
            </w:pPr>
            <w:r>
              <w:rPr>
                <w:rFonts w:hint="eastAsia" w:ascii="宋体" w:hAnsi="宋体"/>
                <w:w w:val="99"/>
                <w:sz w:val="24"/>
              </w:rPr>
              <w:t>3</w:t>
            </w:r>
          </w:p>
        </w:tc>
        <w:tc>
          <w:tcPr>
            <w:tcW w:w="1952" w:type="dxa"/>
            <w:tcBorders>
              <w:top w:val="single" w:color="000000" w:sz="4" w:space="0"/>
              <w:left w:val="single" w:color="000000" w:sz="4" w:space="0"/>
              <w:bottom w:val="single" w:color="000000" w:sz="4" w:space="0"/>
              <w:right w:val="single" w:color="000000" w:sz="4" w:space="0"/>
            </w:tcBorders>
            <w:vAlign w:val="center"/>
          </w:tcPr>
          <w:p w14:paraId="10F237F2">
            <w:pPr>
              <w:ind w:firstLine="0"/>
              <w:jc w:val="center"/>
              <w:rPr>
                <w:rFonts w:ascii="宋体" w:hAnsi="宋体"/>
                <w:sz w:val="24"/>
              </w:rPr>
            </w:pPr>
            <w:r>
              <w:rPr>
                <w:rFonts w:hint="eastAsia" w:ascii="宋体" w:hAnsi="宋体"/>
                <w:sz w:val="24"/>
              </w:rPr>
              <w:t>A02020200投影仪</w:t>
            </w:r>
          </w:p>
        </w:tc>
        <w:tc>
          <w:tcPr>
            <w:tcW w:w="2019" w:type="dxa"/>
            <w:tcBorders>
              <w:top w:val="single" w:color="000000" w:sz="4" w:space="0"/>
              <w:left w:val="single" w:color="000000" w:sz="4" w:space="0"/>
              <w:bottom w:val="single" w:color="000000" w:sz="4" w:space="0"/>
              <w:right w:val="single" w:color="000000" w:sz="4" w:space="0"/>
            </w:tcBorders>
            <w:vAlign w:val="center"/>
          </w:tcPr>
          <w:p w14:paraId="354CE122">
            <w:pPr>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3F6CB836">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656FF2CD">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《投影机能效限定值及能效等级》（GB32028）</w:t>
            </w:r>
          </w:p>
        </w:tc>
      </w:tr>
      <w:tr w14:paraId="63ED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39A66E72">
            <w:pPr>
              <w:jc w:val="center"/>
              <w:rPr>
                <w:rFonts w:ascii="宋体" w:hAnsi="宋体"/>
                <w:sz w:val="24"/>
              </w:rPr>
            </w:pPr>
            <w:r>
              <w:rPr>
                <w:rFonts w:hint="eastAsia" w:ascii="宋体" w:hAnsi="宋体"/>
                <w:sz w:val="24"/>
              </w:rPr>
              <w:t>4</w:t>
            </w:r>
          </w:p>
        </w:tc>
        <w:tc>
          <w:tcPr>
            <w:tcW w:w="1952" w:type="dxa"/>
            <w:tcBorders>
              <w:top w:val="single" w:color="000000" w:sz="4" w:space="0"/>
              <w:left w:val="single" w:color="000000" w:sz="4" w:space="0"/>
              <w:bottom w:val="single" w:color="000000" w:sz="4" w:space="0"/>
              <w:right w:val="single" w:color="000000" w:sz="4" w:space="0"/>
            </w:tcBorders>
            <w:vAlign w:val="center"/>
          </w:tcPr>
          <w:p w14:paraId="73B95009">
            <w:pPr>
              <w:pStyle w:val="261"/>
              <w:spacing w:before="66"/>
              <w:ind w:firstLine="0"/>
              <w:jc w:val="center"/>
              <w:rPr>
                <w:rFonts w:ascii="宋体" w:hAnsi="宋体" w:cs="宋体"/>
                <w:kern w:val="2"/>
                <w:sz w:val="24"/>
                <w:szCs w:val="24"/>
              </w:rPr>
            </w:pPr>
            <w:r>
              <w:rPr>
                <w:rFonts w:hint="eastAsia" w:ascii="宋体" w:hAnsi="宋体" w:cs="仿宋_GB2312"/>
                <w:kern w:val="2"/>
                <w:sz w:val="24"/>
                <w:szCs w:val="24"/>
              </w:rPr>
              <w:t>A02020400</w:t>
            </w:r>
            <w:r>
              <w:rPr>
                <w:rFonts w:hint="eastAsia" w:ascii="宋体" w:hAnsi="宋体" w:cs="宋体"/>
                <w:w w:val="99"/>
                <w:kern w:val="2"/>
                <w:sz w:val="24"/>
                <w:szCs w:val="24"/>
              </w:rPr>
              <w:t>多功能一体机</w:t>
            </w:r>
          </w:p>
        </w:tc>
        <w:tc>
          <w:tcPr>
            <w:tcW w:w="2019" w:type="dxa"/>
            <w:tcBorders>
              <w:top w:val="single" w:color="000000" w:sz="4" w:space="0"/>
              <w:left w:val="single" w:color="000000" w:sz="4" w:space="0"/>
              <w:bottom w:val="single" w:color="000000" w:sz="4" w:space="0"/>
              <w:right w:val="single" w:color="000000" w:sz="4" w:space="0"/>
            </w:tcBorders>
            <w:vAlign w:val="center"/>
          </w:tcPr>
          <w:p w14:paraId="0DA5D18F">
            <w:pPr>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6C4C5056">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48D67D49">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《复印机、打印机和传真机能效限定值及能效等级》（GB21521）</w:t>
            </w:r>
          </w:p>
        </w:tc>
      </w:tr>
      <w:tr w14:paraId="661B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418A4082">
            <w:pPr>
              <w:pStyle w:val="261"/>
              <w:spacing w:before="160"/>
              <w:ind w:right="1" w:firstLine="0"/>
              <w:jc w:val="center"/>
              <w:rPr>
                <w:rFonts w:ascii="宋体" w:hAnsi="宋体" w:cs="宋体"/>
                <w:kern w:val="2"/>
                <w:sz w:val="24"/>
                <w:szCs w:val="24"/>
              </w:rPr>
            </w:pPr>
            <w:r>
              <w:rPr>
                <w:rFonts w:hint="eastAsia" w:ascii="宋体" w:hAnsi="宋体"/>
                <w:w w:val="99"/>
                <w:kern w:val="2"/>
                <w:sz w:val="24"/>
                <w:szCs w:val="24"/>
              </w:rPr>
              <w:t>5</w:t>
            </w:r>
          </w:p>
        </w:tc>
        <w:tc>
          <w:tcPr>
            <w:tcW w:w="1952" w:type="dxa"/>
            <w:tcBorders>
              <w:top w:val="single" w:color="000000" w:sz="4" w:space="0"/>
              <w:left w:val="single" w:color="000000" w:sz="4" w:space="0"/>
              <w:bottom w:val="single" w:color="000000" w:sz="4" w:space="0"/>
              <w:right w:val="single" w:color="000000" w:sz="4" w:space="0"/>
            </w:tcBorders>
            <w:vAlign w:val="center"/>
          </w:tcPr>
          <w:p w14:paraId="27512A8F">
            <w:pPr>
              <w:pStyle w:val="261"/>
              <w:spacing w:before="160"/>
              <w:ind w:firstLine="0"/>
              <w:jc w:val="center"/>
              <w:rPr>
                <w:rFonts w:ascii="宋体" w:hAnsi="宋体" w:cs="宋体"/>
                <w:kern w:val="2"/>
                <w:sz w:val="24"/>
                <w:szCs w:val="24"/>
              </w:rPr>
            </w:pPr>
            <w:r>
              <w:rPr>
                <w:rFonts w:hint="eastAsia" w:ascii="宋体" w:hAnsi="宋体" w:cs="仿宋_GB2312"/>
                <w:kern w:val="2"/>
                <w:sz w:val="24"/>
                <w:szCs w:val="24"/>
              </w:rPr>
              <w:t>A02051900</w:t>
            </w:r>
            <w:r>
              <w:rPr>
                <w:rFonts w:hint="eastAsia" w:ascii="宋体" w:hAnsi="宋体" w:cs="宋体"/>
                <w:w w:val="99"/>
                <w:kern w:val="2"/>
                <w:sz w:val="24"/>
                <w:szCs w:val="24"/>
              </w:rPr>
              <w:t>泵</w:t>
            </w:r>
          </w:p>
        </w:tc>
        <w:tc>
          <w:tcPr>
            <w:tcW w:w="2019" w:type="dxa"/>
            <w:tcBorders>
              <w:top w:val="single" w:color="000000" w:sz="4" w:space="0"/>
              <w:left w:val="single" w:color="000000" w:sz="4" w:space="0"/>
              <w:bottom w:val="single" w:color="000000" w:sz="4" w:space="0"/>
              <w:right w:val="single" w:color="000000" w:sz="4" w:space="0"/>
            </w:tcBorders>
            <w:vAlign w:val="center"/>
          </w:tcPr>
          <w:p w14:paraId="15B74241">
            <w:pPr>
              <w:pStyle w:val="261"/>
              <w:spacing w:before="160"/>
              <w:ind w:firstLine="0"/>
              <w:jc w:val="center"/>
              <w:rPr>
                <w:rFonts w:ascii="宋体" w:hAnsi="宋体" w:cs="宋体"/>
                <w:kern w:val="2"/>
                <w:sz w:val="24"/>
                <w:szCs w:val="24"/>
              </w:rPr>
            </w:pPr>
            <w:r>
              <w:rPr>
                <w:rFonts w:hint="eastAsia" w:ascii="宋体" w:hAnsi="宋体" w:cs="宋体"/>
                <w:spacing w:val="1"/>
                <w:w w:val="99"/>
                <w:kern w:val="2"/>
                <w:sz w:val="24"/>
                <w:szCs w:val="24"/>
              </w:rPr>
              <w:t>A02</w:t>
            </w:r>
            <w:r>
              <w:rPr>
                <w:rFonts w:hint="eastAsia" w:ascii="宋体" w:hAnsi="宋体" w:cs="宋体"/>
                <w:w w:val="99"/>
                <w:kern w:val="2"/>
                <w:sz w:val="24"/>
                <w:szCs w:val="24"/>
              </w:rPr>
              <w:t>05</w:t>
            </w:r>
            <w:r>
              <w:rPr>
                <w:rFonts w:hint="eastAsia" w:ascii="宋体" w:hAnsi="宋体" w:cs="宋体"/>
                <w:spacing w:val="1"/>
                <w:w w:val="99"/>
                <w:kern w:val="2"/>
                <w:sz w:val="24"/>
                <w:szCs w:val="24"/>
              </w:rPr>
              <w:t>1</w:t>
            </w:r>
            <w:r>
              <w:rPr>
                <w:rFonts w:hint="eastAsia" w:ascii="宋体" w:hAnsi="宋体" w:cs="宋体"/>
                <w:w w:val="99"/>
                <w:kern w:val="2"/>
                <w:sz w:val="24"/>
                <w:szCs w:val="24"/>
              </w:rPr>
              <w:t>901离心泵</w:t>
            </w:r>
          </w:p>
        </w:tc>
        <w:tc>
          <w:tcPr>
            <w:tcW w:w="1912" w:type="dxa"/>
            <w:tcBorders>
              <w:top w:val="single" w:color="000000" w:sz="4" w:space="0"/>
              <w:left w:val="single" w:color="000000" w:sz="4" w:space="0"/>
              <w:bottom w:val="single" w:color="000000" w:sz="4" w:space="0"/>
              <w:right w:val="single" w:color="000000" w:sz="4" w:space="0"/>
            </w:tcBorders>
            <w:vAlign w:val="center"/>
          </w:tcPr>
          <w:p w14:paraId="44DED797">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0E598B8A">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《清水离心泵能效限定值及节能评价值》（GB19762）</w:t>
            </w:r>
          </w:p>
        </w:tc>
      </w:tr>
      <w:tr w14:paraId="166D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985" w:type="dxa"/>
            <w:vMerge w:val="restart"/>
            <w:tcBorders>
              <w:top w:val="single" w:color="000000" w:sz="4" w:space="0"/>
              <w:left w:val="single" w:color="000000" w:sz="4" w:space="0"/>
              <w:bottom w:val="single" w:color="000000" w:sz="4" w:space="0"/>
              <w:right w:val="single" w:color="000000" w:sz="4" w:space="0"/>
            </w:tcBorders>
            <w:vAlign w:val="center"/>
          </w:tcPr>
          <w:p w14:paraId="7474CF39">
            <w:pPr>
              <w:jc w:val="center"/>
              <w:rPr>
                <w:rFonts w:ascii="宋体" w:hAnsi="宋体"/>
                <w:sz w:val="24"/>
              </w:rPr>
            </w:pPr>
            <w:r>
              <w:rPr>
                <w:rFonts w:hint="eastAsia" w:ascii="宋体" w:hAnsi="宋体"/>
                <w:sz w:val="24"/>
              </w:rPr>
              <w:t>6</w:t>
            </w: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14:paraId="0293D1D9">
            <w:pPr>
              <w:pStyle w:val="261"/>
              <w:ind w:firstLine="0"/>
              <w:jc w:val="center"/>
              <w:rPr>
                <w:rFonts w:ascii="宋体" w:hAnsi="宋体" w:cs="宋体"/>
                <w:kern w:val="2"/>
                <w:sz w:val="24"/>
                <w:szCs w:val="24"/>
              </w:rPr>
            </w:pPr>
            <w:r>
              <w:rPr>
                <w:rFonts w:hint="eastAsia" w:ascii="宋体" w:hAnsi="宋体" w:cs="仿宋_GB2312"/>
                <w:kern w:val="2"/>
                <w:sz w:val="24"/>
                <w:szCs w:val="24"/>
              </w:rPr>
              <w:t>A02052300</w:t>
            </w:r>
            <w:r>
              <w:rPr>
                <w:rFonts w:hint="eastAsia" w:ascii="宋体" w:hAnsi="宋体" w:cs="宋体"/>
                <w:w w:val="99"/>
                <w:kern w:val="2"/>
                <w:sz w:val="24"/>
                <w:szCs w:val="24"/>
              </w:rPr>
              <w:t>制冷空调设备</w:t>
            </w:r>
          </w:p>
        </w:tc>
        <w:tc>
          <w:tcPr>
            <w:tcW w:w="2019" w:type="dxa"/>
            <w:vMerge w:val="restart"/>
            <w:tcBorders>
              <w:top w:val="single" w:color="000000" w:sz="4" w:space="0"/>
              <w:left w:val="single" w:color="000000" w:sz="4" w:space="0"/>
              <w:bottom w:val="single" w:color="000000" w:sz="4" w:space="0"/>
              <w:right w:val="single" w:color="000000" w:sz="4" w:space="0"/>
            </w:tcBorders>
            <w:vAlign w:val="center"/>
          </w:tcPr>
          <w:p w14:paraId="777D1138">
            <w:pPr>
              <w:pStyle w:val="261"/>
              <w:spacing w:line="276" w:lineRule="auto"/>
              <w:ind w:right="5" w:firstLine="0"/>
              <w:jc w:val="center"/>
              <w:rPr>
                <w:rFonts w:ascii="宋体" w:hAnsi="宋体" w:cs="宋体"/>
                <w:kern w:val="2"/>
                <w:sz w:val="24"/>
                <w:szCs w:val="24"/>
              </w:rPr>
            </w:pPr>
            <w:r>
              <w:rPr>
                <w:rFonts w:hint="eastAsia" w:ascii="宋体" w:hAnsi="宋体" w:cs="宋体"/>
                <w:w w:val="99"/>
                <w:kern w:val="2"/>
                <w:sz w:val="24"/>
                <w:szCs w:val="24"/>
              </w:rPr>
              <w:t>★</w:t>
            </w:r>
            <w:r>
              <w:rPr>
                <w:rFonts w:hint="eastAsia" w:ascii="宋体" w:hAnsi="宋体" w:cs="宋体"/>
                <w:spacing w:val="1"/>
                <w:w w:val="99"/>
                <w:kern w:val="2"/>
                <w:sz w:val="24"/>
                <w:szCs w:val="24"/>
              </w:rPr>
              <w:t>A020</w:t>
            </w:r>
            <w:r>
              <w:rPr>
                <w:rFonts w:hint="eastAsia" w:ascii="宋体" w:hAnsi="宋体" w:cs="宋体"/>
                <w:w w:val="99"/>
                <w:kern w:val="2"/>
                <w:sz w:val="24"/>
                <w:szCs w:val="24"/>
              </w:rPr>
              <w:t>52</w:t>
            </w:r>
            <w:r>
              <w:rPr>
                <w:rFonts w:hint="eastAsia" w:ascii="宋体" w:hAnsi="宋体" w:cs="宋体"/>
                <w:spacing w:val="1"/>
                <w:w w:val="99"/>
                <w:kern w:val="2"/>
                <w:sz w:val="24"/>
                <w:szCs w:val="24"/>
              </w:rPr>
              <w:t>3</w:t>
            </w:r>
            <w:r>
              <w:rPr>
                <w:rFonts w:hint="eastAsia" w:ascii="宋体" w:hAnsi="宋体" w:cs="宋体"/>
                <w:w w:val="99"/>
                <w:kern w:val="2"/>
                <w:sz w:val="24"/>
                <w:szCs w:val="24"/>
              </w:rPr>
              <w:t>01制冷压缩机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36BDBFB3">
            <w:pPr>
              <w:pStyle w:val="261"/>
              <w:ind w:firstLine="0"/>
              <w:jc w:val="center"/>
              <w:rPr>
                <w:rFonts w:ascii="宋体" w:hAnsi="宋体" w:cs="宋体"/>
                <w:kern w:val="2"/>
                <w:sz w:val="24"/>
                <w:szCs w:val="24"/>
              </w:rPr>
            </w:pPr>
            <w:r>
              <w:rPr>
                <w:rFonts w:hint="eastAsia" w:ascii="宋体" w:hAnsi="宋体" w:cs="宋体"/>
                <w:w w:val="99"/>
                <w:kern w:val="2"/>
                <w:sz w:val="24"/>
                <w:szCs w:val="24"/>
              </w:rPr>
              <w:t>冷水机组</w:t>
            </w:r>
          </w:p>
        </w:tc>
        <w:tc>
          <w:tcPr>
            <w:tcW w:w="3086" w:type="dxa"/>
            <w:tcBorders>
              <w:top w:val="single" w:color="000000" w:sz="4" w:space="0"/>
              <w:left w:val="single" w:color="000000" w:sz="4" w:space="0"/>
              <w:bottom w:val="single" w:color="000000" w:sz="4" w:space="0"/>
              <w:right w:val="single" w:color="000000" w:sz="4" w:space="0"/>
            </w:tcBorders>
            <w:vAlign w:val="center"/>
          </w:tcPr>
          <w:p w14:paraId="3635B93C">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《冷水机组能效限定值及能效等级》（GB19577），《低环境温度空气源热泵（冷水）机组能效限定值及能效等级》（GB37480）</w:t>
            </w:r>
          </w:p>
        </w:tc>
      </w:tr>
      <w:tr w14:paraId="0B1D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74F2403C">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570D5923">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5D62A60E">
            <w:pPr>
              <w:widowControl/>
              <w:ind w:firstLine="0"/>
              <w:jc w:val="center"/>
              <w:rPr>
                <w:rFonts w:ascii="宋体" w:hAnsi="宋体" w:cs="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1BB37A63">
            <w:pPr>
              <w:ind w:firstLine="0"/>
              <w:jc w:val="center"/>
              <w:rPr>
                <w:rFonts w:ascii="宋体" w:hAnsi="宋体"/>
                <w:sz w:val="24"/>
              </w:rPr>
            </w:pPr>
            <w:r>
              <w:rPr>
                <w:rFonts w:hint="eastAsia" w:ascii="宋体" w:hAnsi="宋体"/>
                <w:sz w:val="24"/>
              </w:rPr>
              <w:t>溴化锂吸收式冷水机组</w:t>
            </w:r>
          </w:p>
        </w:tc>
        <w:tc>
          <w:tcPr>
            <w:tcW w:w="3086" w:type="dxa"/>
            <w:tcBorders>
              <w:top w:val="single" w:color="000000" w:sz="4" w:space="0"/>
              <w:left w:val="single" w:color="000000" w:sz="4" w:space="0"/>
              <w:bottom w:val="single" w:color="000000" w:sz="4" w:space="0"/>
              <w:right w:val="single" w:color="000000" w:sz="4" w:space="0"/>
            </w:tcBorders>
            <w:vAlign w:val="center"/>
          </w:tcPr>
          <w:p w14:paraId="27B8999B">
            <w:pPr>
              <w:pStyle w:val="261"/>
              <w:spacing w:before="131" w:line="276" w:lineRule="auto"/>
              <w:ind w:right="4" w:firstLine="0"/>
              <w:jc w:val="center"/>
              <w:rPr>
                <w:rFonts w:ascii="宋体" w:hAnsi="宋体" w:cs="宋体"/>
                <w:spacing w:val="10"/>
                <w:sz w:val="24"/>
                <w:lang w:eastAsia="zh-CN"/>
              </w:rPr>
            </w:pPr>
            <w:r>
              <w:rPr>
                <w:rFonts w:hint="eastAsia" w:ascii="宋体" w:hAnsi="宋体" w:cs="宋体"/>
                <w:spacing w:val="10"/>
                <w:kern w:val="2"/>
                <w:sz w:val="24"/>
                <w:szCs w:val="24"/>
                <w:lang w:eastAsia="zh-CN"/>
              </w:rPr>
              <w:t>《溴化锂吸收式冷水机组能效限</w:t>
            </w:r>
            <w:r>
              <w:rPr>
                <w:rFonts w:hint="eastAsia" w:ascii="宋体" w:hAnsi="宋体" w:cs="宋体"/>
                <w:spacing w:val="10"/>
                <w:sz w:val="24"/>
                <w:lang w:eastAsia="zh-CN"/>
              </w:rPr>
              <w:t>定值及能效等级》（GB29540）</w:t>
            </w:r>
          </w:p>
        </w:tc>
      </w:tr>
      <w:tr w14:paraId="39E8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17152EEB">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2FD27E82">
            <w:pPr>
              <w:widowControl/>
              <w:ind w:firstLine="0"/>
              <w:jc w:val="center"/>
              <w:rPr>
                <w:rFonts w:ascii="宋体" w:hAnsi="宋体" w:cs="宋体"/>
                <w:sz w:val="24"/>
              </w:rPr>
            </w:pPr>
          </w:p>
        </w:tc>
        <w:tc>
          <w:tcPr>
            <w:tcW w:w="2019" w:type="dxa"/>
            <w:vMerge w:val="restart"/>
            <w:tcBorders>
              <w:top w:val="single" w:color="000000" w:sz="4" w:space="0"/>
              <w:left w:val="single" w:color="000000" w:sz="4" w:space="0"/>
              <w:bottom w:val="single" w:color="000000" w:sz="4" w:space="0"/>
              <w:right w:val="single" w:color="000000" w:sz="4" w:space="0"/>
            </w:tcBorders>
            <w:vAlign w:val="center"/>
          </w:tcPr>
          <w:p w14:paraId="38926261">
            <w:pPr>
              <w:pStyle w:val="261"/>
              <w:spacing w:line="276" w:lineRule="auto"/>
              <w:ind w:right="5" w:firstLine="0"/>
              <w:jc w:val="center"/>
              <w:rPr>
                <w:rFonts w:ascii="宋体" w:hAnsi="宋体" w:cs="宋体"/>
                <w:kern w:val="2"/>
                <w:sz w:val="24"/>
                <w:szCs w:val="24"/>
              </w:rPr>
            </w:pPr>
            <w:r>
              <w:rPr>
                <w:rFonts w:hint="eastAsia" w:ascii="宋体" w:hAnsi="宋体" w:cs="宋体"/>
                <w:w w:val="99"/>
                <w:kern w:val="2"/>
                <w:sz w:val="24"/>
                <w:szCs w:val="24"/>
              </w:rPr>
              <w:t>★A02052305空调机组</w:t>
            </w:r>
          </w:p>
        </w:tc>
        <w:tc>
          <w:tcPr>
            <w:tcW w:w="1912" w:type="dxa"/>
            <w:tcBorders>
              <w:top w:val="single" w:color="000000" w:sz="4" w:space="0"/>
              <w:left w:val="single" w:color="000000" w:sz="4" w:space="0"/>
              <w:bottom w:val="single" w:color="000000" w:sz="4" w:space="0"/>
              <w:right w:val="single" w:color="000000" w:sz="4" w:space="0"/>
            </w:tcBorders>
            <w:vAlign w:val="center"/>
          </w:tcPr>
          <w:p w14:paraId="6AACF449">
            <w:pPr>
              <w:pStyle w:val="261"/>
              <w:spacing w:before="4" w:line="276" w:lineRule="auto"/>
              <w:ind w:left="7" w:right="7" w:firstLine="0"/>
              <w:jc w:val="center"/>
              <w:rPr>
                <w:rFonts w:ascii="宋体" w:hAnsi="宋体" w:cs="宋体"/>
                <w:w w:val="99"/>
                <w:kern w:val="2"/>
                <w:sz w:val="24"/>
                <w:szCs w:val="24"/>
                <w:lang w:eastAsia="zh-CN"/>
              </w:rPr>
            </w:pPr>
            <w:r>
              <w:rPr>
                <w:rFonts w:hint="eastAsia" w:ascii="宋体" w:hAnsi="宋体" w:cs="宋体"/>
                <w:w w:val="99"/>
                <w:kern w:val="2"/>
                <w:sz w:val="24"/>
                <w:szCs w:val="24"/>
                <w:lang w:eastAsia="zh-CN"/>
              </w:rPr>
              <w:t>多联式空调（热泵）机组（制冷量&gt;14000W）</w:t>
            </w:r>
          </w:p>
        </w:tc>
        <w:tc>
          <w:tcPr>
            <w:tcW w:w="3086" w:type="dxa"/>
            <w:tcBorders>
              <w:top w:val="single" w:color="000000" w:sz="4" w:space="0"/>
              <w:left w:val="single" w:color="000000" w:sz="4" w:space="0"/>
              <w:bottom w:val="single" w:color="000000" w:sz="4" w:space="0"/>
              <w:right w:val="single" w:color="000000" w:sz="4" w:space="0"/>
            </w:tcBorders>
            <w:vAlign w:val="center"/>
          </w:tcPr>
          <w:p w14:paraId="1B97A922">
            <w:pPr>
              <w:pStyle w:val="261"/>
              <w:spacing w:before="131" w:line="276" w:lineRule="auto"/>
              <w:ind w:left="7"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《多联式空调（热泵）机组能效限定值及能源效率等级》（GB21454）</w:t>
            </w:r>
          </w:p>
        </w:tc>
      </w:tr>
      <w:tr w14:paraId="64DF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177EE74D">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28B0A904">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78D46D70">
            <w:pPr>
              <w:widowControl/>
              <w:ind w:firstLine="0"/>
              <w:jc w:val="center"/>
              <w:rPr>
                <w:rFonts w:ascii="宋体" w:hAnsi="宋体" w:cs="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66735CC2">
            <w:pPr>
              <w:ind w:firstLine="0"/>
              <w:jc w:val="center"/>
              <w:rPr>
                <w:rFonts w:ascii="宋体" w:hAnsi="宋体"/>
                <w:sz w:val="24"/>
              </w:rPr>
            </w:pPr>
            <w:r>
              <w:rPr>
                <w:rFonts w:hint="eastAsia" w:ascii="宋体" w:hAnsi="宋体" w:cs="宋体"/>
                <w:w w:val="99"/>
                <w:sz w:val="24"/>
              </w:rPr>
              <w:t>单元式空气调节机</w:t>
            </w:r>
          </w:p>
        </w:tc>
        <w:tc>
          <w:tcPr>
            <w:tcW w:w="3086" w:type="dxa"/>
            <w:tcBorders>
              <w:top w:val="single" w:color="000000" w:sz="4" w:space="0"/>
              <w:left w:val="single" w:color="000000" w:sz="4" w:space="0"/>
              <w:bottom w:val="single" w:color="000000" w:sz="4" w:space="0"/>
              <w:right w:val="single" w:color="000000" w:sz="4" w:space="0"/>
            </w:tcBorders>
            <w:vAlign w:val="center"/>
          </w:tcPr>
          <w:p w14:paraId="5B06655B">
            <w:pPr>
              <w:pStyle w:val="261"/>
              <w:spacing w:before="131" w:line="276" w:lineRule="auto"/>
              <w:ind w:left="7"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《单元式空气调节机能效限定值及能效等级》（GB19576）《风管送风式空调机组能效限定值及能效等级》（GB37479）</w:t>
            </w:r>
          </w:p>
        </w:tc>
      </w:tr>
      <w:tr w14:paraId="2C40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0E597582">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7169DB20">
            <w:pPr>
              <w:widowControl/>
              <w:ind w:firstLine="0"/>
              <w:jc w:val="center"/>
              <w:rPr>
                <w:rFonts w:ascii="宋体" w:hAnsi="宋体" w:cs="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4805EDD1">
            <w:pPr>
              <w:pStyle w:val="261"/>
              <w:spacing w:before="83"/>
              <w:ind w:firstLine="0"/>
              <w:jc w:val="center"/>
              <w:rPr>
                <w:rFonts w:ascii="宋体" w:hAnsi="宋体" w:cs="宋体"/>
                <w:w w:val="99"/>
                <w:kern w:val="2"/>
                <w:sz w:val="24"/>
                <w:szCs w:val="24"/>
                <w:lang w:eastAsia="zh-CN"/>
              </w:rPr>
            </w:pPr>
            <w:r>
              <w:rPr>
                <w:rFonts w:hint="eastAsia" w:ascii="宋体" w:hAnsi="宋体" w:cs="宋体"/>
                <w:w w:val="99"/>
                <w:kern w:val="2"/>
                <w:sz w:val="24"/>
                <w:szCs w:val="24"/>
                <w:lang w:eastAsia="zh-CN"/>
              </w:rPr>
              <w:t>★A02052309专用制冷、空调设备</w:t>
            </w:r>
          </w:p>
        </w:tc>
        <w:tc>
          <w:tcPr>
            <w:tcW w:w="1912" w:type="dxa"/>
            <w:tcBorders>
              <w:top w:val="single" w:color="000000" w:sz="4" w:space="0"/>
              <w:left w:val="single" w:color="000000" w:sz="4" w:space="0"/>
              <w:bottom w:val="single" w:color="000000" w:sz="4" w:space="0"/>
              <w:right w:val="single" w:color="000000" w:sz="4" w:space="0"/>
            </w:tcBorders>
            <w:vAlign w:val="center"/>
          </w:tcPr>
          <w:p w14:paraId="4CEB1819">
            <w:pPr>
              <w:pStyle w:val="261"/>
              <w:ind w:firstLine="0"/>
              <w:jc w:val="center"/>
              <w:rPr>
                <w:rFonts w:ascii="宋体" w:hAnsi="宋体" w:cs="宋体"/>
                <w:kern w:val="2"/>
                <w:sz w:val="24"/>
                <w:szCs w:val="24"/>
              </w:rPr>
            </w:pPr>
            <w:r>
              <w:rPr>
                <w:rFonts w:hint="eastAsia" w:ascii="宋体" w:hAnsi="宋体" w:cs="宋体"/>
                <w:w w:val="99"/>
                <w:kern w:val="2"/>
                <w:sz w:val="24"/>
                <w:szCs w:val="24"/>
              </w:rPr>
              <w:t>机房空调</w:t>
            </w:r>
          </w:p>
        </w:tc>
        <w:tc>
          <w:tcPr>
            <w:tcW w:w="3086" w:type="dxa"/>
            <w:tcBorders>
              <w:top w:val="single" w:color="000000" w:sz="4" w:space="0"/>
              <w:left w:val="single" w:color="000000" w:sz="4" w:space="0"/>
              <w:bottom w:val="single" w:color="000000" w:sz="4" w:space="0"/>
              <w:right w:val="single" w:color="000000" w:sz="4" w:space="0"/>
            </w:tcBorders>
            <w:vAlign w:val="center"/>
          </w:tcPr>
          <w:p w14:paraId="4A7B226B">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《单元式空气调节机能效限定值及能效等级》（GB19576）</w:t>
            </w:r>
          </w:p>
        </w:tc>
      </w:tr>
      <w:tr w14:paraId="67AE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5767C764">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0184E8A6">
            <w:pPr>
              <w:widowControl/>
              <w:ind w:firstLine="0"/>
              <w:jc w:val="center"/>
              <w:rPr>
                <w:rFonts w:ascii="宋体" w:hAnsi="宋体" w:cs="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0DCC9022">
            <w:pPr>
              <w:pStyle w:val="261"/>
              <w:spacing w:line="254" w:lineRule="exact"/>
              <w:ind w:firstLine="0"/>
              <w:jc w:val="center"/>
              <w:rPr>
                <w:rFonts w:ascii="宋体" w:hAnsi="宋体" w:cs="宋体"/>
                <w:kern w:val="2"/>
                <w:sz w:val="24"/>
                <w:szCs w:val="24"/>
              </w:rPr>
            </w:pPr>
            <w:r>
              <w:rPr>
                <w:rFonts w:hint="eastAsia" w:ascii="宋体" w:hAnsi="宋体" w:cs="宋体"/>
                <w:w w:val="99"/>
                <w:kern w:val="2"/>
                <w:sz w:val="24"/>
                <w:szCs w:val="24"/>
              </w:rPr>
              <w:t>A02052399其他制冷空调设备</w:t>
            </w:r>
          </w:p>
        </w:tc>
        <w:tc>
          <w:tcPr>
            <w:tcW w:w="1912" w:type="dxa"/>
            <w:tcBorders>
              <w:top w:val="single" w:color="000000" w:sz="4" w:space="0"/>
              <w:left w:val="single" w:color="000000" w:sz="4" w:space="0"/>
              <w:bottom w:val="single" w:color="000000" w:sz="4" w:space="0"/>
              <w:right w:val="single" w:color="000000" w:sz="4" w:space="0"/>
            </w:tcBorders>
            <w:vAlign w:val="center"/>
          </w:tcPr>
          <w:p w14:paraId="2F65ACD4">
            <w:pPr>
              <w:widowControl/>
              <w:ind w:firstLine="0"/>
              <w:jc w:val="center"/>
              <w:rPr>
                <w:rFonts w:ascii="宋体" w:hAnsi="宋体" w:cs="宋体"/>
                <w:sz w:val="24"/>
                <w:lang w:eastAsia="en-US"/>
              </w:rPr>
            </w:pPr>
            <w:r>
              <w:rPr>
                <w:rFonts w:hint="eastAsia" w:ascii="宋体" w:hAnsi="宋体" w:cs="宋体"/>
                <w:w w:val="99"/>
                <w:sz w:val="24"/>
              </w:rPr>
              <w:t>冷却塔</w:t>
            </w:r>
          </w:p>
        </w:tc>
        <w:tc>
          <w:tcPr>
            <w:tcW w:w="3086" w:type="dxa"/>
            <w:tcBorders>
              <w:top w:val="single" w:color="000000" w:sz="4" w:space="0"/>
              <w:left w:val="single" w:color="000000" w:sz="4" w:space="0"/>
              <w:bottom w:val="single" w:color="000000" w:sz="4" w:space="0"/>
              <w:right w:val="single" w:color="000000" w:sz="4" w:space="0"/>
            </w:tcBorders>
            <w:vAlign w:val="center"/>
          </w:tcPr>
          <w:p w14:paraId="4AF6AB8B">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《机械通风冷却塔第1部分：中小型开式冷却塔》（GB/T7190.1）</w:t>
            </w:r>
          </w:p>
          <w:p w14:paraId="38CC075A">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《机械通风冷却塔第2部分：大型开式冷却塔》（GB/T7190.2）</w:t>
            </w:r>
          </w:p>
        </w:tc>
      </w:tr>
      <w:tr w14:paraId="081C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17F943F3">
            <w:pPr>
              <w:pStyle w:val="261"/>
              <w:ind w:right="1" w:firstLine="0"/>
              <w:jc w:val="center"/>
              <w:rPr>
                <w:rFonts w:ascii="宋体" w:hAnsi="宋体" w:cs="宋体"/>
                <w:kern w:val="2"/>
                <w:sz w:val="24"/>
                <w:szCs w:val="24"/>
              </w:rPr>
            </w:pPr>
            <w:r>
              <w:rPr>
                <w:rFonts w:hint="eastAsia" w:ascii="宋体" w:hAnsi="宋体"/>
                <w:w w:val="99"/>
                <w:kern w:val="2"/>
                <w:sz w:val="24"/>
                <w:szCs w:val="24"/>
              </w:rPr>
              <w:t>7</w:t>
            </w:r>
          </w:p>
        </w:tc>
        <w:tc>
          <w:tcPr>
            <w:tcW w:w="1952" w:type="dxa"/>
            <w:tcBorders>
              <w:top w:val="single" w:color="000000" w:sz="4" w:space="0"/>
              <w:left w:val="single" w:color="000000" w:sz="4" w:space="0"/>
              <w:bottom w:val="single" w:color="000000" w:sz="4" w:space="0"/>
              <w:right w:val="single" w:color="000000" w:sz="4" w:space="0"/>
            </w:tcBorders>
            <w:vAlign w:val="center"/>
          </w:tcPr>
          <w:p w14:paraId="5152807A">
            <w:pPr>
              <w:pStyle w:val="261"/>
              <w:ind w:firstLine="0"/>
              <w:jc w:val="center"/>
              <w:rPr>
                <w:rFonts w:ascii="宋体" w:hAnsi="宋体" w:cs="宋体"/>
                <w:kern w:val="2"/>
                <w:sz w:val="24"/>
                <w:szCs w:val="24"/>
              </w:rPr>
            </w:pPr>
            <w:r>
              <w:rPr>
                <w:rFonts w:hint="eastAsia" w:ascii="宋体" w:hAnsi="宋体" w:cs="仿宋_GB2312"/>
                <w:kern w:val="2"/>
                <w:sz w:val="24"/>
                <w:szCs w:val="24"/>
              </w:rPr>
              <w:t>A02060100</w:t>
            </w:r>
            <w:r>
              <w:rPr>
                <w:rFonts w:hint="eastAsia" w:ascii="宋体" w:hAnsi="宋体" w:cs="宋体"/>
                <w:w w:val="99"/>
                <w:kern w:val="2"/>
                <w:sz w:val="24"/>
                <w:szCs w:val="24"/>
              </w:rPr>
              <w:t>电机</w:t>
            </w:r>
          </w:p>
        </w:tc>
        <w:tc>
          <w:tcPr>
            <w:tcW w:w="2019" w:type="dxa"/>
            <w:tcBorders>
              <w:top w:val="single" w:color="000000" w:sz="4" w:space="0"/>
              <w:left w:val="single" w:color="000000" w:sz="4" w:space="0"/>
              <w:bottom w:val="single" w:color="000000" w:sz="4" w:space="0"/>
              <w:right w:val="single" w:color="000000" w:sz="4" w:space="0"/>
            </w:tcBorders>
            <w:vAlign w:val="center"/>
          </w:tcPr>
          <w:p w14:paraId="2BE00277">
            <w:pPr>
              <w:ind w:firstLine="0"/>
              <w:jc w:val="center"/>
              <w:rPr>
                <w:rFonts w:ascii="宋体" w:hAnsi="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2887E50E">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51185D2A">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《中小型三相异步电动机能效限定值及能效等级》（GB18613）</w:t>
            </w:r>
          </w:p>
        </w:tc>
      </w:tr>
      <w:tr w14:paraId="249C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5A4C9324">
            <w:pPr>
              <w:pStyle w:val="261"/>
              <w:ind w:right="1" w:firstLine="0"/>
              <w:jc w:val="center"/>
              <w:rPr>
                <w:rFonts w:ascii="宋体" w:hAnsi="宋体" w:cs="宋体"/>
                <w:kern w:val="2"/>
                <w:sz w:val="24"/>
                <w:szCs w:val="24"/>
              </w:rPr>
            </w:pPr>
            <w:r>
              <w:rPr>
                <w:rFonts w:hint="eastAsia" w:ascii="宋体" w:hAnsi="宋体"/>
                <w:w w:val="99"/>
                <w:kern w:val="2"/>
                <w:sz w:val="24"/>
                <w:szCs w:val="24"/>
              </w:rPr>
              <w:t>8</w:t>
            </w:r>
          </w:p>
        </w:tc>
        <w:tc>
          <w:tcPr>
            <w:tcW w:w="1952" w:type="dxa"/>
            <w:tcBorders>
              <w:top w:val="single" w:color="000000" w:sz="4" w:space="0"/>
              <w:left w:val="single" w:color="000000" w:sz="4" w:space="0"/>
              <w:bottom w:val="single" w:color="000000" w:sz="4" w:space="0"/>
              <w:right w:val="single" w:color="000000" w:sz="4" w:space="0"/>
            </w:tcBorders>
            <w:vAlign w:val="center"/>
          </w:tcPr>
          <w:p w14:paraId="2595D362">
            <w:pPr>
              <w:pStyle w:val="261"/>
              <w:spacing w:before="30"/>
              <w:ind w:firstLine="0"/>
              <w:jc w:val="center"/>
              <w:rPr>
                <w:rFonts w:ascii="宋体" w:hAnsi="宋体" w:cs="宋体"/>
                <w:kern w:val="2"/>
                <w:sz w:val="24"/>
                <w:szCs w:val="24"/>
              </w:rPr>
            </w:pPr>
            <w:r>
              <w:rPr>
                <w:rFonts w:hint="eastAsia" w:ascii="宋体" w:hAnsi="宋体" w:cs="仿宋_GB2312"/>
                <w:kern w:val="2"/>
                <w:sz w:val="24"/>
                <w:szCs w:val="24"/>
              </w:rPr>
              <w:t>A02060200</w:t>
            </w:r>
            <w:r>
              <w:rPr>
                <w:rFonts w:hint="eastAsia" w:ascii="宋体" w:hAnsi="宋体" w:cs="宋体"/>
                <w:w w:val="99"/>
                <w:kern w:val="2"/>
                <w:sz w:val="24"/>
                <w:szCs w:val="24"/>
              </w:rPr>
              <w:t>变压</w:t>
            </w:r>
          </w:p>
        </w:tc>
        <w:tc>
          <w:tcPr>
            <w:tcW w:w="2019" w:type="dxa"/>
            <w:tcBorders>
              <w:top w:val="single" w:color="000000" w:sz="4" w:space="0"/>
              <w:left w:val="single" w:color="000000" w:sz="4" w:space="0"/>
              <w:bottom w:val="single" w:color="000000" w:sz="4" w:space="0"/>
              <w:right w:val="single" w:color="000000" w:sz="4" w:space="0"/>
            </w:tcBorders>
            <w:vAlign w:val="center"/>
          </w:tcPr>
          <w:p w14:paraId="6B015DA4">
            <w:pPr>
              <w:pStyle w:val="261"/>
              <w:ind w:firstLine="0"/>
              <w:jc w:val="center"/>
              <w:rPr>
                <w:rFonts w:ascii="宋体" w:hAnsi="宋体" w:cs="宋体"/>
                <w:kern w:val="2"/>
                <w:sz w:val="24"/>
                <w:szCs w:val="24"/>
              </w:rPr>
            </w:pPr>
            <w:r>
              <w:rPr>
                <w:rFonts w:hint="eastAsia" w:ascii="宋体" w:hAnsi="宋体" w:cs="宋体"/>
                <w:w w:val="99"/>
                <w:kern w:val="2"/>
                <w:sz w:val="24"/>
                <w:szCs w:val="24"/>
              </w:rPr>
              <w:t>配电变压器</w:t>
            </w:r>
          </w:p>
        </w:tc>
        <w:tc>
          <w:tcPr>
            <w:tcW w:w="1912" w:type="dxa"/>
            <w:tcBorders>
              <w:top w:val="single" w:color="000000" w:sz="4" w:space="0"/>
              <w:left w:val="single" w:color="000000" w:sz="4" w:space="0"/>
              <w:bottom w:val="single" w:color="000000" w:sz="4" w:space="0"/>
              <w:right w:val="single" w:color="000000" w:sz="4" w:space="0"/>
            </w:tcBorders>
            <w:vAlign w:val="center"/>
          </w:tcPr>
          <w:p w14:paraId="1CF8F619">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057E140C">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《三相配电变压器能效限定值及能效等级》（GB 20052）</w:t>
            </w:r>
          </w:p>
        </w:tc>
      </w:tr>
      <w:tr w14:paraId="542B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1F223D0C">
            <w:pPr>
              <w:pStyle w:val="261"/>
              <w:ind w:right="1" w:firstLine="0"/>
              <w:jc w:val="center"/>
              <w:rPr>
                <w:rFonts w:ascii="宋体" w:hAnsi="宋体" w:cs="宋体"/>
                <w:kern w:val="2"/>
                <w:sz w:val="24"/>
                <w:szCs w:val="24"/>
              </w:rPr>
            </w:pPr>
            <w:r>
              <w:rPr>
                <w:rFonts w:hint="eastAsia" w:ascii="宋体" w:hAnsi="宋体"/>
                <w:w w:val="99"/>
                <w:kern w:val="2"/>
                <w:sz w:val="24"/>
                <w:szCs w:val="24"/>
              </w:rPr>
              <w:t>9</w:t>
            </w:r>
          </w:p>
        </w:tc>
        <w:tc>
          <w:tcPr>
            <w:tcW w:w="1952" w:type="dxa"/>
            <w:tcBorders>
              <w:top w:val="single" w:color="000000" w:sz="4" w:space="0"/>
              <w:left w:val="single" w:color="000000" w:sz="4" w:space="0"/>
              <w:bottom w:val="single" w:color="000000" w:sz="4" w:space="0"/>
              <w:right w:val="single" w:color="000000" w:sz="4" w:space="0"/>
            </w:tcBorders>
            <w:vAlign w:val="center"/>
          </w:tcPr>
          <w:p w14:paraId="15E0C199">
            <w:pPr>
              <w:pStyle w:val="261"/>
              <w:spacing w:before="126"/>
              <w:ind w:firstLine="0"/>
              <w:jc w:val="center"/>
              <w:rPr>
                <w:rFonts w:ascii="宋体" w:hAnsi="宋体" w:cs="宋体"/>
                <w:kern w:val="2"/>
                <w:sz w:val="24"/>
                <w:szCs w:val="24"/>
              </w:rPr>
            </w:pPr>
            <w:r>
              <w:rPr>
                <w:rFonts w:hint="eastAsia" w:ascii="宋体" w:hAnsi="宋体" w:cs="宋体"/>
                <w:w w:val="99"/>
                <w:kern w:val="2"/>
                <w:sz w:val="24"/>
                <w:szCs w:val="24"/>
              </w:rPr>
              <w:t>★A02060900镇流器</w:t>
            </w:r>
          </w:p>
        </w:tc>
        <w:tc>
          <w:tcPr>
            <w:tcW w:w="2019" w:type="dxa"/>
            <w:tcBorders>
              <w:top w:val="single" w:color="000000" w:sz="4" w:space="0"/>
              <w:left w:val="single" w:color="000000" w:sz="4" w:space="0"/>
              <w:bottom w:val="single" w:color="000000" w:sz="4" w:space="0"/>
              <w:right w:val="single" w:color="000000" w:sz="4" w:space="0"/>
            </w:tcBorders>
            <w:vAlign w:val="center"/>
          </w:tcPr>
          <w:p w14:paraId="1EC39466">
            <w:pPr>
              <w:pStyle w:val="261"/>
              <w:ind w:firstLine="0"/>
              <w:jc w:val="center"/>
              <w:rPr>
                <w:rFonts w:ascii="宋体" w:hAnsi="宋体" w:cs="宋体"/>
                <w:kern w:val="2"/>
                <w:sz w:val="24"/>
                <w:szCs w:val="24"/>
              </w:rPr>
            </w:pPr>
            <w:r>
              <w:rPr>
                <w:rFonts w:hint="eastAsia" w:ascii="宋体" w:hAnsi="宋体" w:cs="宋体"/>
                <w:w w:val="99"/>
                <w:kern w:val="2"/>
                <w:sz w:val="24"/>
                <w:szCs w:val="24"/>
              </w:rPr>
              <w:t>管型荧光灯镇流器</w:t>
            </w:r>
          </w:p>
        </w:tc>
        <w:tc>
          <w:tcPr>
            <w:tcW w:w="1912" w:type="dxa"/>
            <w:tcBorders>
              <w:top w:val="single" w:color="000000" w:sz="4" w:space="0"/>
              <w:left w:val="single" w:color="000000" w:sz="4" w:space="0"/>
              <w:bottom w:val="single" w:color="000000" w:sz="4" w:space="0"/>
              <w:right w:val="single" w:color="000000" w:sz="4" w:space="0"/>
            </w:tcBorders>
            <w:vAlign w:val="center"/>
          </w:tcPr>
          <w:p w14:paraId="0670D317">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0E7DE0CA">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《管形荧光灯镇流器能效限定值及能效等级》（GB17896）</w:t>
            </w:r>
          </w:p>
        </w:tc>
      </w:tr>
      <w:tr w14:paraId="65F3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restart"/>
            <w:tcBorders>
              <w:top w:val="single" w:color="000000" w:sz="4" w:space="0"/>
              <w:left w:val="single" w:color="000000" w:sz="4" w:space="0"/>
              <w:bottom w:val="single" w:color="000000" w:sz="4" w:space="0"/>
              <w:right w:val="single" w:color="000000" w:sz="4" w:space="0"/>
            </w:tcBorders>
            <w:vAlign w:val="center"/>
          </w:tcPr>
          <w:p w14:paraId="1109649A">
            <w:pPr>
              <w:pStyle w:val="261"/>
              <w:ind w:firstLine="0"/>
              <w:jc w:val="center"/>
              <w:rPr>
                <w:rFonts w:ascii="宋体" w:hAnsi="宋体" w:cs="宋体"/>
                <w:kern w:val="2"/>
                <w:sz w:val="24"/>
                <w:szCs w:val="24"/>
              </w:rPr>
            </w:pPr>
            <w:r>
              <w:rPr>
                <w:rFonts w:hint="eastAsia" w:ascii="宋体" w:hAnsi="宋体"/>
                <w:w w:val="99"/>
                <w:kern w:val="2"/>
                <w:sz w:val="24"/>
                <w:szCs w:val="24"/>
              </w:rPr>
              <w:t>10</w:t>
            </w: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14:paraId="33A68EA5">
            <w:pPr>
              <w:pStyle w:val="261"/>
              <w:ind w:firstLine="0"/>
              <w:jc w:val="center"/>
              <w:rPr>
                <w:rFonts w:ascii="宋体" w:hAnsi="宋体" w:cs="宋体"/>
                <w:kern w:val="2"/>
                <w:sz w:val="24"/>
                <w:szCs w:val="24"/>
              </w:rPr>
            </w:pPr>
            <w:r>
              <w:rPr>
                <w:rFonts w:hint="eastAsia" w:ascii="宋体" w:hAnsi="宋体" w:cs="宋体"/>
                <w:w w:val="99"/>
                <w:kern w:val="2"/>
                <w:sz w:val="24"/>
                <w:szCs w:val="24"/>
              </w:rPr>
              <w:t>A02061800生活用电器</w:t>
            </w:r>
          </w:p>
        </w:tc>
        <w:tc>
          <w:tcPr>
            <w:tcW w:w="2019" w:type="dxa"/>
            <w:tcBorders>
              <w:top w:val="single" w:color="000000" w:sz="4" w:space="0"/>
              <w:left w:val="single" w:color="000000" w:sz="4" w:space="0"/>
              <w:bottom w:val="single" w:color="000000" w:sz="4" w:space="0"/>
              <w:right w:val="single" w:color="000000" w:sz="4" w:space="0"/>
            </w:tcBorders>
            <w:vAlign w:val="center"/>
          </w:tcPr>
          <w:p w14:paraId="1A97537D">
            <w:pPr>
              <w:pStyle w:val="261"/>
              <w:ind w:firstLine="0"/>
              <w:jc w:val="center"/>
              <w:rPr>
                <w:rFonts w:ascii="宋体" w:hAnsi="宋体" w:cs="宋体"/>
                <w:kern w:val="2"/>
                <w:sz w:val="24"/>
                <w:szCs w:val="24"/>
              </w:rPr>
            </w:pPr>
            <w:r>
              <w:rPr>
                <w:rFonts w:hint="eastAsia" w:ascii="宋体" w:hAnsi="宋体" w:cs="宋体"/>
                <w:w w:val="99"/>
                <w:kern w:val="2"/>
                <w:sz w:val="24"/>
                <w:szCs w:val="24"/>
              </w:rPr>
              <w:t>A02061801电冰箱</w:t>
            </w:r>
          </w:p>
        </w:tc>
        <w:tc>
          <w:tcPr>
            <w:tcW w:w="1912" w:type="dxa"/>
            <w:tcBorders>
              <w:top w:val="single" w:color="000000" w:sz="4" w:space="0"/>
              <w:left w:val="single" w:color="000000" w:sz="4" w:space="0"/>
              <w:bottom w:val="single" w:color="000000" w:sz="4" w:space="0"/>
              <w:right w:val="single" w:color="000000" w:sz="4" w:space="0"/>
            </w:tcBorders>
            <w:vAlign w:val="center"/>
          </w:tcPr>
          <w:p w14:paraId="2BF99059">
            <w:pPr>
              <w:jc w:val="center"/>
            </w:pPr>
          </w:p>
        </w:tc>
        <w:tc>
          <w:tcPr>
            <w:tcW w:w="3086" w:type="dxa"/>
            <w:tcBorders>
              <w:top w:val="single" w:color="000000" w:sz="4" w:space="0"/>
              <w:left w:val="single" w:color="000000" w:sz="4" w:space="0"/>
              <w:bottom w:val="single" w:color="000000" w:sz="4" w:space="0"/>
              <w:right w:val="single" w:color="000000" w:sz="4" w:space="0"/>
            </w:tcBorders>
            <w:vAlign w:val="center"/>
          </w:tcPr>
          <w:p w14:paraId="268861DE">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《家用电冰箱耗电量限定值及能效等级》（GB12021.2）</w:t>
            </w:r>
          </w:p>
        </w:tc>
      </w:tr>
      <w:tr w14:paraId="7C46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4E1EA8C6">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4EA9FEA3">
            <w:pPr>
              <w:widowControl/>
              <w:ind w:firstLine="0"/>
              <w:jc w:val="center"/>
              <w:rPr>
                <w:rFonts w:ascii="宋体" w:hAnsi="宋体" w:cs="宋体"/>
                <w:sz w:val="24"/>
              </w:rPr>
            </w:pPr>
          </w:p>
        </w:tc>
        <w:tc>
          <w:tcPr>
            <w:tcW w:w="2019" w:type="dxa"/>
            <w:vMerge w:val="restart"/>
            <w:tcBorders>
              <w:top w:val="single" w:color="000000" w:sz="4" w:space="0"/>
              <w:left w:val="single" w:color="000000" w:sz="4" w:space="0"/>
              <w:bottom w:val="single" w:color="000000" w:sz="4" w:space="0"/>
              <w:right w:val="single" w:color="000000" w:sz="4" w:space="0"/>
            </w:tcBorders>
            <w:vAlign w:val="center"/>
          </w:tcPr>
          <w:p w14:paraId="5433CB73">
            <w:pPr>
              <w:pStyle w:val="261"/>
              <w:spacing w:before="171"/>
              <w:ind w:firstLine="0"/>
              <w:jc w:val="center"/>
              <w:rPr>
                <w:rFonts w:ascii="宋体" w:hAnsi="宋体" w:cs="宋体"/>
                <w:kern w:val="2"/>
                <w:sz w:val="24"/>
                <w:szCs w:val="24"/>
              </w:rPr>
            </w:pPr>
            <w:r>
              <w:rPr>
                <w:rFonts w:hint="eastAsia" w:ascii="宋体" w:hAnsi="宋体" w:cs="宋体"/>
                <w:w w:val="99"/>
                <w:kern w:val="2"/>
                <w:sz w:val="24"/>
                <w:szCs w:val="24"/>
              </w:rPr>
              <w:t>★</w:t>
            </w:r>
            <w:r>
              <w:rPr>
                <w:rFonts w:hint="eastAsia" w:ascii="宋体" w:hAnsi="宋体" w:cs="仿宋_GB2312"/>
                <w:kern w:val="2"/>
                <w:sz w:val="24"/>
                <w:szCs w:val="24"/>
              </w:rPr>
              <w:t>A02061804</w:t>
            </w:r>
            <w:r>
              <w:rPr>
                <w:rFonts w:hint="eastAsia" w:ascii="宋体" w:hAnsi="宋体" w:cs="宋体"/>
                <w:w w:val="99"/>
                <w:kern w:val="2"/>
                <w:sz w:val="24"/>
                <w:szCs w:val="24"/>
              </w:rPr>
              <w:t>空调机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3ABA46CB">
            <w:pPr>
              <w:pStyle w:val="261"/>
              <w:ind w:firstLine="0"/>
              <w:jc w:val="center"/>
              <w:rPr>
                <w:rFonts w:ascii="宋体" w:hAnsi="宋体" w:cs="宋体"/>
                <w:kern w:val="2"/>
                <w:sz w:val="24"/>
                <w:szCs w:val="24"/>
              </w:rPr>
            </w:pPr>
            <w:r>
              <w:rPr>
                <w:rFonts w:hint="eastAsia" w:ascii="宋体" w:hAnsi="宋体" w:cs="宋体"/>
                <w:w w:val="99"/>
                <w:kern w:val="2"/>
                <w:sz w:val="24"/>
                <w:szCs w:val="24"/>
              </w:rPr>
              <w:t>房间空气调节器</w:t>
            </w:r>
          </w:p>
        </w:tc>
        <w:tc>
          <w:tcPr>
            <w:tcW w:w="3086" w:type="dxa"/>
            <w:tcBorders>
              <w:top w:val="single" w:color="000000" w:sz="4" w:space="0"/>
              <w:left w:val="single" w:color="000000" w:sz="4" w:space="0"/>
              <w:bottom w:val="single" w:color="000000" w:sz="4" w:space="0"/>
              <w:right w:val="single" w:color="000000" w:sz="4" w:space="0"/>
            </w:tcBorders>
            <w:vAlign w:val="center"/>
          </w:tcPr>
          <w:p w14:paraId="2C4791F7">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《房间空气调节器能效限定值及能效等级》（GB21455-2019）</w:t>
            </w:r>
          </w:p>
        </w:tc>
      </w:tr>
      <w:tr w14:paraId="0200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1B19ABB5">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704791D7">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39B7177D">
            <w:pPr>
              <w:widowControl/>
              <w:ind w:firstLine="0"/>
              <w:jc w:val="center"/>
              <w:rPr>
                <w:rFonts w:ascii="宋体" w:hAnsi="宋体" w:cs="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1B136100">
            <w:pPr>
              <w:pStyle w:val="261"/>
              <w:spacing w:before="4" w:line="276" w:lineRule="auto"/>
              <w:ind w:right="7" w:firstLine="0"/>
              <w:jc w:val="center"/>
              <w:rPr>
                <w:rFonts w:ascii="宋体" w:hAnsi="宋体" w:cs="宋体"/>
                <w:kern w:val="2"/>
                <w:sz w:val="24"/>
                <w:szCs w:val="24"/>
                <w:lang w:eastAsia="zh-CN"/>
              </w:rPr>
            </w:pPr>
            <w:r>
              <w:rPr>
                <w:rFonts w:hint="eastAsia" w:ascii="宋体" w:hAnsi="宋体" w:cs="宋体"/>
                <w:w w:val="99"/>
                <w:kern w:val="2"/>
                <w:sz w:val="24"/>
                <w:szCs w:val="24"/>
                <w:lang w:eastAsia="zh-CN"/>
              </w:rPr>
              <w:t>多联式空调（热泵）机组（制冷量≤ 14000W）</w:t>
            </w:r>
          </w:p>
        </w:tc>
        <w:tc>
          <w:tcPr>
            <w:tcW w:w="3086" w:type="dxa"/>
            <w:tcBorders>
              <w:top w:val="single" w:color="000000" w:sz="4" w:space="0"/>
              <w:left w:val="single" w:color="000000" w:sz="4" w:space="0"/>
              <w:bottom w:val="single" w:color="000000" w:sz="4" w:space="0"/>
              <w:right w:val="single" w:color="000000" w:sz="4" w:space="0"/>
            </w:tcBorders>
            <w:vAlign w:val="center"/>
          </w:tcPr>
          <w:p w14:paraId="226B958A">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《多联式空调（热泵）机组能效限定值及能源效率等级》（GB21454）</w:t>
            </w:r>
          </w:p>
        </w:tc>
      </w:tr>
      <w:tr w14:paraId="59AA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68FA257D">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6629FD0D">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41C3179C">
            <w:pPr>
              <w:widowControl/>
              <w:ind w:firstLine="0"/>
              <w:jc w:val="center"/>
              <w:rPr>
                <w:rFonts w:ascii="宋体" w:hAnsi="宋体" w:cs="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509EF421">
            <w:pPr>
              <w:pStyle w:val="261"/>
              <w:ind w:firstLine="0"/>
              <w:jc w:val="center"/>
              <w:rPr>
                <w:rFonts w:ascii="宋体" w:hAnsi="宋体" w:cs="宋体"/>
                <w:kern w:val="2"/>
                <w:sz w:val="24"/>
                <w:szCs w:val="24"/>
                <w:lang w:eastAsia="zh-CN"/>
              </w:rPr>
            </w:pPr>
            <w:r>
              <w:rPr>
                <w:rFonts w:hint="eastAsia" w:ascii="宋体" w:hAnsi="宋体" w:cs="宋体"/>
                <w:w w:val="99"/>
                <w:kern w:val="2"/>
                <w:sz w:val="24"/>
                <w:szCs w:val="24"/>
                <w:lang w:eastAsia="zh-CN"/>
              </w:rPr>
              <w:t>单元式空气调节机（制冷量≤ 14000W）</w:t>
            </w:r>
          </w:p>
        </w:tc>
        <w:tc>
          <w:tcPr>
            <w:tcW w:w="3086" w:type="dxa"/>
            <w:tcBorders>
              <w:top w:val="single" w:color="000000" w:sz="4" w:space="0"/>
              <w:left w:val="single" w:color="000000" w:sz="4" w:space="0"/>
              <w:bottom w:val="single" w:color="000000" w:sz="4" w:space="0"/>
              <w:right w:val="single" w:color="000000" w:sz="4" w:space="0"/>
            </w:tcBorders>
            <w:vAlign w:val="center"/>
          </w:tcPr>
          <w:p w14:paraId="6DCD68DD">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《单元式空气调节机能效限定值及能源效率等级》（GB19576）《风管送风式空调机组能效限定值及能效等级》（GB37479）</w:t>
            </w:r>
          </w:p>
        </w:tc>
      </w:tr>
      <w:tr w14:paraId="548D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3A87902F">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0C179ED6">
            <w:pPr>
              <w:widowControl/>
              <w:ind w:firstLine="0"/>
              <w:jc w:val="center"/>
              <w:rPr>
                <w:rFonts w:ascii="宋体" w:hAnsi="宋体" w:cs="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3B584AEC">
            <w:pPr>
              <w:pStyle w:val="261"/>
              <w:spacing w:before="162"/>
              <w:ind w:firstLine="0"/>
              <w:jc w:val="center"/>
              <w:rPr>
                <w:rFonts w:ascii="宋体" w:hAnsi="宋体" w:cs="宋体"/>
                <w:kern w:val="2"/>
                <w:sz w:val="24"/>
                <w:szCs w:val="24"/>
              </w:rPr>
            </w:pPr>
            <w:r>
              <w:rPr>
                <w:rFonts w:hint="eastAsia" w:ascii="宋体" w:hAnsi="宋体" w:cs="仿宋_GB2312"/>
                <w:kern w:val="2"/>
                <w:sz w:val="24"/>
                <w:szCs w:val="24"/>
              </w:rPr>
              <w:t>A02061810</w:t>
            </w:r>
            <w:r>
              <w:rPr>
                <w:rFonts w:hint="eastAsia" w:ascii="宋体" w:hAnsi="宋体" w:cs="宋体"/>
                <w:w w:val="99"/>
                <w:kern w:val="2"/>
                <w:sz w:val="24"/>
                <w:szCs w:val="24"/>
              </w:rPr>
              <w:t>洗衣机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1FB9F4FC">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481B980F">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《电动洗衣机能效水效限定值及等级》（GB12021.4）</w:t>
            </w:r>
          </w:p>
        </w:tc>
      </w:tr>
      <w:tr w14:paraId="7839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6C8BDA81">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10A3BB2A">
            <w:pPr>
              <w:widowControl/>
              <w:ind w:firstLine="0"/>
              <w:jc w:val="center"/>
              <w:rPr>
                <w:rFonts w:ascii="宋体" w:hAnsi="宋体" w:cs="宋体"/>
                <w:sz w:val="24"/>
              </w:rPr>
            </w:pPr>
          </w:p>
        </w:tc>
        <w:tc>
          <w:tcPr>
            <w:tcW w:w="2019" w:type="dxa"/>
            <w:vMerge w:val="restart"/>
            <w:tcBorders>
              <w:top w:val="single" w:color="000000" w:sz="4" w:space="0"/>
              <w:left w:val="single" w:color="000000" w:sz="4" w:space="0"/>
              <w:bottom w:val="single" w:color="000000" w:sz="4" w:space="0"/>
              <w:right w:val="single" w:color="000000" w:sz="4" w:space="0"/>
            </w:tcBorders>
            <w:vAlign w:val="center"/>
          </w:tcPr>
          <w:p w14:paraId="524B47C3">
            <w:pPr>
              <w:pStyle w:val="261"/>
              <w:spacing w:before="161"/>
              <w:ind w:firstLine="0"/>
              <w:jc w:val="center"/>
              <w:rPr>
                <w:rFonts w:ascii="宋体" w:hAnsi="宋体" w:cs="宋体"/>
                <w:kern w:val="2"/>
                <w:sz w:val="24"/>
                <w:szCs w:val="24"/>
              </w:rPr>
            </w:pPr>
            <w:r>
              <w:rPr>
                <w:rFonts w:hint="eastAsia" w:ascii="宋体" w:hAnsi="宋体" w:cs="仿宋_GB2312"/>
                <w:kern w:val="2"/>
                <w:sz w:val="24"/>
                <w:szCs w:val="24"/>
              </w:rPr>
              <w:t>A02061819</w:t>
            </w:r>
            <w:r>
              <w:rPr>
                <w:rFonts w:hint="eastAsia" w:ascii="宋体" w:hAnsi="宋体" w:cs="宋体"/>
                <w:w w:val="99"/>
                <w:kern w:val="2"/>
                <w:sz w:val="24"/>
                <w:szCs w:val="24"/>
              </w:rPr>
              <w:t>热水器</w:t>
            </w:r>
          </w:p>
        </w:tc>
        <w:tc>
          <w:tcPr>
            <w:tcW w:w="1912" w:type="dxa"/>
            <w:tcBorders>
              <w:top w:val="single" w:color="000000" w:sz="4" w:space="0"/>
              <w:left w:val="single" w:color="000000" w:sz="4" w:space="0"/>
              <w:bottom w:val="single" w:color="000000" w:sz="4" w:space="0"/>
              <w:right w:val="single" w:color="000000" w:sz="4" w:space="0"/>
            </w:tcBorders>
            <w:vAlign w:val="center"/>
          </w:tcPr>
          <w:p w14:paraId="5A87ABCC">
            <w:pPr>
              <w:pStyle w:val="261"/>
              <w:ind w:firstLine="0"/>
              <w:jc w:val="center"/>
              <w:rPr>
                <w:rFonts w:ascii="宋体" w:hAnsi="宋体" w:cs="宋体"/>
                <w:kern w:val="2"/>
                <w:sz w:val="24"/>
                <w:szCs w:val="24"/>
              </w:rPr>
            </w:pPr>
            <w:r>
              <w:rPr>
                <w:rFonts w:hint="eastAsia" w:ascii="宋体" w:hAnsi="宋体" w:cs="宋体"/>
                <w:w w:val="99"/>
                <w:kern w:val="2"/>
                <w:sz w:val="24"/>
                <w:szCs w:val="24"/>
              </w:rPr>
              <w:t>★电热</w:t>
            </w:r>
            <w:r>
              <w:rPr>
                <w:rFonts w:hint="eastAsia" w:ascii="宋体" w:hAnsi="宋体" w:cs="宋体"/>
                <w:spacing w:val="2"/>
                <w:w w:val="99"/>
                <w:kern w:val="2"/>
                <w:sz w:val="24"/>
                <w:szCs w:val="24"/>
              </w:rPr>
              <w:t>水</w:t>
            </w:r>
            <w:r>
              <w:rPr>
                <w:rFonts w:hint="eastAsia" w:ascii="宋体" w:hAnsi="宋体" w:cs="宋体"/>
                <w:w w:val="99"/>
                <w:kern w:val="2"/>
                <w:sz w:val="24"/>
                <w:szCs w:val="24"/>
              </w:rPr>
              <w:t>器</w:t>
            </w:r>
          </w:p>
        </w:tc>
        <w:tc>
          <w:tcPr>
            <w:tcW w:w="3086" w:type="dxa"/>
            <w:tcBorders>
              <w:top w:val="single" w:color="000000" w:sz="4" w:space="0"/>
              <w:left w:val="single" w:color="000000" w:sz="4" w:space="0"/>
              <w:bottom w:val="single" w:color="000000" w:sz="4" w:space="0"/>
              <w:right w:val="single" w:color="000000" w:sz="4" w:space="0"/>
            </w:tcBorders>
            <w:vAlign w:val="center"/>
          </w:tcPr>
          <w:p w14:paraId="5B65D740">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《储水式电热水器能效限定值及能效等级》（GB21519）</w:t>
            </w:r>
          </w:p>
        </w:tc>
      </w:tr>
      <w:tr w14:paraId="540D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3426911B">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435B0FF1">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7C7ED064">
            <w:pPr>
              <w:widowControl/>
              <w:ind w:firstLine="0"/>
              <w:jc w:val="center"/>
              <w:rPr>
                <w:rFonts w:ascii="宋体" w:hAnsi="宋体" w:cs="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042D330A">
            <w:pPr>
              <w:pStyle w:val="261"/>
              <w:ind w:firstLine="0"/>
              <w:jc w:val="center"/>
              <w:rPr>
                <w:rFonts w:ascii="宋体" w:hAnsi="宋体" w:cs="宋体"/>
                <w:kern w:val="2"/>
                <w:sz w:val="24"/>
                <w:szCs w:val="24"/>
              </w:rPr>
            </w:pPr>
            <w:r>
              <w:rPr>
                <w:rFonts w:hint="eastAsia" w:ascii="宋体" w:hAnsi="宋体" w:cs="宋体"/>
                <w:w w:val="99"/>
                <w:kern w:val="2"/>
                <w:sz w:val="24"/>
                <w:szCs w:val="24"/>
              </w:rPr>
              <w:t>燃气热</w:t>
            </w:r>
            <w:r>
              <w:rPr>
                <w:rFonts w:hint="eastAsia" w:ascii="宋体" w:hAnsi="宋体" w:cs="宋体"/>
                <w:spacing w:val="2"/>
                <w:w w:val="99"/>
                <w:kern w:val="2"/>
                <w:sz w:val="24"/>
                <w:szCs w:val="24"/>
              </w:rPr>
              <w:t>水</w:t>
            </w:r>
            <w:r>
              <w:rPr>
                <w:rFonts w:hint="eastAsia" w:ascii="宋体" w:hAnsi="宋体" w:cs="宋体"/>
                <w:w w:val="99"/>
                <w:kern w:val="2"/>
                <w:sz w:val="24"/>
                <w:szCs w:val="24"/>
              </w:rPr>
              <w:t>器</w:t>
            </w:r>
          </w:p>
        </w:tc>
        <w:tc>
          <w:tcPr>
            <w:tcW w:w="3086" w:type="dxa"/>
            <w:tcBorders>
              <w:top w:val="single" w:color="000000" w:sz="4" w:space="0"/>
              <w:left w:val="single" w:color="000000" w:sz="4" w:space="0"/>
              <w:bottom w:val="single" w:color="000000" w:sz="4" w:space="0"/>
              <w:right w:val="single" w:color="000000" w:sz="4" w:space="0"/>
            </w:tcBorders>
            <w:vAlign w:val="center"/>
          </w:tcPr>
          <w:p w14:paraId="65F1942D">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《家用燃气快速热水器和燃气采暖热水炉能效限定值及能效等级》（GB20665）</w:t>
            </w:r>
          </w:p>
        </w:tc>
      </w:tr>
      <w:tr w14:paraId="5778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2DCCE487">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15781F64">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53797B3C">
            <w:pPr>
              <w:widowControl/>
              <w:ind w:firstLine="0"/>
              <w:jc w:val="center"/>
              <w:rPr>
                <w:rFonts w:ascii="宋体" w:hAnsi="宋体" w:cs="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6C5EE42D">
            <w:pPr>
              <w:pStyle w:val="261"/>
              <w:ind w:firstLine="0"/>
              <w:jc w:val="center"/>
              <w:rPr>
                <w:rFonts w:ascii="宋体" w:hAnsi="宋体" w:cs="宋体"/>
                <w:kern w:val="2"/>
                <w:sz w:val="24"/>
                <w:szCs w:val="24"/>
              </w:rPr>
            </w:pPr>
            <w:r>
              <w:rPr>
                <w:rFonts w:hint="eastAsia" w:ascii="宋体" w:hAnsi="宋体" w:cs="宋体"/>
                <w:w w:val="99"/>
                <w:kern w:val="2"/>
                <w:sz w:val="24"/>
                <w:szCs w:val="24"/>
              </w:rPr>
              <w:t>热泵热</w:t>
            </w:r>
            <w:r>
              <w:rPr>
                <w:rFonts w:hint="eastAsia" w:ascii="宋体" w:hAnsi="宋体" w:cs="宋体"/>
                <w:spacing w:val="2"/>
                <w:w w:val="99"/>
                <w:kern w:val="2"/>
                <w:sz w:val="24"/>
                <w:szCs w:val="24"/>
              </w:rPr>
              <w:t>水</w:t>
            </w:r>
            <w:r>
              <w:rPr>
                <w:rFonts w:hint="eastAsia" w:ascii="宋体" w:hAnsi="宋体" w:cs="宋体"/>
                <w:w w:val="99"/>
                <w:kern w:val="2"/>
                <w:sz w:val="24"/>
                <w:szCs w:val="24"/>
              </w:rPr>
              <w:t>器</w:t>
            </w:r>
          </w:p>
        </w:tc>
        <w:tc>
          <w:tcPr>
            <w:tcW w:w="3086" w:type="dxa"/>
            <w:tcBorders>
              <w:top w:val="single" w:color="000000" w:sz="4" w:space="0"/>
              <w:left w:val="single" w:color="000000" w:sz="4" w:space="0"/>
              <w:bottom w:val="single" w:color="000000" w:sz="4" w:space="0"/>
              <w:right w:val="single" w:color="000000" w:sz="4" w:space="0"/>
            </w:tcBorders>
            <w:vAlign w:val="center"/>
          </w:tcPr>
          <w:p w14:paraId="4B9D0862">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《热泵热水机（器）能效限定值及能效等级》（GB29541）</w:t>
            </w:r>
          </w:p>
        </w:tc>
      </w:tr>
      <w:tr w14:paraId="4BB7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58818FF1">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0FB866C9">
            <w:pPr>
              <w:widowControl/>
              <w:ind w:firstLine="0"/>
              <w:jc w:val="center"/>
              <w:rPr>
                <w:rFonts w:ascii="宋体" w:hAnsi="宋体" w:cs="宋体"/>
                <w:sz w:val="24"/>
              </w:rPr>
            </w:pPr>
          </w:p>
        </w:tc>
        <w:tc>
          <w:tcPr>
            <w:tcW w:w="2019" w:type="dxa"/>
            <w:vMerge w:val="continue"/>
            <w:tcBorders>
              <w:top w:val="single" w:color="000000" w:sz="4" w:space="0"/>
              <w:left w:val="single" w:color="000000" w:sz="4" w:space="0"/>
              <w:bottom w:val="single" w:color="000000" w:sz="4" w:space="0"/>
              <w:right w:val="single" w:color="000000" w:sz="4" w:space="0"/>
            </w:tcBorders>
            <w:vAlign w:val="center"/>
          </w:tcPr>
          <w:p w14:paraId="4849F387">
            <w:pPr>
              <w:widowControl/>
              <w:ind w:firstLine="0"/>
              <w:jc w:val="center"/>
              <w:rPr>
                <w:rFonts w:ascii="宋体" w:hAnsi="宋体" w:cs="宋体"/>
                <w:sz w:val="24"/>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2E51FE88">
            <w:pPr>
              <w:pStyle w:val="261"/>
              <w:ind w:firstLine="0"/>
              <w:jc w:val="center"/>
              <w:rPr>
                <w:rFonts w:ascii="宋体" w:hAnsi="宋体" w:cs="宋体"/>
                <w:kern w:val="2"/>
                <w:sz w:val="24"/>
                <w:szCs w:val="24"/>
              </w:rPr>
            </w:pPr>
            <w:r>
              <w:rPr>
                <w:rFonts w:hint="eastAsia" w:ascii="宋体" w:hAnsi="宋体" w:cs="宋体"/>
                <w:w w:val="99"/>
                <w:kern w:val="2"/>
                <w:sz w:val="24"/>
                <w:szCs w:val="24"/>
              </w:rPr>
              <w:t>太阳能</w:t>
            </w:r>
            <w:r>
              <w:rPr>
                <w:rFonts w:hint="eastAsia" w:ascii="宋体" w:hAnsi="宋体" w:cs="宋体"/>
                <w:spacing w:val="2"/>
                <w:w w:val="99"/>
                <w:kern w:val="2"/>
                <w:sz w:val="24"/>
                <w:szCs w:val="24"/>
              </w:rPr>
              <w:t>热</w:t>
            </w:r>
            <w:r>
              <w:rPr>
                <w:rFonts w:hint="eastAsia" w:ascii="宋体" w:hAnsi="宋体" w:cs="宋体"/>
                <w:w w:val="99"/>
                <w:kern w:val="2"/>
                <w:sz w:val="24"/>
                <w:szCs w:val="24"/>
              </w:rPr>
              <w:t>水系统</w:t>
            </w:r>
          </w:p>
        </w:tc>
        <w:tc>
          <w:tcPr>
            <w:tcW w:w="3086" w:type="dxa"/>
            <w:tcBorders>
              <w:top w:val="single" w:color="000000" w:sz="4" w:space="0"/>
              <w:left w:val="single" w:color="000000" w:sz="4" w:space="0"/>
              <w:bottom w:val="single" w:color="000000" w:sz="4" w:space="0"/>
              <w:right w:val="single" w:color="000000" w:sz="4" w:space="0"/>
            </w:tcBorders>
            <w:vAlign w:val="center"/>
          </w:tcPr>
          <w:p w14:paraId="46A6A1B8">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《家用太阳能热水系统能效限定值及能效等级》（GB26969）</w:t>
            </w:r>
          </w:p>
        </w:tc>
      </w:tr>
      <w:tr w14:paraId="67F8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restart"/>
            <w:tcBorders>
              <w:top w:val="single" w:color="000000" w:sz="4" w:space="0"/>
              <w:left w:val="single" w:color="000000" w:sz="4" w:space="0"/>
              <w:bottom w:val="single" w:color="000000" w:sz="4" w:space="0"/>
              <w:right w:val="single" w:color="000000" w:sz="4" w:space="0"/>
            </w:tcBorders>
            <w:vAlign w:val="center"/>
          </w:tcPr>
          <w:p w14:paraId="4B4BDFDE">
            <w:pPr>
              <w:pStyle w:val="261"/>
              <w:jc w:val="center"/>
              <w:rPr>
                <w:rFonts w:ascii="宋体" w:hAnsi="宋体" w:cs="宋体"/>
                <w:kern w:val="2"/>
                <w:sz w:val="24"/>
                <w:szCs w:val="24"/>
              </w:rPr>
            </w:pPr>
            <w:r>
              <w:rPr>
                <w:rFonts w:hint="eastAsia" w:ascii="宋体" w:hAnsi="宋体"/>
                <w:spacing w:val="1"/>
                <w:w w:val="99"/>
                <w:kern w:val="2"/>
                <w:sz w:val="24"/>
                <w:szCs w:val="24"/>
              </w:rPr>
              <w:t>1</w:t>
            </w:r>
            <w:r>
              <w:rPr>
                <w:rFonts w:hint="eastAsia" w:ascii="宋体" w:hAnsi="宋体"/>
                <w:w w:val="99"/>
                <w:kern w:val="2"/>
                <w:sz w:val="24"/>
                <w:szCs w:val="24"/>
              </w:rPr>
              <w:t>1</w:t>
            </w: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14:paraId="67DC8876">
            <w:pPr>
              <w:pStyle w:val="261"/>
              <w:spacing w:before="157"/>
              <w:ind w:firstLine="0"/>
              <w:jc w:val="center"/>
              <w:rPr>
                <w:rFonts w:ascii="宋体" w:hAnsi="宋体" w:cs="宋体"/>
                <w:kern w:val="2"/>
                <w:sz w:val="24"/>
                <w:szCs w:val="24"/>
              </w:rPr>
            </w:pPr>
            <w:r>
              <w:rPr>
                <w:rFonts w:hint="eastAsia" w:ascii="宋体" w:hAnsi="宋体" w:cs="宋体"/>
                <w:spacing w:val="1"/>
                <w:w w:val="99"/>
                <w:kern w:val="2"/>
                <w:sz w:val="24"/>
                <w:szCs w:val="24"/>
              </w:rPr>
              <w:t>A02</w:t>
            </w:r>
            <w:r>
              <w:rPr>
                <w:rFonts w:hint="eastAsia" w:ascii="宋体" w:hAnsi="宋体" w:cs="宋体"/>
                <w:w w:val="99"/>
                <w:kern w:val="2"/>
                <w:sz w:val="24"/>
                <w:szCs w:val="24"/>
              </w:rPr>
              <w:t>06</w:t>
            </w:r>
            <w:r>
              <w:rPr>
                <w:rFonts w:hint="eastAsia" w:ascii="宋体" w:hAnsi="宋体" w:cs="宋体"/>
                <w:spacing w:val="1"/>
                <w:w w:val="99"/>
                <w:kern w:val="2"/>
                <w:sz w:val="24"/>
                <w:szCs w:val="24"/>
              </w:rPr>
              <w:t>1</w:t>
            </w:r>
            <w:r>
              <w:rPr>
                <w:rFonts w:hint="eastAsia" w:ascii="宋体" w:hAnsi="宋体" w:cs="宋体"/>
                <w:w w:val="99"/>
                <w:kern w:val="2"/>
                <w:sz w:val="24"/>
                <w:szCs w:val="24"/>
              </w:rPr>
              <w:t>900照明设备</w:t>
            </w:r>
          </w:p>
        </w:tc>
        <w:tc>
          <w:tcPr>
            <w:tcW w:w="2019" w:type="dxa"/>
            <w:tcBorders>
              <w:top w:val="single" w:color="000000" w:sz="4" w:space="0"/>
              <w:left w:val="single" w:color="000000" w:sz="4" w:space="0"/>
              <w:bottom w:val="single" w:color="000000" w:sz="4" w:space="0"/>
              <w:right w:val="single" w:color="000000" w:sz="4" w:space="0"/>
            </w:tcBorders>
            <w:vAlign w:val="center"/>
          </w:tcPr>
          <w:p w14:paraId="4A06202C">
            <w:pPr>
              <w:pStyle w:val="261"/>
              <w:spacing w:before="133" w:line="276" w:lineRule="auto"/>
              <w:ind w:right="7" w:firstLine="0"/>
              <w:jc w:val="center"/>
              <w:rPr>
                <w:rFonts w:ascii="宋体" w:hAnsi="宋体" w:cs="宋体"/>
                <w:kern w:val="2"/>
                <w:sz w:val="24"/>
                <w:szCs w:val="24"/>
                <w:lang w:eastAsia="zh-CN"/>
              </w:rPr>
            </w:pPr>
            <w:r>
              <w:rPr>
                <w:rFonts w:hint="eastAsia" w:ascii="宋体" w:hAnsi="宋体" w:cs="宋体"/>
                <w:w w:val="99"/>
                <w:kern w:val="2"/>
                <w:sz w:val="24"/>
                <w:szCs w:val="24"/>
                <w:lang w:eastAsia="zh-CN"/>
              </w:rPr>
              <w:t>★普通照明用双端荧光灯</w:t>
            </w:r>
          </w:p>
        </w:tc>
        <w:tc>
          <w:tcPr>
            <w:tcW w:w="1912" w:type="dxa"/>
            <w:tcBorders>
              <w:top w:val="single" w:color="000000" w:sz="4" w:space="0"/>
              <w:left w:val="single" w:color="000000" w:sz="4" w:space="0"/>
              <w:bottom w:val="single" w:color="000000" w:sz="4" w:space="0"/>
              <w:right w:val="single" w:color="000000" w:sz="4" w:space="0"/>
            </w:tcBorders>
            <w:vAlign w:val="center"/>
          </w:tcPr>
          <w:p w14:paraId="78B1A40C">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5D8FCC60">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《普通照明用双端荧光灯能效限定值及能效等级》（GB19043）</w:t>
            </w:r>
          </w:p>
        </w:tc>
      </w:tr>
      <w:tr w14:paraId="3193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0380A8A0">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7C7D2E93">
            <w:pPr>
              <w:widowControl/>
              <w:ind w:firstLine="0"/>
              <w:jc w:val="center"/>
              <w:rPr>
                <w:rFonts w:ascii="宋体" w:hAnsi="宋体" w:cs="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04E1FB61">
            <w:pPr>
              <w:pStyle w:val="261"/>
              <w:spacing w:before="92" w:line="276" w:lineRule="auto"/>
              <w:ind w:right="2" w:firstLine="0"/>
              <w:jc w:val="center"/>
              <w:rPr>
                <w:rFonts w:ascii="宋体" w:hAnsi="宋体" w:cs="宋体"/>
                <w:kern w:val="2"/>
                <w:sz w:val="24"/>
                <w:szCs w:val="24"/>
              </w:rPr>
            </w:pPr>
            <w:r>
              <w:rPr>
                <w:rFonts w:hint="eastAsia" w:ascii="宋体" w:hAnsi="宋体" w:cs="宋体"/>
                <w:spacing w:val="1"/>
                <w:w w:val="99"/>
                <w:kern w:val="2"/>
                <w:sz w:val="24"/>
                <w:szCs w:val="24"/>
              </w:rPr>
              <w:t>LE</w:t>
            </w:r>
            <w:r>
              <w:rPr>
                <w:rFonts w:hint="eastAsia" w:ascii="宋体" w:hAnsi="宋体" w:cs="宋体"/>
                <w:w w:val="99"/>
                <w:kern w:val="2"/>
                <w:sz w:val="24"/>
                <w:szCs w:val="24"/>
              </w:rPr>
              <w:t>D</w:t>
            </w:r>
            <w:r>
              <w:rPr>
                <w:rFonts w:hint="eastAsia" w:ascii="宋体" w:hAnsi="宋体" w:cs="宋体"/>
                <w:spacing w:val="12"/>
                <w:w w:val="99"/>
                <w:kern w:val="2"/>
                <w:sz w:val="24"/>
                <w:szCs w:val="24"/>
              </w:rPr>
              <w:t>道</w:t>
            </w:r>
            <w:r>
              <w:rPr>
                <w:rFonts w:hint="eastAsia" w:ascii="宋体" w:hAnsi="宋体" w:cs="宋体"/>
                <w:spacing w:val="9"/>
                <w:w w:val="99"/>
                <w:kern w:val="2"/>
                <w:sz w:val="24"/>
                <w:szCs w:val="24"/>
              </w:rPr>
              <w:t>路</w:t>
            </w:r>
            <w:r>
              <w:rPr>
                <w:rFonts w:hint="eastAsia" w:ascii="宋体" w:hAnsi="宋体" w:cs="宋体"/>
                <w:spacing w:val="13"/>
                <w:w w:val="99"/>
                <w:kern w:val="2"/>
                <w:sz w:val="24"/>
                <w:szCs w:val="24"/>
              </w:rPr>
              <w:t>/</w:t>
            </w:r>
            <w:r>
              <w:rPr>
                <w:rFonts w:hint="eastAsia" w:ascii="宋体" w:hAnsi="宋体" w:cs="宋体"/>
                <w:spacing w:val="12"/>
                <w:w w:val="99"/>
                <w:kern w:val="2"/>
                <w:sz w:val="24"/>
                <w:szCs w:val="24"/>
              </w:rPr>
              <w:t>隧道照</w:t>
            </w:r>
            <w:r>
              <w:rPr>
                <w:rFonts w:hint="eastAsia" w:ascii="宋体" w:hAnsi="宋体" w:cs="宋体"/>
                <w:w w:val="99"/>
                <w:kern w:val="2"/>
                <w:sz w:val="24"/>
                <w:szCs w:val="24"/>
              </w:rPr>
              <w:t>明产品</w:t>
            </w:r>
          </w:p>
        </w:tc>
        <w:tc>
          <w:tcPr>
            <w:tcW w:w="1912" w:type="dxa"/>
            <w:tcBorders>
              <w:top w:val="single" w:color="000000" w:sz="4" w:space="0"/>
              <w:left w:val="single" w:color="000000" w:sz="4" w:space="0"/>
              <w:bottom w:val="single" w:color="000000" w:sz="4" w:space="0"/>
              <w:right w:val="single" w:color="000000" w:sz="4" w:space="0"/>
            </w:tcBorders>
            <w:vAlign w:val="center"/>
          </w:tcPr>
          <w:p w14:paraId="45DC92BA">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0D9C15A7">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《道路和隧道照明用LED灯具能效限定值及能效等级》（GB37478）</w:t>
            </w:r>
          </w:p>
        </w:tc>
      </w:tr>
      <w:tr w14:paraId="5DD7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396ED720">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5532EC99">
            <w:pPr>
              <w:widowControl/>
              <w:ind w:firstLine="0"/>
              <w:jc w:val="center"/>
              <w:rPr>
                <w:rFonts w:ascii="宋体" w:hAnsi="宋体" w:cs="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0686F9BB">
            <w:pPr>
              <w:pStyle w:val="261"/>
              <w:ind w:firstLine="0"/>
              <w:jc w:val="center"/>
              <w:rPr>
                <w:rFonts w:ascii="宋体" w:hAnsi="宋体" w:cs="宋体"/>
                <w:kern w:val="2"/>
                <w:sz w:val="24"/>
                <w:szCs w:val="24"/>
              </w:rPr>
            </w:pPr>
            <w:r>
              <w:rPr>
                <w:rFonts w:hint="eastAsia" w:ascii="宋体" w:hAnsi="宋体" w:cs="宋体"/>
                <w:spacing w:val="1"/>
                <w:w w:val="99"/>
                <w:kern w:val="2"/>
                <w:sz w:val="24"/>
                <w:szCs w:val="24"/>
              </w:rPr>
              <w:t>LE</w:t>
            </w:r>
            <w:r>
              <w:rPr>
                <w:rFonts w:hint="eastAsia" w:ascii="宋体" w:hAnsi="宋体" w:cs="宋体"/>
                <w:w w:val="99"/>
                <w:kern w:val="2"/>
                <w:sz w:val="24"/>
                <w:szCs w:val="24"/>
              </w:rPr>
              <w:t>D筒灯</w:t>
            </w:r>
          </w:p>
        </w:tc>
        <w:tc>
          <w:tcPr>
            <w:tcW w:w="1912" w:type="dxa"/>
            <w:tcBorders>
              <w:top w:val="single" w:color="000000" w:sz="4" w:space="0"/>
              <w:left w:val="single" w:color="000000" w:sz="4" w:space="0"/>
              <w:bottom w:val="single" w:color="000000" w:sz="4" w:space="0"/>
              <w:right w:val="single" w:color="000000" w:sz="4" w:space="0"/>
            </w:tcBorders>
            <w:vAlign w:val="center"/>
          </w:tcPr>
          <w:p w14:paraId="757417FA">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0B41B44B">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《室内照明用LED产品能效限定值及能效等级》（GB30255）</w:t>
            </w:r>
          </w:p>
        </w:tc>
      </w:tr>
      <w:tr w14:paraId="0BDE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7C307ABB">
            <w:pPr>
              <w:widowControl/>
              <w:ind w:firstLine="0"/>
              <w:jc w:val="center"/>
              <w:rPr>
                <w:rFonts w:ascii="宋体" w:hAnsi="宋体" w:cs="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07E9AF41">
            <w:pPr>
              <w:widowControl/>
              <w:ind w:firstLine="0"/>
              <w:jc w:val="center"/>
              <w:rPr>
                <w:rFonts w:ascii="宋体" w:hAnsi="宋体" w:cs="宋体"/>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7ED820F7">
            <w:pPr>
              <w:pStyle w:val="261"/>
              <w:spacing w:line="276" w:lineRule="auto"/>
              <w:ind w:right="7" w:firstLine="0"/>
              <w:jc w:val="center"/>
              <w:rPr>
                <w:rFonts w:ascii="宋体" w:hAnsi="宋体" w:cs="宋体"/>
                <w:kern w:val="2"/>
                <w:sz w:val="24"/>
                <w:szCs w:val="24"/>
                <w:lang w:eastAsia="zh-CN"/>
              </w:rPr>
            </w:pPr>
            <w:r>
              <w:rPr>
                <w:rFonts w:hint="eastAsia" w:ascii="宋体" w:hAnsi="宋体" w:cs="宋体"/>
                <w:w w:val="99"/>
                <w:kern w:val="2"/>
                <w:sz w:val="24"/>
                <w:szCs w:val="24"/>
                <w:lang w:eastAsia="zh-CN"/>
              </w:rPr>
              <w:t>普</w:t>
            </w:r>
            <w:r>
              <w:rPr>
                <w:rFonts w:hint="eastAsia" w:ascii="宋体" w:hAnsi="宋体" w:cs="宋体"/>
                <w:spacing w:val="24"/>
                <w:w w:val="99"/>
                <w:kern w:val="2"/>
                <w:sz w:val="24"/>
                <w:szCs w:val="24"/>
                <w:lang w:eastAsia="zh-CN"/>
              </w:rPr>
              <w:t>通</w:t>
            </w:r>
            <w:r>
              <w:rPr>
                <w:rFonts w:hint="eastAsia" w:ascii="宋体" w:hAnsi="宋体" w:cs="宋体"/>
                <w:w w:val="99"/>
                <w:kern w:val="2"/>
                <w:sz w:val="24"/>
                <w:szCs w:val="24"/>
                <w:lang w:eastAsia="zh-CN"/>
              </w:rPr>
              <w:t>照明用非</w:t>
            </w:r>
            <w:r>
              <w:rPr>
                <w:rFonts w:hint="eastAsia" w:ascii="宋体" w:hAnsi="宋体" w:cs="宋体"/>
                <w:spacing w:val="24"/>
                <w:w w:val="99"/>
                <w:kern w:val="2"/>
                <w:sz w:val="24"/>
                <w:szCs w:val="24"/>
                <w:lang w:eastAsia="zh-CN"/>
              </w:rPr>
              <w:t>定</w:t>
            </w:r>
            <w:r>
              <w:rPr>
                <w:rFonts w:hint="eastAsia" w:ascii="宋体" w:hAnsi="宋体" w:cs="宋体"/>
                <w:w w:val="99"/>
                <w:kern w:val="2"/>
                <w:sz w:val="24"/>
                <w:szCs w:val="24"/>
                <w:lang w:eastAsia="zh-CN"/>
              </w:rPr>
              <w:t>向自镇流</w:t>
            </w:r>
            <w:r>
              <w:rPr>
                <w:rFonts w:hint="eastAsia" w:ascii="宋体" w:hAnsi="宋体" w:cs="宋体"/>
                <w:spacing w:val="1"/>
                <w:w w:val="99"/>
                <w:kern w:val="2"/>
                <w:sz w:val="24"/>
                <w:szCs w:val="24"/>
                <w:lang w:eastAsia="zh-CN"/>
              </w:rPr>
              <w:t>LE</w:t>
            </w:r>
            <w:r>
              <w:rPr>
                <w:rFonts w:hint="eastAsia" w:ascii="宋体" w:hAnsi="宋体" w:cs="宋体"/>
                <w:w w:val="99"/>
                <w:kern w:val="2"/>
                <w:sz w:val="24"/>
                <w:szCs w:val="24"/>
                <w:lang w:eastAsia="zh-CN"/>
              </w:rPr>
              <w:t>D灯</w:t>
            </w:r>
          </w:p>
        </w:tc>
        <w:tc>
          <w:tcPr>
            <w:tcW w:w="1912" w:type="dxa"/>
            <w:tcBorders>
              <w:top w:val="single" w:color="000000" w:sz="4" w:space="0"/>
              <w:left w:val="single" w:color="000000" w:sz="4" w:space="0"/>
              <w:bottom w:val="single" w:color="000000" w:sz="4" w:space="0"/>
              <w:right w:val="single" w:color="000000" w:sz="4" w:space="0"/>
            </w:tcBorders>
            <w:vAlign w:val="center"/>
          </w:tcPr>
          <w:p w14:paraId="3B97382E">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57171E9E">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《室内照明用LED产品能效限定值及能效等级》（GB30255）</w:t>
            </w:r>
          </w:p>
        </w:tc>
      </w:tr>
      <w:tr w14:paraId="01ED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054C8D22">
            <w:pPr>
              <w:pStyle w:val="261"/>
              <w:jc w:val="center"/>
              <w:rPr>
                <w:rFonts w:ascii="宋体" w:hAnsi="宋体" w:cs="宋体"/>
                <w:kern w:val="2"/>
                <w:sz w:val="24"/>
                <w:szCs w:val="24"/>
              </w:rPr>
            </w:pPr>
            <w:r>
              <w:rPr>
                <w:rFonts w:hint="eastAsia" w:ascii="宋体" w:hAnsi="宋体"/>
                <w:spacing w:val="1"/>
                <w:w w:val="99"/>
                <w:kern w:val="2"/>
                <w:sz w:val="24"/>
                <w:szCs w:val="24"/>
              </w:rPr>
              <w:t>1</w:t>
            </w:r>
            <w:r>
              <w:rPr>
                <w:rFonts w:hint="eastAsia" w:ascii="宋体" w:hAnsi="宋体"/>
                <w:w w:val="99"/>
                <w:kern w:val="2"/>
                <w:sz w:val="24"/>
                <w:szCs w:val="24"/>
              </w:rPr>
              <w:t>2</w:t>
            </w:r>
          </w:p>
        </w:tc>
        <w:tc>
          <w:tcPr>
            <w:tcW w:w="1952" w:type="dxa"/>
            <w:tcBorders>
              <w:top w:val="single" w:color="000000" w:sz="4" w:space="0"/>
              <w:left w:val="single" w:color="000000" w:sz="4" w:space="0"/>
              <w:bottom w:val="single" w:color="000000" w:sz="4" w:space="0"/>
              <w:right w:val="single" w:color="000000" w:sz="4" w:space="0"/>
            </w:tcBorders>
            <w:vAlign w:val="center"/>
          </w:tcPr>
          <w:p w14:paraId="5C022FCF">
            <w:pPr>
              <w:pStyle w:val="261"/>
              <w:spacing w:before="81"/>
              <w:ind w:firstLine="0"/>
              <w:jc w:val="center"/>
              <w:rPr>
                <w:rFonts w:ascii="宋体" w:hAnsi="宋体" w:cs="宋体"/>
                <w:kern w:val="2"/>
                <w:sz w:val="24"/>
                <w:szCs w:val="24"/>
              </w:rPr>
            </w:pPr>
            <w:r>
              <w:rPr>
                <w:rFonts w:hint="eastAsia" w:ascii="宋体" w:hAnsi="宋体" w:cs="宋体"/>
                <w:w w:val="99"/>
                <w:kern w:val="2"/>
                <w:sz w:val="24"/>
                <w:szCs w:val="24"/>
              </w:rPr>
              <w:t>★</w:t>
            </w:r>
            <w:r>
              <w:rPr>
                <w:rFonts w:hint="eastAsia" w:ascii="宋体" w:hAnsi="宋体" w:cs="宋体"/>
                <w:spacing w:val="1"/>
                <w:w w:val="99"/>
                <w:kern w:val="2"/>
                <w:sz w:val="24"/>
                <w:szCs w:val="24"/>
              </w:rPr>
              <w:t>A020</w:t>
            </w:r>
            <w:r>
              <w:rPr>
                <w:rFonts w:hint="eastAsia" w:ascii="宋体" w:hAnsi="宋体" w:cs="宋体"/>
                <w:w w:val="99"/>
                <w:kern w:val="2"/>
                <w:sz w:val="24"/>
                <w:szCs w:val="24"/>
              </w:rPr>
              <w:t>91000电视设备</w:t>
            </w:r>
          </w:p>
        </w:tc>
        <w:tc>
          <w:tcPr>
            <w:tcW w:w="2019" w:type="dxa"/>
            <w:tcBorders>
              <w:top w:val="single" w:color="000000" w:sz="4" w:space="0"/>
              <w:left w:val="single" w:color="000000" w:sz="4" w:space="0"/>
              <w:bottom w:val="single" w:color="000000" w:sz="4" w:space="0"/>
              <w:right w:val="single" w:color="000000" w:sz="4" w:space="0"/>
            </w:tcBorders>
            <w:vAlign w:val="center"/>
          </w:tcPr>
          <w:p w14:paraId="3A798D36">
            <w:pPr>
              <w:pStyle w:val="261"/>
              <w:spacing w:before="81" w:line="276" w:lineRule="auto"/>
              <w:ind w:right="5" w:firstLine="0"/>
              <w:jc w:val="center"/>
              <w:rPr>
                <w:rFonts w:ascii="宋体" w:hAnsi="宋体" w:cs="宋体"/>
                <w:kern w:val="2"/>
                <w:sz w:val="24"/>
                <w:szCs w:val="24"/>
                <w:lang w:eastAsia="zh-CN"/>
              </w:rPr>
            </w:pPr>
            <w:r>
              <w:rPr>
                <w:rFonts w:hint="eastAsia" w:ascii="宋体" w:hAnsi="宋体" w:cs="宋体"/>
                <w:spacing w:val="1"/>
                <w:w w:val="99"/>
                <w:kern w:val="2"/>
                <w:sz w:val="24"/>
                <w:szCs w:val="24"/>
                <w:lang w:eastAsia="zh-CN"/>
              </w:rPr>
              <w:t>A02</w:t>
            </w:r>
            <w:r>
              <w:rPr>
                <w:rFonts w:hint="eastAsia" w:ascii="宋体" w:hAnsi="宋体" w:cs="宋体"/>
                <w:w w:val="99"/>
                <w:kern w:val="2"/>
                <w:sz w:val="24"/>
                <w:szCs w:val="24"/>
                <w:lang w:eastAsia="zh-CN"/>
              </w:rPr>
              <w:t>09</w:t>
            </w:r>
            <w:r>
              <w:rPr>
                <w:rFonts w:hint="eastAsia" w:ascii="宋体" w:hAnsi="宋体" w:cs="宋体"/>
                <w:spacing w:val="1"/>
                <w:w w:val="99"/>
                <w:kern w:val="2"/>
                <w:sz w:val="24"/>
                <w:szCs w:val="24"/>
                <w:lang w:eastAsia="zh-CN"/>
              </w:rPr>
              <w:t>1</w:t>
            </w:r>
            <w:r>
              <w:rPr>
                <w:rFonts w:hint="eastAsia" w:ascii="宋体" w:hAnsi="宋体" w:cs="宋体"/>
                <w:w w:val="99"/>
                <w:kern w:val="2"/>
                <w:sz w:val="24"/>
                <w:szCs w:val="24"/>
                <w:lang w:eastAsia="zh-CN"/>
              </w:rPr>
              <w:t>001普通电视设备（</w:t>
            </w:r>
            <w:r>
              <w:rPr>
                <w:rFonts w:hint="eastAsia" w:ascii="宋体" w:hAnsi="宋体" w:cs="宋体"/>
                <w:spacing w:val="2"/>
                <w:w w:val="99"/>
                <w:kern w:val="2"/>
                <w:sz w:val="24"/>
                <w:szCs w:val="24"/>
                <w:lang w:eastAsia="zh-CN"/>
              </w:rPr>
              <w:t>电</w:t>
            </w:r>
            <w:r>
              <w:rPr>
                <w:rFonts w:hint="eastAsia" w:ascii="宋体" w:hAnsi="宋体" w:cs="宋体"/>
                <w:w w:val="99"/>
                <w:kern w:val="2"/>
                <w:sz w:val="24"/>
                <w:szCs w:val="24"/>
                <w:lang w:eastAsia="zh-CN"/>
              </w:rPr>
              <w:t>视机）</w:t>
            </w:r>
          </w:p>
        </w:tc>
        <w:tc>
          <w:tcPr>
            <w:tcW w:w="1912" w:type="dxa"/>
            <w:tcBorders>
              <w:top w:val="single" w:color="000000" w:sz="4" w:space="0"/>
              <w:left w:val="single" w:color="000000" w:sz="4" w:space="0"/>
              <w:bottom w:val="single" w:color="000000" w:sz="4" w:space="0"/>
              <w:right w:val="single" w:color="000000" w:sz="4" w:space="0"/>
            </w:tcBorders>
            <w:vAlign w:val="center"/>
          </w:tcPr>
          <w:p w14:paraId="0A82359F">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53757DC4">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《平板电视能效限定值及能效等级》（GB24850）</w:t>
            </w:r>
          </w:p>
        </w:tc>
      </w:tr>
      <w:tr w14:paraId="614E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79D7C7D6">
            <w:pPr>
              <w:pStyle w:val="261"/>
              <w:jc w:val="center"/>
              <w:rPr>
                <w:rFonts w:ascii="宋体" w:hAnsi="宋体" w:cs="宋体"/>
                <w:kern w:val="2"/>
                <w:sz w:val="24"/>
                <w:szCs w:val="24"/>
              </w:rPr>
            </w:pPr>
            <w:r>
              <w:rPr>
                <w:rFonts w:hint="eastAsia" w:ascii="宋体" w:hAnsi="宋体"/>
                <w:spacing w:val="1"/>
                <w:w w:val="99"/>
                <w:kern w:val="2"/>
                <w:sz w:val="24"/>
                <w:szCs w:val="24"/>
              </w:rPr>
              <w:t>1</w:t>
            </w:r>
            <w:r>
              <w:rPr>
                <w:rFonts w:hint="eastAsia" w:ascii="宋体" w:hAnsi="宋体"/>
                <w:w w:val="99"/>
                <w:kern w:val="2"/>
                <w:sz w:val="24"/>
                <w:szCs w:val="24"/>
              </w:rPr>
              <w:t>3</w:t>
            </w:r>
          </w:p>
        </w:tc>
        <w:tc>
          <w:tcPr>
            <w:tcW w:w="1952" w:type="dxa"/>
            <w:tcBorders>
              <w:top w:val="single" w:color="000000" w:sz="4" w:space="0"/>
              <w:left w:val="single" w:color="000000" w:sz="4" w:space="0"/>
              <w:bottom w:val="single" w:color="000000" w:sz="4" w:space="0"/>
              <w:right w:val="single" w:color="000000" w:sz="4" w:space="0"/>
            </w:tcBorders>
            <w:vAlign w:val="center"/>
          </w:tcPr>
          <w:p w14:paraId="4533C990">
            <w:pPr>
              <w:pStyle w:val="261"/>
              <w:ind w:firstLine="0"/>
              <w:jc w:val="center"/>
              <w:rPr>
                <w:rFonts w:ascii="宋体" w:hAnsi="宋体" w:cs="宋体"/>
                <w:kern w:val="2"/>
                <w:sz w:val="24"/>
                <w:szCs w:val="24"/>
              </w:rPr>
            </w:pPr>
            <w:r>
              <w:rPr>
                <w:rFonts w:hint="eastAsia" w:ascii="宋体" w:hAnsi="宋体" w:cs="宋体"/>
                <w:w w:val="99"/>
                <w:kern w:val="2"/>
                <w:sz w:val="24"/>
                <w:szCs w:val="24"/>
              </w:rPr>
              <w:t>★</w:t>
            </w:r>
            <w:r>
              <w:rPr>
                <w:rFonts w:hint="eastAsia" w:ascii="宋体" w:hAnsi="宋体" w:cs="宋体"/>
                <w:spacing w:val="1"/>
                <w:w w:val="99"/>
                <w:kern w:val="2"/>
                <w:sz w:val="24"/>
                <w:szCs w:val="24"/>
              </w:rPr>
              <w:t>A020</w:t>
            </w:r>
            <w:r>
              <w:rPr>
                <w:rFonts w:hint="eastAsia" w:ascii="宋体" w:hAnsi="宋体" w:cs="宋体"/>
                <w:w w:val="99"/>
                <w:kern w:val="2"/>
                <w:sz w:val="24"/>
                <w:szCs w:val="24"/>
              </w:rPr>
              <w:t>91100视频设备</w:t>
            </w:r>
          </w:p>
        </w:tc>
        <w:tc>
          <w:tcPr>
            <w:tcW w:w="2019" w:type="dxa"/>
            <w:tcBorders>
              <w:top w:val="single" w:color="000000" w:sz="4" w:space="0"/>
              <w:left w:val="single" w:color="000000" w:sz="4" w:space="0"/>
              <w:bottom w:val="single" w:color="000000" w:sz="4" w:space="0"/>
              <w:right w:val="single" w:color="000000" w:sz="4" w:space="0"/>
            </w:tcBorders>
            <w:vAlign w:val="center"/>
          </w:tcPr>
          <w:p w14:paraId="10AEFDEC">
            <w:pPr>
              <w:pStyle w:val="261"/>
              <w:spacing w:line="276" w:lineRule="auto"/>
              <w:ind w:right="5" w:firstLine="0"/>
              <w:jc w:val="center"/>
              <w:rPr>
                <w:rFonts w:ascii="宋体" w:hAnsi="宋体" w:cs="宋体"/>
                <w:kern w:val="2"/>
                <w:sz w:val="24"/>
                <w:szCs w:val="24"/>
              </w:rPr>
            </w:pPr>
            <w:r>
              <w:rPr>
                <w:rFonts w:hint="eastAsia" w:ascii="宋体" w:hAnsi="宋体" w:cs="宋体"/>
                <w:spacing w:val="1"/>
                <w:w w:val="99"/>
                <w:kern w:val="2"/>
                <w:sz w:val="24"/>
                <w:szCs w:val="24"/>
              </w:rPr>
              <w:t>A02</w:t>
            </w:r>
            <w:r>
              <w:rPr>
                <w:rFonts w:hint="eastAsia" w:ascii="宋体" w:hAnsi="宋体" w:cs="宋体"/>
                <w:w w:val="99"/>
                <w:kern w:val="2"/>
                <w:sz w:val="24"/>
                <w:szCs w:val="24"/>
              </w:rPr>
              <w:t>09</w:t>
            </w:r>
            <w:r>
              <w:rPr>
                <w:rFonts w:hint="eastAsia" w:ascii="宋体" w:hAnsi="宋体" w:cs="宋体"/>
                <w:spacing w:val="1"/>
                <w:w w:val="99"/>
                <w:kern w:val="2"/>
                <w:sz w:val="24"/>
                <w:szCs w:val="24"/>
              </w:rPr>
              <w:t>1</w:t>
            </w:r>
            <w:r>
              <w:rPr>
                <w:rFonts w:hint="eastAsia" w:ascii="宋体" w:hAnsi="宋体" w:cs="宋体"/>
                <w:w w:val="99"/>
                <w:kern w:val="2"/>
                <w:sz w:val="24"/>
                <w:szCs w:val="24"/>
              </w:rPr>
              <w:t>107视频监控设备</w:t>
            </w:r>
          </w:p>
        </w:tc>
        <w:tc>
          <w:tcPr>
            <w:tcW w:w="1912" w:type="dxa"/>
            <w:tcBorders>
              <w:top w:val="single" w:color="000000" w:sz="4" w:space="0"/>
              <w:left w:val="single" w:color="000000" w:sz="4" w:space="0"/>
              <w:bottom w:val="single" w:color="000000" w:sz="4" w:space="0"/>
              <w:right w:val="single" w:color="000000" w:sz="4" w:space="0"/>
            </w:tcBorders>
            <w:vAlign w:val="center"/>
          </w:tcPr>
          <w:p w14:paraId="78408A7D">
            <w:pPr>
              <w:pStyle w:val="261"/>
              <w:ind w:firstLine="0"/>
              <w:jc w:val="center"/>
              <w:rPr>
                <w:rFonts w:ascii="宋体" w:hAnsi="宋体" w:cs="宋体"/>
                <w:kern w:val="2"/>
                <w:sz w:val="24"/>
                <w:szCs w:val="24"/>
              </w:rPr>
            </w:pPr>
            <w:r>
              <w:rPr>
                <w:rFonts w:hint="eastAsia" w:ascii="宋体" w:hAnsi="宋体" w:cs="宋体"/>
                <w:w w:val="99"/>
                <w:kern w:val="2"/>
                <w:sz w:val="24"/>
                <w:szCs w:val="24"/>
              </w:rPr>
              <w:t>监视器</w:t>
            </w:r>
          </w:p>
        </w:tc>
        <w:tc>
          <w:tcPr>
            <w:tcW w:w="3086" w:type="dxa"/>
            <w:tcBorders>
              <w:top w:val="single" w:color="000000" w:sz="4" w:space="0"/>
              <w:left w:val="single" w:color="000000" w:sz="4" w:space="0"/>
              <w:bottom w:val="single" w:color="000000" w:sz="4" w:space="0"/>
              <w:right w:val="single" w:color="000000" w:sz="4" w:space="0"/>
            </w:tcBorders>
            <w:vAlign w:val="center"/>
          </w:tcPr>
          <w:p w14:paraId="4491CEBD">
            <w:pPr>
              <w:pStyle w:val="261"/>
              <w:spacing w:before="131" w:line="276" w:lineRule="auto"/>
              <w:ind w:right="4" w:firstLine="0"/>
              <w:jc w:val="center"/>
              <w:rPr>
                <w:rFonts w:ascii="宋体" w:hAnsi="宋体" w:cs="宋体"/>
                <w:spacing w:val="10"/>
                <w:kern w:val="2"/>
                <w:sz w:val="24"/>
                <w:szCs w:val="24"/>
                <w:lang w:eastAsia="zh-CN"/>
              </w:rPr>
            </w:pPr>
            <w:r>
              <w:rPr>
                <w:rFonts w:hint="eastAsia" w:ascii="宋体" w:hAnsi="宋体" w:cs="宋体"/>
                <w:spacing w:val="10"/>
                <w:kern w:val="2"/>
                <w:sz w:val="24"/>
                <w:szCs w:val="24"/>
                <w:lang w:eastAsia="zh-CN"/>
              </w:rPr>
              <w:t>以射频信号为主要信号输入的监视器应符合《平板电视能效限定值及能效等级》（GB24850），以数字信号为主要信号输入的监视器应符合《计算机显示器能效限定值及能效等级》（GB21520）</w:t>
            </w:r>
          </w:p>
        </w:tc>
      </w:tr>
      <w:tr w14:paraId="5FAA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15057411">
            <w:pPr>
              <w:pStyle w:val="261"/>
              <w:jc w:val="center"/>
              <w:rPr>
                <w:rFonts w:ascii="宋体" w:hAnsi="宋体" w:cs="宋体"/>
                <w:kern w:val="2"/>
                <w:sz w:val="24"/>
                <w:szCs w:val="24"/>
              </w:rPr>
            </w:pPr>
            <w:r>
              <w:rPr>
                <w:rFonts w:hint="eastAsia" w:ascii="宋体" w:hAnsi="宋体"/>
                <w:spacing w:val="1"/>
                <w:w w:val="99"/>
                <w:kern w:val="2"/>
                <w:sz w:val="24"/>
                <w:szCs w:val="24"/>
              </w:rPr>
              <w:t>1</w:t>
            </w:r>
            <w:r>
              <w:rPr>
                <w:rFonts w:hint="eastAsia" w:ascii="宋体" w:hAnsi="宋体"/>
                <w:w w:val="99"/>
                <w:kern w:val="2"/>
                <w:sz w:val="24"/>
                <w:szCs w:val="24"/>
              </w:rPr>
              <w:t>4</w:t>
            </w:r>
          </w:p>
        </w:tc>
        <w:tc>
          <w:tcPr>
            <w:tcW w:w="1952" w:type="dxa"/>
            <w:tcBorders>
              <w:top w:val="single" w:color="000000" w:sz="4" w:space="0"/>
              <w:left w:val="single" w:color="000000" w:sz="4" w:space="0"/>
              <w:bottom w:val="single" w:color="000000" w:sz="4" w:space="0"/>
              <w:right w:val="single" w:color="000000" w:sz="4" w:space="0"/>
            </w:tcBorders>
            <w:vAlign w:val="center"/>
          </w:tcPr>
          <w:p w14:paraId="2520BE2E">
            <w:pPr>
              <w:pStyle w:val="261"/>
              <w:spacing w:before="76"/>
              <w:ind w:firstLine="0"/>
              <w:jc w:val="center"/>
              <w:rPr>
                <w:rFonts w:ascii="宋体" w:hAnsi="宋体" w:cs="宋体"/>
                <w:kern w:val="2"/>
                <w:sz w:val="24"/>
                <w:szCs w:val="24"/>
              </w:rPr>
            </w:pPr>
            <w:r>
              <w:rPr>
                <w:rFonts w:hint="eastAsia" w:ascii="宋体" w:hAnsi="宋体" w:cs="仿宋_GB2312"/>
                <w:kern w:val="2"/>
                <w:sz w:val="24"/>
                <w:szCs w:val="24"/>
              </w:rPr>
              <w:t>A02241000</w:t>
            </w:r>
            <w:r>
              <w:rPr>
                <w:rFonts w:hint="eastAsia" w:ascii="宋体" w:hAnsi="宋体" w:cs="宋体"/>
                <w:w w:val="99"/>
                <w:kern w:val="2"/>
                <w:sz w:val="24"/>
                <w:szCs w:val="24"/>
              </w:rPr>
              <w:t>饮食炊事机械</w:t>
            </w:r>
          </w:p>
        </w:tc>
        <w:tc>
          <w:tcPr>
            <w:tcW w:w="2019" w:type="dxa"/>
            <w:tcBorders>
              <w:top w:val="single" w:color="000000" w:sz="4" w:space="0"/>
              <w:left w:val="single" w:color="000000" w:sz="4" w:space="0"/>
              <w:bottom w:val="single" w:color="000000" w:sz="4" w:space="0"/>
              <w:right w:val="single" w:color="000000" w:sz="4" w:space="0"/>
            </w:tcBorders>
            <w:vAlign w:val="center"/>
          </w:tcPr>
          <w:p w14:paraId="5C3A7F49">
            <w:pPr>
              <w:pStyle w:val="261"/>
              <w:ind w:firstLine="0"/>
              <w:jc w:val="center"/>
              <w:rPr>
                <w:rFonts w:ascii="宋体" w:hAnsi="宋体" w:cs="宋体"/>
                <w:kern w:val="2"/>
                <w:sz w:val="24"/>
                <w:szCs w:val="24"/>
              </w:rPr>
            </w:pPr>
            <w:r>
              <w:rPr>
                <w:rFonts w:hint="eastAsia" w:ascii="宋体" w:hAnsi="宋体" w:cs="宋体"/>
                <w:w w:val="99"/>
                <w:kern w:val="2"/>
                <w:sz w:val="24"/>
                <w:szCs w:val="24"/>
              </w:rPr>
              <w:t>商用燃</w:t>
            </w:r>
            <w:r>
              <w:rPr>
                <w:rFonts w:hint="eastAsia" w:ascii="宋体" w:hAnsi="宋体" w:cs="宋体"/>
                <w:spacing w:val="2"/>
                <w:w w:val="99"/>
                <w:kern w:val="2"/>
                <w:sz w:val="24"/>
                <w:szCs w:val="24"/>
              </w:rPr>
              <w:t>气</w:t>
            </w:r>
            <w:r>
              <w:rPr>
                <w:rFonts w:hint="eastAsia" w:ascii="宋体" w:hAnsi="宋体" w:cs="宋体"/>
                <w:w w:val="99"/>
                <w:kern w:val="2"/>
                <w:sz w:val="24"/>
                <w:szCs w:val="24"/>
              </w:rPr>
              <w:t>灶具</w:t>
            </w:r>
          </w:p>
        </w:tc>
        <w:tc>
          <w:tcPr>
            <w:tcW w:w="1912" w:type="dxa"/>
            <w:tcBorders>
              <w:top w:val="single" w:color="000000" w:sz="4" w:space="0"/>
              <w:left w:val="single" w:color="000000" w:sz="4" w:space="0"/>
              <w:bottom w:val="single" w:color="000000" w:sz="4" w:space="0"/>
              <w:right w:val="single" w:color="000000" w:sz="4" w:space="0"/>
            </w:tcBorders>
            <w:vAlign w:val="center"/>
          </w:tcPr>
          <w:p w14:paraId="121C4BA8">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4A29E158">
            <w:pPr>
              <w:pStyle w:val="261"/>
              <w:spacing w:before="131" w:line="276" w:lineRule="auto"/>
              <w:ind w:right="4" w:firstLine="0"/>
              <w:jc w:val="center"/>
              <w:rPr>
                <w:rFonts w:ascii="宋体" w:hAnsi="宋体" w:cs="宋体"/>
                <w:kern w:val="2"/>
                <w:sz w:val="24"/>
                <w:szCs w:val="24"/>
                <w:lang w:eastAsia="zh-CN"/>
              </w:rPr>
            </w:pPr>
            <w:r>
              <w:rPr>
                <w:rFonts w:hint="eastAsia" w:ascii="宋体" w:hAnsi="宋体" w:cs="宋体"/>
                <w:kern w:val="2"/>
                <w:sz w:val="24"/>
                <w:szCs w:val="24"/>
                <w:lang w:eastAsia="zh-CN"/>
              </w:rPr>
              <w:t>《商用燃气灶具能效限定值及能效等级》（GB30531）</w:t>
            </w:r>
          </w:p>
        </w:tc>
      </w:tr>
      <w:tr w14:paraId="038A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restart"/>
            <w:tcBorders>
              <w:top w:val="single" w:color="000000" w:sz="4" w:space="0"/>
              <w:left w:val="single" w:color="000000" w:sz="4" w:space="0"/>
              <w:bottom w:val="single" w:color="000000" w:sz="4" w:space="0"/>
              <w:right w:val="single" w:color="000000" w:sz="4" w:space="0"/>
            </w:tcBorders>
            <w:vAlign w:val="center"/>
          </w:tcPr>
          <w:p w14:paraId="5883F7FE">
            <w:pPr>
              <w:jc w:val="center"/>
              <w:rPr>
                <w:rFonts w:ascii="宋体" w:hAnsi="宋体"/>
                <w:sz w:val="24"/>
              </w:rPr>
            </w:pPr>
            <w:r>
              <w:rPr>
                <w:rFonts w:hint="eastAsia" w:ascii="宋体" w:hAnsi="宋体"/>
                <w:sz w:val="24"/>
              </w:rPr>
              <w:t>15</w:t>
            </w: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14:paraId="2942A609">
            <w:pPr>
              <w:pStyle w:val="261"/>
              <w:ind w:firstLine="0"/>
              <w:jc w:val="center"/>
              <w:rPr>
                <w:rFonts w:ascii="宋体" w:hAnsi="宋体" w:cs="宋体"/>
                <w:w w:val="99"/>
                <w:kern w:val="2"/>
                <w:sz w:val="24"/>
                <w:szCs w:val="24"/>
              </w:rPr>
            </w:pPr>
            <w:r>
              <w:rPr>
                <w:rFonts w:hint="eastAsia" w:ascii="宋体" w:hAnsi="宋体" w:cs="宋体"/>
                <w:w w:val="99"/>
                <w:kern w:val="2"/>
                <w:sz w:val="24"/>
                <w:szCs w:val="24"/>
              </w:rPr>
              <w:t>★</w:t>
            </w:r>
            <w:r>
              <w:rPr>
                <w:rFonts w:hint="eastAsia" w:ascii="宋体" w:hAnsi="宋体" w:cs="仿宋_GB2312"/>
                <w:kern w:val="2"/>
                <w:sz w:val="24"/>
                <w:szCs w:val="24"/>
              </w:rPr>
              <w:t>A05020105</w:t>
            </w:r>
            <w:r>
              <w:rPr>
                <w:rFonts w:hint="eastAsia" w:ascii="宋体" w:hAnsi="宋体" w:cs="宋体"/>
                <w:w w:val="99"/>
                <w:kern w:val="2"/>
                <w:sz w:val="24"/>
                <w:szCs w:val="24"/>
              </w:rPr>
              <w:t>便器</w:t>
            </w:r>
          </w:p>
        </w:tc>
        <w:tc>
          <w:tcPr>
            <w:tcW w:w="2019" w:type="dxa"/>
            <w:tcBorders>
              <w:top w:val="single" w:color="000000" w:sz="4" w:space="0"/>
              <w:left w:val="single" w:color="000000" w:sz="4" w:space="0"/>
              <w:bottom w:val="single" w:color="000000" w:sz="4" w:space="0"/>
              <w:right w:val="single" w:color="000000" w:sz="4" w:space="0"/>
            </w:tcBorders>
            <w:vAlign w:val="center"/>
          </w:tcPr>
          <w:p w14:paraId="1D329511">
            <w:pPr>
              <w:pStyle w:val="261"/>
              <w:ind w:firstLine="0"/>
              <w:jc w:val="center"/>
              <w:rPr>
                <w:rFonts w:ascii="宋体" w:hAnsi="宋体" w:cs="宋体"/>
                <w:kern w:val="2"/>
                <w:sz w:val="24"/>
                <w:szCs w:val="24"/>
              </w:rPr>
            </w:pPr>
            <w:r>
              <w:rPr>
                <w:rFonts w:hint="eastAsia" w:ascii="宋体" w:hAnsi="宋体" w:cs="宋体"/>
                <w:w w:val="99"/>
                <w:kern w:val="2"/>
                <w:sz w:val="24"/>
                <w:szCs w:val="24"/>
              </w:rPr>
              <w:t>坐便器</w:t>
            </w:r>
          </w:p>
        </w:tc>
        <w:tc>
          <w:tcPr>
            <w:tcW w:w="1912" w:type="dxa"/>
            <w:tcBorders>
              <w:top w:val="single" w:color="000000" w:sz="4" w:space="0"/>
              <w:left w:val="single" w:color="000000" w:sz="4" w:space="0"/>
              <w:bottom w:val="single" w:color="000000" w:sz="4" w:space="0"/>
              <w:right w:val="single" w:color="000000" w:sz="4" w:space="0"/>
            </w:tcBorders>
            <w:vAlign w:val="center"/>
          </w:tcPr>
          <w:p w14:paraId="1203C4DA">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3841559C">
            <w:pPr>
              <w:pStyle w:val="261"/>
              <w:spacing w:before="131" w:line="276" w:lineRule="auto"/>
              <w:ind w:right="4" w:firstLine="0"/>
              <w:jc w:val="center"/>
              <w:rPr>
                <w:rFonts w:ascii="宋体" w:hAnsi="宋体" w:cs="宋体"/>
                <w:kern w:val="2"/>
                <w:sz w:val="24"/>
                <w:szCs w:val="24"/>
                <w:lang w:eastAsia="zh-CN"/>
              </w:rPr>
            </w:pPr>
            <w:r>
              <w:rPr>
                <w:rFonts w:hint="eastAsia" w:ascii="宋体" w:hAnsi="宋体" w:cs="宋体"/>
                <w:kern w:val="2"/>
                <w:sz w:val="24"/>
                <w:szCs w:val="24"/>
                <w:lang w:eastAsia="zh-CN"/>
              </w:rPr>
              <w:t>《坐便器水效限定值及水效等级》（GB25502）</w:t>
            </w:r>
          </w:p>
        </w:tc>
      </w:tr>
      <w:tr w14:paraId="7371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4DB3D1AF">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1C42EF87">
            <w:pPr>
              <w:widowControl/>
              <w:ind w:firstLine="0"/>
              <w:jc w:val="center"/>
              <w:rPr>
                <w:rFonts w:ascii="宋体" w:hAnsi="宋体" w:cs="宋体"/>
                <w:w w:val="99"/>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36F439C8">
            <w:pPr>
              <w:pStyle w:val="261"/>
              <w:ind w:firstLine="0"/>
              <w:jc w:val="center"/>
              <w:rPr>
                <w:rFonts w:ascii="宋体" w:hAnsi="宋体" w:cs="宋体"/>
                <w:kern w:val="2"/>
                <w:sz w:val="24"/>
                <w:szCs w:val="24"/>
              </w:rPr>
            </w:pPr>
            <w:r>
              <w:rPr>
                <w:rFonts w:hint="eastAsia" w:ascii="宋体" w:hAnsi="宋体" w:cs="宋体"/>
                <w:w w:val="99"/>
                <w:kern w:val="2"/>
                <w:sz w:val="24"/>
                <w:szCs w:val="24"/>
              </w:rPr>
              <w:t>蹲便器</w:t>
            </w:r>
          </w:p>
        </w:tc>
        <w:tc>
          <w:tcPr>
            <w:tcW w:w="1912" w:type="dxa"/>
            <w:tcBorders>
              <w:top w:val="single" w:color="000000" w:sz="4" w:space="0"/>
              <w:left w:val="single" w:color="000000" w:sz="4" w:space="0"/>
              <w:bottom w:val="single" w:color="000000" w:sz="4" w:space="0"/>
              <w:right w:val="single" w:color="000000" w:sz="4" w:space="0"/>
            </w:tcBorders>
            <w:vAlign w:val="center"/>
          </w:tcPr>
          <w:p w14:paraId="195DF660">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48A9D59F">
            <w:pPr>
              <w:pStyle w:val="261"/>
              <w:spacing w:before="131" w:line="276" w:lineRule="auto"/>
              <w:ind w:right="4" w:firstLine="0"/>
              <w:jc w:val="center"/>
              <w:rPr>
                <w:rFonts w:ascii="宋体" w:hAnsi="宋体" w:cs="宋体"/>
                <w:kern w:val="2"/>
                <w:sz w:val="24"/>
                <w:szCs w:val="24"/>
                <w:lang w:eastAsia="zh-CN"/>
              </w:rPr>
            </w:pPr>
            <w:r>
              <w:rPr>
                <w:rFonts w:hint="eastAsia" w:ascii="宋体" w:hAnsi="宋体" w:cs="宋体"/>
                <w:kern w:val="2"/>
                <w:sz w:val="24"/>
                <w:szCs w:val="24"/>
                <w:lang w:eastAsia="zh-CN"/>
              </w:rPr>
              <w:t>《蹲便器用水效率限定值及用水效率等级》（GB30717）</w:t>
            </w:r>
          </w:p>
        </w:tc>
      </w:tr>
      <w:tr w14:paraId="7D88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40867B36">
            <w:pPr>
              <w:widowControl/>
              <w:ind w:firstLine="0"/>
              <w:jc w:val="center"/>
              <w:rPr>
                <w:rFonts w:ascii="宋体" w:hAnsi="宋体"/>
                <w:sz w:val="24"/>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14:paraId="35B37945">
            <w:pPr>
              <w:widowControl/>
              <w:ind w:firstLine="0"/>
              <w:jc w:val="center"/>
              <w:rPr>
                <w:rFonts w:ascii="宋体" w:hAnsi="宋体" w:cs="宋体"/>
                <w:w w:val="99"/>
                <w:sz w:val="24"/>
              </w:rPr>
            </w:pPr>
          </w:p>
        </w:tc>
        <w:tc>
          <w:tcPr>
            <w:tcW w:w="2019" w:type="dxa"/>
            <w:tcBorders>
              <w:top w:val="single" w:color="000000" w:sz="4" w:space="0"/>
              <w:left w:val="single" w:color="000000" w:sz="4" w:space="0"/>
              <w:bottom w:val="single" w:color="000000" w:sz="4" w:space="0"/>
              <w:right w:val="single" w:color="000000" w:sz="4" w:space="0"/>
            </w:tcBorders>
            <w:vAlign w:val="center"/>
          </w:tcPr>
          <w:p w14:paraId="3201999E">
            <w:pPr>
              <w:pStyle w:val="261"/>
              <w:ind w:firstLine="0"/>
              <w:jc w:val="center"/>
              <w:rPr>
                <w:rFonts w:ascii="宋体" w:hAnsi="宋体" w:cs="宋体"/>
                <w:kern w:val="2"/>
                <w:sz w:val="24"/>
                <w:szCs w:val="24"/>
              </w:rPr>
            </w:pPr>
            <w:r>
              <w:rPr>
                <w:rFonts w:hint="eastAsia" w:ascii="宋体" w:hAnsi="宋体" w:cs="宋体"/>
                <w:w w:val="99"/>
                <w:kern w:val="2"/>
                <w:sz w:val="24"/>
                <w:szCs w:val="24"/>
              </w:rPr>
              <w:t>小便器</w:t>
            </w:r>
          </w:p>
        </w:tc>
        <w:tc>
          <w:tcPr>
            <w:tcW w:w="1912" w:type="dxa"/>
            <w:tcBorders>
              <w:top w:val="single" w:color="000000" w:sz="4" w:space="0"/>
              <w:left w:val="single" w:color="000000" w:sz="4" w:space="0"/>
              <w:bottom w:val="single" w:color="000000" w:sz="4" w:space="0"/>
              <w:right w:val="single" w:color="000000" w:sz="4" w:space="0"/>
            </w:tcBorders>
            <w:vAlign w:val="center"/>
          </w:tcPr>
          <w:p w14:paraId="292A1688">
            <w:pPr>
              <w:ind w:firstLine="0"/>
              <w:jc w:val="center"/>
              <w:rPr>
                <w:rFonts w:ascii="宋体" w:hAnsi="宋体"/>
                <w:sz w:val="24"/>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2E7CF0D8">
            <w:pPr>
              <w:pStyle w:val="261"/>
              <w:spacing w:before="131" w:line="276" w:lineRule="auto"/>
              <w:ind w:right="4" w:firstLine="0"/>
              <w:jc w:val="center"/>
              <w:rPr>
                <w:rFonts w:ascii="宋体" w:hAnsi="宋体" w:cs="宋体"/>
                <w:kern w:val="2"/>
                <w:sz w:val="24"/>
                <w:szCs w:val="24"/>
                <w:lang w:eastAsia="zh-CN"/>
              </w:rPr>
            </w:pPr>
            <w:r>
              <w:rPr>
                <w:rFonts w:hint="eastAsia" w:ascii="宋体" w:hAnsi="宋体" w:cs="宋体"/>
                <w:kern w:val="2"/>
                <w:sz w:val="24"/>
                <w:szCs w:val="24"/>
                <w:lang w:eastAsia="zh-CN"/>
              </w:rPr>
              <w:t>《小便器用水效率限定值及用水效率等级》（GB28377）</w:t>
            </w:r>
          </w:p>
        </w:tc>
      </w:tr>
      <w:tr w14:paraId="2060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1211206F">
            <w:pPr>
              <w:pStyle w:val="261"/>
              <w:jc w:val="center"/>
              <w:rPr>
                <w:rFonts w:ascii="宋体" w:hAnsi="宋体" w:cs="宋体"/>
                <w:kern w:val="2"/>
                <w:sz w:val="24"/>
                <w:szCs w:val="24"/>
              </w:rPr>
            </w:pPr>
            <w:r>
              <w:rPr>
                <w:rFonts w:hint="eastAsia" w:ascii="宋体" w:hAnsi="宋体"/>
                <w:kern w:val="2"/>
                <w:sz w:val="24"/>
                <w:szCs w:val="24"/>
              </w:rPr>
              <w:t>16</w:t>
            </w:r>
          </w:p>
        </w:tc>
        <w:tc>
          <w:tcPr>
            <w:tcW w:w="1952" w:type="dxa"/>
            <w:tcBorders>
              <w:top w:val="single" w:color="000000" w:sz="4" w:space="0"/>
              <w:left w:val="single" w:color="000000" w:sz="4" w:space="0"/>
              <w:bottom w:val="single" w:color="000000" w:sz="4" w:space="0"/>
              <w:right w:val="single" w:color="000000" w:sz="4" w:space="0"/>
            </w:tcBorders>
            <w:vAlign w:val="center"/>
          </w:tcPr>
          <w:p w14:paraId="33B9B3E2">
            <w:pPr>
              <w:pStyle w:val="261"/>
              <w:spacing w:before="153"/>
              <w:ind w:firstLine="0"/>
              <w:jc w:val="center"/>
              <w:rPr>
                <w:rFonts w:ascii="宋体" w:hAnsi="宋体" w:cs="宋体"/>
                <w:kern w:val="2"/>
                <w:sz w:val="24"/>
                <w:szCs w:val="24"/>
              </w:rPr>
            </w:pPr>
            <w:r>
              <w:rPr>
                <w:rFonts w:hint="eastAsia" w:ascii="宋体" w:hAnsi="宋体" w:cs="宋体"/>
                <w:kern w:val="2"/>
                <w:sz w:val="24"/>
                <w:szCs w:val="24"/>
              </w:rPr>
              <w:t>★</w:t>
            </w:r>
            <w:r>
              <w:rPr>
                <w:rFonts w:hint="eastAsia" w:ascii="宋体" w:hAnsi="宋体" w:cs="仿宋_GB2312"/>
                <w:kern w:val="2"/>
                <w:sz w:val="24"/>
                <w:szCs w:val="24"/>
              </w:rPr>
              <w:t>A05020106</w:t>
            </w:r>
            <w:r>
              <w:rPr>
                <w:rFonts w:hint="eastAsia" w:ascii="宋体" w:hAnsi="宋体" w:cs="宋体"/>
                <w:kern w:val="2"/>
                <w:sz w:val="24"/>
                <w:szCs w:val="24"/>
              </w:rPr>
              <w:t>水</w:t>
            </w:r>
            <w:r>
              <w:rPr>
                <w:rFonts w:hint="eastAsia" w:ascii="宋体" w:hAnsi="宋体" w:cs="宋体"/>
                <w:w w:val="99"/>
                <w:kern w:val="2"/>
                <w:sz w:val="24"/>
                <w:szCs w:val="24"/>
              </w:rPr>
              <w:t>嘴</w:t>
            </w:r>
          </w:p>
        </w:tc>
        <w:tc>
          <w:tcPr>
            <w:tcW w:w="2019" w:type="dxa"/>
            <w:tcBorders>
              <w:top w:val="single" w:color="000000" w:sz="4" w:space="0"/>
              <w:left w:val="single" w:color="000000" w:sz="4" w:space="0"/>
              <w:bottom w:val="single" w:color="000000" w:sz="4" w:space="0"/>
              <w:right w:val="single" w:color="000000" w:sz="4" w:space="0"/>
            </w:tcBorders>
            <w:vAlign w:val="center"/>
          </w:tcPr>
          <w:p w14:paraId="76DF5DB0">
            <w:pPr>
              <w:ind w:firstLine="0"/>
              <w:jc w:val="center"/>
              <w:rPr>
                <w:rFonts w:ascii="宋体" w:hAnsi="宋体"/>
                <w:sz w:val="24"/>
                <w:lang w:eastAsia="en-US"/>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1E96ED0E">
            <w:pPr>
              <w:ind w:firstLine="0"/>
              <w:jc w:val="center"/>
              <w:rPr>
                <w:rFonts w:ascii="宋体" w:hAnsi="宋体"/>
                <w:sz w:val="24"/>
                <w:lang w:eastAsia="en-US"/>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16C55208">
            <w:pPr>
              <w:pStyle w:val="261"/>
              <w:spacing w:before="153" w:line="276" w:lineRule="auto"/>
              <w:ind w:right="4" w:firstLine="0"/>
              <w:jc w:val="center"/>
              <w:rPr>
                <w:rFonts w:ascii="宋体" w:hAnsi="宋体" w:cs="宋体"/>
                <w:kern w:val="2"/>
                <w:sz w:val="24"/>
                <w:szCs w:val="24"/>
                <w:lang w:eastAsia="zh-CN"/>
              </w:rPr>
            </w:pPr>
            <w:r>
              <w:rPr>
                <w:rFonts w:hint="eastAsia" w:ascii="宋体" w:hAnsi="宋体" w:cs="宋体"/>
                <w:spacing w:val="10"/>
                <w:kern w:val="2"/>
                <w:sz w:val="24"/>
                <w:szCs w:val="24"/>
                <w:lang w:eastAsia="zh-CN"/>
              </w:rPr>
              <w:t>《水嘴用水效率限定值及用水效</w:t>
            </w:r>
            <w:r>
              <w:rPr>
                <w:rFonts w:hint="eastAsia" w:ascii="宋体" w:hAnsi="宋体" w:cs="宋体"/>
                <w:kern w:val="2"/>
                <w:sz w:val="24"/>
                <w:szCs w:val="24"/>
                <w:lang w:eastAsia="zh-CN"/>
              </w:rPr>
              <w:t>率等级》（GB 25501）</w:t>
            </w:r>
          </w:p>
        </w:tc>
      </w:tr>
      <w:tr w14:paraId="4922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31399342">
            <w:pPr>
              <w:pStyle w:val="261"/>
              <w:jc w:val="center"/>
              <w:rPr>
                <w:rFonts w:ascii="宋体" w:hAnsi="宋体" w:cs="宋体"/>
                <w:kern w:val="2"/>
                <w:sz w:val="24"/>
                <w:szCs w:val="24"/>
              </w:rPr>
            </w:pPr>
            <w:r>
              <w:rPr>
                <w:rFonts w:hint="eastAsia" w:ascii="宋体" w:hAnsi="宋体"/>
                <w:kern w:val="2"/>
                <w:sz w:val="24"/>
                <w:szCs w:val="24"/>
              </w:rPr>
              <w:t>17</w:t>
            </w:r>
          </w:p>
        </w:tc>
        <w:tc>
          <w:tcPr>
            <w:tcW w:w="1952" w:type="dxa"/>
            <w:tcBorders>
              <w:top w:val="single" w:color="000000" w:sz="4" w:space="0"/>
              <w:left w:val="single" w:color="000000" w:sz="4" w:space="0"/>
              <w:bottom w:val="single" w:color="000000" w:sz="4" w:space="0"/>
              <w:right w:val="single" w:color="000000" w:sz="4" w:space="0"/>
            </w:tcBorders>
            <w:vAlign w:val="center"/>
          </w:tcPr>
          <w:p w14:paraId="1BF85340">
            <w:pPr>
              <w:pStyle w:val="261"/>
              <w:spacing w:before="112"/>
              <w:ind w:firstLine="0"/>
              <w:jc w:val="center"/>
              <w:rPr>
                <w:rFonts w:ascii="宋体" w:hAnsi="宋体" w:cs="宋体"/>
                <w:kern w:val="2"/>
                <w:sz w:val="24"/>
                <w:szCs w:val="24"/>
              </w:rPr>
            </w:pPr>
            <w:r>
              <w:rPr>
                <w:rFonts w:hint="eastAsia" w:ascii="宋体" w:hAnsi="宋体" w:cs="仿宋_GB2312"/>
                <w:kern w:val="2"/>
                <w:sz w:val="24"/>
                <w:szCs w:val="24"/>
              </w:rPr>
              <w:t>A05020107</w:t>
            </w:r>
            <w:r>
              <w:rPr>
                <w:rFonts w:hint="eastAsia" w:ascii="宋体" w:hAnsi="宋体" w:cs="宋体"/>
                <w:kern w:val="2"/>
                <w:sz w:val="24"/>
                <w:szCs w:val="24"/>
              </w:rPr>
              <w:t>便器冲洗阀</w:t>
            </w:r>
          </w:p>
        </w:tc>
        <w:tc>
          <w:tcPr>
            <w:tcW w:w="2019" w:type="dxa"/>
            <w:tcBorders>
              <w:top w:val="single" w:color="000000" w:sz="4" w:space="0"/>
              <w:left w:val="single" w:color="000000" w:sz="4" w:space="0"/>
              <w:bottom w:val="single" w:color="000000" w:sz="4" w:space="0"/>
              <w:right w:val="single" w:color="000000" w:sz="4" w:space="0"/>
            </w:tcBorders>
            <w:vAlign w:val="center"/>
          </w:tcPr>
          <w:p w14:paraId="65C4DF4E">
            <w:pPr>
              <w:ind w:firstLine="0"/>
              <w:jc w:val="center"/>
              <w:rPr>
                <w:rFonts w:ascii="宋体" w:hAnsi="宋体"/>
                <w:sz w:val="24"/>
                <w:lang w:eastAsia="en-US"/>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25FED2B0">
            <w:pPr>
              <w:ind w:firstLine="0"/>
              <w:jc w:val="center"/>
              <w:rPr>
                <w:rFonts w:ascii="宋体" w:hAnsi="宋体"/>
                <w:sz w:val="24"/>
                <w:lang w:eastAsia="en-US"/>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2EF9AA45">
            <w:pPr>
              <w:pStyle w:val="261"/>
              <w:spacing w:before="112" w:line="276" w:lineRule="auto"/>
              <w:ind w:right="4" w:firstLine="0"/>
              <w:jc w:val="center"/>
              <w:rPr>
                <w:rFonts w:ascii="宋体" w:hAnsi="宋体" w:cs="宋体"/>
                <w:kern w:val="2"/>
                <w:sz w:val="24"/>
                <w:szCs w:val="24"/>
                <w:lang w:eastAsia="zh-CN"/>
              </w:rPr>
            </w:pPr>
            <w:r>
              <w:rPr>
                <w:rFonts w:hint="eastAsia" w:ascii="宋体" w:hAnsi="宋体" w:cs="宋体"/>
                <w:spacing w:val="10"/>
                <w:kern w:val="2"/>
                <w:sz w:val="24"/>
                <w:szCs w:val="24"/>
                <w:lang w:eastAsia="zh-CN"/>
              </w:rPr>
              <w:t>《便器冲洗阀用水效率限定值及</w:t>
            </w:r>
            <w:r>
              <w:rPr>
                <w:rFonts w:hint="eastAsia" w:ascii="宋体" w:hAnsi="宋体" w:cs="宋体"/>
                <w:kern w:val="2"/>
                <w:sz w:val="24"/>
                <w:szCs w:val="24"/>
                <w:lang w:eastAsia="zh-CN"/>
              </w:rPr>
              <w:t>用水效率等级》（GB28379）</w:t>
            </w:r>
          </w:p>
        </w:tc>
      </w:tr>
      <w:tr w14:paraId="6C1A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78C506FB">
            <w:pPr>
              <w:pStyle w:val="261"/>
              <w:jc w:val="center"/>
              <w:rPr>
                <w:rFonts w:ascii="宋体" w:hAnsi="宋体" w:cs="宋体"/>
                <w:kern w:val="2"/>
                <w:sz w:val="24"/>
                <w:szCs w:val="24"/>
              </w:rPr>
            </w:pPr>
            <w:r>
              <w:rPr>
                <w:rFonts w:hint="eastAsia" w:ascii="宋体" w:hAnsi="宋体"/>
                <w:kern w:val="2"/>
                <w:sz w:val="24"/>
                <w:szCs w:val="24"/>
              </w:rPr>
              <w:t>18</w:t>
            </w:r>
          </w:p>
        </w:tc>
        <w:tc>
          <w:tcPr>
            <w:tcW w:w="1952" w:type="dxa"/>
            <w:tcBorders>
              <w:top w:val="single" w:color="000000" w:sz="4" w:space="0"/>
              <w:left w:val="single" w:color="000000" w:sz="4" w:space="0"/>
              <w:bottom w:val="single" w:color="000000" w:sz="4" w:space="0"/>
              <w:right w:val="single" w:color="000000" w:sz="4" w:space="0"/>
            </w:tcBorders>
            <w:vAlign w:val="center"/>
          </w:tcPr>
          <w:p w14:paraId="7A00E11F">
            <w:pPr>
              <w:pStyle w:val="261"/>
              <w:spacing w:before="131"/>
              <w:ind w:firstLine="0"/>
              <w:jc w:val="center"/>
              <w:rPr>
                <w:rFonts w:ascii="宋体" w:hAnsi="宋体" w:cs="宋体"/>
                <w:kern w:val="2"/>
                <w:sz w:val="24"/>
                <w:szCs w:val="24"/>
              </w:rPr>
            </w:pPr>
            <w:r>
              <w:rPr>
                <w:rFonts w:hint="eastAsia" w:ascii="宋体" w:hAnsi="宋体" w:cs="仿宋_GB2312"/>
                <w:kern w:val="2"/>
                <w:sz w:val="24"/>
                <w:szCs w:val="24"/>
              </w:rPr>
              <w:t>A05020110</w:t>
            </w:r>
            <w:r>
              <w:rPr>
                <w:rFonts w:hint="eastAsia" w:ascii="宋体" w:hAnsi="宋体" w:cs="宋体"/>
                <w:kern w:val="2"/>
                <w:sz w:val="24"/>
                <w:szCs w:val="24"/>
              </w:rPr>
              <w:t>淋浴</w:t>
            </w:r>
            <w:r>
              <w:rPr>
                <w:rFonts w:hint="eastAsia" w:ascii="宋体" w:hAnsi="宋体" w:cs="宋体"/>
                <w:w w:val="99"/>
                <w:kern w:val="2"/>
                <w:sz w:val="24"/>
                <w:szCs w:val="24"/>
              </w:rPr>
              <w:t>器</w:t>
            </w:r>
          </w:p>
        </w:tc>
        <w:tc>
          <w:tcPr>
            <w:tcW w:w="2019" w:type="dxa"/>
            <w:tcBorders>
              <w:top w:val="single" w:color="000000" w:sz="4" w:space="0"/>
              <w:left w:val="single" w:color="000000" w:sz="4" w:space="0"/>
              <w:bottom w:val="single" w:color="000000" w:sz="4" w:space="0"/>
              <w:right w:val="single" w:color="000000" w:sz="4" w:space="0"/>
            </w:tcBorders>
            <w:vAlign w:val="center"/>
          </w:tcPr>
          <w:p w14:paraId="03096F45">
            <w:pPr>
              <w:ind w:firstLine="0"/>
              <w:jc w:val="center"/>
              <w:rPr>
                <w:rFonts w:ascii="宋体" w:hAnsi="宋体"/>
                <w:sz w:val="24"/>
                <w:lang w:eastAsia="en-US"/>
              </w:rPr>
            </w:pPr>
          </w:p>
        </w:tc>
        <w:tc>
          <w:tcPr>
            <w:tcW w:w="1912" w:type="dxa"/>
            <w:tcBorders>
              <w:top w:val="single" w:color="000000" w:sz="4" w:space="0"/>
              <w:left w:val="single" w:color="000000" w:sz="4" w:space="0"/>
              <w:bottom w:val="single" w:color="000000" w:sz="4" w:space="0"/>
              <w:right w:val="single" w:color="000000" w:sz="4" w:space="0"/>
            </w:tcBorders>
            <w:vAlign w:val="center"/>
          </w:tcPr>
          <w:p w14:paraId="32561DAA">
            <w:pPr>
              <w:ind w:firstLine="0"/>
              <w:jc w:val="center"/>
              <w:rPr>
                <w:rFonts w:ascii="宋体" w:hAnsi="宋体"/>
                <w:sz w:val="24"/>
                <w:lang w:eastAsia="en-US"/>
              </w:rPr>
            </w:pPr>
          </w:p>
        </w:tc>
        <w:tc>
          <w:tcPr>
            <w:tcW w:w="3086" w:type="dxa"/>
            <w:tcBorders>
              <w:top w:val="single" w:color="000000" w:sz="4" w:space="0"/>
              <w:left w:val="single" w:color="000000" w:sz="4" w:space="0"/>
              <w:bottom w:val="single" w:color="000000" w:sz="4" w:space="0"/>
              <w:right w:val="single" w:color="000000" w:sz="4" w:space="0"/>
            </w:tcBorders>
            <w:vAlign w:val="center"/>
          </w:tcPr>
          <w:p w14:paraId="41D59586">
            <w:pPr>
              <w:pStyle w:val="261"/>
              <w:spacing w:before="131" w:line="276" w:lineRule="auto"/>
              <w:ind w:right="4" w:firstLine="0"/>
              <w:jc w:val="center"/>
              <w:rPr>
                <w:rFonts w:ascii="宋体" w:hAnsi="宋体" w:cs="宋体"/>
                <w:kern w:val="2"/>
                <w:sz w:val="24"/>
                <w:szCs w:val="24"/>
                <w:lang w:eastAsia="zh-CN"/>
              </w:rPr>
            </w:pPr>
            <w:r>
              <w:rPr>
                <w:rFonts w:hint="eastAsia" w:ascii="宋体" w:hAnsi="宋体" w:cs="宋体"/>
                <w:spacing w:val="10"/>
                <w:kern w:val="2"/>
                <w:sz w:val="24"/>
                <w:szCs w:val="24"/>
                <w:lang w:eastAsia="zh-CN"/>
              </w:rPr>
              <w:t>《淋浴器用水效率限定值及用水</w:t>
            </w:r>
            <w:r>
              <w:rPr>
                <w:rFonts w:hint="eastAsia" w:ascii="宋体" w:hAnsi="宋体" w:cs="宋体"/>
                <w:kern w:val="2"/>
                <w:sz w:val="24"/>
                <w:szCs w:val="24"/>
                <w:lang w:eastAsia="zh-CN"/>
              </w:rPr>
              <w:t>效率等级》（GB28378）</w:t>
            </w:r>
          </w:p>
        </w:tc>
      </w:tr>
    </w:tbl>
    <w:p w14:paraId="7A045B0F">
      <w:pPr>
        <w:spacing w:line="360" w:lineRule="auto"/>
      </w:pPr>
      <w:r>
        <w:rPr>
          <w:rFonts w:hint="eastAsia"/>
        </w:rPr>
        <w:t>注：1.节能产品认证应依据相关国家标准的最新版本，依据国家标准中二级能效（水效）指标。</w:t>
      </w:r>
    </w:p>
    <w:p w14:paraId="37E3AD40">
      <w:pPr>
        <w:spacing w:line="360" w:lineRule="auto"/>
        <w:ind w:firstLine="420" w:firstLineChars="200"/>
      </w:pPr>
      <w:r>
        <w:rPr>
          <w:rFonts w:hint="eastAsia"/>
        </w:rPr>
        <w:t>2.以“★”标注的为政府强制采购产品。</w:t>
      </w:r>
    </w:p>
    <w:p w14:paraId="5011CE8B">
      <w:pPr>
        <w:spacing w:line="360" w:lineRule="auto"/>
        <w:ind w:firstLine="420" w:firstLineChars="200"/>
      </w:pPr>
      <w:r>
        <w:rPr>
          <w:rFonts w:hint="eastAsia"/>
        </w:rPr>
        <w:t>3.本表格原为《关于印发节能产品政府采购品目清单的通知》（财库〔2019〕19号）规定的表格附件，其中名称及编码已根据《财政部关于印发〈政府采购品目分类目录〉的通知》（财库〔2022〕31号）修改。</w:t>
      </w:r>
    </w:p>
    <w:p w14:paraId="2407DACF">
      <w:pPr>
        <w:rPr>
          <w:rFonts w:ascii="宋体" w:hAnsi="宋体" w:eastAsia="宋体" w:cs="仿宋"/>
          <w:szCs w:val="21"/>
        </w:rPr>
      </w:pPr>
      <w:r>
        <w:rPr>
          <w:rFonts w:hint="eastAsia" w:ascii="宋体" w:hAnsi="宋体" w:eastAsia="宋体" w:cs="仿宋"/>
          <w:szCs w:val="21"/>
        </w:rPr>
        <w:br w:type="page"/>
      </w:r>
    </w:p>
    <w:p w14:paraId="7E3AB16A">
      <w:pPr>
        <w:spacing w:line="428" w:lineRule="exact"/>
        <w:ind w:left="119" w:firstLine="643"/>
        <w:rPr>
          <w:rFonts w:ascii="黑体" w:hAnsi="黑体" w:eastAsia="黑体" w:cs="黑体"/>
          <w:sz w:val="32"/>
          <w:szCs w:val="32"/>
        </w:rPr>
      </w:pPr>
      <w:r>
        <w:rPr>
          <w:rFonts w:hint="eastAsia" w:ascii="黑体" w:hAnsi="黑体" w:eastAsia="黑体" w:cs="黑体"/>
          <w:sz w:val="32"/>
          <w:szCs w:val="32"/>
        </w:rPr>
        <w:t>附件2：</w:t>
      </w:r>
    </w:p>
    <w:p w14:paraId="03D1B25A">
      <w:pPr>
        <w:spacing w:line="360" w:lineRule="auto"/>
        <w:ind w:firstLine="480"/>
        <w:jc w:val="center"/>
        <w:rPr>
          <w:rFonts w:ascii="宋体" w:hAnsi="宋体" w:eastAsia="宋体" w:cs="仿宋"/>
          <w:b/>
          <w:bCs/>
          <w:sz w:val="24"/>
          <w:szCs w:val="24"/>
        </w:rPr>
      </w:pPr>
      <w:bookmarkStart w:id="55" w:name="_Toc18480"/>
      <w:r>
        <w:rPr>
          <w:rFonts w:hint="eastAsia" w:ascii="宋体" w:hAnsi="宋体" w:eastAsia="宋体" w:cs="仿宋"/>
          <w:b/>
          <w:bCs/>
          <w:sz w:val="24"/>
          <w:szCs w:val="24"/>
        </w:rPr>
        <w:t>中小微企业划型标准</w:t>
      </w:r>
      <w:bookmarkEnd w:id="55"/>
    </w:p>
    <w:tbl>
      <w:tblPr>
        <w:tblStyle w:val="53"/>
        <w:tblW w:w="0" w:type="auto"/>
        <w:tblInd w:w="0" w:type="dxa"/>
        <w:tblLayout w:type="fixed"/>
        <w:tblCellMar>
          <w:top w:w="0" w:type="dxa"/>
          <w:left w:w="108" w:type="dxa"/>
          <w:bottom w:w="0" w:type="dxa"/>
          <w:right w:w="108" w:type="dxa"/>
        </w:tblCellMar>
      </w:tblPr>
      <w:tblGrid>
        <w:gridCol w:w="1413"/>
        <w:gridCol w:w="1664"/>
        <w:gridCol w:w="1108"/>
        <w:gridCol w:w="2000"/>
        <w:gridCol w:w="1770"/>
        <w:gridCol w:w="1499"/>
      </w:tblGrid>
      <w:tr w14:paraId="456618AA">
        <w:tblPrEx>
          <w:tblCellMar>
            <w:top w:w="0" w:type="dxa"/>
            <w:left w:w="108" w:type="dxa"/>
            <w:bottom w:w="0" w:type="dxa"/>
            <w:right w:w="108" w:type="dxa"/>
          </w:tblCellMar>
        </w:tblPrEx>
        <w:trPr>
          <w:trHeight w:val="279" w:hRule="atLeast"/>
        </w:trPr>
        <w:tc>
          <w:tcPr>
            <w:tcW w:w="1413" w:type="dxa"/>
            <w:tcBorders>
              <w:top w:val="single" w:color="auto" w:sz="4" w:space="0"/>
              <w:left w:val="single" w:color="auto" w:sz="4" w:space="0"/>
              <w:bottom w:val="single" w:color="auto" w:sz="4" w:space="0"/>
              <w:right w:val="single" w:color="auto" w:sz="4" w:space="0"/>
            </w:tcBorders>
            <w:vAlign w:val="center"/>
          </w:tcPr>
          <w:p w14:paraId="0D7E7BC2">
            <w:pPr>
              <w:widowControl/>
              <w:spacing w:line="360" w:lineRule="atLeast"/>
              <w:jc w:val="center"/>
              <w:rPr>
                <w:rFonts w:ascii="宋体" w:hAnsi="宋体" w:eastAsia="宋体" w:cs="仿宋"/>
                <w:szCs w:val="21"/>
              </w:rPr>
            </w:pPr>
            <w:r>
              <w:rPr>
                <w:rFonts w:hint="eastAsia" w:ascii="宋体" w:hAnsi="宋体" w:eastAsia="宋体" w:cs="仿宋"/>
                <w:szCs w:val="21"/>
              </w:rPr>
              <w:t>行业名称</w:t>
            </w:r>
          </w:p>
        </w:tc>
        <w:tc>
          <w:tcPr>
            <w:tcW w:w="1664" w:type="dxa"/>
            <w:tcBorders>
              <w:top w:val="single" w:color="auto" w:sz="4" w:space="0"/>
              <w:left w:val="nil"/>
              <w:bottom w:val="single" w:color="auto" w:sz="4" w:space="0"/>
              <w:right w:val="single" w:color="auto" w:sz="4" w:space="0"/>
            </w:tcBorders>
            <w:vAlign w:val="center"/>
          </w:tcPr>
          <w:p w14:paraId="37AA4225">
            <w:pPr>
              <w:widowControl/>
              <w:spacing w:line="360" w:lineRule="atLeast"/>
              <w:jc w:val="center"/>
              <w:rPr>
                <w:rFonts w:ascii="宋体" w:hAnsi="宋体" w:eastAsia="宋体" w:cs="仿宋"/>
                <w:szCs w:val="21"/>
              </w:rPr>
            </w:pPr>
            <w:r>
              <w:rPr>
                <w:rFonts w:hint="eastAsia" w:ascii="宋体" w:hAnsi="宋体" w:eastAsia="宋体" w:cs="仿宋"/>
                <w:szCs w:val="21"/>
              </w:rPr>
              <w:t>指标名称</w:t>
            </w:r>
          </w:p>
        </w:tc>
        <w:tc>
          <w:tcPr>
            <w:tcW w:w="1108" w:type="dxa"/>
            <w:tcBorders>
              <w:top w:val="single" w:color="auto" w:sz="4" w:space="0"/>
              <w:left w:val="nil"/>
              <w:bottom w:val="single" w:color="auto" w:sz="4" w:space="0"/>
              <w:right w:val="single" w:color="auto" w:sz="4" w:space="0"/>
            </w:tcBorders>
            <w:vAlign w:val="center"/>
          </w:tcPr>
          <w:p w14:paraId="7AAF4FC2">
            <w:pPr>
              <w:widowControl/>
              <w:spacing w:line="360" w:lineRule="atLeast"/>
              <w:jc w:val="center"/>
              <w:rPr>
                <w:rFonts w:ascii="宋体" w:hAnsi="宋体" w:eastAsia="宋体" w:cs="仿宋"/>
                <w:szCs w:val="21"/>
              </w:rPr>
            </w:pPr>
            <w:r>
              <w:rPr>
                <w:rFonts w:hint="eastAsia" w:ascii="宋体" w:hAnsi="宋体" w:eastAsia="宋体" w:cs="仿宋"/>
                <w:szCs w:val="21"/>
              </w:rPr>
              <w:t>计量单位</w:t>
            </w:r>
          </w:p>
        </w:tc>
        <w:tc>
          <w:tcPr>
            <w:tcW w:w="2000" w:type="dxa"/>
            <w:tcBorders>
              <w:top w:val="single" w:color="auto" w:sz="4" w:space="0"/>
              <w:left w:val="nil"/>
              <w:bottom w:val="single" w:color="auto" w:sz="4" w:space="0"/>
              <w:right w:val="single" w:color="auto" w:sz="4" w:space="0"/>
            </w:tcBorders>
            <w:vAlign w:val="center"/>
          </w:tcPr>
          <w:p w14:paraId="7B6460A5">
            <w:pPr>
              <w:widowControl/>
              <w:spacing w:line="360" w:lineRule="atLeast"/>
              <w:jc w:val="center"/>
              <w:rPr>
                <w:rFonts w:ascii="宋体" w:hAnsi="宋体" w:eastAsia="宋体" w:cs="仿宋"/>
                <w:szCs w:val="21"/>
              </w:rPr>
            </w:pPr>
            <w:r>
              <w:rPr>
                <w:rFonts w:hint="eastAsia" w:ascii="宋体" w:hAnsi="宋体" w:eastAsia="宋体" w:cs="仿宋"/>
                <w:szCs w:val="21"/>
              </w:rPr>
              <w:t>中型</w:t>
            </w:r>
          </w:p>
        </w:tc>
        <w:tc>
          <w:tcPr>
            <w:tcW w:w="1770" w:type="dxa"/>
            <w:tcBorders>
              <w:top w:val="single" w:color="auto" w:sz="4" w:space="0"/>
              <w:left w:val="nil"/>
              <w:bottom w:val="single" w:color="auto" w:sz="4" w:space="0"/>
              <w:right w:val="single" w:color="auto" w:sz="4" w:space="0"/>
            </w:tcBorders>
            <w:vAlign w:val="center"/>
          </w:tcPr>
          <w:p w14:paraId="1C9CB8FA">
            <w:pPr>
              <w:widowControl/>
              <w:spacing w:line="360" w:lineRule="atLeast"/>
              <w:jc w:val="center"/>
              <w:rPr>
                <w:rFonts w:ascii="宋体" w:hAnsi="宋体" w:eastAsia="宋体" w:cs="仿宋"/>
                <w:szCs w:val="21"/>
              </w:rPr>
            </w:pPr>
            <w:r>
              <w:rPr>
                <w:rFonts w:hint="eastAsia" w:ascii="宋体" w:hAnsi="宋体" w:eastAsia="宋体" w:cs="仿宋"/>
                <w:szCs w:val="21"/>
              </w:rPr>
              <w:t>小型</w:t>
            </w:r>
          </w:p>
        </w:tc>
        <w:tc>
          <w:tcPr>
            <w:tcW w:w="1499" w:type="dxa"/>
            <w:tcBorders>
              <w:top w:val="single" w:color="auto" w:sz="4" w:space="0"/>
              <w:left w:val="nil"/>
              <w:bottom w:val="single" w:color="auto" w:sz="4" w:space="0"/>
              <w:right w:val="single" w:color="auto" w:sz="4" w:space="0"/>
            </w:tcBorders>
            <w:vAlign w:val="center"/>
          </w:tcPr>
          <w:p w14:paraId="29AFE8B9">
            <w:pPr>
              <w:widowControl/>
              <w:spacing w:line="360" w:lineRule="atLeast"/>
              <w:jc w:val="center"/>
              <w:rPr>
                <w:rFonts w:ascii="宋体" w:hAnsi="宋体" w:eastAsia="宋体" w:cs="仿宋"/>
                <w:szCs w:val="21"/>
              </w:rPr>
            </w:pPr>
            <w:r>
              <w:rPr>
                <w:rFonts w:hint="eastAsia" w:ascii="宋体" w:hAnsi="宋体" w:eastAsia="宋体" w:cs="仿宋"/>
                <w:szCs w:val="21"/>
              </w:rPr>
              <w:t>微型</w:t>
            </w:r>
          </w:p>
        </w:tc>
      </w:tr>
      <w:tr w14:paraId="32C5FDA3">
        <w:tblPrEx>
          <w:tblCellMar>
            <w:top w:w="0" w:type="dxa"/>
            <w:left w:w="108" w:type="dxa"/>
            <w:bottom w:w="0" w:type="dxa"/>
            <w:right w:w="108" w:type="dxa"/>
          </w:tblCellMar>
        </w:tblPrEx>
        <w:trPr>
          <w:trHeight w:val="220" w:hRule="atLeast"/>
        </w:trPr>
        <w:tc>
          <w:tcPr>
            <w:tcW w:w="1413" w:type="dxa"/>
            <w:tcBorders>
              <w:top w:val="nil"/>
              <w:left w:val="single" w:color="auto" w:sz="4" w:space="0"/>
              <w:bottom w:val="single" w:color="auto" w:sz="4" w:space="0"/>
              <w:right w:val="single" w:color="auto" w:sz="4" w:space="0"/>
            </w:tcBorders>
            <w:vAlign w:val="bottom"/>
          </w:tcPr>
          <w:p w14:paraId="6BCB0C4C">
            <w:pPr>
              <w:widowControl/>
              <w:spacing w:line="360" w:lineRule="atLeast"/>
              <w:jc w:val="center"/>
              <w:rPr>
                <w:rFonts w:ascii="宋体" w:hAnsi="宋体" w:eastAsia="宋体" w:cs="仿宋"/>
                <w:szCs w:val="21"/>
              </w:rPr>
            </w:pPr>
            <w:r>
              <w:rPr>
                <w:rFonts w:hint="eastAsia" w:ascii="宋体" w:hAnsi="宋体" w:eastAsia="宋体" w:cs="仿宋"/>
                <w:szCs w:val="21"/>
              </w:rPr>
              <w:t>农、林、牧、渔</w:t>
            </w:r>
          </w:p>
        </w:tc>
        <w:tc>
          <w:tcPr>
            <w:tcW w:w="1664" w:type="dxa"/>
            <w:tcBorders>
              <w:top w:val="nil"/>
              <w:left w:val="nil"/>
              <w:bottom w:val="single" w:color="auto" w:sz="4" w:space="0"/>
              <w:right w:val="single" w:color="auto" w:sz="4" w:space="0"/>
            </w:tcBorders>
            <w:vAlign w:val="center"/>
          </w:tcPr>
          <w:p w14:paraId="0A22D845">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4BCABE62">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2DA37FD7">
            <w:pPr>
              <w:widowControl/>
              <w:spacing w:line="360" w:lineRule="atLeast"/>
              <w:jc w:val="left"/>
              <w:rPr>
                <w:rFonts w:ascii="宋体" w:hAnsi="宋体" w:eastAsia="宋体" w:cs="仿宋"/>
                <w:szCs w:val="21"/>
              </w:rPr>
            </w:pPr>
            <w:r>
              <w:rPr>
                <w:rFonts w:hint="eastAsia" w:ascii="宋体" w:hAnsi="宋体" w:eastAsia="宋体" w:cs="仿宋"/>
                <w:szCs w:val="21"/>
              </w:rPr>
              <w:t>500≤Y＜20000</w:t>
            </w:r>
          </w:p>
        </w:tc>
        <w:tc>
          <w:tcPr>
            <w:tcW w:w="1770" w:type="dxa"/>
            <w:tcBorders>
              <w:top w:val="nil"/>
              <w:left w:val="nil"/>
              <w:bottom w:val="single" w:color="auto" w:sz="4" w:space="0"/>
              <w:right w:val="single" w:color="auto" w:sz="4" w:space="0"/>
            </w:tcBorders>
            <w:vAlign w:val="center"/>
          </w:tcPr>
          <w:p w14:paraId="0DBD0DC9">
            <w:pPr>
              <w:widowControl/>
              <w:spacing w:line="360" w:lineRule="atLeast"/>
              <w:jc w:val="left"/>
              <w:rPr>
                <w:rFonts w:ascii="宋体" w:hAnsi="宋体" w:eastAsia="宋体" w:cs="仿宋"/>
                <w:szCs w:val="21"/>
              </w:rPr>
            </w:pPr>
            <w:r>
              <w:rPr>
                <w:rFonts w:hint="eastAsia" w:ascii="宋体" w:hAnsi="宋体" w:eastAsia="宋体" w:cs="仿宋"/>
                <w:szCs w:val="21"/>
              </w:rPr>
              <w:t>50≤Y＜500</w:t>
            </w:r>
          </w:p>
        </w:tc>
        <w:tc>
          <w:tcPr>
            <w:tcW w:w="1499" w:type="dxa"/>
            <w:tcBorders>
              <w:top w:val="nil"/>
              <w:left w:val="nil"/>
              <w:bottom w:val="single" w:color="auto" w:sz="4" w:space="0"/>
              <w:right w:val="single" w:color="auto" w:sz="4" w:space="0"/>
            </w:tcBorders>
            <w:vAlign w:val="center"/>
          </w:tcPr>
          <w:p w14:paraId="52651BAB">
            <w:pPr>
              <w:widowControl/>
              <w:spacing w:line="360" w:lineRule="atLeast"/>
              <w:jc w:val="left"/>
              <w:rPr>
                <w:rFonts w:ascii="宋体" w:hAnsi="宋体" w:eastAsia="宋体" w:cs="仿宋"/>
                <w:szCs w:val="21"/>
              </w:rPr>
            </w:pPr>
            <w:r>
              <w:rPr>
                <w:rFonts w:hint="eastAsia" w:ascii="宋体" w:hAnsi="宋体" w:eastAsia="宋体" w:cs="仿宋"/>
                <w:szCs w:val="21"/>
              </w:rPr>
              <w:t>Y＜50</w:t>
            </w:r>
          </w:p>
        </w:tc>
      </w:tr>
      <w:tr w14:paraId="027A9372">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75FA80AD">
            <w:pPr>
              <w:widowControl/>
              <w:spacing w:line="360" w:lineRule="atLeast"/>
              <w:jc w:val="center"/>
              <w:rPr>
                <w:rFonts w:ascii="宋体" w:hAnsi="宋体" w:eastAsia="宋体" w:cs="仿宋"/>
                <w:szCs w:val="21"/>
              </w:rPr>
            </w:pPr>
            <w:r>
              <w:rPr>
                <w:rFonts w:hint="eastAsia" w:ascii="宋体" w:hAnsi="宋体" w:eastAsia="宋体" w:cs="仿宋"/>
                <w:szCs w:val="21"/>
              </w:rPr>
              <w:t>工业</w:t>
            </w:r>
          </w:p>
        </w:tc>
        <w:tc>
          <w:tcPr>
            <w:tcW w:w="1664" w:type="dxa"/>
            <w:tcBorders>
              <w:top w:val="nil"/>
              <w:left w:val="nil"/>
              <w:bottom w:val="single" w:color="auto" w:sz="4" w:space="0"/>
              <w:right w:val="single" w:color="auto" w:sz="4" w:space="0"/>
            </w:tcBorders>
            <w:vAlign w:val="center"/>
          </w:tcPr>
          <w:p w14:paraId="2E7A3F2E">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00C506A0">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14C39CA0">
            <w:pPr>
              <w:widowControl/>
              <w:spacing w:line="360" w:lineRule="atLeast"/>
              <w:jc w:val="left"/>
              <w:rPr>
                <w:rFonts w:ascii="宋体" w:hAnsi="宋体" w:eastAsia="宋体" w:cs="仿宋"/>
                <w:szCs w:val="21"/>
              </w:rPr>
            </w:pPr>
            <w:r>
              <w:rPr>
                <w:rFonts w:hint="eastAsia" w:ascii="宋体" w:hAnsi="宋体" w:eastAsia="宋体" w:cs="仿宋"/>
                <w:szCs w:val="21"/>
              </w:rPr>
              <w:t>300≤X＜1000</w:t>
            </w:r>
          </w:p>
        </w:tc>
        <w:tc>
          <w:tcPr>
            <w:tcW w:w="1770" w:type="dxa"/>
            <w:tcBorders>
              <w:top w:val="nil"/>
              <w:left w:val="nil"/>
              <w:bottom w:val="single" w:color="auto" w:sz="4" w:space="0"/>
              <w:right w:val="single" w:color="auto" w:sz="4" w:space="0"/>
            </w:tcBorders>
            <w:vAlign w:val="center"/>
          </w:tcPr>
          <w:p w14:paraId="2A7FE6F0">
            <w:pPr>
              <w:widowControl/>
              <w:spacing w:line="360" w:lineRule="atLeast"/>
              <w:jc w:val="left"/>
              <w:rPr>
                <w:rFonts w:ascii="宋体" w:hAnsi="宋体" w:eastAsia="宋体" w:cs="仿宋"/>
                <w:szCs w:val="21"/>
              </w:rPr>
            </w:pPr>
            <w:r>
              <w:rPr>
                <w:rFonts w:hint="eastAsia" w:ascii="宋体" w:hAnsi="宋体" w:eastAsia="宋体" w:cs="仿宋"/>
                <w:szCs w:val="21"/>
              </w:rPr>
              <w:t>20≤X＜300</w:t>
            </w:r>
          </w:p>
        </w:tc>
        <w:tc>
          <w:tcPr>
            <w:tcW w:w="1499" w:type="dxa"/>
            <w:tcBorders>
              <w:top w:val="nil"/>
              <w:left w:val="nil"/>
              <w:bottom w:val="single" w:color="auto" w:sz="4" w:space="0"/>
              <w:right w:val="single" w:color="auto" w:sz="4" w:space="0"/>
            </w:tcBorders>
            <w:vAlign w:val="center"/>
          </w:tcPr>
          <w:p w14:paraId="78EF900D">
            <w:pPr>
              <w:widowControl/>
              <w:spacing w:line="360" w:lineRule="atLeast"/>
              <w:jc w:val="left"/>
              <w:rPr>
                <w:rFonts w:ascii="宋体" w:hAnsi="宋体" w:eastAsia="宋体" w:cs="仿宋"/>
                <w:szCs w:val="21"/>
              </w:rPr>
            </w:pPr>
            <w:r>
              <w:rPr>
                <w:rFonts w:hint="eastAsia" w:ascii="宋体" w:hAnsi="宋体" w:eastAsia="宋体" w:cs="仿宋"/>
                <w:szCs w:val="21"/>
              </w:rPr>
              <w:t>X＜20</w:t>
            </w:r>
          </w:p>
        </w:tc>
      </w:tr>
      <w:tr w14:paraId="4332BCB2">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30AEBFBB">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4C417EC5">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204B3FF7">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434A2B31">
            <w:pPr>
              <w:widowControl/>
              <w:spacing w:line="360" w:lineRule="atLeast"/>
              <w:jc w:val="left"/>
              <w:rPr>
                <w:rFonts w:ascii="宋体" w:hAnsi="宋体" w:eastAsia="宋体" w:cs="仿宋"/>
                <w:szCs w:val="21"/>
              </w:rPr>
            </w:pPr>
            <w:r>
              <w:rPr>
                <w:rFonts w:hint="eastAsia" w:ascii="宋体" w:hAnsi="宋体" w:eastAsia="宋体" w:cs="仿宋"/>
                <w:szCs w:val="21"/>
              </w:rPr>
              <w:t>2000≤Y＜40000</w:t>
            </w:r>
          </w:p>
        </w:tc>
        <w:tc>
          <w:tcPr>
            <w:tcW w:w="1770" w:type="dxa"/>
            <w:tcBorders>
              <w:top w:val="nil"/>
              <w:left w:val="nil"/>
              <w:bottom w:val="single" w:color="auto" w:sz="4" w:space="0"/>
              <w:right w:val="single" w:color="auto" w:sz="4" w:space="0"/>
            </w:tcBorders>
            <w:vAlign w:val="center"/>
          </w:tcPr>
          <w:p w14:paraId="196A3C80">
            <w:pPr>
              <w:widowControl/>
              <w:spacing w:line="360" w:lineRule="atLeast"/>
              <w:jc w:val="left"/>
              <w:rPr>
                <w:rFonts w:ascii="宋体" w:hAnsi="宋体" w:eastAsia="宋体" w:cs="仿宋"/>
                <w:szCs w:val="21"/>
              </w:rPr>
            </w:pPr>
            <w:r>
              <w:rPr>
                <w:rFonts w:hint="eastAsia" w:ascii="宋体" w:hAnsi="宋体" w:eastAsia="宋体" w:cs="仿宋"/>
                <w:szCs w:val="21"/>
              </w:rPr>
              <w:t>300≤Y＜2000</w:t>
            </w:r>
          </w:p>
        </w:tc>
        <w:tc>
          <w:tcPr>
            <w:tcW w:w="1499" w:type="dxa"/>
            <w:tcBorders>
              <w:top w:val="nil"/>
              <w:left w:val="nil"/>
              <w:bottom w:val="single" w:color="auto" w:sz="4" w:space="0"/>
              <w:right w:val="single" w:color="auto" w:sz="4" w:space="0"/>
            </w:tcBorders>
            <w:vAlign w:val="center"/>
          </w:tcPr>
          <w:p w14:paraId="3A52A188">
            <w:pPr>
              <w:widowControl/>
              <w:spacing w:line="360" w:lineRule="atLeast"/>
              <w:jc w:val="left"/>
              <w:rPr>
                <w:rFonts w:ascii="宋体" w:hAnsi="宋体" w:eastAsia="宋体" w:cs="仿宋"/>
                <w:szCs w:val="21"/>
              </w:rPr>
            </w:pPr>
            <w:r>
              <w:rPr>
                <w:rFonts w:hint="eastAsia" w:ascii="宋体" w:hAnsi="宋体" w:eastAsia="宋体" w:cs="仿宋"/>
                <w:szCs w:val="21"/>
              </w:rPr>
              <w:t>Y＜300</w:t>
            </w:r>
          </w:p>
        </w:tc>
      </w:tr>
      <w:tr w14:paraId="7AE721E6">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0E80A98E">
            <w:pPr>
              <w:widowControl/>
              <w:spacing w:line="360" w:lineRule="atLeast"/>
              <w:jc w:val="center"/>
              <w:rPr>
                <w:rFonts w:ascii="宋体" w:hAnsi="宋体" w:eastAsia="宋体" w:cs="仿宋"/>
                <w:szCs w:val="21"/>
              </w:rPr>
            </w:pPr>
            <w:r>
              <w:rPr>
                <w:rFonts w:hint="eastAsia" w:ascii="宋体" w:hAnsi="宋体" w:eastAsia="宋体" w:cs="仿宋"/>
                <w:szCs w:val="21"/>
              </w:rPr>
              <w:t>建筑业</w:t>
            </w:r>
          </w:p>
        </w:tc>
        <w:tc>
          <w:tcPr>
            <w:tcW w:w="1664" w:type="dxa"/>
            <w:tcBorders>
              <w:top w:val="nil"/>
              <w:left w:val="nil"/>
              <w:bottom w:val="single" w:color="auto" w:sz="4" w:space="0"/>
              <w:right w:val="single" w:color="auto" w:sz="4" w:space="0"/>
            </w:tcBorders>
            <w:vAlign w:val="center"/>
          </w:tcPr>
          <w:p w14:paraId="2E67AD02">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63FD2986">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2B69FA0A">
            <w:pPr>
              <w:widowControl/>
              <w:spacing w:line="360" w:lineRule="atLeast"/>
              <w:jc w:val="left"/>
              <w:rPr>
                <w:rFonts w:ascii="宋体" w:hAnsi="宋体" w:eastAsia="宋体" w:cs="仿宋"/>
                <w:szCs w:val="21"/>
              </w:rPr>
            </w:pPr>
            <w:r>
              <w:rPr>
                <w:rFonts w:hint="eastAsia" w:ascii="宋体" w:hAnsi="宋体" w:eastAsia="宋体" w:cs="仿宋"/>
                <w:szCs w:val="21"/>
              </w:rPr>
              <w:t>6000≤Y＜80000</w:t>
            </w:r>
          </w:p>
        </w:tc>
        <w:tc>
          <w:tcPr>
            <w:tcW w:w="1770" w:type="dxa"/>
            <w:tcBorders>
              <w:top w:val="nil"/>
              <w:left w:val="nil"/>
              <w:bottom w:val="single" w:color="auto" w:sz="4" w:space="0"/>
              <w:right w:val="single" w:color="auto" w:sz="4" w:space="0"/>
            </w:tcBorders>
            <w:vAlign w:val="center"/>
          </w:tcPr>
          <w:p w14:paraId="6600EE8B">
            <w:pPr>
              <w:widowControl/>
              <w:spacing w:line="360" w:lineRule="atLeast"/>
              <w:jc w:val="left"/>
              <w:rPr>
                <w:rFonts w:ascii="宋体" w:hAnsi="宋体" w:eastAsia="宋体" w:cs="仿宋"/>
                <w:szCs w:val="21"/>
              </w:rPr>
            </w:pPr>
            <w:r>
              <w:rPr>
                <w:rFonts w:hint="eastAsia" w:ascii="宋体" w:hAnsi="宋体" w:eastAsia="宋体" w:cs="仿宋"/>
                <w:szCs w:val="21"/>
              </w:rPr>
              <w:t>300≤Y＜6000</w:t>
            </w:r>
          </w:p>
        </w:tc>
        <w:tc>
          <w:tcPr>
            <w:tcW w:w="1499" w:type="dxa"/>
            <w:tcBorders>
              <w:top w:val="nil"/>
              <w:left w:val="nil"/>
              <w:bottom w:val="single" w:color="auto" w:sz="4" w:space="0"/>
              <w:right w:val="single" w:color="auto" w:sz="4" w:space="0"/>
            </w:tcBorders>
            <w:vAlign w:val="center"/>
          </w:tcPr>
          <w:p w14:paraId="68FE8046">
            <w:pPr>
              <w:widowControl/>
              <w:spacing w:line="360" w:lineRule="atLeast"/>
              <w:jc w:val="left"/>
              <w:rPr>
                <w:rFonts w:ascii="宋体" w:hAnsi="宋体" w:eastAsia="宋体" w:cs="仿宋"/>
                <w:szCs w:val="21"/>
              </w:rPr>
            </w:pPr>
            <w:r>
              <w:rPr>
                <w:rFonts w:hint="eastAsia" w:ascii="宋体" w:hAnsi="宋体" w:eastAsia="宋体" w:cs="仿宋"/>
                <w:szCs w:val="21"/>
              </w:rPr>
              <w:t>Y＜300</w:t>
            </w:r>
          </w:p>
        </w:tc>
      </w:tr>
      <w:tr w14:paraId="4A420901">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4567A7CD">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0D473402">
            <w:pPr>
              <w:widowControl/>
              <w:spacing w:line="360" w:lineRule="atLeast"/>
              <w:jc w:val="center"/>
              <w:rPr>
                <w:rFonts w:ascii="宋体" w:hAnsi="宋体" w:eastAsia="宋体" w:cs="仿宋"/>
                <w:szCs w:val="21"/>
              </w:rPr>
            </w:pPr>
            <w:r>
              <w:rPr>
                <w:rFonts w:hint="eastAsia" w:ascii="宋体" w:hAnsi="宋体" w:eastAsia="宋体" w:cs="仿宋"/>
                <w:szCs w:val="21"/>
              </w:rPr>
              <w:t>资产总额（Z）</w:t>
            </w:r>
          </w:p>
        </w:tc>
        <w:tc>
          <w:tcPr>
            <w:tcW w:w="1108" w:type="dxa"/>
            <w:tcBorders>
              <w:top w:val="nil"/>
              <w:left w:val="nil"/>
              <w:bottom w:val="single" w:color="auto" w:sz="4" w:space="0"/>
              <w:right w:val="single" w:color="auto" w:sz="4" w:space="0"/>
            </w:tcBorders>
            <w:vAlign w:val="center"/>
          </w:tcPr>
          <w:p w14:paraId="07283421">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76E59010">
            <w:pPr>
              <w:widowControl/>
              <w:spacing w:line="360" w:lineRule="atLeast"/>
              <w:jc w:val="left"/>
              <w:rPr>
                <w:rFonts w:ascii="宋体" w:hAnsi="宋体" w:eastAsia="宋体" w:cs="仿宋"/>
                <w:szCs w:val="21"/>
              </w:rPr>
            </w:pPr>
            <w:r>
              <w:rPr>
                <w:rFonts w:hint="eastAsia" w:ascii="宋体" w:hAnsi="宋体" w:eastAsia="宋体" w:cs="仿宋"/>
                <w:szCs w:val="21"/>
              </w:rPr>
              <w:t>5000≤Z＜80000</w:t>
            </w:r>
          </w:p>
        </w:tc>
        <w:tc>
          <w:tcPr>
            <w:tcW w:w="1770" w:type="dxa"/>
            <w:tcBorders>
              <w:top w:val="nil"/>
              <w:left w:val="nil"/>
              <w:bottom w:val="single" w:color="auto" w:sz="4" w:space="0"/>
              <w:right w:val="single" w:color="auto" w:sz="4" w:space="0"/>
            </w:tcBorders>
            <w:vAlign w:val="center"/>
          </w:tcPr>
          <w:p w14:paraId="626FC51C">
            <w:pPr>
              <w:widowControl/>
              <w:spacing w:line="360" w:lineRule="atLeast"/>
              <w:jc w:val="left"/>
              <w:rPr>
                <w:rFonts w:ascii="宋体" w:hAnsi="宋体" w:eastAsia="宋体" w:cs="仿宋"/>
                <w:szCs w:val="21"/>
              </w:rPr>
            </w:pPr>
            <w:r>
              <w:rPr>
                <w:rFonts w:hint="eastAsia" w:ascii="宋体" w:hAnsi="宋体" w:eastAsia="宋体" w:cs="仿宋"/>
                <w:szCs w:val="21"/>
              </w:rPr>
              <w:t>300≤Z＜5000</w:t>
            </w:r>
          </w:p>
        </w:tc>
        <w:tc>
          <w:tcPr>
            <w:tcW w:w="1499" w:type="dxa"/>
            <w:tcBorders>
              <w:top w:val="nil"/>
              <w:left w:val="nil"/>
              <w:bottom w:val="single" w:color="auto" w:sz="4" w:space="0"/>
              <w:right w:val="single" w:color="auto" w:sz="4" w:space="0"/>
            </w:tcBorders>
            <w:vAlign w:val="center"/>
          </w:tcPr>
          <w:p w14:paraId="23C4967D">
            <w:pPr>
              <w:widowControl/>
              <w:spacing w:line="360" w:lineRule="atLeast"/>
              <w:jc w:val="left"/>
              <w:rPr>
                <w:rFonts w:ascii="宋体" w:hAnsi="宋体" w:eastAsia="宋体" w:cs="仿宋"/>
                <w:szCs w:val="21"/>
              </w:rPr>
            </w:pPr>
            <w:r>
              <w:rPr>
                <w:rFonts w:hint="eastAsia" w:ascii="宋体" w:hAnsi="宋体" w:eastAsia="宋体" w:cs="仿宋"/>
                <w:szCs w:val="21"/>
              </w:rPr>
              <w:t>Z＜300</w:t>
            </w:r>
          </w:p>
        </w:tc>
      </w:tr>
      <w:tr w14:paraId="4A5436BB">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3AA1EB8B">
            <w:pPr>
              <w:widowControl/>
              <w:spacing w:line="360" w:lineRule="atLeast"/>
              <w:ind w:firstLine="315" w:firstLineChars="150"/>
              <w:rPr>
                <w:rFonts w:ascii="宋体" w:hAnsi="宋体" w:eastAsia="宋体" w:cs="仿宋"/>
                <w:szCs w:val="21"/>
              </w:rPr>
            </w:pPr>
            <w:r>
              <w:rPr>
                <w:rFonts w:hint="eastAsia" w:ascii="宋体" w:hAnsi="宋体" w:eastAsia="宋体" w:cs="仿宋"/>
                <w:szCs w:val="21"/>
              </w:rPr>
              <w:t>批发业</w:t>
            </w:r>
          </w:p>
        </w:tc>
        <w:tc>
          <w:tcPr>
            <w:tcW w:w="1664" w:type="dxa"/>
            <w:tcBorders>
              <w:top w:val="nil"/>
              <w:left w:val="nil"/>
              <w:bottom w:val="single" w:color="auto" w:sz="4" w:space="0"/>
              <w:right w:val="single" w:color="auto" w:sz="4" w:space="0"/>
            </w:tcBorders>
            <w:vAlign w:val="center"/>
          </w:tcPr>
          <w:p w14:paraId="13A10D74">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699E70AD">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7C32FA45">
            <w:pPr>
              <w:widowControl/>
              <w:spacing w:line="360" w:lineRule="atLeast"/>
              <w:jc w:val="left"/>
              <w:rPr>
                <w:rFonts w:ascii="宋体" w:hAnsi="宋体" w:eastAsia="宋体" w:cs="仿宋"/>
                <w:szCs w:val="21"/>
              </w:rPr>
            </w:pPr>
            <w:r>
              <w:rPr>
                <w:rFonts w:hint="eastAsia" w:ascii="宋体" w:hAnsi="宋体" w:eastAsia="宋体" w:cs="仿宋"/>
                <w:szCs w:val="21"/>
              </w:rPr>
              <w:t>20≤X＜200</w:t>
            </w:r>
          </w:p>
        </w:tc>
        <w:tc>
          <w:tcPr>
            <w:tcW w:w="1770" w:type="dxa"/>
            <w:tcBorders>
              <w:top w:val="nil"/>
              <w:left w:val="nil"/>
              <w:bottom w:val="single" w:color="auto" w:sz="4" w:space="0"/>
              <w:right w:val="single" w:color="auto" w:sz="4" w:space="0"/>
            </w:tcBorders>
            <w:vAlign w:val="center"/>
          </w:tcPr>
          <w:p w14:paraId="3E60A2A9">
            <w:pPr>
              <w:widowControl/>
              <w:spacing w:line="360" w:lineRule="atLeast"/>
              <w:jc w:val="left"/>
              <w:rPr>
                <w:rFonts w:ascii="宋体" w:hAnsi="宋体" w:eastAsia="宋体" w:cs="仿宋"/>
                <w:szCs w:val="21"/>
              </w:rPr>
            </w:pPr>
            <w:r>
              <w:rPr>
                <w:rFonts w:hint="eastAsia" w:ascii="宋体" w:hAnsi="宋体" w:eastAsia="宋体" w:cs="仿宋"/>
                <w:szCs w:val="21"/>
              </w:rPr>
              <w:t>5≤X＜20</w:t>
            </w:r>
          </w:p>
        </w:tc>
        <w:tc>
          <w:tcPr>
            <w:tcW w:w="1499" w:type="dxa"/>
            <w:tcBorders>
              <w:top w:val="nil"/>
              <w:left w:val="nil"/>
              <w:bottom w:val="single" w:color="auto" w:sz="4" w:space="0"/>
              <w:right w:val="single" w:color="auto" w:sz="4" w:space="0"/>
            </w:tcBorders>
            <w:vAlign w:val="center"/>
          </w:tcPr>
          <w:p w14:paraId="360321DE">
            <w:pPr>
              <w:widowControl/>
              <w:spacing w:line="360" w:lineRule="atLeast"/>
              <w:jc w:val="left"/>
              <w:rPr>
                <w:rFonts w:ascii="宋体" w:hAnsi="宋体" w:eastAsia="宋体" w:cs="仿宋"/>
                <w:szCs w:val="21"/>
              </w:rPr>
            </w:pPr>
            <w:r>
              <w:rPr>
                <w:rFonts w:hint="eastAsia" w:ascii="宋体" w:hAnsi="宋体" w:eastAsia="宋体" w:cs="仿宋"/>
                <w:szCs w:val="21"/>
              </w:rPr>
              <w:t>X＜5</w:t>
            </w:r>
          </w:p>
        </w:tc>
      </w:tr>
      <w:tr w14:paraId="71290A70">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39BE29A1">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2027EFFE">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02D90048">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695536C1">
            <w:pPr>
              <w:widowControl/>
              <w:spacing w:line="360" w:lineRule="atLeast"/>
              <w:jc w:val="left"/>
              <w:rPr>
                <w:rFonts w:ascii="宋体" w:hAnsi="宋体" w:eastAsia="宋体" w:cs="仿宋"/>
                <w:szCs w:val="21"/>
              </w:rPr>
            </w:pPr>
            <w:r>
              <w:rPr>
                <w:rFonts w:hint="eastAsia" w:ascii="宋体" w:hAnsi="宋体" w:eastAsia="宋体" w:cs="仿宋"/>
                <w:szCs w:val="21"/>
              </w:rPr>
              <w:t>5000≤Y＜40000</w:t>
            </w:r>
          </w:p>
        </w:tc>
        <w:tc>
          <w:tcPr>
            <w:tcW w:w="1770" w:type="dxa"/>
            <w:tcBorders>
              <w:top w:val="nil"/>
              <w:left w:val="nil"/>
              <w:bottom w:val="single" w:color="auto" w:sz="4" w:space="0"/>
              <w:right w:val="single" w:color="auto" w:sz="4" w:space="0"/>
            </w:tcBorders>
            <w:vAlign w:val="center"/>
          </w:tcPr>
          <w:p w14:paraId="20719ED1">
            <w:pPr>
              <w:widowControl/>
              <w:spacing w:line="360" w:lineRule="atLeast"/>
              <w:jc w:val="left"/>
              <w:rPr>
                <w:rFonts w:ascii="宋体" w:hAnsi="宋体" w:eastAsia="宋体" w:cs="仿宋"/>
                <w:szCs w:val="21"/>
              </w:rPr>
            </w:pPr>
            <w:r>
              <w:rPr>
                <w:rFonts w:hint="eastAsia" w:ascii="宋体" w:hAnsi="宋体" w:eastAsia="宋体" w:cs="仿宋"/>
                <w:szCs w:val="21"/>
              </w:rPr>
              <w:t>1000≤Y＜5000</w:t>
            </w:r>
          </w:p>
        </w:tc>
        <w:tc>
          <w:tcPr>
            <w:tcW w:w="1499" w:type="dxa"/>
            <w:tcBorders>
              <w:top w:val="nil"/>
              <w:left w:val="nil"/>
              <w:bottom w:val="single" w:color="auto" w:sz="4" w:space="0"/>
              <w:right w:val="single" w:color="auto" w:sz="4" w:space="0"/>
            </w:tcBorders>
            <w:vAlign w:val="center"/>
          </w:tcPr>
          <w:p w14:paraId="782D73BD">
            <w:pPr>
              <w:widowControl/>
              <w:spacing w:line="360" w:lineRule="atLeast"/>
              <w:jc w:val="left"/>
              <w:rPr>
                <w:rFonts w:ascii="宋体" w:hAnsi="宋体" w:eastAsia="宋体" w:cs="仿宋"/>
                <w:szCs w:val="21"/>
              </w:rPr>
            </w:pPr>
            <w:r>
              <w:rPr>
                <w:rFonts w:hint="eastAsia" w:ascii="宋体" w:hAnsi="宋体" w:eastAsia="宋体" w:cs="仿宋"/>
                <w:szCs w:val="21"/>
              </w:rPr>
              <w:t>Y＜1000</w:t>
            </w:r>
          </w:p>
        </w:tc>
      </w:tr>
      <w:tr w14:paraId="5BA4B684">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2DA5DE45">
            <w:pPr>
              <w:widowControl/>
              <w:spacing w:line="360" w:lineRule="atLeast"/>
              <w:jc w:val="center"/>
              <w:rPr>
                <w:rFonts w:ascii="宋体" w:hAnsi="宋体" w:eastAsia="宋体" w:cs="仿宋"/>
                <w:szCs w:val="21"/>
              </w:rPr>
            </w:pPr>
            <w:r>
              <w:rPr>
                <w:rFonts w:hint="eastAsia" w:ascii="宋体" w:hAnsi="宋体" w:eastAsia="宋体" w:cs="仿宋"/>
                <w:szCs w:val="21"/>
              </w:rPr>
              <w:t>零售业</w:t>
            </w:r>
          </w:p>
        </w:tc>
        <w:tc>
          <w:tcPr>
            <w:tcW w:w="1664" w:type="dxa"/>
            <w:tcBorders>
              <w:top w:val="nil"/>
              <w:left w:val="nil"/>
              <w:bottom w:val="single" w:color="auto" w:sz="4" w:space="0"/>
              <w:right w:val="single" w:color="auto" w:sz="4" w:space="0"/>
            </w:tcBorders>
            <w:vAlign w:val="center"/>
          </w:tcPr>
          <w:p w14:paraId="46AE0267">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106E1BB3">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236AD665">
            <w:pPr>
              <w:widowControl/>
              <w:spacing w:line="360" w:lineRule="atLeast"/>
              <w:jc w:val="left"/>
              <w:rPr>
                <w:rFonts w:ascii="宋体" w:hAnsi="宋体" w:eastAsia="宋体" w:cs="仿宋"/>
                <w:szCs w:val="21"/>
              </w:rPr>
            </w:pPr>
            <w:r>
              <w:rPr>
                <w:rFonts w:hint="eastAsia" w:ascii="宋体" w:hAnsi="宋体" w:eastAsia="宋体" w:cs="仿宋"/>
                <w:szCs w:val="21"/>
              </w:rPr>
              <w:t>50≤X＜300</w:t>
            </w:r>
          </w:p>
        </w:tc>
        <w:tc>
          <w:tcPr>
            <w:tcW w:w="1770" w:type="dxa"/>
            <w:tcBorders>
              <w:top w:val="nil"/>
              <w:left w:val="nil"/>
              <w:bottom w:val="single" w:color="auto" w:sz="4" w:space="0"/>
              <w:right w:val="single" w:color="auto" w:sz="4" w:space="0"/>
            </w:tcBorders>
            <w:vAlign w:val="center"/>
          </w:tcPr>
          <w:p w14:paraId="5650E685">
            <w:pPr>
              <w:widowControl/>
              <w:spacing w:line="360" w:lineRule="atLeast"/>
              <w:jc w:val="left"/>
              <w:rPr>
                <w:rFonts w:ascii="宋体" w:hAnsi="宋体" w:eastAsia="宋体" w:cs="仿宋"/>
                <w:szCs w:val="21"/>
              </w:rPr>
            </w:pPr>
            <w:r>
              <w:rPr>
                <w:rFonts w:hint="eastAsia" w:ascii="宋体" w:hAnsi="宋体" w:eastAsia="宋体" w:cs="仿宋"/>
                <w:szCs w:val="21"/>
              </w:rPr>
              <w:t>10≤X＜50</w:t>
            </w:r>
          </w:p>
        </w:tc>
        <w:tc>
          <w:tcPr>
            <w:tcW w:w="1499" w:type="dxa"/>
            <w:tcBorders>
              <w:top w:val="nil"/>
              <w:left w:val="nil"/>
              <w:bottom w:val="single" w:color="auto" w:sz="4" w:space="0"/>
              <w:right w:val="single" w:color="auto" w:sz="4" w:space="0"/>
            </w:tcBorders>
            <w:vAlign w:val="center"/>
          </w:tcPr>
          <w:p w14:paraId="60539C83">
            <w:pPr>
              <w:widowControl/>
              <w:spacing w:line="360" w:lineRule="atLeast"/>
              <w:jc w:val="left"/>
              <w:rPr>
                <w:rFonts w:ascii="宋体" w:hAnsi="宋体" w:eastAsia="宋体" w:cs="仿宋"/>
                <w:szCs w:val="21"/>
              </w:rPr>
            </w:pPr>
            <w:r>
              <w:rPr>
                <w:rFonts w:hint="eastAsia" w:ascii="宋体" w:hAnsi="宋体" w:eastAsia="宋体" w:cs="仿宋"/>
                <w:szCs w:val="21"/>
              </w:rPr>
              <w:t>X＜10</w:t>
            </w:r>
          </w:p>
        </w:tc>
      </w:tr>
      <w:tr w14:paraId="2642BD81">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2302D348">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2351FBD5">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3B4C2FA0">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427A88A8">
            <w:pPr>
              <w:widowControl/>
              <w:spacing w:line="360" w:lineRule="atLeast"/>
              <w:jc w:val="left"/>
              <w:rPr>
                <w:rFonts w:ascii="宋体" w:hAnsi="宋体" w:eastAsia="宋体" w:cs="仿宋"/>
                <w:szCs w:val="21"/>
              </w:rPr>
            </w:pPr>
            <w:r>
              <w:rPr>
                <w:rFonts w:hint="eastAsia" w:ascii="宋体" w:hAnsi="宋体" w:eastAsia="宋体" w:cs="仿宋"/>
                <w:szCs w:val="21"/>
              </w:rPr>
              <w:t>500≤Y＜20000</w:t>
            </w:r>
          </w:p>
        </w:tc>
        <w:tc>
          <w:tcPr>
            <w:tcW w:w="1770" w:type="dxa"/>
            <w:tcBorders>
              <w:top w:val="nil"/>
              <w:left w:val="nil"/>
              <w:bottom w:val="single" w:color="auto" w:sz="4" w:space="0"/>
              <w:right w:val="single" w:color="auto" w:sz="4" w:space="0"/>
            </w:tcBorders>
            <w:vAlign w:val="center"/>
          </w:tcPr>
          <w:p w14:paraId="00E99ECD">
            <w:pPr>
              <w:widowControl/>
              <w:spacing w:line="360" w:lineRule="atLeast"/>
              <w:jc w:val="left"/>
              <w:rPr>
                <w:rFonts w:ascii="宋体" w:hAnsi="宋体" w:eastAsia="宋体" w:cs="仿宋"/>
                <w:szCs w:val="21"/>
              </w:rPr>
            </w:pPr>
            <w:r>
              <w:rPr>
                <w:rFonts w:hint="eastAsia" w:ascii="宋体" w:hAnsi="宋体" w:eastAsia="宋体" w:cs="仿宋"/>
                <w:szCs w:val="21"/>
              </w:rPr>
              <w:t>100≤Y＜500</w:t>
            </w:r>
          </w:p>
        </w:tc>
        <w:tc>
          <w:tcPr>
            <w:tcW w:w="1499" w:type="dxa"/>
            <w:tcBorders>
              <w:top w:val="nil"/>
              <w:left w:val="nil"/>
              <w:bottom w:val="single" w:color="auto" w:sz="4" w:space="0"/>
              <w:right w:val="single" w:color="auto" w:sz="4" w:space="0"/>
            </w:tcBorders>
            <w:vAlign w:val="center"/>
          </w:tcPr>
          <w:p w14:paraId="43B093C4">
            <w:pPr>
              <w:widowControl/>
              <w:spacing w:line="360" w:lineRule="atLeast"/>
              <w:jc w:val="left"/>
              <w:rPr>
                <w:rFonts w:ascii="宋体" w:hAnsi="宋体" w:eastAsia="宋体" w:cs="仿宋"/>
                <w:szCs w:val="21"/>
              </w:rPr>
            </w:pPr>
            <w:r>
              <w:rPr>
                <w:rFonts w:hint="eastAsia" w:ascii="宋体" w:hAnsi="宋体" w:eastAsia="宋体" w:cs="仿宋"/>
                <w:szCs w:val="21"/>
              </w:rPr>
              <w:t>Y＜100</w:t>
            </w:r>
          </w:p>
        </w:tc>
      </w:tr>
      <w:tr w14:paraId="6E13575F">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4E858567">
            <w:pPr>
              <w:widowControl/>
              <w:spacing w:line="360" w:lineRule="atLeast"/>
              <w:jc w:val="center"/>
              <w:rPr>
                <w:rFonts w:ascii="宋体" w:hAnsi="宋体" w:eastAsia="宋体" w:cs="仿宋"/>
                <w:szCs w:val="21"/>
              </w:rPr>
            </w:pPr>
            <w:r>
              <w:rPr>
                <w:rFonts w:hint="eastAsia" w:ascii="宋体" w:hAnsi="宋体" w:eastAsia="宋体" w:cs="仿宋"/>
                <w:szCs w:val="21"/>
              </w:rPr>
              <w:t>交通运输业</w:t>
            </w:r>
          </w:p>
        </w:tc>
        <w:tc>
          <w:tcPr>
            <w:tcW w:w="1664" w:type="dxa"/>
            <w:tcBorders>
              <w:top w:val="nil"/>
              <w:left w:val="nil"/>
              <w:bottom w:val="single" w:color="auto" w:sz="4" w:space="0"/>
              <w:right w:val="single" w:color="auto" w:sz="4" w:space="0"/>
            </w:tcBorders>
            <w:vAlign w:val="center"/>
          </w:tcPr>
          <w:p w14:paraId="7A8E68A7">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2CE6258F">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726CB6C9">
            <w:pPr>
              <w:widowControl/>
              <w:spacing w:line="360" w:lineRule="atLeast"/>
              <w:jc w:val="left"/>
              <w:rPr>
                <w:rFonts w:ascii="宋体" w:hAnsi="宋体" w:eastAsia="宋体" w:cs="仿宋"/>
                <w:szCs w:val="21"/>
              </w:rPr>
            </w:pPr>
            <w:r>
              <w:rPr>
                <w:rFonts w:hint="eastAsia" w:ascii="宋体" w:hAnsi="宋体" w:eastAsia="宋体" w:cs="仿宋"/>
                <w:szCs w:val="21"/>
              </w:rPr>
              <w:t>300≤X＜1000</w:t>
            </w:r>
          </w:p>
        </w:tc>
        <w:tc>
          <w:tcPr>
            <w:tcW w:w="1770" w:type="dxa"/>
            <w:tcBorders>
              <w:top w:val="nil"/>
              <w:left w:val="nil"/>
              <w:bottom w:val="single" w:color="auto" w:sz="4" w:space="0"/>
              <w:right w:val="single" w:color="auto" w:sz="4" w:space="0"/>
            </w:tcBorders>
            <w:vAlign w:val="center"/>
          </w:tcPr>
          <w:p w14:paraId="5AE015BB">
            <w:pPr>
              <w:widowControl/>
              <w:spacing w:line="360" w:lineRule="atLeast"/>
              <w:jc w:val="left"/>
              <w:rPr>
                <w:rFonts w:ascii="宋体" w:hAnsi="宋体" w:eastAsia="宋体" w:cs="仿宋"/>
                <w:szCs w:val="21"/>
              </w:rPr>
            </w:pPr>
            <w:r>
              <w:rPr>
                <w:rFonts w:hint="eastAsia" w:ascii="宋体" w:hAnsi="宋体" w:eastAsia="宋体" w:cs="仿宋"/>
                <w:szCs w:val="21"/>
              </w:rPr>
              <w:t>20≤X＜300</w:t>
            </w:r>
          </w:p>
        </w:tc>
        <w:tc>
          <w:tcPr>
            <w:tcW w:w="1499" w:type="dxa"/>
            <w:tcBorders>
              <w:top w:val="nil"/>
              <w:left w:val="nil"/>
              <w:bottom w:val="single" w:color="auto" w:sz="4" w:space="0"/>
              <w:right w:val="single" w:color="auto" w:sz="4" w:space="0"/>
            </w:tcBorders>
            <w:vAlign w:val="center"/>
          </w:tcPr>
          <w:p w14:paraId="7F124286">
            <w:pPr>
              <w:widowControl/>
              <w:spacing w:line="360" w:lineRule="atLeast"/>
              <w:jc w:val="left"/>
              <w:rPr>
                <w:rFonts w:ascii="宋体" w:hAnsi="宋体" w:eastAsia="宋体" w:cs="仿宋"/>
                <w:szCs w:val="21"/>
              </w:rPr>
            </w:pPr>
            <w:r>
              <w:rPr>
                <w:rFonts w:hint="eastAsia" w:ascii="宋体" w:hAnsi="宋体" w:eastAsia="宋体" w:cs="仿宋"/>
                <w:szCs w:val="21"/>
              </w:rPr>
              <w:t>X＜20</w:t>
            </w:r>
          </w:p>
        </w:tc>
      </w:tr>
      <w:tr w14:paraId="0200090E">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0ED13F4F">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6AE215CF">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493DD5AB">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17DF321B">
            <w:pPr>
              <w:widowControl/>
              <w:spacing w:line="360" w:lineRule="atLeast"/>
              <w:jc w:val="left"/>
              <w:rPr>
                <w:rFonts w:ascii="宋体" w:hAnsi="宋体" w:eastAsia="宋体" w:cs="仿宋"/>
                <w:szCs w:val="21"/>
              </w:rPr>
            </w:pPr>
            <w:r>
              <w:rPr>
                <w:rFonts w:hint="eastAsia" w:ascii="宋体" w:hAnsi="宋体" w:eastAsia="宋体" w:cs="仿宋"/>
                <w:szCs w:val="21"/>
              </w:rPr>
              <w:t>3000≤Y＜30000</w:t>
            </w:r>
          </w:p>
        </w:tc>
        <w:tc>
          <w:tcPr>
            <w:tcW w:w="1770" w:type="dxa"/>
            <w:tcBorders>
              <w:top w:val="nil"/>
              <w:left w:val="nil"/>
              <w:bottom w:val="single" w:color="auto" w:sz="4" w:space="0"/>
              <w:right w:val="single" w:color="auto" w:sz="4" w:space="0"/>
            </w:tcBorders>
            <w:vAlign w:val="center"/>
          </w:tcPr>
          <w:p w14:paraId="735E8051">
            <w:pPr>
              <w:widowControl/>
              <w:spacing w:line="360" w:lineRule="atLeast"/>
              <w:jc w:val="left"/>
              <w:rPr>
                <w:rFonts w:ascii="宋体" w:hAnsi="宋体" w:eastAsia="宋体" w:cs="仿宋"/>
                <w:szCs w:val="21"/>
              </w:rPr>
            </w:pPr>
            <w:r>
              <w:rPr>
                <w:rFonts w:hint="eastAsia" w:ascii="宋体" w:hAnsi="宋体" w:eastAsia="宋体" w:cs="仿宋"/>
                <w:szCs w:val="21"/>
              </w:rPr>
              <w:t>200≤Y＜3000</w:t>
            </w:r>
          </w:p>
        </w:tc>
        <w:tc>
          <w:tcPr>
            <w:tcW w:w="1499" w:type="dxa"/>
            <w:tcBorders>
              <w:top w:val="nil"/>
              <w:left w:val="nil"/>
              <w:bottom w:val="single" w:color="auto" w:sz="4" w:space="0"/>
              <w:right w:val="single" w:color="auto" w:sz="4" w:space="0"/>
            </w:tcBorders>
            <w:vAlign w:val="center"/>
          </w:tcPr>
          <w:p w14:paraId="00A45768">
            <w:pPr>
              <w:widowControl/>
              <w:spacing w:line="360" w:lineRule="atLeast"/>
              <w:jc w:val="left"/>
              <w:rPr>
                <w:rFonts w:ascii="宋体" w:hAnsi="宋体" w:eastAsia="宋体" w:cs="仿宋"/>
                <w:szCs w:val="21"/>
              </w:rPr>
            </w:pPr>
            <w:r>
              <w:rPr>
                <w:rFonts w:hint="eastAsia" w:ascii="宋体" w:hAnsi="宋体" w:eastAsia="宋体" w:cs="仿宋"/>
                <w:szCs w:val="21"/>
              </w:rPr>
              <w:t>Y＜200</w:t>
            </w:r>
          </w:p>
        </w:tc>
      </w:tr>
      <w:tr w14:paraId="6F0E9FF7">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3C7FFEB0">
            <w:pPr>
              <w:widowControl/>
              <w:spacing w:line="360" w:lineRule="atLeast"/>
              <w:jc w:val="center"/>
              <w:rPr>
                <w:rFonts w:ascii="宋体" w:hAnsi="宋体" w:eastAsia="宋体" w:cs="仿宋"/>
                <w:szCs w:val="21"/>
              </w:rPr>
            </w:pPr>
            <w:r>
              <w:rPr>
                <w:rFonts w:hint="eastAsia" w:ascii="宋体" w:hAnsi="宋体" w:eastAsia="宋体" w:cs="仿宋"/>
                <w:szCs w:val="21"/>
              </w:rPr>
              <w:t>仓储业</w:t>
            </w:r>
          </w:p>
        </w:tc>
        <w:tc>
          <w:tcPr>
            <w:tcW w:w="1664" w:type="dxa"/>
            <w:tcBorders>
              <w:top w:val="nil"/>
              <w:left w:val="nil"/>
              <w:bottom w:val="single" w:color="auto" w:sz="4" w:space="0"/>
              <w:right w:val="single" w:color="auto" w:sz="4" w:space="0"/>
            </w:tcBorders>
            <w:vAlign w:val="center"/>
          </w:tcPr>
          <w:p w14:paraId="1016F4EC">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19910309">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4F7B05B5">
            <w:pPr>
              <w:widowControl/>
              <w:spacing w:line="360" w:lineRule="atLeast"/>
              <w:jc w:val="left"/>
              <w:rPr>
                <w:rFonts w:ascii="宋体" w:hAnsi="宋体" w:eastAsia="宋体" w:cs="仿宋"/>
                <w:szCs w:val="21"/>
              </w:rPr>
            </w:pPr>
            <w:r>
              <w:rPr>
                <w:rFonts w:hint="eastAsia" w:ascii="宋体" w:hAnsi="宋体" w:eastAsia="宋体" w:cs="仿宋"/>
                <w:szCs w:val="21"/>
              </w:rPr>
              <w:t>100≤X＜200</w:t>
            </w:r>
          </w:p>
        </w:tc>
        <w:tc>
          <w:tcPr>
            <w:tcW w:w="1770" w:type="dxa"/>
            <w:tcBorders>
              <w:top w:val="nil"/>
              <w:left w:val="nil"/>
              <w:bottom w:val="single" w:color="auto" w:sz="4" w:space="0"/>
              <w:right w:val="single" w:color="auto" w:sz="4" w:space="0"/>
            </w:tcBorders>
            <w:vAlign w:val="center"/>
          </w:tcPr>
          <w:p w14:paraId="72AA5F47">
            <w:pPr>
              <w:widowControl/>
              <w:spacing w:line="360" w:lineRule="atLeast"/>
              <w:jc w:val="left"/>
              <w:rPr>
                <w:rFonts w:ascii="宋体" w:hAnsi="宋体" w:eastAsia="宋体" w:cs="仿宋"/>
                <w:szCs w:val="21"/>
              </w:rPr>
            </w:pPr>
            <w:r>
              <w:rPr>
                <w:rFonts w:hint="eastAsia" w:ascii="宋体" w:hAnsi="宋体" w:eastAsia="宋体" w:cs="仿宋"/>
                <w:szCs w:val="21"/>
              </w:rPr>
              <w:t>20≤X＜100</w:t>
            </w:r>
          </w:p>
        </w:tc>
        <w:tc>
          <w:tcPr>
            <w:tcW w:w="1499" w:type="dxa"/>
            <w:tcBorders>
              <w:top w:val="nil"/>
              <w:left w:val="nil"/>
              <w:bottom w:val="single" w:color="auto" w:sz="4" w:space="0"/>
              <w:right w:val="single" w:color="auto" w:sz="4" w:space="0"/>
            </w:tcBorders>
            <w:vAlign w:val="center"/>
          </w:tcPr>
          <w:p w14:paraId="6F4FC164">
            <w:pPr>
              <w:widowControl/>
              <w:spacing w:line="360" w:lineRule="atLeast"/>
              <w:jc w:val="left"/>
              <w:rPr>
                <w:rFonts w:ascii="宋体" w:hAnsi="宋体" w:eastAsia="宋体" w:cs="仿宋"/>
                <w:szCs w:val="21"/>
              </w:rPr>
            </w:pPr>
            <w:r>
              <w:rPr>
                <w:rFonts w:hint="eastAsia" w:ascii="宋体" w:hAnsi="宋体" w:eastAsia="宋体" w:cs="仿宋"/>
                <w:szCs w:val="21"/>
              </w:rPr>
              <w:t>X＜20</w:t>
            </w:r>
          </w:p>
        </w:tc>
      </w:tr>
      <w:tr w14:paraId="2FADA746">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26B79C39">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7EB95B12">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39C88F41">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0F455D54">
            <w:pPr>
              <w:widowControl/>
              <w:spacing w:line="360" w:lineRule="atLeast"/>
              <w:jc w:val="left"/>
              <w:rPr>
                <w:rFonts w:ascii="宋体" w:hAnsi="宋体" w:eastAsia="宋体" w:cs="仿宋"/>
                <w:szCs w:val="21"/>
              </w:rPr>
            </w:pPr>
            <w:r>
              <w:rPr>
                <w:rFonts w:hint="eastAsia" w:ascii="宋体" w:hAnsi="宋体" w:eastAsia="宋体" w:cs="仿宋"/>
                <w:szCs w:val="21"/>
              </w:rPr>
              <w:t>1000≤Y＜30000</w:t>
            </w:r>
          </w:p>
        </w:tc>
        <w:tc>
          <w:tcPr>
            <w:tcW w:w="1770" w:type="dxa"/>
            <w:tcBorders>
              <w:top w:val="nil"/>
              <w:left w:val="nil"/>
              <w:bottom w:val="single" w:color="auto" w:sz="4" w:space="0"/>
              <w:right w:val="single" w:color="auto" w:sz="4" w:space="0"/>
            </w:tcBorders>
            <w:vAlign w:val="center"/>
          </w:tcPr>
          <w:p w14:paraId="0EC1E65D">
            <w:pPr>
              <w:widowControl/>
              <w:spacing w:line="360" w:lineRule="atLeast"/>
              <w:jc w:val="left"/>
              <w:rPr>
                <w:rFonts w:ascii="宋体" w:hAnsi="宋体" w:eastAsia="宋体" w:cs="仿宋"/>
                <w:szCs w:val="21"/>
              </w:rPr>
            </w:pPr>
            <w:r>
              <w:rPr>
                <w:rFonts w:hint="eastAsia" w:ascii="宋体" w:hAnsi="宋体" w:eastAsia="宋体" w:cs="仿宋"/>
                <w:szCs w:val="21"/>
              </w:rPr>
              <w:t>100≤Y＜1000</w:t>
            </w:r>
          </w:p>
        </w:tc>
        <w:tc>
          <w:tcPr>
            <w:tcW w:w="1499" w:type="dxa"/>
            <w:tcBorders>
              <w:top w:val="nil"/>
              <w:left w:val="nil"/>
              <w:bottom w:val="single" w:color="auto" w:sz="4" w:space="0"/>
              <w:right w:val="single" w:color="auto" w:sz="4" w:space="0"/>
            </w:tcBorders>
            <w:vAlign w:val="center"/>
          </w:tcPr>
          <w:p w14:paraId="45FCC529">
            <w:pPr>
              <w:widowControl/>
              <w:spacing w:line="360" w:lineRule="atLeast"/>
              <w:jc w:val="left"/>
              <w:rPr>
                <w:rFonts w:ascii="宋体" w:hAnsi="宋体" w:eastAsia="宋体" w:cs="仿宋"/>
                <w:szCs w:val="21"/>
              </w:rPr>
            </w:pPr>
            <w:r>
              <w:rPr>
                <w:rFonts w:hint="eastAsia" w:ascii="宋体" w:hAnsi="宋体" w:eastAsia="宋体" w:cs="仿宋"/>
                <w:szCs w:val="21"/>
              </w:rPr>
              <w:t>Y＜100</w:t>
            </w:r>
          </w:p>
        </w:tc>
      </w:tr>
      <w:tr w14:paraId="4D4A5CBA">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0E4AD10C">
            <w:pPr>
              <w:widowControl/>
              <w:spacing w:line="360" w:lineRule="atLeast"/>
              <w:jc w:val="center"/>
              <w:rPr>
                <w:rFonts w:ascii="宋体" w:hAnsi="宋体" w:eastAsia="宋体" w:cs="仿宋"/>
                <w:szCs w:val="21"/>
              </w:rPr>
            </w:pPr>
            <w:r>
              <w:rPr>
                <w:rFonts w:hint="eastAsia" w:ascii="宋体" w:hAnsi="宋体" w:eastAsia="宋体" w:cs="仿宋"/>
                <w:szCs w:val="21"/>
              </w:rPr>
              <w:t>邮政业</w:t>
            </w:r>
          </w:p>
        </w:tc>
        <w:tc>
          <w:tcPr>
            <w:tcW w:w="1664" w:type="dxa"/>
            <w:tcBorders>
              <w:top w:val="nil"/>
              <w:left w:val="nil"/>
              <w:bottom w:val="single" w:color="auto" w:sz="4" w:space="0"/>
              <w:right w:val="single" w:color="auto" w:sz="4" w:space="0"/>
            </w:tcBorders>
            <w:vAlign w:val="center"/>
          </w:tcPr>
          <w:p w14:paraId="53083A2F">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67A3A32A">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1D845098">
            <w:pPr>
              <w:widowControl/>
              <w:spacing w:line="360" w:lineRule="atLeast"/>
              <w:jc w:val="left"/>
              <w:rPr>
                <w:rFonts w:ascii="宋体" w:hAnsi="宋体" w:eastAsia="宋体" w:cs="仿宋"/>
                <w:szCs w:val="21"/>
              </w:rPr>
            </w:pPr>
            <w:r>
              <w:rPr>
                <w:rFonts w:hint="eastAsia" w:ascii="宋体" w:hAnsi="宋体" w:eastAsia="宋体" w:cs="仿宋"/>
                <w:szCs w:val="21"/>
              </w:rPr>
              <w:t>300≤X＜1000</w:t>
            </w:r>
          </w:p>
        </w:tc>
        <w:tc>
          <w:tcPr>
            <w:tcW w:w="1770" w:type="dxa"/>
            <w:tcBorders>
              <w:top w:val="nil"/>
              <w:left w:val="nil"/>
              <w:bottom w:val="single" w:color="auto" w:sz="4" w:space="0"/>
              <w:right w:val="single" w:color="auto" w:sz="4" w:space="0"/>
            </w:tcBorders>
            <w:vAlign w:val="center"/>
          </w:tcPr>
          <w:p w14:paraId="246CBDDE">
            <w:pPr>
              <w:widowControl/>
              <w:spacing w:line="360" w:lineRule="atLeast"/>
              <w:jc w:val="left"/>
              <w:rPr>
                <w:rFonts w:ascii="宋体" w:hAnsi="宋体" w:eastAsia="宋体" w:cs="仿宋"/>
                <w:szCs w:val="21"/>
              </w:rPr>
            </w:pPr>
            <w:r>
              <w:rPr>
                <w:rFonts w:hint="eastAsia" w:ascii="宋体" w:hAnsi="宋体" w:eastAsia="宋体" w:cs="仿宋"/>
                <w:szCs w:val="21"/>
              </w:rPr>
              <w:t>20≤X＜300</w:t>
            </w:r>
          </w:p>
        </w:tc>
        <w:tc>
          <w:tcPr>
            <w:tcW w:w="1499" w:type="dxa"/>
            <w:tcBorders>
              <w:top w:val="nil"/>
              <w:left w:val="nil"/>
              <w:bottom w:val="single" w:color="auto" w:sz="4" w:space="0"/>
              <w:right w:val="single" w:color="auto" w:sz="4" w:space="0"/>
            </w:tcBorders>
            <w:vAlign w:val="center"/>
          </w:tcPr>
          <w:p w14:paraId="6FD518F0">
            <w:pPr>
              <w:widowControl/>
              <w:spacing w:line="360" w:lineRule="atLeast"/>
              <w:jc w:val="left"/>
              <w:rPr>
                <w:rFonts w:ascii="宋体" w:hAnsi="宋体" w:eastAsia="宋体" w:cs="仿宋"/>
                <w:szCs w:val="21"/>
              </w:rPr>
            </w:pPr>
            <w:r>
              <w:rPr>
                <w:rFonts w:hint="eastAsia" w:ascii="宋体" w:hAnsi="宋体" w:eastAsia="宋体" w:cs="仿宋"/>
                <w:szCs w:val="21"/>
              </w:rPr>
              <w:t>X＜20</w:t>
            </w:r>
          </w:p>
        </w:tc>
      </w:tr>
      <w:tr w14:paraId="6E46F2FB">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4B2E4C1E">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75A3AED9">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5C8E432F">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5F458BE2">
            <w:pPr>
              <w:widowControl/>
              <w:spacing w:line="360" w:lineRule="atLeast"/>
              <w:jc w:val="left"/>
              <w:rPr>
                <w:rFonts w:ascii="宋体" w:hAnsi="宋体" w:eastAsia="宋体" w:cs="仿宋"/>
                <w:szCs w:val="21"/>
              </w:rPr>
            </w:pPr>
            <w:r>
              <w:rPr>
                <w:rFonts w:hint="eastAsia" w:ascii="宋体" w:hAnsi="宋体" w:eastAsia="宋体" w:cs="仿宋"/>
                <w:szCs w:val="21"/>
              </w:rPr>
              <w:t>2000≤Y＜30000</w:t>
            </w:r>
          </w:p>
        </w:tc>
        <w:tc>
          <w:tcPr>
            <w:tcW w:w="1770" w:type="dxa"/>
            <w:tcBorders>
              <w:top w:val="nil"/>
              <w:left w:val="nil"/>
              <w:bottom w:val="single" w:color="auto" w:sz="4" w:space="0"/>
              <w:right w:val="single" w:color="auto" w:sz="4" w:space="0"/>
            </w:tcBorders>
            <w:vAlign w:val="center"/>
          </w:tcPr>
          <w:p w14:paraId="4259A53C">
            <w:pPr>
              <w:widowControl/>
              <w:spacing w:line="360" w:lineRule="atLeast"/>
              <w:jc w:val="left"/>
              <w:rPr>
                <w:rFonts w:ascii="宋体" w:hAnsi="宋体" w:eastAsia="宋体" w:cs="仿宋"/>
                <w:szCs w:val="21"/>
              </w:rPr>
            </w:pPr>
            <w:r>
              <w:rPr>
                <w:rFonts w:hint="eastAsia" w:ascii="宋体" w:hAnsi="宋体" w:eastAsia="宋体" w:cs="仿宋"/>
                <w:szCs w:val="21"/>
              </w:rPr>
              <w:t>100≤Y＜2000</w:t>
            </w:r>
          </w:p>
        </w:tc>
        <w:tc>
          <w:tcPr>
            <w:tcW w:w="1499" w:type="dxa"/>
            <w:tcBorders>
              <w:top w:val="nil"/>
              <w:left w:val="nil"/>
              <w:bottom w:val="single" w:color="auto" w:sz="4" w:space="0"/>
              <w:right w:val="single" w:color="auto" w:sz="4" w:space="0"/>
            </w:tcBorders>
            <w:vAlign w:val="center"/>
          </w:tcPr>
          <w:p w14:paraId="37831246">
            <w:pPr>
              <w:widowControl/>
              <w:spacing w:line="360" w:lineRule="atLeast"/>
              <w:jc w:val="left"/>
              <w:rPr>
                <w:rFonts w:ascii="宋体" w:hAnsi="宋体" w:eastAsia="宋体" w:cs="仿宋"/>
                <w:szCs w:val="21"/>
              </w:rPr>
            </w:pPr>
            <w:r>
              <w:rPr>
                <w:rFonts w:hint="eastAsia" w:ascii="宋体" w:hAnsi="宋体" w:eastAsia="宋体" w:cs="仿宋"/>
                <w:szCs w:val="21"/>
              </w:rPr>
              <w:t>Y＜100</w:t>
            </w:r>
          </w:p>
        </w:tc>
      </w:tr>
      <w:tr w14:paraId="711B165D">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43ECFD0C">
            <w:pPr>
              <w:widowControl/>
              <w:spacing w:line="360" w:lineRule="atLeast"/>
              <w:jc w:val="center"/>
              <w:rPr>
                <w:rFonts w:ascii="宋体" w:hAnsi="宋体" w:eastAsia="宋体" w:cs="仿宋"/>
                <w:szCs w:val="21"/>
              </w:rPr>
            </w:pPr>
            <w:r>
              <w:rPr>
                <w:rFonts w:hint="eastAsia" w:ascii="宋体" w:hAnsi="宋体" w:eastAsia="宋体" w:cs="仿宋"/>
                <w:szCs w:val="21"/>
              </w:rPr>
              <w:t>住宿业</w:t>
            </w:r>
          </w:p>
        </w:tc>
        <w:tc>
          <w:tcPr>
            <w:tcW w:w="1664" w:type="dxa"/>
            <w:tcBorders>
              <w:top w:val="nil"/>
              <w:left w:val="nil"/>
              <w:bottom w:val="single" w:color="auto" w:sz="4" w:space="0"/>
              <w:right w:val="single" w:color="auto" w:sz="4" w:space="0"/>
            </w:tcBorders>
            <w:vAlign w:val="center"/>
          </w:tcPr>
          <w:p w14:paraId="6C1C4F25">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1814768A">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50D40801">
            <w:pPr>
              <w:widowControl/>
              <w:spacing w:line="360" w:lineRule="atLeast"/>
              <w:jc w:val="left"/>
              <w:rPr>
                <w:rFonts w:ascii="宋体" w:hAnsi="宋体" w:eastAsia="宋体" w:cs="仿宋"/>
                <w:szCs w:val="21"/>
              </w:rPr>
            </w:pPr>
            <w:r>
              <w:rPr>
                <w:rFonts w:hint="eastAsia" w:ascii="宋体" w:hAnsi="宋体" w:eastAsia="宋体" w:cs="仿宋"/>
                <w:szCs w:val="21"/>
              </w:rPr>
              <w:t>100≤X＜300</w:t>
            </w:r>
          </w:p>
        </w:tc>
        <w:tc>
          <w:tcPr>
            <w:tcW w:w="1770" w:type="dxa"/>
            <w:tcBorders>
              <w:top w:val="nil"/>
              <w:left w:val="nil"/>
              <w:bottom w:val="single" w:color="auto" w:sz="4" w:space="0"/>
              <w:right w:val="single" w:color="auto" w:sz="4" w:space="0"/>
            </w:tcBorders>
            <w:vAlign w:val="center"/>
          </w:tcPr>
          <w:p w14:paraId="12C894F5">
            <w:pPr>
              <w:widowControl/>
              <w:spacing w:line="360" w:lineRule="atLeast"/>
              <w:jc w:val="left"/>
              <w:rPr>
                <w:rFonts w:ascii="宋体" w:hAnsi="宋体" w:eastAsia="宋体" w:cs="仿宋"/>
                <w:szCs w:val="21"/>
              </w:rPr>
            </w:pPr>
            <w:r>
              <w:rPr>
                <w:rFonts w:hint="eastAsia" w:ascii="宋体" w:hAnsi="宋体" w:eastAsia="宋体" w:cs="仿宋"/>
                <w:szCs w:val="21"/>
              </w:rPr>
              <w:t>10≤X＜100</w:t>
            </w:r>
          </w:p>
        </w:tc>
        <w:tc>
          <w:tcPr>
            <w:tcW w:w="1499" w:type="dxa"/>
            <w:tcBorders>
              <w:top w:val="nil"/>
              <w:left w:val="nil"/>
              <w:bottom w:val="single" w:color="auto" w:sz="4" w:space="0"/>
              <w:right w:val="single" w:color="auto" w:sz="4" w:space="0"/>
            </w:tcBorders>
            <w:vAlign w:val="center"/>
          </w:tcPr>
          <w:p w14:paraId="6C340018">
            <w:pPr>
              <w:widowControl/>
              <w:spacing w:line="360" w:lineRule="atLeast"/>
              <w:jc w:val="left"/>
              <w:rPr>
                <w:rFonts w:ascii="宋体" w:hAnsi="宋体" w:eastAsia="宋体" w:cs="仿宋"/>
                <w:szCs w:val="21"/>
              </w:rPr>
            </w:pPr>
            <w:r>
              <w:rPr>
                <w:rFonts w:hint="eastAsia" w:ascii="宋体" w:hAnsi="宋体" w:eastAsia="宋体" w:cs="仿宋"/>
                <w:szCs w:val="21"/>
              </w:rPr>
              <w:t>X＜10</w:t>
            </w:r>
          </w:p>
        </w:tc>
      </w:tr>
      <w:tr w14:paraId="79FFD054">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1CF6F747">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5A1ACF4E">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1B89CECC">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0C4F3BED">
            <w:pPr>
              <w:widowControl/>
              <w:spacing w:line="360" w:lineRule="atLeast"/>
              <w:jc w:val="left"/>
              <w:rPr>
                <w:rFonts w:ascii="宋体" w:hAnsi="宋体" w:eastAsia="宋体" w:cs="仿宋"/>
                <w:szCs w:val="21"/>
              </w:rPr>
            </w:pPr>
            <w:r>
              <w:rPr>
                <w:rFonts w:hint="eastAsia" w:ascii="宋体" w:hAnsi="宋体" w:eastAsia="宋体" w:cs="仿宋"/>
                <w:szCs w:val="21"/>
              </w:rPr>
              <w:t>2000≤Y＜10000</w:t>
            </w:r>
          </w:p>
        </w:tc>
        <w:tc>
          <w:tcPr>
            <w:tcW w:w="1770" w:type="dxa"/>
            <w:tcBorders>
              <w:top w:val="nil"/>
              <w:left w:val="nil"/>
              <w:bottom w:val="single" w:color="auto" w:sz="4" w:space="0"/>
              <w:right w:val="single" w:color="auto" w:sz="4" w:space="0"/>
            </w:tcBorders>
            <w:vAlign w:val="center"/>
          </w:tcPr>
          <w:p w14:paraId="1A93E81E">
            <w:pPr>
              <w:widowControl/>
              <w:spacing w:line="360" w:lineRule="atLeast"/>
              <w:jc w:val="left"/>
              <w:rPr>
                <w:rFonts w:ascii="宋体" w:hAnsi="宋体" w:eastAsia="宋体" w:cs="仿宋"/>
                <w:szCs w:val="21"/>
              </w:rPr>
            </w:pPr>
            <w:r>
              <w:rPr>
                <w:rFonts w:hint="eastAsia" w:ascii="宋体" w:hAnsi="宋体" w:eastAsia="宋体" w:cs="仿宋"/>
                <w:szCs w:val="21"/>
              </w:rPr>
              <w:t>100≤Y＜2000</w:t>
            </w:r>
          </w:p>
        </w:tc>
        <w:tc>
          <w:tcPr>
            <w:tcW w:w="1499" w:type="dxa"/>
            <w:tcBorders>
              <w:top w:val="nil"/>
              <w:left w:val="nil"/>
              <w:bottom w:val="single" w:color="auto" w:sz="4" w:space="0"/>
              <w:right w:val="single" w:color="auto" w:sz="4" w:space="0"/>
            </w:tcBorders>
            <w:vAlign w:val="center"/>
          </w:tcPr>
          <w:p w14:paraId="20495CF6">
            <w:pPr>
              <w:widowControl/>
              <w:spacing w:line="360" w:lineRule="atLeast"/>
              <w:jc w:val="left"/>
              <w:rPr>
                <w:rFonts w:ascii="宋体" w:hAnsi="宋体" w:eastAsia="宋体" w:cs="仿宋"/>
                <w:szCs w:val="21"/>
              </w:rPr>
            </w:pPr>
            <w:r>
              <w:rPr>
                <w:rFonts w:hint="eastAsia" w:ascii="宋体" w:hAnsi="宋体" w:eastAsia="宋体" w:cs="仿宋"/>
                <w:szCs w:val="21"/>
              </w:rPr>
              <w:t>Y＜100</w:t>
            </w:r>
          </w:p>
        </w:tc>
      </w:tr>
      <w:tr w14:paraId="5310AA9A">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3D2093F7">
            <w:pPr>
              <w:widowControl/>
              <w:spacing w:line="360" w:lineRule="atLeast"/>
              <w:jc w:val="center"/>
              <w:rPr>
                <w:rFonts w:ascii="宋体" w:hAnsi="宋体" w:eastAsia="宋体" w:cs="仿宋"/>
                <w:szCs w:val="21"/>
              </w:rPr>
            </w:pPr>
            <w:r>
              <w:rPr>
                <w:rFonts w:hint="eastAsia" w:ascii="宋体" w:hAnsi="宋体" w:eastAsia="宋体" w:cs="仿宋"/>
                <w:szCs w:val="21"/>
              </w:rPr>
              <w:t>餐饮业</w:t>
            </w:r>
          </w:p>
        </w:tc>
        <w:tc>
          <w:tcPr>
            <w:tcW w:w="1664" w:type="dxa"/>
            <w:tcBorders>
              <w:top w:val="nil"/>
              <w:left w:val="nil"/>
              <w:bottom w:val="single" w:color="auto" w:sz="4" w:space="0"/>
              <w:right w:val="single" w:color="auto" w:sz="4" w:space="0"/>
            </w:tcBorders>
            <w:vAlign w:val="center"/>
          </w:tcPr>
          <w:p w14:paraId="1910EAD3">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07924C4C">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25F3A354">
            <w:pPr>
              <w:widowControl/>
              <w:spacing w:line="360" w:lineRule="atLeast"/>
              <w:jc w:val="left"/>
              <w:rPr>
                <w:rFonts w:ascii="宋体" w:hAnsi="宋体" w:eastAsia="宋体" w:cs="仿宋"/>
                <w:szCs w:val="21"/>
              </w:rPr>
            </w:pPr>
            <w:r>
              <w:rPr>
                <w:rFonts w:hint="eastAsia" w:ascii="宋体" w:hAnsi="宋体" w:eastAsia="宋体" w:cs="仿宋"/>
                <w:szCs w:val="21"/>
              </w:rPr>
              <w:t>100≤X＜300</w:t>
            </w:r>
          </w:p>
        </w:tc>
        <w:tc>
          <w:tcPr>
            <w:tcW w:w="1770" w:type="dxa"/>
            <w:tcBorders>
              <w:top w:val="nil"/>
              <w:left w:val="nil"/>
              <w:bottom w:val="single" w:color="auto" w:sz="4" w:space="0"/>
              <w:right w:val="single" w:color="auto" w:sz="4" w:space="0"/>
            </w:tcBorders>
            <w:vAlign w:val="center"/>
          </w:tcPr>
          <w:p w14:paraId="210F7FA5">
            <w:pPr>
              <w:widowControl/>
              <w:spacing w:line="360" w:lineRule="atLeast"/>
              <w:jc w:val="left"/>
              <w:rPr>
                <w:rFonts w:ascii="宋体" w:hAnsi="宋体" w:eastAsia="宋体" w:cs="仿宋"/>
                <w:szCs w:val="21"/>
              </w:rPr>
            </w:pPr>
            <w:r>
              <w:rPr>
                <w:rFonts w:hint="eastAsia" w:ascii="宋体" w:hAnsi="宋体" w:eastAsia="宋体" w:cs="仿宋"/>
                <w:szCs w:val="21"/>
              </w:rPr>
              <w:t>10≤X＜100</w:t>
            </w:r>
          </w:p>
        </w:tc>
        <w:tc>
          <w:tcPr>
            <w:tcW w:w="1499" w:type="dxa"/>
            <w:tcBorders>
              <w:top w:val="nil"/>
              <w:left w:val="nil"/>
              <w:bottom w:val="single" w:color="auto" w:sz="4" w:space="0"/>
              <w:right w:val="single" w:color="auto" w:sz="4" w:space="0"/>
            </w:tcBorders>
            <w:vAlign w:val="center"/>
          </w:tcPr>
          <w:p w14:paraId="411A87D6">
            <w:pPr>
              <w:widowControl/>
              <w:spacing w:line="360" w:lineRule="atLeast"/>
              <w:jc w:val="left"/>
              <w:rPr>
                <w:rFonts w:ascii="宋体" w:hAnsi="宋体" w:eastAsia="宋体" w:cs="仿宋"/>
                <w:szCs w:val="21"/>
              </w:rPr>
            </w:pPr>
            <w:r>
              <w:rPr>
                <w:rFonts w:hint="eastAsia" w:ascii="宋体" w:hAnsi="宋体" w:eastAsia="宋体" w:cs="仿宋"/>
                <w:szCs w:val="21"/>
              </w:rPr>
              <w:t>X＜10</w:t>
            </w:r>
          </w:p>
        </w:tc>
      </w:tr>
      <w:tr w14:paraId="53A184EE">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5F2CAB93">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4CE74BB6">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75A029D8">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4E70E565">
            <w:pPr>
              <w:widowControl/>
              <w:spacing w:line="360" w:lineRule="atLeast"/>
              <w:jc w:val="left"/>
              <w:rPr>
                <w:rFonts w:ascii="宋体" w:hAnsi="宋体" w:eastAsia="宋体" w:cs="仿宋"/>
                <w:szCs w:val="21"/>
              </w:rPr>
            </w:pPr>
            <w:r>
              <w:rPr>
                <w:rFonts w:hint="eastAsia" w:ascii="宋体" w:hAnsi="宋体" w:eastAsia="宋体" w:cs="仿宋"/>
                <w:szCs w:val="21"/>
              </w:rPr>
              <w:t>2000≤Y＜10000</w:t>
            </w:r>
          </w:p>
        </w:tc>
        <w:tc>
          <w:tcPr>
            <w:tcW w:w="1770" w:type="dxa"/>
            <w:tcBorders>
              <w:top w:val="nil"/>
              <w:left w:val="nil"/>
              <w:bottom w:val="single" w:color="auto" w:sz="4" w:space="0"/>
              <w:right w:val="single" w:color="auto" w:sz="4" w:space="0"/>
            </w:tcBorders>
            <w:vAlign w:val="center"/>
          </w:tcPr>
          <w:p w14:paraId="713B0C8A">
            <w:pPr>
              <w:widowControl/>
              <w:spacing w:line="360" w:lineRule="atLeast"/>
              <w:jc w:val="left"/>
              <w:rPr>
                <w:rFonts w:ascii="宋体" w:hAnsi="宋体" w:eastAsia="宋体" w:cs="仿宋"/>
                <w:szCs w:val="21"/>
              </w:rPr>
            </w:pPr>
            <w:r>
              <w:rPr>
                <w:rFonts w:hint="eastAsia" w:ascii="宋体" w:hAnsi="宋体" w:eastAsia="宋体" w:cs="仿宋"/>
                <w:szCs w:val="21"/>
              </w:rPr>
              <w:t>100≤Y＜2000</w:t>
            </w:r>
          </w:p>
        </w:tc>
        <w:tc>
          <w:tcPr>
            <w:tcW w:w="1499" w:type="dxa"/>
            <w:tcBorders>
              <w:top w:val="nil"/>
              <w:left w:val="nil"/>
              <w:bottom w:val="single" w:color="auto" w:sz="4" w:space="0"/>
              <w:right w:val="single" w:color="auto" w:sz="4" w:space="0"/>
            </w:tcBorders>
            <w:vAlign w:val="center"/>
          </w:tcPr>
          <w:p w14:paraId="2C667EE9">
            <w:pPr>
              <w:widowControl/>
              <w:spacing w:line="360" w:lineRule="atLeast"/>
              <w:jc w:val="left"/>
              <w:rPr>
                <w:rFonts w:ascii="宋体" w:hAnsi="宋体" w:eastAsia="宋体" w:cs="仿宋"/>
                <w:szCs w:val="21"/>
              </w:rPr>
            </w:pPr>
            <w:r>
              <w:rPr>
                <w:rFonts w:hint="eastAsia" w:ascii="宋体" w:hAnsi="宋体" w:eastAsia="宋体" w:cs="仿宋"/>
                <w:szCs w:val="21"/>
              </w:rPr>
              <w:t>Y＜100</w:t>
            </w:r>
          </w:p>
        </w:tc>
      </w:tr>
      <w:tr w14:paraId="7D02BA70">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39FD2EBA">
            <w:pPr>
              <w:widowControl/>
              <w:spacing w:line="360" w:lineRule="atLeast"/>
              <w:jc w:val="center"/>
              <w:rPr>
                <w:rFonts w:ascii="宋体" w:hAnsi="宋体" w:eastAsia="宋体" w:cs="仿宋"/>
                <w:szCs w:val="21"/>
              </w:rPr>
            </w:pPr>
            <w:r>
              <w:rPr>
                <w:rFonts w:hint="eastAsia" w:ascii="宋体" w:hAnsi="宋体" w:eastAsia="宋体" w:cs="仿宋"/>
                <w:szCs w:val="21"/>
              </w:rPr>
              <w:t>信息传输业</w:t>
            </w:r>
          </w:p>
        </w:tc>
        <w:tc>
          <w:tcPr>
            <w:tcW w:w="1664" w:type="dxa"/>
            <w:tcBorders>
              <w:top w:val="nil"/>
              <w:left w:val="nil"/>
              <w:bottom w:val="single" w:color="auto" w:sz="4" w:space="0"/>
              <w:right w:val="single" w:color="auto" w:sz="4" w:space="0"/>
            </w:tcBorders>
            <w:vAlign w:val="center"/>
          </w:tcPr>
          <w:p w14:paraId="2198AFCB">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04148A1B">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60BB5F78">
            <w:pPr>
              <w:widowControl/>
              <w:spacing w:line="360" w:lineRule="atLeast"/>
              <w:jc w:val="left"/>
              <w:rPr>
                <w:rFonts w:ascii="宋体" w:hAnsi="宋体" w:eastAsia="宋体" w:cs="仿宋"/>
                <w:szCs w:val="21"/>
              </w:rPr>
            </w:pPr>
            <w:r>
              <w:rPr>
                <w:rFonts w:hint="eastAsia" w:ascii="宋体" w:hAnsi="宋体" w:eastAsia="宋体" w:cs="仿宋"/>
                <w:szCs w:val="21"/>
              </w:rPr>
              <w:t>100≤X＜2000</w:t>
            </w:r>
          </w:p>
        </w:tc>
        <w:tc>
          <w:tcPr>
            <w:tcW w:w="1770" w:type="dxa"/>
            <w:tcBorders>
              <w:top w:val="nil"/>
              <w:left w:val="nil"/>
              <w:bottom w:val="single" w:color="auto" w:sz="4" w:space="0"/>
              <w:right w:val="single" w:color="auto" w:sz="4" w:space="0"/>
            </w:tcBorders>
            <w:vAlign w:val="center"/>
          </w:tcPr>
          <w:p w14:paraId="34B1CFE9">
            <w:pPr>
              <w:widowControl/>
              <w:spacing w:line="360" w:lineRule="atLeast"/>
              <w:jc w:val="left"/>
              <w:rPr>
                <w:rFonts w:ascii="宋体" w:hAnsi="宋体" w:eastAsia="宋体" w:cs="仿宋"/>
                <w:szCs w:val="21"/>
              </w:rPr>
            </w:pPr>
            <w:r>
              <w:rPr>
                <w:rFonts w:hint="eastAsia" w:ascii="宋体" w:hAnsi="宋体" w:eastAsia="宋体" w:cs="仿宋"/>
                <w:szCs w:val="21"/>
              </w:rPr>
              <w:t>10≤X＜100</w:t>
            </w:r>
          </w:p>
        </w:tc>
        <w:tc>
          <w:tcPr>
            <w:tcW w:w="1499" w:type="dxa"/>
            <w:tcBorders>
              <w:top w:val="nil"/>
              <w:left w:val="nil"/>
              <w:bottom w:val="single" w:color="auto" w:sz="4" w:space="0"/>
              <w:right w:val="single" w:color="auto" w:sz="4" w:space="0"/>
            </w:tcBorders>
            <w:vAlign w:val="center"/>
          </w:tcPr>
          <w:p w14:paraId="2FCD1481">
            <w:pPr>
              <w:widowControl/>
              <w:spacing w:line="360" w:lineRule="atLeast"/>
              <w:jc w:val="left"/>
              <w:rPr>
                <w:rFonts w:ascii="宋体" w:hAnsi="宋体" w:eastAsia="宋体" w:cs="仿宋"/>
                <w:szCs w:val="21"/>
              </w:rPr>
            </w:pPr>
            <w:r>
              <w:rPr>
                <w:rFonts w:hint="eastAsia" w:ascii="宋体" w:hAnsi="宋体" w:eastAsia="宋体" w:cs="仿宋"/>
                <w:szCs w:val="21"/>
              </w:rPr>
              <w:t>X＜10</w:t>
            </w:r>
          </w:p>
        </w:tc>
      </w:tr>
      <w:tr w14:paraId="420D15F8">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4E48E2B5">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148E2B1D">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5C6699E5">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329CD51F">
            <w:pPr>
              <w:widowControl/>
              <w:spacing w:line="360" w:lineRule="atLeast"/>
              <w:jc w:val="left"/>
              <w:rPr>
                <w:rFonts w:ascii="宋体" w:hAnsi="宋体" w:eastAsia="宋体" w:cs="仿宋"/>
                <w:szCs w:val="21"/>
              </w:rPr>
            </w:pPr>
            <w:r>
              <w:rPr>
                <w:rFonts w:hint="eastAsia" w:ascii="宋体" w:hAnsi="宋体" w:eastAsia="宋体" w:cs="仿宋"/>
                <w:szCs w:val="21"/>
              </w:rPr>
              <w:t>1000≤Y＜100000</w:t>
            </w:r>
          </w:p>
        </w:tc>
        <w:tc>
          <w:tcPr>
            <w:tcW w:w="1770" w:type="dxa"/>
            <w:tcBorders>
              <w:top w:val="nil"/>
              <w:left w:val="nil"/>
              <w:bottom w:val="single" w:color="auto" w:sz="4" w:space="0"/>
              <w:right w:val="single" w:color="auto" w:sz="4" w:space="0"/>
            </w:tcBorders>
            <w:vAlign w:val="center"/>
          </w:tcPr>
          <w:p w14:paraId="71B52501">
            <w:pPr>
              <w:widowControl/>
              <w:spacing w:line="360" w:lineRule="atLeast"/>
              <w:jc w:val="left"/>
              <w:rPr>
                <w:rFonts w:ascii="宋体" w:hAnsi="宋体" w:eastAsia="宋体" w:cs="仿宋"/>
                <w:szCs w:val="21"/>
              </w:rPr>
            </w:pPr>
            <w:r>
              <w:rPr>
                <w:rFonts w:hint="eastAsia" w:ascii="宋体" w:hAnsi="宋体" w:eastAsia="宋体" w:cs="仿宋"/>
                <w:szCs w:val="21"/>
              </w:rPr>
              <w:t>100≤Y＜1000</w:t>
            </w:r>
          </w:p>
        </w:tc>
        <w:tc>
          <w:tcPr>
            <w:tcW w:w="1499" w:type="dxa"/>
            <w:tcBorders>
              <w:top w:val="nil"/>
              <w:left w:val="nil"/>
              <w:bottom w:val="single" w:color="auto" w:sz="4" w:space="0"/>
              <w:right w:val="single" w:color="auto" w:sz="4" w:space="0"/>
            </w:tcBorders>
            <w:vAlign w:val="center"/>
          </w:tcPr>
          <w:p w14:paraId="2916E36C">
            <w:pPr>
              <w:widowControl/>
              <w:spacing w:line="360" w:lineRule="atLeast"/>
              <w:jc w:val="left"/>
              <w:rPr>
                <w:rFonts w:ascii="宋体" w:hAnsi="宋体" w:eastAsia="宋体" w:cs="仿宋"/>
                <w:szCs w:val="21"/>
              </w:rPr>
            </w:pPr>
            <w:r>
              <w:rPr>
                <w:rFonts w:hint="eastAsia" w:ascii="宋体" w:hAnsi="宋体" w:eastAsia="宋体" w:cs="仿宋"/>
                <w:szCs w:val="21"/>
              </w:rPr>
              <w:t>Y＜100</w:t>
            </w:r>
          </w:p>
        </w:tc>
      </w:tr>
      <w:tr w14:paraId="232851F9">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113DC74D">
            <w:pPr>
              <w:widowControl/>
              <w:spacing w:line="360" w:lineRule="atLeast"/>
              <w:jc w:val="center"/>
              <w:rPr>
                <w:rFonts w:ascii="宋体" w:hAnsi="宋体" w:eastAsia="宋体" w:cs="仿宋"/>
                <w:szCs w:val="21"/>
              </w:rPr>
            </w:pPr>
            <w:r>
              <w:rPr>
                <w:rFonts w:hint="eastAsia" w:ascii="宋体" w:hAnsi="宋体" w:eastAsia="宋体" w:cs="仿宋"/>
                <w:szCs w:val="21"/>
              </w:rPr>
              <w:t>软件和信息技术服务业</w:t>
            </w:r>
          </w:p>
        </w:tc>
        <w:tc>
          <w:tcPr>
            <w:tcW w:w="1664" w:type="dxa"/>
            <w:tcBorders>
              <w:top w:val="nil"/>
              <w:left w:val="nil"/>
              <w:bottom w:val="single" w:color="auto" w:sz="4" w:space="0"/>
              <w:right w:val="single" w:color="auto" w:sz="4" w:space="0"/>
            </w:tcBorders>
            <w:vAlign w:val="center"/>
          </w:tcPr>
          <w:p w14:paraId="19AC3251">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464275AA">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7D373ED5">
            <w:pPr>
              <w:widowControl/>
              <w:spacing w:line="360" w:lineRule="atLeast"/>
              <w:jc w:val="left"/>
              <w:rPr>
                <w:rFonts w:ascii="宋体" w:hAnsi="宋体" w:eastAsia="宋体" w:cs="仿宋"/>
                <w:szCs w:val="21"/>
              </w:rPr>
            </w:pPr>
            <w:r>
              <w:rPr>
                <w:rFonts w:hint="eastAsia" w:ascii="宋体" w:hAnsi="宋体" w:eastAsia="宋体" w:cs="仿宋"/>
                <w:szCs w:val="21"/>
              </w:rPr>
              <w:t>100≤X＜300</w:t>
            </w:r>
          </w:p>
        </w:tc>
        <w:tc>
          <w:tcPr>
            <w:tcW w:w="1770" w:type="dxa"/>
            <w:tcBorders>
              <w:top w:val="nil"/>
              <w:left w:val="nil"/>
              <w:bottom w:val="single" w:color="auto" w:sz="4" w:space="0"/>
              <w:right w:val="single" w:color="auto" w:sz="4" w:space="0"/>
            </w:tcBorders>
            <w:vAlign w:val="center"/>
          </w:tcPr>
          <w:p w14:paraId="258BB74B">
            <w:pPr>
              <w:widowControl/>
              <w:spacing w:line="360" w:lineRule="atLeast"/>
              <w:jc w:val="left"/>
              <w:rPr>
                <w:rFonts w:ascii="宋体" w:hAnsi="宋体" w:eastAsia="宋体" w:cs="仿宋"/>
                <w:szCs w:val="21"/>
              </w:rPr>
            </w:pPr>
            <w:r>
              <w:rPr>
                <w:rFonts w:hint="eastAsia" w:ascii="宋体" w:hAnsi="宋体" w:eastAsia="宋体" w:cs="仿宋"/>
                <w:szCs w:val="21"/>
              </w:rPr>
              <w:t>10≤X＜100</w:t>
            </w:r>
          </w:p>
        </w:tc>
        <w:tc>
          <w:tcPr>
            <w:tcW w:w="1499" w:type="dxa"/>
            <w:tcBorders>
              <w:top w:val="nil"/>
              <w:left w:val="nil"/>
              <w:bottom w:val="single" w:color="auto" w:sz="4" w:space="0"/>
              <w:right w:val="single" w:color="auto" w:sz="4" w:space="0"/>
            </w:tcBorders>
            <w:vAlign w:val="center"/>
          </w:tcPr>
          <w:p w14:paraId="25172913">
            <w:pPr>
              <w:widowControl/>
              <w:spacing w:line="360" w:lineRule="atLeast"/>
              <w:jc w:val="left"/>
              <w:rPr>
                <w:rFonts w:ascii="宋体" w:hAnsi="宋体" w:eastAsia="宋体" w:cs="仿宋"/>
                <w:szCs w:val="21"/>
              </w:rPr>
            </w:pPr>
            <w:r>
              <w:rPr>
                <w:rFonts w:hint="eastAsia" w:ascii="宋体" w:hAnsi="宋体" w:eastAsia="宋体" w:cs="仿宋"/>
                <w:szCs w:val="21"/>
              </w:rPr>
              <w:t>X＜10</w:t>
            </w:r>
          </w:p>
        </w:tc>
      </w:tr>
      <w:tr w14:paraId="644A87CD">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2405CC4C">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2F6DA0C9">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42AAE7DE">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12EB9CFE">
            <w:pPr>
              <w:widowControl/>
              <w:spacing w:line="360" w:lineRule="atLeast"/>
              <w:jc w:val="left"/>
              <w:rPr>
                <w:rFonts w:ascii="宋体" w:hAnsi="宋体" w:eastAsia="宋体" w:cs="仿宋"/>
                <w:szCs w:val="21"/>
              </w:rPr>
            </w:pPr>
            <w:r>
              <w:rPr>
                <w:rFonts w:hint="eastAsia" w:ascii="宋体" w:hAnsi="宋体" w:eastAsia="宋体" w:cs="仿宋"/>
                <w:szCs w:val="21"/>
              </w:rPr>
              <w:t>1000≤Y＜10000</w:t>
            </w:r>
          </w:p>
        </w:tc>
        <w:tc>
          <w:tcPr>
            <w:tcW w:w="1770" w:type="dxa"/>
            <w:tcBorders>
              <w:top w:val="nil"/>
              <w:left w:val="nil"/>
              <w:bottom w:val="single" w:color="auto" w:sz="4" w:space="0"/>
              <w:right w:val="single" w:color="auto" w:sz="4" w:space="0"/>
            </w:tcBorders>
            <w:vAlign w:val="center"/>
          </w:tcPr>
          <w:p w14:paraId="1F85495B">
            <w:pPr>
              <w:widowControl/>
              <w:spacing w:line="360" w:lineRule="atLeast"/>
              <w:jc w:val="left"/>
              <w:rPr>
                <w:rFonts w:ascii="宋体" w:hAnsi="宋体" w:eastAsia="宋体" w:cs="仿宋"/>
                <w:szCs w:val="21"/>
              </w:rPr>
            </w:pPr>
            <w:r>
              <w:rPr>
                <w:rFonts w:hint="eastAsia" w:ascii="宋体" w:hAnsi="宋体" w:eastAsia="宋体" w:cs="仿宋"/>
                <w:szCs w:val="21"/>
              </w:rPr>
              <w:t>50≤Y＜1000</w:t>
            </w:r>
          </w:p>
        </w:tc>
        <w:tc>
          <w:tcPr>
            <w:tcW w:w="1499" w:type="dxa"/>
            <w:tcBorders>
              <w:top w:val="nil"/>
              <w:left w:val="nil"/>
              <w:bottom w:val="single" w:color="auto" w:sz="4" w:space="0"/>
              <w:right w:val="single" w:color="auto" w:sz="4" w:space="0"/>
            </w:tcBorders>
            <w:vAlign w:val="center"/>
          </w:tcPr>
          <w:p w14:paraId="214CCF68">
            <w:pPr>
              <w:widowControl/>
              <w:spacing w:line="360" w:lineRule="atLeast"/>
              <w:jc w:val="left"/>
              <w:rPr>
                <w:rFonts w:ascii="宋体" w:hAnsi="宋体" w:eastAsia="宋体" w:cs="仿宋"/>
                <w:szCs w:val="21"/>
              </w:rPr>
            </w:pPr>
            <w:r>
              <w:rPr>
                <w:rFonts w:hint="eastAsia" w:ascii="宋体" w:hAnsi="宋体" w:eastAsia="宋体" w:cs="仿宋"/>
                <w:szCs w:val="21"/>
              </w:rPr>
              <w:t>Y＜50</w:t>
            </w:r>
          </w:p>
        </w:tc>
      </w:tr>
      <w:tr w14:paraId="453D0D11">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354FC2D1">
            <w:pPr>
              <w:widowControl/>
              <w:spacing w:line="360" w:lineRule="atLeast"/>
              <w:jc w:val="center"/>
              <w:rPr>
                <w:rFonts w:ascii="宋体" w:hAnsi="宋体" w:eastAsia="宋体" w:cs="仿宋"/>
                <w:szCs w:val="21"/>
              </w:rPr>
            </w:pPr>
            <w:r>
              <w:rPr>
                <w:rFonts w:hint="eastAsia" w:ascii="宋体" w:hAnsi="宋体" w:eastAsia="宋体" w:cs="仿宋"/>
                <w:szCs w:val="21"/>
              </w:rPr>
              <w:t>房地产开发经营</w:t>
            </w:r>
          </w:p>
        </w:tc>
        <w:tc>
          <w:tcPr>
            <w:tcW w:w="1664" w:type="dxa"/>
            <w:tcBorders>
              <w:top w:val="nil"/>
              <w:left w:val="nil"/>
              <w:bottom w:val="single" w:color="auto" w:sz="4" w:space="0"/>
              <w:right w:val="single" w:color="auto" w:sz="4" w:space="0"/>
            </w:tcBorders>
            <w:vAlign w:val="center"/>
          </w:tcPr>
          <w:p w14:paraId="082652D6">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0C966A58">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75D804F9">
            <w:pPr>
              <w:widowControl/>
              <w:spacing w:line="360" w:lineRule="atLeast"/>
              <w:jc w:val="left"/>
              <w:rPr>
                <w:rFonts w:ascii="宋体" w:hAnsi="宋体" w:eastAsia="宋体" w:cs="仿宋"/>
                <w:szCs w:val="21"/>
              </w:rPr>
            </w:pPr>
            <w:r>
              <w:rPr>
                <w:rFonts w:hint="eastAsia" w:ascii="宋体" w:hAnsi="宋体" w:eastAsia="宋体" w:cs="仿宋"/>
                <w:szCs w:val="21"/>
              </w:rPr>
              <w:t>1000≤Y＜200000</w:t>
            </w:r>
          </w:p>
        </w:tc>
        <w:tc>
          <w:tcPr>
            <w:tcW w:w="1770" w:type="dxa"/>
            <w:tcBorders>
              <w:top w:val="nil"/>
              <w:left w:val="nil"/>
              <w:bottom w:val="single" w:color="auto" w:sz="4" w:space="0"/>
              <w:right w:val="single" w:color="auto" w:sz="4" w:space="0"/>
            </w:tcBorders>
            <w:vAlign w:val="center"/>
          </w:tcPr>
          <w:p w14:paraId="229A5256">
            <w:pPr>
              <w:widowControl/>
              <w:spacing w:line="360" w:lineRule="atLeast"/>
              <w:jc w:val="left"/>
              <w:rPr>
                <w:rFonts w:ascii="宋体" w:hAnsi="宋体" w:eastAsia="宋体" w:cs="仿宋"/>
                <w:szCs w:val="21"/>
              </w:rPr>
            </w:pPr>
            <w:r>
              <w:rPr>
                <w:rFonts w:hint="eastAsia" w:ascii="宋体" w:hAnsi="宋体" w:eastAsia="宋体" w:cs="仿宋"/>
                <w:szCs w:val="21"/>
              </w:rPr>
              <w:t>100≤X＜1000</w:t>
            </w:r>
          </w:p>
        </w:tc>
        <w:tc>
          <w:tcPr>
            <w:tcW w:w="1499" w:type="dxa"/>
            <w:tcBorders>
              <w:top w:val="nil"/>
              <w:left w:val="nil"/>
              <w:bottom w:val="single" w:color="auto" w:sz="4" w:space="0"/>
              <w:right w:val="single" w:color="auto" w:sz="4" w:space="0"/>
            </w:tcBorders>
            <w:vAlign w:val="center"/>
          </w:tcPr>
          <w:p w14:paraId="7D145B83">
            <w:pPr>
              <w:widowControl/>
              <w:spacing w:line="360" w:lineRule="atLeast"/>
              <w:jc w:val="left"/>
              <w:rPr>
                <w:rFonts w:ascii="宋体" w:hAnsi="宋体" w:eastAsia="宋体" w:cs="仿宋"/>
                <w:szCs w:val="21"/>
              </w:rPr>
            </w:pPr>
            <w:r>
              <w:rPr>
                <w:rFonts w:hint="eastAsia" w:ascii="宋体" w:hAnsi="宋体" w:eastAsia="宋体" w:cs="仿宋"/>
                <w:szCs w:val="21"/>
              </w:rPr>
              <w:t>X＜100</w:t>
            </w:r>
          </w:p>
        </w:tc>
      </w:tr>
      <w:tr w14:paraId="4FEFD647">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2F903ACC">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4886D0DE">
            <w:pPr>
              <w:widowControl/>
              <w:spacing w:line="360" w:lineRule="atLeast"/>
              <w:jc w:val="center"/>
              <w:rPr>
                <w:rFonts w:ascii="宋体" w:hAnsi="宋体" w:eastAsia="宋体" w:cs="仿宋"/>
                <w:szCs w:val="21"/>
              </w:rPr>
            </w:pPr>
            <w:r>
              <w:rPr>
                <w:rFonts w:hint="eastAsia" w:ascii="宋体" w:hAnsi="宋体" w:eastAsia="宋体" w:cs="仿宋"/>
                <w:szCs w:val="21"/>
              </w:rPr>
              <w:t>资产总额（Z）</w:t>
            </w:r>
          </w:p>
        </w:tc>
        <w:tc>
          <w:tcPr>
            <w:tcW w:w="1108" w:type="dxa"/>
            <w:tcBorders>
              <w:top w:val="nil"/>
              <w:left w:val="nil"/>
              <w:bottom w:val="single" w:color="auto" w:sz="4" w:space="0"/>
              <w:right w:val="single" w:color="auto" w:sz="4" w:space="0"/>
            </w:tcBorders>
            <w:vAlign w:val="center"/>
          </w:tcPr>
          <w:p w14:paraId="3C2C294B">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20E91353">
            <w:pPr>
              <w:widowControl/>
              <w:spacing w:line="360" w:lineRule="atLeast"/>
              <w:jc w:val="left"/>
              <w:rPr>
                <w:rFonts w:ascii="宋体" w:hAnsi="宋体" w:eastAsia="宋体" w:cs="仿宋"/>
                <w:szCs w:val="21"/>
              </w:rPr>
            </w:pPr>
            <w:r>
              <w:rPr>
                <w:rFonts w:hint="eastAsia" w:ascii="宋体" w:hAnsi="宋体" w:eastAsia="宋体" w:cs="仿宋"/>
                <w:szCs w:val="21"/>
              </w:rPr>
              <w:t>5000≤Z＜10000</w:t>
            </w:r>
          </w:p>
        </w:tc>
        <w:tc>
          <w:tcPr>
            <w:tcW w:w="1770" w:type="dxa"/>
            <w:tcBorders>
              <w:top w:val="nil"/>
              <w:left w:val="nil"/>
              <w:bottom w:val="single" w:color="auto" w:sz="4" w:space="0"/>
              <w:right w:val="single" w:color="auto" w:sz="4" w:space="0"/>
            </w:tcBorders>
            <w:vAlign w:val="center"/>
          </w:tcPr>
          <w:p w14:paraId="346FD7B0">
            <w:pPr>
              <w:widowControl/>
              <w:spacing w:line="360" w:lineRule="atLeast"/>
              <w:jc w:val="left"/>
              <w:rPr>
                <w:rFonts w:ascii="宋体" w:hAnsi="宋体" w:eastAsia="宋体" w:cs="仿宋"/>
                <w:szCs w:val="21"/>
              </w:rPr>
            </w:pPr>
            <w:r>
              <w:rPr>
                <w:rFonts w:hint="eastAsia" w:ascii="宋体" w:hAnsi="宋体" w:eastAsia="宋体" w:cs="仿宋"/>
                <w:szCs w:val="21"/>
              </w:rPr>
              <w:t>2000≤Y＜5000</w:t>
            </w:r>
          </w:p>
        </w:tc>
        <w:tc>
          <w:tcPr>
            <w:tcW w:w="1499" w:type="dxa"/>
            <w:tcBorders>
              <w:top w:val="nil"/>
              <w:left w:val="nil"/>
              <w:bottom w:val="single" w:color="auto" w:sz="4" w:space="0"/>
              <w:right w:val="single" w:color="auto" w:sz="4" w:space="0"/>
            </w:tcBorders>
            <w:vAlign w:val="center"/>
          </w:tcPr>
          <w:p w14:paraId="16A5C97B">
            <w:pPr>
              <w:widowControl/>
              <w:spacing w:line="360" w:lineRule="atLeast"/>
              <w:jc w:val="left"/>
              <w:rPr>
                <w:rFonts w:ascii="宋体" w:hAnsi="宋体" w:eastAsia="宋体" w:cs="仿宋"/>
                <w:szCs w:val="21"/>
              </w:rPr>
            </w:pPr>
            <w:r>
              <w:rPr>
                <w:rFonts w:hint="eastAsia" w:ascii="宋体" w:hAnsi="宋体" w:eastAsia="宋体" w:cs="仿宋"/>
                <w:szCs w:val="21"/>
              </w:rPr>
              <w:t>Y＜2000</w:t>
            </w:r>
          </w:p>
        </w:tc>
      </w:tr>
      <w:tr w14:paraId="637D2B12">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324D9AD3">
            <w:pPr>
              <w:widowControl/>
              <w:spacing w:line="360" w:lineRule="atLeast"/>
              <w:jc w:val="center"/>
              <w:rPr>
                <w:rFonts w:ascii="宋体" w:hAnsi="宋体" w:eastAsia="宋体" w:cs="仿宋"/>
                <w:szCs w:val="21"/>
              </w:rPr>
            </w:pPr>
            <w:r>
              <w:rPr>
                <w:rFonts w:hint="eastAsia" w:ascii="宋体" w:hAnsi="宋体" w:eastAsia="宋体" w:cs="仿宋"/>
                <w:szCs w:val="21"/>
              </w:rPr>
              <w:t>物业管理</w:t>
            </w:r>
          </w:p>
        </w:tc>
        <w:tc>
          <w:tcPr>
            <w:tcW w:w="1664" w:type="dxa"/>
            <w:tcBorders>
              <w:top w:val="nil"/>
              <w:left w:val="nil"/>
              <w:bottom w:val="single" w:color="auto" w:sz="4" w:space="0"/>
              <w:right w:val="single" w:color="auto" w:sz="4" w:space="0"/>
            </w:tcBorders>
            <w:vAlign w:val="center"/>
          </w:tcPr>
          <w:p w14:paraId="1B1B2D58">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6AF0CB02">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31A0B56D">
            <w:pPr>
              <w:widowControl/>
              <w:spacing w:line="360" w:lineRule="atLeast"/>
              <w:jc w:val="left"/>
              <w:rPr>
                <w:rFonts w:ascii="宋体" w:hAnsi="宋体" w:eastAsia="宋体" w:cs="仿宋"/>
                <w:szCs w:val="21"/>
              </w:rPr>
            </w:pPr>
            <w:r>
              <w:rPr>
                <w:rFonts w:hint="eastAsia" w:ascii="宋体" w:hAnsi="宋体" w:eastAsia="宋体" w:cs="仿宋"/>
                <w:szCs w:val="21"/>
              </w:rPr>
              <w:t>300≤X＜1000</w:t>
            </w:r>
          </w:p>
        </w:tc>
        <w:tc>
          <w:tcPr>
            <w:tcW w:w="1770" w:type="dxa"/>
            <w:tcBorders>
              <w:top w:val="nil"/>
              <w:left w:val="nil"/>
              <w:bottom w:val="single" w:color="auto" w:sz="4" w:space="0"/>
              <w:right w:val="single" w:color="auto" w:sz="4" w:space="0"/>
            </w:tcBorders>
            <w:vAlign w:val="center"/>
          </w:tcPr>
          <w:p w14:paraId="1452D78A">
            <w:pPr>
              <w:widowControl/>
              <w:spacing w:line="360" w:lineRule="atLeast"/>
              <w:jc w:val="left"/>
              <w:rPr>
                <w:rFonts w:ascii="宋体" w:hAnsi="宋体" w:eastAsia="宋体" w:cs="仿宋"/>
                <w:szCs w:val="21"/>
              </w:rPr>
            </w:pPr>
            <w:r>
              <w:rPr>
                <w:rFonts w:hint="eastAsia" w:ascii="宋体" w:hAnsi="宋体" w:eastAsia="宋体" w:cs="仿宋"/>
                <w:szCs w:val="21"/>
              </w:rPr>
              <w:t>100≤X＜300</w:t>
            </w:r>
          </w:p>
        </w:tc>
        <w:tc>
          <w:tcPr>
            <w:tcW w:w="1499" w:type="dxa"/>
            <w:tcBorders>
              <w:top w:val="nil"/>
              <w:left w:val="nil"/>
              <w:bottom w:val="single" w:color="auto" w:sz="4" w:space="0"/>
              <w:right w:val="single" w:color="auto" w:sz="4" w:space="0"/>
            </w:tcBorders>
            <w:vAlign w:val="center"/>
          </w:tcPr>
          <w:p w14:paraId="1702BED3">
            <w:pPr>
              <w:widowControl/>
              <w:spacing w:line="360" w:lineRule="atLeast"/>
              <w:jc w:val="left"/>
              <w:rPr>
                <w:rFonts w:ascii="宋体" w:hAnsi="宋体" w:eastAsia="宋体" w:cs="仿宋"/>
                <w:szCs w:val="21"/>
              </w:rPr>
            </w:pPr>
            <w:r>
              <w:rPr>
                <w:rFonts w:hint="eastAsia" w:ascii="宋体" w:hAnsi="宋体" w:eastAsia="宋体" w:cs="仿宋"/>
                <w:szCs w:val="21"/>
              </w:rPr>
              <w:t>X＜100</w:t>
            </w:r>
          </w:p>
        </w:tc>
      </w:tr>
      <w:tr w14:paraId="56805947">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1A04E20B">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0C5A73FC">
            <w:pPr>
              <w:widowControl/>
              <w:spacing w:line="360" w:lineRule="atLeast"/>
              <w:jc w:val="center"/>
              <w:rPr>
                <w:rFonts w:ascii="宋体" w:hAnsi="宋体" w:eastAsia="宋体" w:cs="仿宋"/>
                <w:szCs w:val="21"/>
              </w:rPr>
            </w:pPr>
            <w:r>
              <w:rPr>
                <w:rFonts w:hint="eastAsia" w:ascii="宋体" w:hAnsi="宋体" w:eastAsia="宋体" w:cs="仿宋"/>
                <w:szCs w:val="21"/>
              </w:rPr>
              <w:t>营业收入（Y）</w:t>
            </w:r>
          </w:p>
        </w:tc>
        <w:tc>
          <w:tcPr>
            <w:tcW w:w="1108" w:type="dxa"/>
            <w:tcBorders>
              <w:top w:val="nil"/>
              <w:left w:val="nil"/>
              <w:bottom w:val="single" w:color="auto" w:sz="4" w:space="0"/>
              <w:right w:val="single" w:color="auto" w:sz="4" w:space="0"/>
            </w:tcBorders>
            <w:vAlign w:val="center"/>
          </w:tcPr>
          <w:p w14:paraId="0555416B">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4F82BF7F">
            <w:pPr>
              <w:widowControl/>
              <w:spacing w:line="360" w:lineRule="atLeast"/>
              <w:jc w:val="left"/>
              <w:rPr>
                <w:rFonts w:ascii="宋体" w:hAnsi="宋体" w:eastAsia="宋体" w:cs="仿宋"/>
                <w:szCs w:val="21"/>
              </w:rPr>
            </w:pPr>
            <w:r>
              <w:rPr>
                <w:rFonts w:hint="eastAsia" w:ascii="宋体" w:hAnsi="宋体" w:eastAsia="宋体" w:cs="仿宋"/>
                <w:szCs w:val="21"/>
              </w:rPr>
              <w:t>1000≤Y＜5000</w:t>
            </w:r>
          </w:p>
        </w:tc>
        <w:tc>
          <w:tcPr>
            <w:tcW w:w="1770" w:type="dxa"/>
            <w:tcBorders>
              <w:top w:val="nil"/>
              <w:left w:val="nil"/>
              <w:bottom w:val="single" w:color="auto" w:sz="4" w:space="0"/>
              <w:right w:val="single" w:color="auto" w:sz="4" w:space="0"/>
            </w:tcBorders>
            <w:vAlign w:val="center"/>
          </w:tcPr>
          <w:p w14:paraId="6851D7B6">
            <w:pPr>
              <w:widowControl/>
              <w:spacing w:line="360" w:lineRule="atLeast"/>
              <w:jc w:val="left"/>
              <w:rPr>
                <w:rFonts w:ascii="宋体" w:hAnsi="宋体" w:eastAsia="宋体" w:cs="仿宋"/>
                <w:szCs w:val="21"/>
              </w:rPr>
            </w:pPr>
            <w:r>
              <w:rPr>
                <w:rFonts w:hint="eastAsia" w:ascii="宋体" w:hAnsi="宋体" w:eastAsia="宋体" w:cs="仿宋"/>
                <w:szCs w:val="21"/>
              </w:rPr>
              <w:t>500≤Y＜1000</w:t>
            </w:r>
          </w:p>
        </w:tc>
        <w:tc>
          <w:tcPr>
            <w:tcW w:w="1499" w:type="dxa"/>
            <w:tcBorders>
              <w:top w:val="nil"/>
              <w:left w:val="nil"/>
              <w:bottom w:val="single" w:color="auto" w:sz="4" w:space="0"/>
              <w:right w:val="single" w:color="auto" w:sz="4" w:space="0"/>
            </w:tcBorders>
            <w:vAlign w:val="center"/>
          </w:tcPr>
          <w:p w14:paraId="6FBEFC70">
            <w:pPr>
              <w:widowControl/>
              <w:spacing w:line="360" w:lineRule="atLeast"/>
              <w:jc w:val="left"/>
              <w:rPr>
                <w:rFonts w:ascii="宋体" w:hAnsi="宋体" w:eastAsia="宋体" w:cs="仿宋"/>
                <w:szCs w:val="21"/>
              </w:rPr>
            </w:pPr>
            <w:r>
              <w:rPr>
                <w:rFonts w:hint="eastAsia" w:ascii="宋体" w:hAnsi="宋体" w:eastAsia="宋体" w:cs="仿宋"/>
                <w:szCs w:val="21"/>
              </w:rPr>
              <w:t>Y＜500</w:t>
            </w:r>
          </w:p>
        </w:tc>
      </w:tr>
      <w:tr w14:paraId="0DE8A017">
        <w:tblPrEx>
          <w:tblCellMar>
            <w:top w:w="0" w:type="dxa"/>
            <w:left w:w="108" w:type="dxa"/>
            <w:bottom w:w="0" w:type="dxa"/>
            <w:right w:w="108" w:type="dxa"/>
          </w:tblCellMar>
        </w:tblPrEx>
        <w:trPr>
          <w:trHeight w:val="220" w:hRule="atLeast"/>
        </w:trPr>
        <w:tc>
          <w:tcPr>
            <w:tcW w:w="1413" w:type="dxa"/>
            <w:vMerge w:val="restart"/>
            <w:tcBorders>
              <w:top w:val="nil"/>
              <w:left w:val="single" w:color="auto" w:sz="4" w:space="0"/>
              <w:bottom w:val="single" w:color="auto" w:sz="4" w:space="0"/>
              <w:right w:val="single" w:color="auto" w:sz="4" w:space="0"/>
            </w:tcBorders>
            <w:vAlign w:val="bottom"/>
          </w:tcPr>
          <w:p w14:paraId="6D88A874">
            <w:pPr>
              <w:widowControl/>
              <w:spacing w:line="360" w:lineRule="atLeast"/>
              <w:jc w:val="center"/>
              <w:rPr>
                <w:rFonts w:ascii="宋体" w:hAnsi="宋体" w:eastAsia="宋体" w:cs="仿宋"/>
                <w:szCs w:val="21"/>
              </w:rPr>
            </w:pPr>
            <w:r>
              <w:rPr>
                <w:rFonts w:hint="eastAsia" w:ascii="宋体" w:hAnsi="宋体" w:eastAsia="宋体" w:cs="仿宋"/>
                <w:szCs w:val="21"/>
              </w:rPr>
              <w:t>租赁和商务服务业</w:t>
            </w:r>
          </w:p>
        </w:tc>
        <w:tc>
          <w:tcPr>
            <w:tcW w:w="1664" w:type="dxa"/>
            <w:tcBorders>
              <w:top w:val="nil"/>
              <w:left w:val="nil"/>
              <w:bottom w:val="single" w:color="auto" w:sz="4" w:space="0"/>
              <w:right w:val="single" w:color="auto" w:sz="4" w:space="0"/>
            </w:tcBorders>
            <w:vAlign w:val="center"/>
          </w:tcPr>
          <w:p w14:paraId="3F117658">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05341AE3">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7A31704F">
            <w:pPr>
              <w:widowControl/>
              <w:spacing w:line="360" w:lineRule="atLeast"/>
              <w:jc w:val="left"/>
              <w:rPr>
                <w:rFonts w:ascii="宋体" w:hAnsi="宋体" w:eastAsia="宋体" w:cs="仿宋"/>
                <w:szCs w:val="21"/>
              </w:rPr>
            </w:pPr>
            <w:r>
              <w:rPr>
                <w:rFonts w:hint="eastAsia" w:ascii="宋体" w:hAnsi="宋体" w:eastAsia="宋体" w:cs="仿宋"/>
                <w:szCs w:val="21"/>
              </w:rPr>
              <w:t>100≤X＜300</w:t>
            </w:r>
          </w:p>
        </w:tc>
        <w:tc>
          <w:tcPr>
            <w:tcW w:w="1770" w:type="dxa"/>
            <w:tcBorders>
              <w:top w:val="nil"/>
              <w:left w:val="nil"/>
              <w:bottom w:val="single" w:color="auto" w:sz="4" w:space="0"/>
              <w:right w:val="single" w:color="auto" w:sz="4" w:space="0"/>
            </w:tcBorders>
            <w:vAlign w:val="center"/>
          </w:tcPr>
          <w:p w14:paraId="114FDC4F">
            <w:pPr>
              <w:widowControl/>
              <w:spacing w:line="360" w:lineRule="atLeast"/>
              <w:jc w:val="left"/>
              <w:rPr>
                <w:rFonts w:ascii="宋体" w:hAnsi="宋体" w:eastAsia="宋体" w:cs="仿宋"/>
                <w:szCs w:val="21"/>
              </w:rPr>
            </w:pPr>
            <w:r>
              <w:rPr>
                <w:rFonts w:hint="eastAsia" w:ascii="宋体" w:hAnsi="宋体" w:eastAsia="宋体" w:cs="仿宋"/>
                <w:szCs w:val="21"/>
              </w:rPr>
              <w:t>10≤X＜100</w:t>
            </w:r>
          </w:p>
        </w:tc>
        <w:tc>
          <w:tcPr>
            <w:tcW w:w="1499" w:type="dxa"/>
            <w:tcBorders>
              <w:top w:val="nil"/>
              <w:left w:val="nil"/>
              <w:bottom w:val="single" w:color="auto" w:sz="4" w:space="0"/>
              <w:right w:val="single" w:color="auto" w:sz="4" w:space="0"/>
            </w:tcBorders>
            <w:vAlign w:val="center"/>
          </w:tcPr>
          <w:p w14:paraId="27CFBB70">
            <w:pPr>
              <w:widowControl/>
              <w:spacing w:line="360" w:lineRule="atLeast"/>
              <w:jc w:val="left"/>
              <w:rPr>
                <w:rFonts w:ascii="宋体" w:hAnsi="宋体" w:eastAsia="宋体" w:cs="仿宋"/>
                <w:szCs w:val="21"/>
              </w:rPr>
            </w:pPr>
            <w:r>
              <w:rPr>
                <w:rFonts w:hint="eastAsia" w:ascii="宋体" w:hAnsi="宋体" w:eastAsia="宋体" w:cs="仿宋"/>
                <w:szCs w:val="21"/>
              </w:rPr>
              <w:t>X＜10</w:t>
            </w:r>
          </w:p>
        </w:tc>
      </w:tr>
      <w:tr w14:paraId="3167537A">
        <w:tblPrEx>
          <w:tblCellMar>
            <w:top w:w="0" w:type="dxa"/>
            <w:left w:w="108" w:type="dxa"/>
            <w:bottom w:w="0" w:type="dxa"/>
            <w:right w:w="108" w:type="dxa"/>
          </w:tblCellMar>
        </w:tblPrEx>
        <w:trPr>
          <w:trHeight w:val="220" w:hRule="atLeast"/>
        </w:trPr>
        <w:tc>
          <w:tcPr>
            <w:tcW w:w="1413" w:type="dxa"/>
            <w:vMerge w:val="continue"/>
            <w:tcBorders>
              <w:top w:val="nil"/>
              <w:left w:val="single" w:color="auto" w:sz="4" w:space="0"/>
              <w:bottom w:val="single" w:color="auto" w:sz="4" w:space="0"/>
              <w:right w:val="single" w:color="auto" w:sz="4" w:space="0"/>
            </w:tcBorders>
            <w:vAlign w:val="center"/>
          </w:tcPr>
          <w:p w14:paraId="5131FD02">
            <w:pPr>
              <w:widowControl/>
              <w:spacing w:line="360" w:lineRule="atLeast"/>
              <w:jc w:val="left"/>
              <w:rPr>
                <w:rFonts w:ascii="宋体" w:hAnsi="宋体" w:eastAsia="宋体" w:cs="仿宋"/>
                <w:szCs w:val="21"/>
              </w:rPr>
            </w:pPr>
          </w:p>
        </w:tc>
        <w:tc>
          <w:tcPr>
            <w:tcW w:w="1664" w:type="dxa"/>
            <w:tcBorders>
              <w:top w:val="nil"/>
              <w:left w:val="nil"/>
              <w:bottom w:val="single" w:color="auto" w:sz="4" w:space="0"/>
              <w:right w:val="single" w:color="auto" w:sz="4" w:space="0"/>
            </w:tcBorders>
            <w:vAlign w:val="center"/>
          </w:tcPr>
          <w:p w14:paraId="04AE46DF">
            <w:pPr>
              <w:widowControl/>
              <w:spacing w:line="360" w:lineRule="atLeast"/>
              <w:jc w:val="center"/>
              <w:rPr>
                <w:rFonts w:ascii="宋体" w:hAnsi="宋体" w:eastAsia="宋体" w:cs="仿宋"/>
                <w:szCs w:val="21"/>
              </w:rPr>
            </w:pPr>
            <w:r>
              <w:rPr>
                <w:rFonts w:hint="eastAsia" w:ascii="宋体" w:hAnsi="宋体" w:eastAsia="宋体" w:cs="仿宋"/>
                <w:szCs w:val="21"/>
              </w:rPr>
              <w:t>资产总额（Z）</w:t>
            </w:r>
          </w:p>
        </w:tc>
        <w:tc>
          <w:tcPr>
            <w:tcW w:w="1108" w:type="dxa"/>
            <w:tcBorders>
              <w:top w:val="nil"/>
              <w:left w:val="nil"/>
              <w:bottom w:val="single" w:color="auto" w:sz="4" w:space="0"/>
              <w:right w:val="single" w:color="auto" w:sz="4" w:space="0"/>
            </w:tcBorders>
            <w:vAlign w:val="center"/>
          </w:tcPr>
          <w:p w14:paraId="1B918F8E">
            <w:pPr>
              <w:widowControl/>
              <w:spacing w:line="360" w:lineRule="atLeast"/>
              <w:jc w:val="center"/>
              <w:rPr>
                <w:rFonts w:ascii="宋体" w:hAnsi="宋体" w:eastAsia="宋体" w:cs="仿宋"/>
                <w:szCs w:val="21"/>
              </w:rPr>
            </w:pPr>
            <w:r>
              <w:rPr>
                <w:rFonts w:hint="eastAsia" w:ascii="宋体" w:hAnsi="宋体" w:eastAsia="宋体" w:cs="仿宋"/>
                <w:szCs w:val="21"/>
              </w:rPr>
              <w:t>万元</w:t>
            </w:r>
          </w:p>
        </w:tc>
        <w:tc>
          <w:tcPr>
            <w:tcW w:w="2000" w:type="dxa"/>
            <w:tcBorders>
              <w:top w:val="nil"/>
              <w:left w:val="nil"/>
              <w:bottom w:val="single" w:color="auto" w:sz="4" w:space="0"/>
              <w:right w:val="single" w:color="auto" w:sz="4" w:space="0"/>
            </w:tcBorders>
            <w:vAlign w:val="center"/>
          </w:tcPr>
          <w:p w14:paraId="27BD6DAB">
            <w:pPr>
              <w:widowControl/>
              <w:spacing w:line="360" w:lineRule="atLeast"/>
              <w:jc w:val="left"/>
              <w:rPr>
                <w:rFonts w:ascii="宋体" w:hAnsi="宋体" w:eastAsia="宋体" w:cs="仿宋"/>
                <w:szCs w:val="21"/>
              </w:rPr>
            </w:pPr>
            <w:r>
              <w:rPr>
                <w:rFonts w:hint="eastAsia" w:ascii="宋体" w:hAnsi="宋体" w:eastAsia="宋体" w:cs="仿宋"/>
                <w:szCs w:val="21"/>
              </w:rPr>
              <w:t>8000≤Z＜120000</w:t>
            </w:r>
          </w:p>
        </w:tc>
        <w:tc>
          <w:tcPr>
            <w:tcW w:w="1770" w:type="dxa"/>
            <w:tcBorders>
              <w:top w:val="nil"/>
              <w:left w:val="nil"/>
              <w:bottom w:val="single" w:color="auto" w:sz="4" w:space="0"/>
              <w:right w:val="single" w:color="auto" w:sz="4" w:space="0"/>
            </w:tcBorders>
            <w:vAlign w:val="center"/>
          </w:tcPr>
          <w:p w14:paraId="24A747ED">
            <w:pPr>
              <w:widowControl/>
              <w:spacing w:line="360" w:lineRule="atLeast"/>
              <w:jc w:val="left"/>
              <w:rPr>
                <w:rFonts w:ascii="宋体" w:hAnsi="宋体" w:eastAsia="宋体" w:cs="仿宋"/>
                <w:szCs w:val="21"/>
              </w:rPr>
            </w:pPr>
            <w:r>
              <w:rPr>
                <w:rFonts w:hint="eastAsia" w:ascii="宋体" w:hAnsi="宋体" w:eastAsia="宋体" w:cs="仿宋"/>
                <w:szCs w:val="21"/>
              </w:rPr>
              <w:t>100≤Z＜8000</w:t>
            </w:r>
          </w:p>
        </w:tc>
        <w:tc>
          <w:tcPr>
            <w:tcW w:w="1499" w:type="dxa"/>
            <w:tcBorders>
              <w:top w:val="nil"/>
              <w:left w:val="nil"/>
              <w:bottom w:val="single" w:color="auto" w:sz="4" w:space="0"/>
              <w:right w:val="single" w:color="auto" w:sz="4" w:space="0"/>
            </w:tcBorders>
            <w:vAlign w:val="center"/>
          </w:tcPr>
          <w:p w14:paraId="7EEB7DAA">
            <w:pPr>
              <w:widowControl/>
              <w:spacing w:line="360" w:lineRule="atLeast"/>
              <w:jc w:val="left"/>
              <w:rPr>
                <w:rFonts w:ascii="宋体" w:hAnsi="宋体" w:eastAsia="宋体" w:cs="仿宋"/>
                <w:szCs w:val="21"/>
              </w:rPr>
            </w:pPr>
            <w:r>
              <w:rPr>
                <w:rFonts w:hint="eastAsia" w:ascii="宋体" w:hAnsi="宋体" w:eastAsia="宋体" w:cs="仿宋"/>
                <w:szCs w:val="21"/>
              </w:rPr>
              <w:t>Y＜100</w:t>
            </w:r>
          </w:p>
        </w:tc>
      </w:tr>
      <w:tr w14:paraId="1B697166">
        <w:tblPrEx>
          <w:tblCellMar>
            <w:top w:w="0" w:type="dxa"/>
            <w:left w:w="108" w:type="dxa"/>
            <w:bottom w:w="0" w:type="dxa"/>
            <w:right w:w="108" w:type="dxa"/>
          </w:tblCellMar>
        </w:tblPrEx>
        <w:trPr>
          <w:trHeight w:val="220" w:hRule="atLeast"/>
        </w:trPr>
        <w:tc>
          <w:tcPr>
            <w:tcW w:w="1413" w:type="dxa"/>
            <w:tcBorders>
              <w:top w:val="nil"/>
              <w:left w:val="single" w:color="auto" w:sz="4" w:space="0"/>
              <w:bottom w:val="single" w:color="auto" w:sz="4" w:space="0"/>
              <w:right w:val="single" w:color="auto" w:sz="4" w:space="0"/>
            </w:tcBorders>
            <w:vAlign w:val="bottom"/>
          </w:tcPr>
          <w:p w14:paraId="6EFCB40E">
            <w:pPr>
              <w:widowControl/>
              <w:spacing w:line="360" w:lineRule="atLeast"/>
              <w:jc w:val="center"/>
              <w:rPr>
                <w:rFonts w:ascii="宋体" w:hAnsi="宋体" w:eastAsia="宋体" w:cs="仿宋"/>
                <w:szCs w:val="21"/>
              </w:rPr>
            </w:pPr>
            <w:r>
              <w:rPr>
                <w:rFonts w:hint="eastAsia" w:ascii="宋体" w:hAnsi="宋体" w:eastAsia="宋体" w:cs="仿宋"/>
                <w:szCs w:val="21"/>
              </w:rPr>
              <w:t>其他未列明行业</w:t>
            </w:r>
          </w:p>
        </w:tc>
        <w:tc>
          <w:tcPr>
            <w:tcW w:w="1664" w:type="dxa"/>
            <w:tcBorders>
              <w:top w:val="nil"/>
              <w:left w:val="nil"/>
              <w:bottom w:val="single" w:color="auto" w:sz="4" w:space="0"/>
              <w:right w:val="single" w:color="auto" w:sz="4" w:space="0"/>
            </w:tcBorders>
            <w:vAlign w:val="center"/>
          </w:tcPr>
          <w:p w14:paraId="26093212">
            <w:pPr>
              <w:widowControl/>
              <w:spacing w:line="360" w:lineRule="atLeast"/>
              <w:jc w:val="center"/>
              <w:rPr>
                <w:rFonts w:ascii="宋体" w:hAnsi="宋体" w:eastAsia="宋体" w:cs="仿宋"/>
                <w:szCs w:val="21"/>
              </w:rPr>
            </w:pPr>
            <w:r>
              <w:rPr>
                <w:rFonts w:hint="eastAsia" w:ascii="宋体" w:hAnsi="宋体" w:eastAsia="宋体" w:cs="仿宋"/>
                <w:szCs w:val="21"/>
              </w:rPr>
              <w:t>从业人员（X）</w:t>
            </w:r>
          </w:p>
        </w:tc>
        <w:tc>
          <w:tcPr>
            <w:tcW w:w="1108" w:type="dxa"/>
            <w:tcBorders>
              <w:top w:val="nil"/>
              <w:left w:val="nil"/>
              <w:bottom w:val="single" w:color="auto" w:sz="4" w:space="0"/>
              <w:right w:val="single" w:color="auto" w:sz="4" w:space="0"/>
            </w:tcBorders>
            <w:vAlign w:val="center"/>
          </w:tcPr>
          <w:p w14:paraId="016D9A55">
            <w:pPr>
              <w:widowControl/>
              <w:spacing w:line="360" w:lineRule="atLeast"/>
              <w:jc w:val="center"/>
              <w:rPr>
                <w:rFonts w:ascii="宋体" w:hAnsi="宋体" w:eastAsia="宋体" w:cs="仿宋"/>
                <w:szCs w:val="21"/>
              </w:rPr>
            </w:pPr>
            <w:r>
              <w:rPr>
                <w:rFonts w:hint="eastAsia" w:ascii="宋体" w:hAnsi="宋体" w:eastAsia="宋体" w:cs="仿宋"/>
                <w:szCs w:val="21"/>
              </w:rPr>
              <w:t>人</w:t>
            </w:r>
          </w:p>
        </w:tc>
        <w:tc>
          <w:tcPr>
            <w:tcW w:w="2000" w:type="dxa"/>
            <w:tcBorders>
              <w:top w:val="nil"/>
              <w:left w:val="nil"/>
              <w:bottom w:val="single" w:color="auto" w:sz="4" w:space="0"/>
              <w:right w:val="single" w:color="auto" w:sz="4" w:space="0"/>
            </w:tcBorders>
            <w:vAlign w:val="center"/>
          </w:tcPr>
          <w:p w14:paraId="40E6C75F">
            <w:pPr>
              <w:widowControl/>
              <w:spacing w:line="360" w:lineRule="atLeast"/>
              <w:jc w:val="left"/>
              <w:rPr>
                <w:rFonts w:ascii="宋体" w:hAnsi="宋体" w:eastAsia="宋体" w:cs="仿宋"/>
                <w:szCs w:val="21"/>
              </w:rPr>
            </w:pPr>
            <w:r>
              <w:rPr>
                <w:rFonts w:hint="eastAsia" w:ascii="宋体" w:hAnsi="宋体" w:eastAsia="宋体" w:cs="仿宋"/>
                <w:szCs w:val="21"/>
              </w:rPr>
              <w:t>100≤X＜300</w:t>
            </w:r>
          </w:p>
        </w:tc>
        <w:tc>
          <w:tcPr>
            <w:tcW w:w="1770" w:type="dxa"/>
            <w:tcBorders>
              <w:top w:val="nil"/>
              <w:left w:val="nil"/>
              <w:bottom w:val="single" w:color="auto" w:sz="4" w:space="0"/>
              <w:right w:val="single" w:color="auto" w:sz="4" w:space="0"/>
            </w:tcBorders>
            <w:vAlign w:val="center"/>
          </w:tcPr>
          <w:p w14:paraId="45260AAD">
            <w:pPr>
              <w:widowControl/>
              <w:spacing w:line="360" w:lineRule="atLeast"/>
              <w:jc w:val="left"/>
              <w:rPr>
                <w:rFonts w:ascii="宋体" w:hAnsi="宋体" w:eastAsia="宋体" w:cs="仿宋"/>
                <w:szCs w:val="21"/>
              </w:rPr>
            </w:pPr>
            <w:r>
              <w:rPr>
                <w:rFonts w:hint="eastAsia" w:ascii="宋体" w:hAnsi="宋体" w:eastAsia="宋体" w:cs="仿宋"/>
                <w:szCs w:val="21"/>
              </w:rPr>
              <w:t>10≤X＜100</w:t>
            </w:r>
          </w:p>
        </w:tc>
        <w:tc>
          <w:tcPr>
            <w:tcW w:w="1499" w:type="dxa"/>
            <w:tcBorders>
              <w:top w:val="nil"/>
              <w:left w:val="nil"/>
              <w:bottom w:val="single" w:color="auto" w:sz="4" w:space="0"/>
              <w:right w:val="single" w:color="auto" w:sz="4" w:space="0"/>
            </w:tcBorders>
            <w:vAlign w:val="center"/>
          </w:tcPr>
          <w:p w14:paraId="409D85BE">
            <w:pPr>
              <w:widowControl/>
              <w:spacing w:line="360" w:lineRule="atLeast"/>
              <w:jc w:val="left"/>
              <w:rPr>
                <w:rFonts w:ascii="宋体" w:hAnsi="宋体" w:eastAsia="宋体" w:cs="仿宋"/>
                <w:szCs w:val="21"/>
              </w:rPr>
            </w:pPr>
            <w:r>
              <w:rPr>
                <w:rFonts w:hint="eastAsia" w:ascii="宋体" w:hAnsi="宋体" w:eastAsia="宋体" w:cs="仿宋"/>
                <w:szCs w:val="21"/>
              </w:rPr>
              <w:t>X＜10</w:t>
            </w:r>
          </w:p>
        </w:tc>
      </w:tr>
    </w:tbl>
    <w:p w14:paraId="19E70CC3">
      <w:pPr>
        <w:tabs>
          <w:tab w:val="left" w:pos="180"/>
          <w:tab w:val="left" w:pos="1620"/>
        </w:tabs>
        <w:ind w:firstLine="420" w:firstLineChars="200"/>
        <w:jc w:val="left"/>
      </w:pPr>
      <w:r>
        <w:rPr>
          <w:rFonts w:hint="eastAsia"/>
        </w:rPr>
        <w:t>说明：上述标准参照《关于印发中小企业划型标准规定的通知》（工信部联企业[2011]300号），大型、中型和小型企业须同时满足所列指标的下限，否则下划一档；微型企业只须满足所列指标中的一项即可。</w:t>
      </w:r>
    </w:p>
    <w:p w14:paraId="4A0AD1F4">
      <w:pPr>
        <w:tabs>
          <w:tab w:val="left" w:pos="180"/>
          <w:tab w:val="left" w:pos="1620"/>
        </w:tabs>
        <w:spacing w:line="360" w:lineRule="auto"/>
        <w:ind w:firstLine="420" w:firstLineChars="200"/>
        <w:jc w:val="center"/>
        <w:outlineLvl w:val="0"/>
        <w:rPr>
          <w:rFonts w:ascii="宋体" w:hAnsi="宋体" w:eastAsia="宋体" w:cs="仿宋_GB2312"/>
          <w:b/>
          <w:bCs/>
          <w:kern w:val="44"/>
          <w:sz w:val="44"/>
          <w:szCs w:val="44"/>
        </w:rPr>
      </w:pPr>
      <w:r>
        <w:rPr>
          <w:rFonts w:hint="eastAsia" w:ascii="宋体" w:hAnsi="宋体" w:eastAsia="宋体" w:cs="仿宋_GB2312"/>
          <w:szCs w:val="24"/>
        </w:rPr>
        <w:br w:type="page"/>
      </w:r>
      <w:bookmarkStart w:id="56" w:name="_Toc7735"/>
      <w:bookmarkStart w:id="57" w:name="_Toc6950"/>
      <w:bookmarkStart w:id="58" w:name="_Toc207203148"/>
      <w:bookmarkStart w:id="59" w:name="_Toc21295"/>
      <w:r>
        <w:rPr>
          <w:rFonts w:hint="eastAsia" w:ascii="宋体" w:hAnsi="宋体" w:eastAsia="宋体" w:cs="仿宋_GB2312"/>
          <w:b/>
          <w:bCs/>
          <w:kern w:val="44"/>
          <w:sz w:val="44"/>
          <w:szCs w:val="44"/>
        </w:rPr>
        <w:t>第三章  投标人须知</w:t>
      </w:r>
      <w:bookmarkEnd w:id="56"/>
      <w:bookmarkEnd w:id="57"/>
      <w:bookmarkEnd w:id="58"/>
      <w:bookmarkEnd w:id="59"/>
    </w:p>
    <w:p w14:paraId="645750E2">
      <w:pPr>
        <w:keepNext/>
        <w:keepLines/>
        <w:spacing w:before="260" w:after="260"/>
        <w:ind w:firstLine="562" w:firstLineChars="200"/>
        <w:jc w:val="center"/>
        <w:textAlignment w:val="center"/>
        <w:outlineLvl w:val="1"/>
        <w:rPr>
          <w:rFonts w:ascii="宋体" w:hAnsi="宋体" w:eastAsia="宋体" w:cs="仿宋_GB2312"/>
          <w:b/>
          <w:bCs/>
          <w:sz w:val="28"/>
          <w:szCs w:val="28"/>
        </w:rPr>
      </w:pPr>
      <w:bookmarkStart w:id="60" w:name="_Toc4963"/>
      <w:bookmarkStart w:id="61" w:name="_Toc254970526"/>
      <w:bookmarkStart w:id="62" w:name="_Toc25167"/>
      <w:bookmarkStart w:id="63" w:name="_Toc15181"/>
      <w:bookmarkStart w:id="64" w:name="_Toc254970667"/>
      <w:r>
        <w:rPr>
          <w:rFonts w:hint="eastAsia" w:ascii="宋体" w:hAnsi="宋体" w:eastAsia="宋体" w:cs="仿宋_GB2312"/>
          <w:b/>
          <w:bCs/>
          <w:sz w:val="28"/>
          <w:szCs w:val="28"/>
        </w:rPr>
        <w:t>投标人须知前附表</w:t>
      </w:r>
      <w:bookmarkEnd w:id="60"/>
      <w:bookmarkEnd w:id="61"/>
      <w:bookmarkEnd w:id="62"/>
      <w:bookmarkEnd w:id="63"/>
      <w:bookmarkEnd w:id="64"/>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14:paraId="76A44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713AD31C">
            <w:pPr>
              <w:spacing w:line="400" w:lineRule="exact"/>
              <w:jc w:val="center"/>
              <w:rPr>
                <w:rFonts w:ascii="宋体" w:hAnsi="宋体" w:eastAsia="宋体" w:cs="仿宋_GB2312"/>
                <w:szCs w:val="21"/>
              </w:rPr>
            </w:pPr>
            <w:r>
              <w:rPr>
                <w:rFonts w:hint="eastAsia" w:ascii="宋体" w:hAnsi="宋体" w:eastAsia="宋体" w:cs="仿宋_GB2312"/>
                <w:szCs w:val="21"/>
              </w:rPr>
              <w:t>条款号</w:t>
            </w:r>
          </w:p>
        </w:tc>
        <w:tc>
          <w:tcPr>
            <w:tcW w:w="8175" w:type="dxa"/>
            <w:tcBorders>
              <w:top w:val="single" w:color="auto" w:sz="4" w:space="0"/>
              <w:left w:val="single" w:color="auto" w:sz="4" w:space="0"/>
              <w:bottom w:val="single" w:color="auto" w:sz="4" w:space="0"/>
              <w:right w:val="single" w:color="auto" w:sz="4" w:space="0"/>
            </w:tcBorders>
            <w:vAlign w:val="center"/>
          </w:tcPr>
          <w:p w14:paraId="3205D830">
            <w:pPr>
              <w:spacing w:line="400" w:lineRule="exact"/>
              <w:jc w:val="center"/>
              <w:rPr>
                <w:rFonts w:ascii="宋体" w:hAnsi="宋体" w:eastAsia="宋体" w:cs="仿宋_GB2312"/>
                <w:szCs w:val="21"/>
              </w:rPr>
            </w:pPr>
            <w:r>
              <w:rPr>
                <w:rFonts w:hint="eastAsia" w:ascii="宋体" w:hAnsi="宋体" w:eastAsia="宋体" w:cs="仿宋_GB2312"/>
                <w:szCs w:val="21"/>
              </w:rPr>
              <w:t>编列内容</w:t>
            </w:r>
          </w:p>
        </w:tc>
      </w:tr>
      <w:tr w14:paraId="74A6B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1B8D8C7">
            <w:pPr>
              <w:spacing w:line="400" w:lineRule="exact"/>
              <w:jc w:val="center"/>
              <w:rPr>
                <w:rFonts w:ascii="宋体" w:hAnsi="宋体" w:eastAsia="宋体" w:cs="仿宋_GB2312"/>
                <w:szCs w:val="21"/>
              </w:rPr>
            </w:pPr>
            <w:r>
              <w:rPr>
                <w:rFonts w:hint="eastAsia" w:ascii="宋体" w:hAnsi="宋体" w:eastAsia="宋体" w:cs="仿宋_GB2312"/>
                <w:szCs w:val="21"/>
              </w:rPr>
              <w:t>3</w:t>
            </w:r>
          </w:p>
        </w:tc>
        <w:tc>
          <w:tcPr>
            <w:tcW w:w="8175" w:type="dxa"/>
            <w:tcBorders>
              <w:top w:val="single" w:color="auto" w:sz="4" w:space="0"/>
              <w:left w:val="single" w:color="auto" w:sz="4" w:space="0"/>
              <w:bottom w:val="single" w:color="auto" w:sz="4" w:space="0"/>
              <w:right w:val="single" w:color="auto" w:sz="4" w:space="0"/>
            </w:tcBorders>
            <w:vAlign w:val="center"/>
          </w:tcPr>
          <w:p w14:paraId="5828D10E">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1.投标人的资格要求详见招标公告。</w:t>
            </w:r>
          </w:p>
          <w:p w14:paraId="7DF969BF">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2.投标人出现下列情形之一的，不得参加政府采购活动：</w:t>
            </w:r>
          </w:p>
          <w:p w14:paraId="714534A9">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AFA5BA8">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3C5ECB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4C76F45">
            <w:pPr>
              <w:spacing w:line="400" w:lineRule="exact"/>
              <w:jc w:val="center"/>
              <w:rPr>
                <w:rFonts w:ascii="宋体" w:hAnsi="宋体" w:eastAsia="宋体" w:cs="仿宋_GB2312"/>
                <w:szCs w:val="21"/>
              </w:rPr>
            </w:pPr>
            <w:bookmarkStart w:id="65" w:name="_5"/>
            <w:bookmarkEnd w:id="65"/>
            <w:bookmarkStart w:id="66" w:name="_8.1"/>
            <w:bookmarkEnd w:id="66"/>
            <w:bookmarkStart w:id="67" w:name="_9.2"/>
            <w:bookmarkEnd w:id="67"/>
            <w:r>
              <w:rPr>
                <w:rFonts w:hint="eastAsia" w:ascii="宋体" w:hAnsi="宋体" w:eastAsia="宋体" w:cs="仿宋_GB2312"/>
                <w:szCs w:val="21"/>
              </w:rPr>
              <w:t>6.1</w:t>
            </w:r>
          </w:p>
        </w:tc>
        <w:tc>
          <w:tcPr>
            <w:tcW w:w="8175" w:type="dxa"/>
            <w:tcBorders>
              <w:top w:val="single" w:color="auto" w:sz="4" w:space="0"/>
              <w:left w:val="single" w:color="auto" w:sz="4" w:space="0"/>
              <w:bottom w:val="single" w:color="auto" w:sz="4" w:space="0"/>
              <w:right w:val="single" w:color="auto" w:sz="4" w:space="0"/>
            </w:tcBorders>
            <w:vAlign w:val="center"/>
          </w:tcPr>
          <w:p w14:paraId="2AF75845">
            <w:pPr>
              <w:spacing w:line="400" w:lineRule="exact"/>
              <w:ind w:firstLine="420" w:firstLineChars="200"/>
              <w:jc w:val="left"/>
              <w:rPr>
                <w:rFonts w:ascii="宋体" w:hAnsi="宋体" w:eastAsia="宋体" w:cs="仿宋_GB2312"/>
                <w:b/>
                <w:szCs w:val="21"/>
              </w:rPr>
            </w:pPr>
            <w:r>
              <w:rPr>
                <w:rFonts w:hint="eastAsia" w:ascii="宋体" w:hAnsi="宋体" w:eastAsia="宋体" w:cs="仿宋_GB2312"/>
                <w:szCs w:val="21"/>
              </w:rPr>
              <w:t>本项目是否接受联合体投标：详见招标公告。</w:t>
            </w:r>
          </w:p>
        </w:tc>
      </w:tr>
      <w:tr w14:paraId="6416D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817BC76">
            <w:pPr>
              <w:spacing w:line="400" w:lineRule="exact"/>
              <w:jc w:val="center"/>
              <w:rPr>
                <w:rFonts w:ascii="宋体" w:hAnsi="宋体" w:eastAsia="宋体" w:cs="仿宋_GB2312"/>
                <w:szCs w:val="21"/>
              </w:rPr>
            </w:pPr>
            <w:r>
              <w:rPr>
                <w:rFonts w:hint="eastAsia" w:ascii="宋体" w:hAnsi="宋体" w:eastAsia="宋体" w:cs="仿宋_GB2312"/>
                <w:szCs w:val="21"/>
              </w:rPr>
              <w:t>6.2</w:t>
            </w:r>
          </w:p>
        </w:tc>
        <w:tc>
          <w:tcPr>
            <w:tcW w:w="8175" w:type="dxa"/>
            <w:tcBorders>
              <w:top w:val="single" w:color="auto" w:sz="4" w:space="0"/>
              <w:left w:val="single" w:color="auto" w:sz="4" w:space="0"/>
              <w:bottom w:val="single" w:color="auto" w:sz="4" w:space="0"/>
              <w:right w:val="single" w:color="auto" w:sz="4" w:space="0"/>
            </w:tcBorders>
            <w:vAlign w:val="center"/>
          </w:tcPr>
          <w:p w14:paraId="47730D3D">
            <w:pPr>
              <w:spacing w:line="400" w:lineRule="exact"/>
              <w:ind w:firstLine="420" w:firstLineChars="200"/>
              <w:jc w:val="left"/>
              <w:rPr>
                <w:rFonts w:ascii="宋体" w:hAnsi="宋体" w:eastAsia="宋体" w:cs="仿宋_GB2312"/>
                <w:szCs w:val="21"/>
              </w:rPr>
            </w:pPr>
            <w:bookmarkStart w:id="68" w:name="_Hlk54105293"/>
            <w:r>
              <w:rPr>
                <w:rFonts w:hint="eastAsia" w:ascii="宋体" w:hAnsi="宋体" w:eastAsia="宋体" w:cs="仿宋_GB2312"/>
                <w:szCs w:val="21"/>
              </w:rPr>
              <w:t>如接受联合体投标，</w:t>
            </w:r>
            <w:bookmarkEnd w:id="68"/>
            <w:r>
              <w:rPr>
                <w:rFonts w:hint="eastAsia" w:ascii="宋体" w:hAnsi="宋体" w:eastAsia="宋体" w:cs="仿宋_GB2312"/>
                <w:szCs w:val="21"/>
              </w:rPr>
              <w:t>联合体投标要求如下：</w:t>
            </w:r>
          </w:p>
          <w:p w14:paraId="2A038686">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1.两个以上投标人可以组成一个投标联合体，以一个投标人的身份共同参加投标。联合体投标的，须提供《联合体投标协议书》（格式后附）。</w:t>
            </w:r>
          </w:p>
          <w:p w14:paraId="3F321675">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4EBD283F">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3.联合体各方之间必须签订《联合体投标协议书》（格式后附），协议书必须明确主体方（或者牵头方）并明确约定联合体各方承担的工作和相应的责任（</w:t>
            </w:r>
            <w:r>
              <w:rPr>
                <w:rFonts w:hint="eastAsia" w:ascii="宋体" w:hAnsi="宋体" w:eastAsia="宋体" w:cs="仿宋_GB2312"/>
                <w:b/>
                <w:szCs w:val="21"/>
              </w:rPr>
              <w:t>各方承担责任与义务的分工必须符合采购需求，否则，联合体投标无效</w:t>
            </w:r>
            <w:r>
              <w:rPr>
                <w:rFonts w:hint="eastAsia" w:ascii="宋体" w:hAnsi="宋体" w:eastAsia="宋体" w:cs="仿宋_GB2312"/>
                <w:szCs w:val="21"/>
              </w:rPr>
              <w:t>），并将联合投标协议放入投标文件。联合体各方必须共同与采购人签订采购合同，就采购合同约定的事项对采购人承担连带责任。</w:t>
            </w:r>
          </w:p>
          <w:p w14:paraId="3CFC74CA">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4.以联合体形式参加政府采购活动的，联合体各方不得再单独参加或者与其他投标人另外组成联合体参加同一合同项下的政府采购活动。</w:t>
            </w:r>
          </w:p>
          <w:p w14:paraId="6CBFED57">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5.联合体中有同类资质的投标人按照联合体分工承担相同工作的，应当按照资质等级较低的投标人确定资质等级。</w:t>
            </w:r>
          </w:p>
          <w:p w14:paraId="6E7676BD">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6.联合体投标业绩、履约能力按照联合体各方其中较高的一方认定并计算（招标文件另有规定的除外）。</w:t>
            </w:r>
          </w:p>
          <w:p w14:paraId="07FE3055">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7.投标人为联合体的，可以由联合体中的一方或者多方共同交纳投标保证金，其交纳的保证金对联合体各方均具有约束力。</w:t>
            </w:r>
          </w:p>
          <w:p w14:paraId="31E1E407">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8.联合体各方均应按照招标文件的规定提交资格证明文件。</w:t>
            </w:r>
          </w:p>
          <w:p w14:paraId="39C05C7C">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u w:val="single"/>
              </w:rPr>
              <w:t>说明：本项目分为4个标项，按标项签订采购合同，上述内容提及的“同一合同项”理解为“同一标项”。</w:t>
            </w:r>
          </w:p>
        </w:tc>
      </w:tr>
      <w:tr w14:paraId="6F3E1B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6FFB8BE7">
            <w:pPr>
              <w:spacing w:line="400" w:lineRule="exact"/>
              <w:jc w:val="center"/>
              <w:rPr>
                <w:rFonts w:ascii="宋体" w:hAnsi="宋体" w:eastAsia="宋体" w:cs="仿宋_GB2312"/>
                <w:szCs w:val="21"/>
              </w:rPr>
            </w:pPr>
            <w:r>
              <w:rPr>
                <w:rFonts w:hint="eastAsia" w:ascii="宋体" w:hAnsi="宋体" w:eastAsia="宋体" w:cs="仿宋_GB2312"/>
                <w:szCs w:val="21"/>
              </w:rPr>
              <w:t>7.2</w:t>
            </w:r>
          </w:p>
        </w:tc>
        <w:tc>
          <w:tcPr>
            <w:tcW w:w="8175" w:type="dxa"/>
            <w:tcBorders>
              <w:top w:val="single" w:color="auto" w:sz="4" w:space="0"/>
              <w:left w:val="single" w:color="auto" w:sz="4" w:space="0"/>
              <w:bottom w:val="single" w:color="auto" w:sz="4" w:space="0"/>
              <w:right w:val="single" w:color="auto" w:sz="4" w:space="0"/>
            </w:tcBorders>
            <w:vAlign w:val="center"/>
          </w:tcPr>
          <w:p w14:paraId="7085714F">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sym w:font="Wingdings 2" w:char="F052"/>
            </w:r>
            <w:r>
              <w:rPr>
                <w:rFonts w:hint="eastAsia" w:ascii="宋体" w:hAnsi="宋体" w:eastAsia="宋体" w:cs="仿宋_GB2312"/>
                <w:szCs w:val="21"/>
              </w:rPr>
              <w:t>不允许分包</w:t>
            </w:r>
          </w:p>
          <w:p w14:paraId="08BEFE1E">
            <w:pPr>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□转包/分包内容：</w:t>
            </w:r>
            <w:r>
              <w:rPr>
                <w:rFonts w:hint="eastAsia" w:ascii="宋体" w:hAnsi="宋体" w:eastAsia="宋体" w:cs="仿宋_GB2312"/>
                <w:szCs w:val="21"/>
                <w:u w:val="single"/>
              </w:rPr>
              <w:t xml:space="preserve">                   </w:t>
            </w:r>
            <w:r>
              <w:rPr>
                <w:rFonts w:hint="eastAsia" w:ascii="宋体" w:hAnsi="宋体" w:eastAsia="宋体" w:cs="仿宋_GB2312"/>
                <w:szCs w:val="21"/>
              </w:rPr>
              <w:t>。</w:t>
            </w:r>
          </w:p>
          <w:p w14:paraId="7112801B">
            <w:pPr>
              <w:spacing w:line="400" w:lineRule="exact"/>
              <w:ind w:firstLine="420" w:firstLineChars="200"/>
              <w:jc w:val="left"/>
              <w:rPr>
                <w:rFonts w:ascii="宋体" w:hAnsi="宋体" w:eastAsia="宋体" w:cs="仿宋_GB2312"/>
                <w:szCs w:val="21"/>
                <w:u w:val="single"/>
              </w:rPr>
            </w:pPr>
            <w:r>
              <w:rPr>
                <w:rFonts w:hint="eastAsia" w:ascii="宋体" w:hAnsi="宋体" w:eastAsia="宋体" w:cs="仿宋_GB2312"/>
                <w:szCs w:val="21"/>
              </w:rPr>
              <w:t>□转包/分包金额或者比例：</w:t>
            </w:r>
            <w:r>
              <w:rPr>
                <w:rFonts w:hint="eastAsia" w:ascii="宋体" w:hAnsi="宋体" w:eastAsia="宋体" w:cs="仿宋_GB2312"/>
                <w:szCs w:val="21"/>
                <w:u w:val="single"/>
              </w:rPr>
              <w:t xml:space="preserve">           </w:t>
            </w:r>
            <w:r>
              <w:rPr>
                <w:rFonts w:hint="eastAsia" w:ascii="宋体" w:hAnsi="宋体" w:eastAsia="宋体" w:cs="仿宋_GB2312"/>
                <w:szCs w:val="21"/>
              </w:rPr>
              <w:t>。</w:t>
            </w:r>
          </w:p>
        </w:tc>
      </w:tr>
      <w:tr w14:paraId="42A0A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2D77724">
            <w:pPr>
              <w:spacing w:line="360" w:lineRule="auto"/>
              <w:ind w:firstLine="482"/>
              <w:jc w:val="center"/>
              <w:rPr>
                <w:rFonts w:ascii="宋体" w:hAnsi="宋体" w:cs="宋体"/>
                <w:sz w:val="24"/>
                <w:szCs w:val="24"/>
              </w:rPr>
            </w:pPr>
            <w:r>
              <w:rPr>
                <w:rFonts w:hint="eastAsia" w:ascii="宋体" w:hAnsi="宋体" w:cs="宋体"/>
                <w:sz w:val="24"/>
              </w:rPr>
              <w:t>8.1</w:t>
            </w:r>
          </w:p>
        </w:tc>
        <w:tc>
          <w:tcPr>
            <w:tcW w:w="8175" w:type="dxa"/>
            <w:tcBorders>
              <w:top w:val="single" w:color="auto" w:sz="4" w:space="0"/>
              <w:left w:val="single" w:color="auto" w:sz="4" w:space="0"/>
              <w:bottom w:val="single" w:color="auto" w:sz="4" w:space="0"/>
              <w:right w:val="single" w:color="auto" w:sz="4" w:space="0"/>
            </w:tcBorders>
            <w:vAlign w:val="center"/>
          </w:tcPr>
          <w:p w14:paraId="3D30C09B">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1.采用最低评标价法的采购项目，提供相同品牌产品（非单一产品采购项目的，指核心产品）的不同投标人评标价相同时，按照下列方式确定一个投标人获得中标人推荐资格：评标委员会按投标报价低的原则确定，投标报价相同的按节能环保优先、技术指标高优先、质量保证期长优先、交货期短优先、故障响应时间短优先的顺序依次确定。</w:t>
            </w:r>
          </w:p>
          <w:p w14:paraId="5D77A1AD">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2.采用综合评分法的采购项目，提供相同品牌产品（非单一产品采购项目的，指核心产品）的不同投标人评审后得分最高的同品牌投标人获得中标人推荐资格；评审得分相同时，依次按照投标报价低的优先、技术评分高的优先、商务评分高的优先、质量保证期长优先、交货期短优先、故障响应时间短优先、政策分得分高的优先的顺序确定一个投标人获得中标人推荐资格。</w:t>
            </w:r>
          </w:p>
        </w:tc>
      </w:tr>
      <w:tr w14:paraId="08AC3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78" w:type="dxa"/>
            <w:vMerge w:val="restart"/>
            <w:tcBorders>
              <w:top w:val="single" w:color="auto" w:sz="4" w:space="0"/>
              <w:left w:val="single" w:color="auto" w:sz="4" w:space="0"/>
              <w:right w:val="single" w:color="auto" w:sz="4" w:space="0"/>
            </w:tcBorders>
            <w:vAlign w:val="center"/>
          </w:tcPr>
          <w:p w14:paraId="73759EE4">
            <w:pPr>
              <w:spacing w:line="400" w:lineRule="exact"/>
              <w:jc w:val="center"/>
              <w:rPr>
                <w:rFonts w:ascii="宋体" w:hAnsi="宋体" w:eastAsia="宋体" w:cs="仿宋_GB2312"/>
                <w:szCs w:val="21"/>
              </w:rPr>
            </w:pPr>
            <w:r>
              <w:rPr>
                <w:rFonts w:hint="eastAsia" w:ascii="宋体" w:hAnsi="宋体" w:eastAsia="宋体" w:cs="仿宋_GB2312"/>
                <w:szCs w:val="21"/>
              </w:rPr>
              <w:t>11.2</w:t>
            </w:r>
          </w:p>
        </w:tc>
        <w:tc>
          <w:tcPr>
            <w:tcW w:w="8175" w:type="dxa"/>
            <w:tcBorders>
              <w:top w:val="single" w:color="auto" w:sz="4" w:space="0"/>
              <w:left w:val="single" w:color="auto" w:sz="4" w:space="0"/>
              <w:bottom w:val="single" w:color="auto" w:sz="4" w:space="0"/>
              <w:right w:val="single" w:color="auto" w:sz="4" w:space="0"/>
            </w:tcBorders>
            <w:vAlign w:val="center"/>
          </w:tcPr>
          <w:p w14:paraId="36A64C71">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sym w:font="Wingdings 2" w:char="0052"/>
            </w:r>
            <w:r>
              <w:rPr>
                <w:rFonts w:hint="eastAsia" w:ascii="宋体" w:hAnsi="宋体" w:eastAsia="宋体" w:cs="仿宋_GB2312"/>
                <w:szCs w:val="21"/>
              </w:rPr>
              <w:t>不组织现场考察</w:t>
            </w:r>
          </w:p>
        </w:tc>
      </w:tr>
      <w:tr w14:paraId="2A9F3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78" w:type="dxa"/>
            <w:vMerge w:val="continue"/>
            <w:tcBorders>
              <w:left w:val="single" w:color="auto" w:sz="4" w:space="0"/>
              <w:bottom w:val="single" w:color="auto" w:sz="4" w:space="0"/>
              <w:right w:val="single" w:color="auto" w:sz="4" w:space="0"/>
            </w:tcBorders>
            <w:vAlign w:val="center"/>
          </w:tcPr>
          <w:p w14:paraId="29BEA008">
            <w:pPr>
              <w:spacing w:line="400" w:lineRule="exact"/>
              <w:jc w:val="center"/>
              <w:rPr>
                <w:rFonts w:ascii="宋体" w:hAnsi="宋体" w:eastAsia="宋体" w:cs="仿宋_GB2312"/>
                <w:szCs w:val="21"/>
              </w:rPr>
            </w:pPr>
          </w:p>
        </w:tc>
        <w:tc>
          <w:tcPr>
            <w:tcW w:w="8175" w:type="dxa"/>
            <w:tcBorders>
              <w:top w:val="single" w:color="auto" w:sz="4" w:space="0"/>
              <w:left w:val="single" w:color="auto" w:sz="4" w:space="0"/>
              <w:bottom w:val="single" w:color="auto" w:sz="4" w:space="0"/>
              <w:right w:val="single" w:color="auto" w:sz="4" w:space="0"/>
            </w:tcBorders>
            <w:vAlign w:val="center"/>
          </w:tcPr>
          <w:p w14:paraId="55D90DD3">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sym w:font="Wingdings 2" w:char="0052"/>
            </w:r>
            <w:r>
              <w:rPr>
                <w:rFonts w:hint="eastAsia" w:ascii="宋体" w:hAnsi="宋体" w:eastAsia="宋体" w:cs="仿宋_GB2312"/>
                <w:szCs w:val="21"/>
              </w:rPr>
              <w:t>不组织召开开标前答疑会</w:t>
            </w:r>
          </w:p>
        </w:tc>
      </w:tr>
      <w:tr w14:paraId="5B6F40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restart"/>
            <w:tcBorders>
              <w:top w:val="single" w:color="auto" w:sz="4" w:space="0"/>
              <w:left w:val="single" w:color="auto" w:sz="4" w:space="0"/>
              <w:right w:val="single" w:color="auto" w:sz="4" w:space="0"/>
            </w:tcBorders>
            <w:vAlign w:val="center"/>
          </w:tcPr>
          <w:p w14:paraId="326A56AD">
            <w:pPr>
              <w:spacing w:line="400" w:lineRule="exact"/>
              <w:jc w:val="center"/>
              <w:rPr>
                <w:rFonts w:ascii="宋体" w:hAnsi="宋体" w:eastAsia="宋体" w:cs="仿宋_GB2312"/>
                <w:szCs w:val="21"/>
              </w:rPr>
            </w:pPr>
            <w:bookmarkStart w:id="69" w:name="_13.1"/>
            <w:bookmarkEnd w:id="69"/>
            <w:r>
              <w:rPr>
                <w:rFonts w:hint="eastAsia" w:ascii="宋体" w:hAnsi="宋体" w:eastAsia="宋体" w:cs="仿宋_GB2312"/>
                <w:szCs w:val="21"/>
              </w:rPr>
              <w:t>13</w:t>
            </w:r>
          </w:p>
        </w:tc>
        <w:tc>
          <w:tcPr>
            <w:tcW w:w="8175" w:type="dxa"/>
            <w:tcBorders>
              <w:top w:val="single" w:color="auto" w:sz="4" w:space="0"/>
              <w:left w:val="single" w:color="auto" w:sz="4" w:space="0"/>
              <w:bottom w:val="single" w:color="auto" w:sz="4" w:space="0"/>
              <w:right w:val="single" w:color="auto" w:sz="4" w:space="0"/>
            </w:tcBorders>
            <w:vAlign w:val="center"/>
          </w:tcPr>
          <w:p w14:paraId="53043D53">
            <w:pPr>
              <w:snapToGrid w:val="0"/>
              <w:spacing w:line="400" w:lineRule="exact"/>
              <w:ind w:firstLine="422" w:firstLineChars="200"/>
              <w:rPr>
                <w:rFonts w:ascii="宋体" w:hAnsi="宋体" w:eastAsia="宋体" w:cs="仿宋_GB2312"/>
                <w:b/>
                <w:szCs w:val="21"/>
              </w:rPr>
            </w:pPr>
            <w:r>
              <w:rPr>
                <w:rFonts w:hint="eastAsia" w:ascii="宋体" w:hAnsi="宋体" w:eastAsia="宋体" w:cs="仿宋_GB2312"/>
                <w:b/>
                <w:szCs w:val="21"/>
              </w:rPr>
              <w:t>报价文件：</w:t>
            </w:r>
          </w:p>
          <w:p w14:paraId="597069E5">
            <w:pPr>
              <w:tabs>
                <w:tab w:val="left" w:pos="459"/>
              </w:tabs>
              <w:snapToGrid w:val="0"/>
              <w:spacing w:line="400" w:lineRule="exact"/>
              <w:ind w:left="-2" w:leftChars="-1" w:firstLine="420" w:firstLineChars="200"/>
              <w:rPr>
                <w:rFonts w:ascii="宋体" w:hAnsi="宋体" w:eastAsia="宋体" w:cs="仿宋_GB2312"/>
                <w:szCs w:val="21"/>
              </w:rPr>
            </w:pPr>
            <w:r>
              <w:rPr>
                <w:rFonts w:hint="eastAsia" w:ascii="宋体" w:hAnsi="宋体" w:eastAsia="宋体" w:cs="仿宋_GB2312"/>
                <w:szCs w:val="21"/>
              </w:rPr>
              <w:t>1.投标函（格式后附）；</w:t>
            </w:r>
            <w:r>
              <w:rPr>
                <w:rFonts w:hint="eastAsia" w:ascii="宋体" w:hAnsi="宋体" w:eastAsia="宋体" w:cs="仿宋_GB2312"/>
                <w:b/>
                <w:szCs w:val="21"/>
              </w:rPr>
              <w:t>（必须提供，否则按无效投标处理）</w:t>
            </w:r>
          </w:p>
          <w:p w14:paraId="173073C5">
            <w:pPr>
              <w:tabs>
                <w:tab w:val="left" w:pos="459"/>
              </w:tabs>
              <w:snapToGrid w:val="0"/>
              <w:spacing w:line="400" w:lineRule="exact"/>
              <w:ind w:left="-2" w:leftChars="-1" w:firstLine="420" w:firstLineChars="200"/>
              <w:rPr>
                <w:rFonts w:ascii="宋体" w:hAnsi="宋体" w:eastAsia="宋体" w:cs="仿宋_GB2312"/>
                <w:szCs w:val="21"/>
              </w:rPr>
            </w:pPr>
            <w:r>
              <w:rPr>
                <w:rFonts w:hint="eastAsia" w:ascii="宋体" w:hAnsi="宋体" w:eastAsia="宋体" w:cs="仿宋_GB2312"/>
                <w:szCs w:val="21"/>
              </w:rPr>
              <w:t>2.开标一览表（格式后附）；（</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2F4DD439">
            <w:pPr>
              <w:tabs>
                <w:tab w:val="left" w:pos="459"/>
              </w:tabs>
              <w:snapToGrid w:val="0"/>
              <w:spacing w:line="400" w:lineRule="exact"/>
              <w:ind w:left="-2" w:leftChars="-1" w:firstLine="420" w:firstLineChars="200"/>
              <w:rPr>
                <w:rFonts w:ascii="宋体" w:hAnsi="宋体" w:eastAsia="宋体" w:cs="仿宋_GB2312"/>
                <w:szCs w:val="21"/>
              </w:rPr>
            </w:pPr>
            <w:r>
              <w:rPr>
                <w:rFonts w:hint="eastAsia" w:ascii="宋体" w:hAnsi="宋体" w:eastAsia="宋体" w:cs="仿宋_GB2312"/>
                <w:szCs w:val="21"/>
              </w:rPr>
              <w:t>3.中小企业声明函或残疾人福利性单位声明函（格式后附）；（如有请提供，如投标人属于监狱企业的，提供由省级以上监狱管理局、戒毒管理局（含新疆生产建设兵团）出具的属于监狱企业的证明文件）</w:t>
            </w:r>
          </w:p>
          <w:p w14:paraId="613AB14A">
            <w:pPr>
              <w:tabs>
                <w:tab w:val="left" w:pos="459"/>
              </w:tabs>
              <w:snapToGrid w:val="0"/>
              <w:spacing w:line="400" w:lineRule="exact"/>
              <w:ind w:left="-2" w:leftChars="-1" w:firstLine="420" w:firstLineChars="200"/>
              <w:rPr>
                <w:rFonts w:ascii="宋体" w:hAnsi="宋体" w:eastAsia="宋体" w:cs="仿宋_GB2312"/>
                <w:szCs w:val="21"/>
              </w:rPr>
            </w:pPr>
            <w:r>
              <w:rPr>
                <w:rFonts w:hint="eastAsia" w:ascii="宋体" w:hAnsi="宋体" w:eastAsia="宋体" w:cs="仿宋_GB2312"/>
                <w:szCs w:val="21"/>
              </w:rPr>
              <w:t>4.投标人针对报价需要说明的其他文件和说明（格式自拟）。（如有请提供）</w:t>
            </w:r>
          </w:p>
          <w:p w14:paraId="06A1A4DD">
            <w:pPr>
              <w:tabs>
                <w:tab w:val="left" w:pos="459"/>
              </w:tabs>
              <w:snapToGrid w:val="0"/>
              <w:spacing w:line="400" w:lineRule="exact"/>
              <w:ind w:left="-2" w:leftChars="-1" w:firstLine="422" w:firstLineChars="200"/>
              <w:rPr>
                <w:rFonts w:ascii="宋体" w:hAnsi="宋体" w:eastAsia="宋体" w:cs="仿宋_GB2312"/>
                <w:b/>
                <w:szCs w:val="21"/>
              </w:rPr>
            </w:pPr>
            <w:r>
              <w:rPr>
                <w:rFonts w:hint="eastAsia" w:ascii="宋体" w:hAnsi="宋体" w:eastAsia="宋体" w:cs="仿宋_GB2312"/>
                <w:b/>
                <w:szCs w:val="21"/>
              </w:rPr>
              <w:t>注：以上标明“必须提供”的材料属于复印件的，必须加盖投标人电子签章，否则按无效投标处理；格式中有要求法定代表人或者委托代理人签字的，必须按要求签字（或是电子签名），并加盖投标人电子签章，否则投标文件按无效处理。</w:t>
            </w:r>
          </w:p>
        </w:tc>
      </w:tr>
      <w:tr w14:paraId="07270C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4BCCF33F">
            <w:pPr>
              <w:spacing w:line="400" w:lineRule="exact"/>
              <w:rPr>
                <w:rFonts w:ascii="宋体" w:hAnsi="宋体" w:eastAsia="宋体" w:cs="仿宋_GB2312"/>
                <w:szCs w:val="21"/>
              </w:rPr>
            </w:pPr>
            <w:bookmarkStart w:id="70" w:name="_13.2"/>
            <w:bookmarkEnd w:id="70"/>
          </w:p>
        </w:tc>
        <w:tc>
          <w:tcPr>
            <w:tcW w:w="8175" w:type="dxa"/>
            <w:tcBorders>
              <w:top w:val="single" w:color="auto" w:sz="4" w:space="0"/>
              <w:left w:val="single" w:color="auto" w:sz="4" w:space="0"/>
              <w:bottom w:val="single" w:color="auto" w:sz="4" w:space="0"/>
              <w:right w:val="single" w:color="auto" w:sz="4" w:space="0"/>
            </w:tcBorders>
            <w:vAlign w:val="center"/>
          </w:tcPr>
          <w:p w14:paraId="411DCBB7">
            <w:pPr>
              <w:snapToGrid w:val="0"/>
              <w:spacing w:line="400" w:lineRule="exact"/>
              <w:ind w:firstLine="422" w:firstLineChars="200"/>
              <w:rPr>
                <w:rFonts w:ascii="宋体" w:hAnsi="宋体" w:eastAsia="宋体" w:cs="仿宋_GB2312"/>
                <w:b/>
                <w:szCs w:val="21"/>
              </w:rPr>
            </w:pPr>
            <w:r>
              <w:rPr>
                <w:rFonts w:hint="eastAsia" w:ascii="宋体" w:hAnsi="宋体" w:eastAsia="宋体" w:cs="仿宋_GB2312"/>
                <w:b/>
                <w:szCs w:val="21"/>
              </w:rPr>
              <w:t>资格证明文件：</w:t>
            </w:r>
          </w:p>
          <w:p w14:paraId="5747B992">
            <w:pPr>
              <w:snapToGrid w:val="0"/>
              <w:spacing w:line="400" w:lineRule="exact"/>
              <w:ind w:firstLine="420" w:firstLineChars="200"/>
              <w:rPr>
                <w:rFonts w:ascii="宋体" w:hAnsi="宋体" w:eastAsia="宋体" w:cs="仿宋_GB2312"/>
                <w:b/>
                <w:szCs w:val="21"/>
              </w:rPr>
            </w:pPr>
            <w:r>
              <w:rPr>
                <w:rFonts w:hint="eastAsia" w:ascii="宋体" w:hAnsi="宋体" w:eastAsia="宋体" w:cs="仿宋_GB2312"/>
                <w:szCs w:val="21"/>
              </w:rPr>
              <w:t>1.投标人为法人或者其他组织的，提供营业执照等证明文件（如营业执照或者事业单位法人证书或者</w:t>
            </w:r>
            <w:r>
              <w:rPr>
                <w:rFonts w:hint="eastAsia" w:ascii="宋体" w:hAnsi="宋体" w:eastAsia="宋体" w:cs="仿宋_GB2312"/>
                <w:szCs w:val="21"/>
                <w:lang w:val="zh-CN" w:bidi="zh-CN"/>
              </w:rPr>
              <w:t>执业许可证</w:t>
            </w:r>
            <w:r>
              <w:rPr>
                <w:rFonts w:hint="eastAsia" w:ascii="宋体" w:hAnsi="宋体" w:eastAsia="宋体" w:cs="仿宋_GB2312"/>
                <w:szCs w:val="21"/>
              </w:rPr>
              <w:t>或者登记证书等），投标人为自然人的，提供身份证复印件；（</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078AA9ED">
            <w:pPr>
              <w:snapToGrid w:val="0"/>
              <w:spacing w:line="400" w:lineRule="exact"/>
              <w:ind w:firstLine="420" w:firstLineChars="200"/>
              <w:rPr>
                <w:rFonts w:ascii="宋体" w:hAnsi="宋体" w:eastAsia="宋体" w:cs="仿宋_GB2312"/>
                <w:b/>
                <w:szCs w:val="21"/>
              </w:rPr>
            </w:pPr>
            <w:r>
              <w:rPr>
                <w:rFonts w:hint="eastAsia" w:ascii="宋体" w:hAnsi="宋体" w:eastAsia="宋体" w:cs="仿宋_GB2312"/>
                <w:szCs w:val="21"/>
              </w:rPr>
              <w:t>2.投标人依法缴纳税收的相关材料[</w:t>
            </w:r>
            <w:r>
              <w:rPr>
                <w:rFonts w:hint="eastAsia" w:ascii="宋体" w:hAnsi="宋体" w:eastAsia="宋体" w:cs="仿宋_GB2312"/>
                <w:szCs w:val="21"/>
                <w:u w:val="single"/>
              </w:rPr>
              <w:t>2025年8月至2025年10月内任意1个月</w:t>
            </w:r>
            <w:r>
              <w:rPr>
                <w:rFonts w:hint="eastAsia" w:ascii="宋体" w:hAnsi="宋体" w:eastAsia="宋体" w:cs="仿宋_GB2312"/>
                <w:szCs w:val="21"/>
              </w:rPr>
              <w:t>的依法缴纳税收的证明材料的凭据复印件；依法免税的投标人，必须提供相应文件证明其依法免税。投标人成立不足1个月的，无需提供依法缴纳税收相应证明文件]；（</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70AEBEA9">
            <w:pPr>
              <w:snapToGrid w:val="0"/>
              <w:spacing w:line="400" w:lineRule="exact"/>
              <w:ind w:firstLine="420" w:firstLineChars="200"/>
              <w:jc w:val="left"/>
              <w:rPr>
                <w:rFonts w:ascii="宋体" w:hAnsi="宋体" w:eastAsia="宋体" w:cs="仿宋_GB2312"/>
                <w:b/>
                <w:szCs w:val="21"/>
              </w:rPr>
            </w:pPr>
            <w:r>
              <w:rPr>
                <w:rFonts w:hint="eastAsia" w:ascii="宋体" w:hAnsi="宋体" w:eastAsia="宋体" w:cs="仿宋_GB2312"/>
                <w:szCs w:val="21"/>
              </w:rPr>
              <w:t>3.投标人依法缴纳社会保障资金的相关材料[</w:t>
            </w:r>
            <w:r>
              <w:rPr>
                <w:rFonts w:hint="eastAsia" w:ascii="宋体" w:hAnsi="宋体" w:eastAsia="宋体" w:cs="仿宋_GB2312"/>
                <w:szCs w:val="21"/>
                <w:u w:val="single"/>
              </w:rPr>
              <w:t>2025年8月至2025年10月内任意1个月</w:t>
            </w:r>
            <w:r>
              <w:rPr>
                <w:rFonts w:hint="eastAsia" w:ascii="宋体" w:hAnsi="宋体" w:eastAsia="宋体" w:cs="仿宋_GB2312"/>
                <w:szCs w:val="21"/>
              </w:rPr>
              <w:t>的依法缴纳社会保障资金的缴费凭证（专用收据或者社会保险缴纳清单或者社保部门的证明）复印件；依法不需要缴纳社会保障资金的投标人，必须提供相应文件证明不需要缴纳社会保障资金。投标人成立不足1个月的，无需提供依法缴纳社会保障资金的相应证明文件]；（</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27BC883E">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4.投标人财务状况报告[</w:t>
            </w:r>
            <w:r>
              <w:rPr>
                <w:rFonts w:hint="eastAsia" w:ascii="宋体" w:hAnsi="宋体" w:eastAsia="宋体" w:cs="仿宋_GB2312"/>
                <w:szCs w:val="21"/>
                <w:u w:val="single"/>
              </w:rPr>
              <w:t>2024年度</w:t>
            </w:r>
            <w:r>
              <w:rPr>
                <w:rFonts w:hint="eastAsia" w:ascii="宋体" w:hAnsi="宋体" w:eastAsia="宋体" w:cs="仿宋_GB2312"/>
                <w:szCs w:val="21"/>
              </w:rPr>
              <w:t>财务报表复印件，或者银行出具的资信证明，或者中国人民银行征信中心出具的信用报告（企业投标的提供企业信用报告，自然人投标的提供个人信用报告，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526DE6CD">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5.投标人直接控股、管理关系信息表（格式见第六章）；（</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15F6409C">
            <w:pPr>
              <w:snapToGrid w:val="0"/>
              <w:spacing w:line="400" w:lineRule="exact"/>
              <w:ind w:firstLine="420" w:firstLineChars="200"/>
              <w:rPr>
                <w:rFonts w:ascii="宋体" w:hAnsi="宋体" w:eastAsia="宋体" w:cs="仿宋_GB2312"/>
                <w:b/>
                <w:szCs w:val="21"/>
              </w:rPr>
            </w:pPr>
            <w:r>
              <w:rPr>
                <w:rFonts w:hint="eastAsia" w:ascii="宋体" w:hAnsi="宋体" w:eastAsia="宋体" w:cs="仿宋_GB2312"/>
                <w:szCs w:val="21"/>
              </w:rPr>
              <w:t>6.投标声明（格式见第六章）；（</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14521146">
            <w:pPr>
              <w:snapToGrid w:val="0"/>
              <w:spacing w:line="400" w:lineRule="exact"/>
              <w:ind w:firstLine="420" w:firstLineChars="200"/>
              <w:rPr>
                <w:rFonts w:ascii="宋体" w:hAnsi="宋体" w:eastAsia="宋体" w:cs="仿宋_GB2312"/>
                <w:b/>
                <w:szCs w:val="21"/>
              </w:rPr>
            </w:pPr>
            <w:r>
              <w:rPr>
                <w:rFonts w:hint="eastAsia" w:ascii="宋体" w:hAnsi="宋体" w:eastAsia="宋体" w:cs="仿宋_GB2312"/>
                <w:szCs w:val="21"/>
              </w:rPr>
              <w:t>7.除招标文件规定必须提供以外，投标人认为需要提供的其他证明材料。（如有请提供）</w:t>
            </w:r>
          </w:p>
          <w:p w14:paraId="68F74387">
            <w:pPr>
              <w:snapToGrid w:val="0"/>
              <w:spacing w:line="400" w:lineRule="exact"/>
              <w:ind w:firstLine="422" w:firstLineChars="200"/>
              <w:rPr>
                <w:rFonts w:ascii="宋体" w:hAnsi="宋体" w:eastAsia="宋体" w:cs="仿宋_GB2312"/>
                <w:b/>
                <w:bCs/>
                <w:szCs w:val="21"/>
              </w:rPr>
            </w:pPr>
            <w:r>
              <w:rPr>
                <w:rFonts w:hint="eastAsia" w:ascii="宋体" w:hAnsi="宋体" w:eastAsia="宋体" w:cs="仿宋_GB2312"/>
                <w:b/>
                <w:bCs/>
                <w:szCs w:val="21"/>
              </w:rPr>
              <w:t>注：1.以上标明“必须提供”的材料属于复印件的，必须加盖投标人电子签章，否则按无效投标处理。</w:t>
            </w:r>
            <w:r>
              <w:rPr>
                <w:rFonts w:hint="eastAsia" w:ascii="宋体" w:hAnsi="宋体" w:eastAsia="宋体" w:cs="仿宋_GB2312"/>
                <w:b/>
                <w:szCs w:val="21"/>
              </w:rPr>
              <w:t>格式中有要求法定代表人或者委托代理人签字的，必须按要求签字（或是电子签名），并加盖投标人电子签章，否则投标文件按无效处理。</w:t>
            </w:r>
          </w:p>
          <w:p w14:paraId="4DAA0EC9">
            <w:pPr>
              <w:snapToGrid w:val="0"/>
              <w:spacing w:line="400" w:lineRule="exact"/>
              <w:ind w:firstLine="422" w:firstLineChars="200"/>
              <w:rPr>
                <w:rFonts w:ascii="宋体" w:hAnsi="宋体" w:eastAsia="宋体" w:cs="仿宋_GB2312"/>
                <w:szCs w:val="21"/>
              </w:rPr>
            </w:pPr>
            <w:r>
              <w:rPr>
                <w:rFonts w:hint="eastAsia" w:ascii="宋体" w:hAnsi="宋体" w:eastAsia="宋体" w:cs="仿宋_GB2312"/>
                <w:b/>
                <w:bCs/>
                <w:szCs w:val="21"/>
              </w:rPr>
              <w:t>2.联合体投标时，第1-5项资格证明文件联合体各方均必须分别提供，</w:t>
            </w:r>
            <w:r>
              <w:rPr>
                <w:rFonts w:hint="eastAsia" w:ascii="宋体" w:hAnsi="宋体" w:eastAsia="宋体" w:cs="仿宋_GB2312"/>
                <w:b/>
                <w:szCs w:val="21"/>
              </w:rPr>
              <w:t>并由联合体牵头人加盖电子签章，规定签字处签字</w:t>
            </w:r>
            <w:r>
              <w:rPr>
                <w:rFonts w:hint="eastAsia" w:ascii="宋体" w:hAnsi="宋体" w:eastAsia="宋体" w:cs="仿宋_GB2312"/>
                <w:b/>
                <w:bCs/>
                <w:szCs w:val="21"/>
              </w:rPr>
              <w:t>（或者电子签名），否则按无效投标</w:t>
            </w:r>
            <w:r>
              <w:rPr>
                <w:rFonts w:hint="eastAsia" w:ascii="宋体" w:hAnsi="宋体" w:eastAsia="宋体" w:cs="仿宋_GB2312"/>
                <w:b/>
                <w:szCs w:val="21"/>
              </w:rPr>
              <w:t>处理</w:t>
            </w:r>
            <w:r>
              <w:rPr>
                <w:rFonts w:hint="eastAsia" w:ascii="宋体" w:hAnsi="宋体" w:eastAsia="宋体" w:cs="仿宋_GB2312"/>
                <w:b/>
                <w:bCs/>
                <w:szCs w:val="21"/>
              </w:rPr>
              <w:t>。</w:t>
            </w:r>
          </w:p>
        </w:tc>
      </w:tr>
      <w:tr w14:paraId="5ED9B3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6798F4F9">
            <w:pPr>
              <w:spacing w:line="400" w:lineRule="exact"/>
              <w:rPr>
                <w:rFonts w:ascii="宋体" w:hAnsi="宋体" w:eastAsia="宋体" w:cs="仿宋_GB2312"/>
                <w:szCs w:val="21"/>
              </w:rPr>
            </w:pPr>
          </w:p>
        </w:tc>
        <w:tc>
          <w:tcPr>
            <w:tcW w:w="8175" w:type="dxa"/>
            <w:tcBorders>
              <w:top w:val="single" w:color="auto" w:sz="4" w:space="0"/>
              <w:left w:val="single" w:color="auto" w:sz="4" w:space="0"/>
              <w:bottom w:val="single" w:color="auto" w:sz="4" w:space="0"/>
              <w:right w:val="single" w:color="auto" w:sz="4" w:space="0"/>
            </w:tcBorders>
            <w:vAlign w:val="center"/>
          </w:tcPr>
          <w:p w14:paraId="7F60090F">
            <w:pPr>
              <w:spacing w:line="400" w:lineRule="exact"/>
              <w:ind w:firstLine="422" w:firstLineChars="200"/>
              <w:rPr>
                <w:rFonts w:ascii="宋体" w:hAnsi="宋体" w:eastAsia="宋体" w:cs="仿宋_GB2312"/>
                <w:b/>
                <w:szCs w:val="21"/>
              </w:rPr>
            </w:pPr>
            <w:r>
              <w:rPr>
                <w:rFonts w:hint="eastAsia" w:ascii="宋体" w:hAnsi="宋体" w:eastAsia="宋体" w:cs="仿宋_GB2312"/>
                <w:b/>
                <w:szCs w:val="21"/>
              </w:rPr>
              <w:t>商务及技术文件：</w:t>
            </w:r>
          </w:p>
          <w:p w14:paraId="5ADD0FA8">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1.无串通投标行为的承诺函（格式见第六章）；（</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6293328B">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2.投标保证金提交凭证；（</w:t>
            </w:r>
            <w:r>
              <w:rPr>
                <w:rFonts w:hint="eastAsia" w:ascii="宋体" w:hAnsi="宋体" w:eastAsia="宋体" w:cs="仿宋_GB2312"/>
                <w:b/>
                <w:bCs/>
                <w:szCs w:val="21"/>
              </w:rPr>
              <w:t>如要求提交投标保证金的则必须提供</w:t>
            </w:r>
            <w:r>
              <w:rPr>
                <w:rFonts w:hint="eastAsia" w:ascii="宋体" w:hAnsi="宋体" w:eastAsia="宋体" w:cs="仿宋_GB2312"/>
                <w:b/>
                <w:szCs w:val="21"/>
              </w:rPr>
              <w:t>，否则按无效投标处理</w:t>
            </w:r>
            <w:r>
              <w:rPr>
                <w:rFonts w:hint="eastAsia" w:ascii="宋体" w:hAnsi="宋体" w:eastAsia="宋体" w:cs="仿宋_GB2312"/>
                <w:szCs w:val="21"/>
              </w:rPr>
              <w:t>）</w:t>
            </w:r>
          </w:p>
          <w:p w14:paraId="23A6A073">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3.法定代表人身份证明及法定代表人有效身份证正反面复印件（格式见第六章）；（</w:t>
            </w:r>
            <w:r>
              <w:rPr>
                <w:rFonts w:hint="eastAsia" w:ascii="宋体" w:hAnsi="宋体" w:eastAsia="宋体" w:cs="仿宋_GB2312"/>
                <w:b/>
                <w:bCs/>
                <w:szCs w:val="21"/>
              </w:rPr>
              <w:t>除自然人投标外</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1045E1E4">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4.授权委托书及委托代理人有效身份证正反面复印件（格式见第六章）；（</w:t>
            </w:r>
            <w:r>
              <w:rPr>
                <w:rFonts w:hint="eastAsia" w:ascii="宋体" w:hAnsi="宋体" w:eastAsia="宋体" w:cs="仿宋_GB2312"/>
                <w:b/>
                <w:szCs w:val="21"/>
              </w:rPr>
              <w:t>委托时必须提供，否则按无效投标处理</w:t>
            </w:r>
            <w:r>
              <w:rPr>
                <w:rFonts w:hint="eastAsia" w:ascii="宋体" w:hAnsi="宋体" w:eastAsia="宋体" w:cs="仿宋_GB2312"/>
                <w:szCs w:val="21"/>
              </w:rPr>
              <w:t>）</w:t>
            </w:r>
          </w:p>
          <w:p w14:paraId="2F3D6649">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5.商务要求偏离表（格式见第六章）；（</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6ECC360D">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6.售后服务方案（格式自拟）；</w:t>
            </w:r>
          </w:p>
          <w:p w14:paraId="40DEF5AA">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7.投标人情况介绍（格式自拟）；（如有请提供）</w:t>
            </w:r>
          </w:p>
          <w:p w14:paraId="3AF55617">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8.投标人业绩证明材料（格式见第六章）；（如有请提供）</w:t>
            </w:r>
          </w:p>
          <w:p w14:paraId="40BA6833">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9.技术要求偏离表（格式见第六章）；（</w:t>
            </w:r>
            <w:r>
              <w:rPr>
                <w:rFonts w:hint="eastAsia" w:ascii="宋体" w:hAnsi="宋体" w:eastAsia="宋体" w:cs="仿宋_GB2312"/>
                <w:b/>
                <w:szCs w:val="21"/>
              </w:rPr>
              <w:t>必须提供，否则按无效投标处理</w:t>
            </w:r>
            <w:r>
              <w:rPr>
                <w:rFonts w:hint="eastAsia" w:ascii="宋体" w:hAnsi="宋体" w:eastAsia="宋体" w:cs="仿宋_GB2312"/>
                <w:szCs w:val="21"/>
              </w:rPr>
              <w:t>）</w:t>
            </w:r>
          </w:p>
          <w:p w14:paraId="1A8EFD5D">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10.项目实施方案（格式自拟）</w:t>
            </w:r>
          </w:p>
          <w:p w14:paraId="1ED0C4E5">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11.除招标文件规定必须提供以外，投标人认为需要提供的其他证明材料（格式自拟）。（投标人根据“第二章 采购需求”及“第四章 评标方法及评标标准”提供有关证明材料）。</w:t>
            </w:r>
          </w:p>
          <w:p w14:paraId="5D4D34F4">
            <w:pPr>
              <w:snapToGrid w:val="0"/>
              <w:spacing w:line="400" w:lineRule="exact"/>
              <w:ind w:firstLine="422" w:firstLineChars="200"/>
              <w:rPr>
                <w:rFonts w:ascii="宋体" w:hAnsi="宋体" w:eastAsia="宋体" w:cs="仿宋_GB2312"/>
                <w:b/>
                <w:bCs/>
                <w:szCs w:val="21"/>
              </w:rPr>
            </w:pPr>
            <w:r>
              <w:rPr>
                <w:rFonts w:hint="eastAsia" w:ascii="宋体" w:hAnsi="宋体" w:eastAsia="宋体" w:cs="仿宋_GB2312"/>
                <w:b/>
                <w:bCs/>
                <w:szCs w:val="21"/>
              </w:rPr>
              <w:t>注：以上标明“必须提供”的材料属于复印件的，必须加盖投标人电子签章，否则按无效投标处理。</w:t>
            </w:r>
            <w:r>
              <w:rPr>
                <w:rFonts w:hint="eastAsia" w:ascii="宋体" w:hAnsi="宋体" w:eastAsia="宋体" w:cs="仿宋_GB2312"/>
                <w:b/>
                <w:szCs w:val="21"/>
              </w:rPr>
              <w:t>格式中有要求法定代表人或者委托代理人签字的，必须按要求签字（或是电子签名），并加盖投标人电子签章，否则投标文件按无效处理。</w:t>
            </w:r>
          </w:p>
        </w:tc>
      </w:tr>
      <w:tr w14:paraId="24E1C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6624850E">
            <w:pPr>
              <w:spacing w:line="400" w:lineRule="exact"/>
              <w:jc w:val="center"/>
              <w:rPr>
                <w:rFonts w:ascii="宋体" w:hAnsi="宋体" w:eastAsia="宋体" w:cs="仿宋_GB2312"/>
                <w:szCs w:val="21"/>
              </w:rPr>
            </w:pPr>
            <w:bookmarkStart w:id="71" w:name="_13.3"/>
            <w:bookmarkEnd w:id="71"/>
            <w:bookmarkStart w:id="72" w:name="_16.2"/>
            <w:bookmarkEnd w:id="72"/>
            <w:bookmarkStart w:id="73" w:name="_13.5"/>
            <w:bookmarkEnd w:id="73"/>
            <w:bookmarkStart w:id="74" w:name="_13.4"/>
            <w:bookmarkEnd w:id="74"/>
            <w:r>
              <w:rPr>
                <w:rFonts w:hint="eastAsia" w:ascii="宋体" w:hAnsi="宋体" w:eastAsia="宋体" w:cs="仿宋_GB2312"/>
                <w:szCs w:val="21"/>
              </w:rPr>
              <w:t>16</w:t>
            </w:r>
            <w:bookmarkStart w:id="75" w:name="_Hlt19693758"/>
            <w:bookmarkStart w:id="76" w:name="_Hlt19194067"/>
            <w:bookmarkStart w:id="77" w:name="_Hlt19693759"/>
            <w:bookmarkStart w:id="78" w:name="_Hlt19194066"/>
            <w:r>
              <w:rPr>
                <w:rFonts w:hint="eastAsia" w:ascii="宋体" w:hAnsi="宋体" w:eastAsia="宋体" w:cs="仿宋_GB2312"/>
                <w:szCs w:val="21"/>
              </w:rPr>
              <w:t>.</w:t>
            </w:r>
            <w:bookmarkEnd w:id="75"/>
            <w:bookmarkEnd w:id="76"/>
            <w:bookmarkEnd w:id="77"/>
            <w:bookmarkEnd w:id="78"/>
            <w:r>
              <w:rPr>
                <w:rFonts w:hint="eastAsia" w:ascii="宋体" w:hAnsi="宋体" w:eastAsia="宋体" w:cs="仿宋_GB2312"/>
                <w:szCs w:val="21"/>
              </w:rPr>
              <w:t>2</w:t>
            </w:r>
          </w:p>
        </w:tc>
        <w:tc>
          <w:tcPr>
            <w:tcW w:w="8175" w:type="dxa"/>
            <w:tcBorders>
              <w:top w:val="single" w:color="auto" w:sz="4" w:space="0"/>
              <w:left w:val="single" w:color="auto" w:sz="4" w:space="0"/>
              <w:bottom w:val="single" w:color="auto" w:sz="4" w:space="0"/>
              <w:right w:val="single" w:color="auto" w:sz="4" w:space="0"/>
            </w:tcBorders>
            <w:vAlign w:val="center"/>
          </w:tcPr>
          <w:p w14:paraId="2DB08DC0">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投标报价是履行合同的最终价格，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中标人承担，合同履行过程中，采购人不再支付合同以外的其他费用。（采购需求另有约定的，按其约定）</w:t>
            </w:r>
          </w:p>
        </w:tc>
      </w:tr>
      <w:tr w14:paraId="3B3934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A7D7CAD">
            <w:pPr>
              <w:spacing w:line="400" w:lineRule="exact"/>
              <w:jc w:val="center"/>
              <w:rPr>
                <w:rFonts w:ascii="宋体" w:hAnsi="宋体" w:eastAsia="宋体" w:cs="仿宋_GB2312"/>
                <w:szCs w:val="21"/>
              </w:rPr>
            </w:pPr>
            <w:bookmarkStart w:id="79" w:name="_17.1"/>
            <w:bookmarkEnd w:id="79"/>
            <w:r>
              <w:rPr>
                <w:rFonts w:hint="eastAsia" w:ascii="宋体" w:hAnsi="宋体" w:eastAsia="宋体" w:cs="仿宋_GB2312"/>
                <w:szCs w:val="21"/>
              </w:rPr>
              <w:t>17.2</w:t>
            </w:r>
          </w:p>
        </w:tc>
        <w:tc>
          <w:tcPr>
            <w:tcW w:w="8175" w:type="dxa"/>
            <w:tcBorders>
              <w:top w:val="single" w:color="auto" w:sz="4" w:space="0"/>
              <w:left w:val="single" w:color="auto" w:sz="4" w:space="0"/>
              <w:bottom w:val="single" w:color="auto" w:sz="4" w:space="0"/>
              <w:right w:val="single" w:color="auto" w:sz="4" w:space="0"/>
            </w:tcBorders>
            <w:vAlign w:val="center"/>
          </w:tcPr>
          <w:p w14:paraId="174DC94F">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投标有效期：自投标截止之日起90日。</w:t>
            </w:r>
          </w:p>
        </w:tc>
      </w:tr>
      <w:tr w14:paraId="1A1BE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E282D20">
            <w:pPr>
              <w:spacing w:line="400" w:lineRule="exact"/>
              <w:jc w:val="center"/>
              <w:rPr>
                <w:rFonts w:ascii="宋体" w:hAnsi="宋体" w:eastAsia="宋体" w:cs="仿宋_GB2312"/>
                <w:szCs w:val="21"/>
              </w:rPr>
            </w:pPr>
            <w:bookmarkStart w:id="80" w:name="_18"/>
            <w:bookmarkEnd w:id="80"/>
            <w:r>
              <w:rPr>
                <w:rFonts w:hint="eastAsia" w:ascii="宋体" w:hAnsi="宋体" w:eastAsia="宋体" w:cs="仿宋_GB2312"/>
                <w:szCs w:val="21"/>
              </w:rPr>
              <w:t>18.1</w:t>
            </w:r>
          </w:p>
        </w:tc>
        <w:tc>
          <w:tcPr>
            <w:tcW w:w="8175" w:type="dxa"/>
            <w:tcBorders>
              <w:top w:val="single" w:color="auto" w:sz="4" w:space="0"/>
              <w:left w:val="single" w:color="auto" w:sz="4" w:space="0"/>
              <w:bottom w:val="single" w:color="auto" w:sz="4" w:space="0"/>
              <w:right w:val="single" w:color="auto" w:sz="4" w:space="0"/>
            </w:tcBorders>
            <w:vAlign w:val="center"/>
          </w:tcPr>
          <w:p w14:paraId="0061EB0C">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sym w:font="Wingdings 2" w:char="00A3"/>
            </w:r>
            <w:r>
              <w:rPr>
                <w:rFonts w:hint="eastAsia" w:ascii="宋体" w:hAnsi="宋体" w:eastAsia="宋体" w:cs="仿宋_GB2312"/>
                <w:szCs w:val="21"/>
              </w:rPr>
              <w:t>本项目不收取投标保证金。</w:t>
            </w:r>
          </w:p>
          <w:p w14:paraId="7DFCAE16">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szCs w:val="21"/>
              </w:rPr>
              <w:sym w:font="Wingdings 2" w:char="0052"/>
            </w:r>
            <w:r>
              <w:rPr>
                <w:rFonts w:hint="eastAsia" w:ascii="宋体" w:hAnsi="宋体" w:eastAsia="宋体" w:cs="仿宋_GB2312"/>
                <w:szCs w:val="21"/>
              </w:rPr>
              <w:t>本项目收取投标保证金</w:t>
            </w:r>
            <w:r>
              <w:rPr>
                <w:rFonts w:hint="eastAsia" w:ascii="宋体" w:hAnsi="宋体" w:eastAsia="宋体" w:cs="仿宋_GB2312"/>
                <w:bCs/>
                <w:szCs w:val="21"/>
              </w:rPr>
              <w:t>，具体要求如下：</w:t>
            </w:r>
          </w:p>
          <w:p w14:paraId="2B33609D">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bCs/>
                <w:szCs w:val="21"/>
              </w:rPr>
              <w:t>1.投标保证金金额：</w:t>
            </w:r>
            <w:r>
              <w:rPr>
                <w:rFonts w:hint="eastAsia" w:ascii="宋体" w:hAnsi="宋体" w:eastAsia="宋体" w:cs="仿宋_GB2312"/>
                <w:kern w:val="0"/>
                <w:szCs w:val="21"/>
              </w:rPr>
              <w:t>标项一为人民币贰万伍仟元整（¥25000.00）；标项二为人民币贰万玖仟元整（¥29000.00）；标项三为人民币壹万伍仟元整（¥15000.00）；标项四为人民币贰万陆仟元整（¥26000.00）。</w:t>
            </w:r>
          </w:p>
          <w:p w14:paraId="2751C62B">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bCs/>
                <w:szCs w:val="21"/>
              </w:rPr>
              <w:t>2.投标保证金的缴纳方式：</w:t>
            </w:r>
          </w:p>
          <w:p w14:paraId="3B7DD8A5">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bCs/>
                <w:szCs w:val="21"/>
              </w:rPr>
              <w:t>（1）以银行转账、支票、汇票、本票或者金融机构、担保机构出具的保函等非现金形式提交。采用银行转账方式的，在投标截止时间前交至采购代理机构指定账户并且到账。缴纳投标保证金指定账户的信息：</w:t>
            </w:r>
          </w:p>
          <w:p w14:paraId="77879C5D">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bCs/>
                <w:szCs w:val="21"/>
              </w:rPr>
              <w:t>开户名称：国信国际工程咨询集团股份有限公司广西分公司</w:t>
            </w:r>
          </w:p>
          <w:p w14:paraId="62ED8FF3">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bCs/>
                <w:szCs w:val="21"/>
              </w:rPr>
              <w:t>开户银行：招商银行南宁凤岭支行</w:t>
            </w:r>
          </w:p>
          <w:p w14:paraId="42BE3F8D">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bCs/>
                <w:szCs w:val="21"/>
              </w:rPr>
              <w:t>银行账号：</w:t>
            </w:r>
          </w:p>
          <w:p w14:paraId="6E8CC833">
            <w:pPr>
              <w:snapToGrid w:val="0"/>
              <w:spacing w:line="400" w:lineRule="exact"/>
              <w:ind w:firstLine="420" w:firstLineChars="200"/>
              <w:rPr>
                <w:rFonts w:ascii="宋体" w:hAnsi="宋体" w:eastAsia="宋体" w:cs="仿宋_GB2312"/>
                <w:bCs/>
                <w:szCs w:val="21"/>
              </w:rPr>
            </w:pPr>
            <w:r>
              <w:rPr>
                <w:rFonts w:hint="eastAsia" w:ascii="宋体" w:hAnsi="宋体" w:eastAsia="宋体" w:cs="仿宋_GB2312"/>
                <w:bCs/>
                <w:szCs w:val="21"/>
              </w:rPr>
              <w:t>（2）采用支票、汇票、本票或者保函等方式的，在投标截止时间前，投标人必须递交单独密封的支票、汇票、本票或者保函等原件给采购代理机构。</w:t>
            </w:r>
            <w:r>
              <w:rPr>
                <w:rFonts w:hint="eastAsia" w:ascii="宋体" w:hAnsi="宋体" w:eastAsia="宋体" w:cs="仿宋_GB2312"/>
                <w:b/>
                <w:szCs w:val="21"/>
              </w:rPr>
              <w:t>否则视为无效投标保证金。</w:t>
            </w:r>
            <w:r>
              <w:rPr>
                <w:rFonts w:hint="eastAsia" w:ascii="宋体" w:hAnsi="宋体" w:eastAsia="宋体" w:cs="仿宋_GB2312"/>
                <w:bCs/>
                <w:szCs w:val="21"/>
              </w:rPr>
              <w:t>采用电子保函的，无须递交电子保函原件。</w:t>
            </w:r>
          </w:p>
          <w:p w14:paraId="33BE4B6A">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3.相关要求：</w:t>
            </w:r>
          </w:p>
          <w:p w14:paraId="3EBCAC09">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（1）投标保证金采用银行转账缴纳方式的，在投标截止时间前交至指定账户并且到账，投标人应将银行转账底单的复印件作为投标保证金提交凭证，放置于商务文件中，否则按无效投标处理。</w:t>
            </w:r>
          </w:p>
          <w:p w14:paraId="1839D472">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2）投标保证金采用支票、汇票、本票或者银行、保险机构出具的保函缴纳方式的，投标人应将支票、汇票、本票或者银行、保险机构出具的保函的复印件作为投标保证金提交凭证，放置于商务文件中，否则按无效投标处理。投标人必须在投标截止时间前采用现场或邮寄方式（现场提交地址：广西壮族自治区公共资源交易中心（广西南宁市青秀区星湖路22号）（具体根据开标当日电子屏幕显示的安排）；邮寄地址：南宁市中柬路8号龙光世纪2号楼1716室，收件人：康晗，联系方式：0771-5514661）将单独密封的支票、汇票、本票或者银行、保险机构出具的保函原件提交给采购人或者采购代理机构，由采购人或者采购代理机构向投标人出具回执（邮寄方式的除外），并妥善保管。</w:t>
            </w:r>
          </w:p>
          <w:p w14:paraId="484E6CC1">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3）投标保证金采用电子保函缴纳方式的，具体详见《广西壮族自治区财政厅关于在政府采购活动中推广使用电子保函的通知》（桂财采〔2023〕92号）。电子保函有关业务操作流程和手册可从“广西政府采购金融服务平台”查阅下载，供应商在电子保函的申请、使用、查看应用过程中遇到问题可咨询技术支撑方:400-903-9583。投标人应将电子保函（或缴纳凭证）复印件作为投标保证金提交凭证，放置于商务文件中，否则按无效投标处理。</w:t>
            </w:r>
          </w:p>
          <w:p w14:paraId="4985B1C2">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（4）投标人为联合体的，可以由联合体中的一方或者多方共同缴纳投标保证金，其缴纳的保证金对联合体各方均具有约束力。</w:t>
            </w:r>
          </w:p>
          <w:p w14:paraId="26C4D29A">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备注：</w:t>
            </w:r>
          </w:p>
          <w:p w14:paraId="7E8EA4A6">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①投标保证金在投标截止时间后提交的，或者不按规定缴纳方式缴纳的，或者未足额缴纳的（包含保函额度不足的），视为无效投标保证金。</w:t>
            </w:r>
          </w:p>
          <w:p w14:paraId="65F433A4">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②投标人采用现钞方式或者从个人账户（自然人投标除外）转出的投标保证金，视为无效投标保证金。</w:t>
            </w:r>
          </w:p>
          <w:p w14:paraId="564BA44E">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③支票、汇票或者本票出现无效或者背书情形的，视为无效投标保证金。</w:t>
            </w:r>
          </w:p>
          <w:p w14:paraId="1E11181B">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④保函有效期低于投标有效期的，视为无效投标保证金。</w:t>
            </w:r>
          </w:p>
          <w:p w14:paraId="646BF4EC">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⑤采用银行、保险机构出具保函的，必须为无条件保函，否则视为无效投标保证金。</w:t>
            </w:r>
          </w:p>
          <w:p w14:paraId="2136237F">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⑥采用电子保函的，必须为无条件保函，否则视为无效投标保证金。</w:t>
            </w:r>
          </w:p>
        </w:tc>
      </w:tr>
      <w:tr w14:paraId="6E645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8" w:type="dxa"/>
            <w:tcBorders>
              <w:top w:val="single" w:color="auto" w:sz="4" w:space="0"/>
              <w:left w:val="single" w:color="auto" w:sz="4" w:space="0"/>
              <w:bottom w:val="single" w:color="auto" w:sz="4" w:space="0"/>
              <w:right w:val="single" w:color="auto" w:sz="4" w:space="0"/>
            </w:tcBorders>
            <w:vAlign w:val="center"/>
          </w:tcPr>
          <w:p w14:paraId="5EB9686A">
            <w:pPr>
              <w:spacing w:line="400" w:lineRule="exact"/>
              <w:jc w:val="center"/>
              <w:rPr>
                <w:rFonts w:ascii="宋体" w:hAnsi="宋体" w:eastAsia="宋体" w:cs="仿宋_GB2312"/>
                <w:szCs w:val="21"/>
              </w:rPr>
            </w:pPr>
            <w:bookmarkStart w:id="81" w:name="_19.2"/>
            <w:bookmarkEnd w:id="81"/>
            <w:bookmarkStart w:id="82" w:name="_21.1"/>
            <w:bookmarkEnd w:id="82"/>
            <w:r>
              <w:rPr>
                <w:rFonts w:hint="eastAsia" w:ascii="宋体" w:hAnsi="宋体" w:eastAsia="宋体" w:cs="仿宋_GB2312"/>
                <w:szCs w:val="21"/>
              </w:rPr>
              <w:t>20.2</w:t>
            </w:r>
          </w:p>
        </w:tc>
        <w:tc>
          <w:tcPr>
            <w:tcW w:w="8175" w:type="dxa"/>
            <w:tcBorders>
              <w:top w:val="single" w:color="auto" w:sz="4" w:space="0"/>
              <w:left w:val="single" w:color="auto" w:sz="4" w:space="0"/>
              <w:bottom w:val="single" w:color="auto" w:sz="4" w:space="0"/>
              <w:right w:val="single" w:color="auto" w:sz="4" w:space="0"/>
            </w:tcBorders>
            <w:vAlign w:val="center"/>
          </w:tcPr>
          <w:p w14:paraId="176D3828">
            <w:pPr>
              <w:autoSpaceDE w:val="0"/>
              <w:autoSpaceDN w:val="0"/>
              <w:adjustRightIn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本项目不接受电子备份投标文件</w:t>
            </w:r>
          </w:p>
        </w:tc>
      </w:tr>
      <w:tr w14:paraId="54C09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vAlign w:val="center"/>
          </w:tcPr>
          <w:p w14:paraId="797D450E">
            <w:pPr>
              <w:spacing w:line="400" w:lineRule="exact"/>
              <w:jc w:val="center"/>
              <w:rPr>
                <w:rFonts w:ascii="宋体" w:hAnsi="宋体" w:eastAsia="宋体" w:cs="仿宋_GB2312"/>
                <w:szCs w:val="21"/>
              </w:rPr>
            </w:pPr>
            <w:r>
              <w:rPr>
                <w:rFonts w:hint="eastAsia" w:ascii="宋体" w:hAnsi="宋体" w:eastAsia="宋体" w:cs="仿宋_GB2312"/>
                <w:szCs w:val="21"/>
              </w:rPr>
              <w:t>21.1</w:t>
            </w:r>
          </w:p>
        </w:tc>
        <w:tc>
          <w:tcPr>
            <w:tcW w:w="8175" w:type="dxa"/>
            <w:tcBorders>
              <w:top w:val="single" w:color="auto" w:sz="4" w:space="0"/>
              <w:left w:val="single" w:color="auto" w:sz="4" w:space="0"/>
              <w:bottom w:val="single" w:color="auto" w:sz="4" w:space="0"/>
              <w:right w:val="single" w:color="auto" w:sz="4" w:space="0"/>
            </w:tcBorders>
            <w:vAlign w:val="center"/>
          </w:tcPr>
          <w:p w14:paraId="53E7E7ED">
            <w:pPr>
              <w:snapToGrid w:val="0"/>
              <w:spacing w:line="400" w:lineRule="exact"/>
              <w:ind w:firstLine="420" w:firstLineChars="200"/>
              <w:rPr>
                <w:rFonts w:ascii="宋体" w:hAnsi="宋体" w:eastAsia="宋体" w:cs="仿宋_GB2312"/>
                <w:szCs w:val="21"/>
                <w:u w:val="single"/>
              </w:rPr>
            </w:pPr>
            <w:r>
              <w:rPr>
                <w:rFonts w:hint="eastAsia" w:ascii="宋体" w:hAnsi="宋体" w:eastAsia="宋体" w:cs="仿宋_GB2312"/>
                <w:szCs w:val="21"/>
              </w:rPr>
              <w:t>1.提交投标文件截止时间：详见招标公告</w:t>
            </w:r>
          </w:p>
          <w:p w14:paraId="7EDA1E60">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2.投标地点：详见招标公告</w:t>
            </w:r>
          </w:p>
        </w:tc>
      </w:tr>
      <w:tr w14:paraId="410D0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4B159D9">
            <w:pPr>
              <w:spacing w:line="400" w:lineRule="exact"/>
              <w:jc w:val="center"/>
              <w:rPr>
                <w:rFonts w:ascii="宋体" w:hAnsi="宋体" w:eastAsia="宋体" w:cs="仿宋_GB2312"/>
                <w:szCs w:val="21"/>
              </w:rPr>
            </w:pPr>
            <w:bookmarkStart w:id="83" w:name="_23"/>
            <w:bookmarkEnd w:id="83"/>
            <w:r>
              <w:rPr>
                <w:rFonts w:hint="eastAsia" w:ascii="宋体" w:hAnsi="宋体" w:eastAsia="宋体" w:cs="仿宋_GB2312"/>
                <w:szCs w:val="21"/>
              </w:rPr>
              <w:t>23</w:t>
            </w:r>
          </w:p>
        </w:tc>
        <w:tc>
          <w:tcPr>
            <w:tcW w:w="8175" w:type="dxa"/>
            <w:tcBorders>
              <w:top w:val="single" w:color="auto" w:sz="4" w:space="0"/>
              <w:left w:val="single" w:color="auto" w:sz="4" w:space="0"/>
              <w:bottom w:val="single" w:color="auto" w:sz="4" w:space="0"/>
              <w:right w:val="single" w:color="auto" w:sz="4" w:space="0"/>
            </w:tcBorders>
            <w:vAlign w:val="center"/>
          </w:tcPr>
          <w:p w14:paraId="5329C257">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1.开标时间：详见招标公告</w:t>
            </w:r>
          </w:p>
          <w:p w14:paraId="13B4FA47">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2.开标地点：详见招标公告</w:t>
            </w:r>
          </w:p>
        </w:tc>
      </w:tr>
      <w:tr w14:paraId="69DBE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62B728FA">
            <w:pPr>
              <w:spacing w:line="400" w:lineRule="exact"/>
              <w:jc w:val="center"/>
              <w:rPr>
                <w:rFonts w:ascii="宋体" w:hAnsi="宋体" w:eastAsia="宋体" w:cs="仿宋_GB2312"/>
                <w:szCs w:val="21"/>
              </w:rPr>
            </w:pPr>
            <w:r>
              <w:rPr>
                <w:rFonts w:hint="eastAsia" w:ascii="宋体" w:hAnsi="宋体" w:eastAsia="宋体" w:cs="仿宋_GB2312"/>
                <w:szCs w:val="21"/>
              </w:rPr>
              <w:t>24.2（1）</w:t>
            </w:r>
          </w:p>
        </w:tc>
        <w:tc>
          <w:tcPr>
            <w:tcW w:w="8175" w:type="dxa"/>
            <w:tcBorders>
              <w:top w:val="single" w:color="auto" w:sz="4" w:space="0"/>
              <w:left w:val="single" w:color="auto" w:sz="4" w:space="0"/>
              <w:bottom w:val="single" w:color="auto" w:sz="4" w:space="0"/>
              <w:right w:val="single" w:color="auto" w:sz="4" w:space="0"/>
            </w:tcBorders>
            <w:vAlign w:val="center"/>
          </w:tcPr>
          <w:p w14:paraId="509320B5">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电子投标文件解密时间：</w:t>
            </w:r>
            <w:r>
              <w:rPr>
                <w:rFonts w:hint="eastAsia" w:ascii="宋体" w:hAnsi="宋体" w:eastAsia="宋体" w:cs="仿宋_GB2312"/>
                <w:szCs w:val="21"/>
                <w:u w:val="single"/>
              </w:rPr>
              <w:t>30</w:t>
            </w:r>
            <w:r>
              <w:rPr>
                <w:rFonts w:hint="eastAsia" w:ascii="宋体" w:hAnsi="宋体" w:eastAsia="宋体" w:cs="仿宋_GB2312"/>
                <w:szCs w:val="21"/>
              </w:rPr>
              <w:t>分钟</w:t>
            </w:r>
          </w:p>
        </w:tc>
      </w:tr>
      <w:tr w14:paraId="02191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4162227">
            <w:pPr>
              <w:spacing w:line="400" w:lineRule="exact"/>
              <w:jc w:val="center"/>
              <w:rPr>
                <w:rFonts w:ascii="宋体" w:hAnsi="宋体" w:eastAsia="宋体" w:cs="仿宋_GB2312"/>
                <w:szCs w:val="21"/>
              </w:rPr>
            </w:pPr>
            <w:bookmarkStart w:id="84" w:name="_25.3"/>
            <w:bookmarkEnd w:id="84"/>
            <w:r>
              <w:rPr>
                <w:rFonts w:hint="eastAsia" w:ascii="宋体" w:hAnsi="宋体" w:eastAsia="宋体" w:cs="仿宋_GB2312"/>
                <w:szCs w:val="21"/>
              </w:rPr>
              <w:t>25.3（2）</w:t>
            </w:r>
          </w:p>
        </w:tc>
        <w:tc>
          <w:tcPr>
            <w:tcW w:w="8175" w:type="dxa"/>
            <w:tcBorders>
              <w:top w:val="single" w:color="auto" w:sz="4" w:space="0"/>
              <w:left w:val="single" w:color="auto" w:sz="4" w:space="0"/>
              <w:bottom w:val="single" w:color="auto" w:sz="4" w:space="0"/>
              <w:right w:val="single" w:color="auto" w:sz="4" w:space="0"/>
            </w:tcBorders>
            <w:vAlign w:val="center"/>
          </w:tcPr>
          <w:p w14:paraId="0581A76B">
            <w:pPr>
              <w:wordWrap w:val="0"/>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采购人或者采购代理机构在资格审查结束前，对投标人进行信用查询。</w:t>
            </w:r>
          </w:p>
          <w:p w14:paraId="6144151B">
            <w:pPr>
              <w:wordWrap w:val="0"/>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查询渠道：“信用中国”网站（www.creditchina.gov.cn） 、中国政府采购网（www.ccgp.gov.cn）。</w:t>
            </w:r>
          </w:p>
          <w:p w14:paraId="1DD490B0">
            <w:pPr>
              <w:wordWrap w:val="0"/>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信用查询截止时点：资格审查结束前</w:t>
            </w:r>
          </w:p>
          <w:p w14:paraId="119083EB">
            <w:pPr>
              <w:wordWrap w:val="0"/>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查询记录和证据留存方式：在查询网站中直接截图查询记录，截图作为在广西政府采购云平台（</w:t>
            </w:r>
            <w:r>
              <w:rPr>
                <w:rFonts w:hint="eastAsia" w:ascii="宋体" w:hAnsi="宋体" w:eastAsia="宋体" w:cs="仿宋_GB2312"/>
                <w:bCs/>
                <w:szCs w:val="21"/>
              </w:rPr>
              <w:t>https://www.gcy.zfcg.gxzf.gov.cn/</w:t>
            </w:r>
            <w:r>
              <w:rPr>
                <w:rFonts w:hint="eastAsia" w:ascii="宋体" w:hAnsi="宋体" w:eastAsia="宋体" w:cs="仿宋_GB2312"/>
                <w:szCs w:val="21"/>
              </w:rPr>
              <w:t>）作为附件上传保存。</w:t>
            </w:r>
          </w:p>
          <w:p w14:paraId="72A19D5F">
            <w:pPr>
              <w:wordWrap w:val="0"/>
              <w:snapToGrid w:val="0"/>
              <w:spacing w:line="400" w:lineRule="exact"/>
              <w:ind w:firstLine="420" w:firstLineChars="200"/>
              <w:rPr>
                <w:rFonts w:ascii="宋体" w:hAnsi="宋体" w:eastAsia="宋体" w:cs="仿宋_GB2312"/>
                <w:b/>
                <w:szCs w:val="21"/>
              </w:rPr>
            </w:pPr>
            <w:r>
              <w:rPr>
                <w:rFonts w:hint="eastAsia" w:ascii="宋体" w:hAnsi="宋体" w:eastAsia="宋体" w:cs="仿宋_GB2312"/>
                <w:szCs w:val="21"/>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或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38F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BC5017D">
            <w:pPr>
              <w:spacing w:line="400" w:lineRule="exact"/>
              <w:jc w:val="center"/>
              <w:rPr>
                <w:rFonts w:ascii="宋体" w:hAnsi="宋体" w:eastAsia="宋体" w:cs="仿宋_GB2312"/>
                <w:szCs w:val="21"/>
              </w:rPr>
            </w:pPr>
            <w:bookmarkStart w:id="85" w:name="_26"/>
            <w:bookmarkEnd w:id="85"/>
            <w:r>
              <w:rPr>
                <w:rFonts w:hint="eastAsia" w:ascii="宋体" w:hAnsi="宋体" w:eastAsia="宋体" w:cs="仿宋_GB2312"/>
                <w:szCs w:val="21"/>
              </w:rPr>
              <w:t>26.1</w:t>
            </w:r>
          </w:p>
        </w:tc>
        <w:tc>
          <w:tcPr>
            <w:tcW w:w="8175" w:type="dxa"/>
            <w:tcBorders>
              <w:top w:val="single" w:color="auto" w:sz="4" w:space="0"/>
              <w:left w:val="single" w:color="auto" w:sz="4" w:space="0"/>
              <w:bottom w:val="single" w:color="auto" w:sz="4" w:space="0"/>
              <w:right w:val="single" w:color="auto" w:sz="4" w:space="0"/>
            </w:tcBorders>
            <w:vAlign w:val="center"/>
          </w:tcPr>
          <w:p w14:paraId="35ED4997">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评标委员会的人数：</w:t>
            </w:r>
            <w:r>
              <w:rPr>
                <w:rFonts w:hint="eastAsia" w:ascii="宋体" w:hAnsi="宋体" w:eastAsia="宋体" w:cs="仿宋_GB2312"/>
                <w:szCs w:val="21"/>
                <w:u w:val="single"/>
              </w:rPr>
              <w:t>7</w:t>
            </w:r>
            <w:r>
              <w:rPr>
                <w:rFonts w:hint="eastAsia" w:ascii="宋体" w:hAnsi="宋体" w:eastAsia="宋体" w:cs="仿宋_GB2312"/>
                <w:szCs w:val="21"/>
              </w:rPr>
              <w:t>人</w:t>
            </w:r>
          </w:p>
        </w:tc>
      </w:tr>
      <w:tr w14:paraId="273ED8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6C01B638">
            <w:pPr>
              <w:spacing w:line="400" w:lineRule="exact"/>
              <w:jc w:val="center"/>
              <w:rPr>
                <w:rFonts w:ascii="宋体" w:hAnsi="宋体" w:eastAsia="宋体" w:cs="仿宋_GB2312"/>
                <w:szCs w:val="21"/>
              </w:rPr>
            </w:pPr>
            <w:bookmarkStart w:id="86" w:name="_28.3"/>
            <w:bookmarkEnd w:id="86"/>
            <w:r>
              <w:rPr>
                <w:rFonts w:hint="eastAsia" w:ascii="宋体" w:hAnsi="宋体" w:eastAsia="宋体" w:cs="仿宋_GB2312"/>
                <w:szCs w:val="21"/>
              </w:rPr>
              <w:t>29.1</w:t>
            </w:r>
          </w:p>
        </w:tc>
        <w:tc>
          <w:tcPr>
            <w:tcW w:w="8175" w:type="dxa"/>
            <w:tcBorders>
              <w:top w:val="single" w:color="auto" w:sz="4" w:space="0"/>
              <w:left w:val="single" w:color="auto" w:sz="4" w:space="0"/>
              <w:bottom w:val="single" w:color="auto" w:sz="4" w:space="0"/>
              <w:right w:val="single" w:color="auto" w:sz="4" w:space="0"/>
            </w:tcBorders>
            <w:vAlign w:val="center"/>
          </w:tcPr>
          <w:p w14:paraId="60A9721C">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评标方法：综合评分法</w:t>
            </w:r>
          </w:p>
        </w:tc>
      </w:tr>
      <w:tr w14:paraId="266BB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bottom w:val="single" w:color="auto" w:sz="4" w:space="0"/>
              <w:right w:val="single" w:color="auto" w:sz="4" w:space="0"/>
            </w:tcBorders>
            <w:vAlign w:val="center"/>
          </w:tcPr>
          <w:p w14:paraId="71854E74">
            <w:pPr>
              <w:spacing w:line="400" w:lineRule="exact"/>
              <w:jc w:val="center"/>
              <w:rPr>
                <w:rFonts w:ascii="宋体" w:hAnsi="宋体" w:eastAsia="宋体" w:cs="仿宋_GB2312"/>
                <w:szCs w:val="21"/>
              </w:rPr>
            </w:pPr>
            <w:bookmarkStart w:id="87" w:name="_29.2.2（2）"/>
            <w:bookmarkEnd w:id="87"/>
            <w:r>
              <w:rPr>
                <w:rFonts w:hint="eastAsia" w:ascii="宋体" w:hAnsi="宋体" w:eastAsia="宋体" w:cs="仿宋_GB2312"/>
                <w:szCs w:val="21"/>
              </w:rPr>
              <w:t>29.2</w:t>
            </w:r>
          </w:p>
        </w:tc>
        <w:tc>
          <w:tcPr>
            <w:tcW w:w="8175" w:type="dxa"/>
            <w:tcBorders>
              <w:top w:val="single" w:color="auto" w:sz="4" w:space="0"/>
              <w:left w:val="single" w:color="auto" w:sz="4" w:space="0"/>
              <w:right w:val="single" w:color="auto" w:sz="4" w:space="0"/>
            </w:tcBorders>
            <w:vAlign w:val="center"/>
          </w:tcPr>
          <w:p w14:paraId="47B9D756">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商务要求评审中允许负偏离的条款数为</w:t>
            </w:r>
            <w:r>
              <w:rPr>
                <w:rFonts w:hint="eastAsia" w:ascii="宋体" w:hAnsi="宋体" w:eastAsia="宋体" w:cs="仿宋_GB2312"/>
                <w:szCs w:val="21"/>
                <w:u w:val="single"/>
              </w:rPr>
              <w:t>0</w:t>
            </w:r>
            <w:r>
              <w:rPr>
                <w:rFonts w:hint="eastAsia" w:ascii="宋体" w:hAnsi="宋体" w:eastAsia="宋体" w:cs="仿宋_GB2312"/>
                <w:szCs w:val="21"/>
              </w:rPr>
              <w:t>项。</w:t>
            </w:r>
          </w:p>
          <w:p w14:paraId="679B4D07">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技术要求评审中允许负偏离的条款数为</w:t>
            </w:r>
            <w:r>
              <w:rPr>
                <w:rFonts w:hint="eastAsia" w:ascii="宋体" w:hAnsi="宋体" w:eastAsia="宋体" w:cs="仿宋_GB2312"/>
                <w:szCs w:val="21"/>
                <w:u w:val="single"/>
              </w:rPr>
              <w:t>0</w:t>
            </w:r>
            <w:r>
              <w:rPr>
                <w:rFonts w:hint="eastAsia" w:ascii="宋体" w:hAnsi="宋体" w:eastAsia="宋体" w:cs="仿宋_GB2312"/>
                <w:szCs w:val="21"/>
              </w:rPr>
              <w:t>项。</w:t>
            </w:r>
          </w:p>
        </w:tc>
      </w:tr>
      <w:tr w14:paraId="13308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vAlign w:val="center"/>
          </w:tcPr>
          <w:p w14:paraId="45835956">
            <w:pPr>
              <w:spacing w:line="400" w:lineRule="exact"/>
              <w:jc w:val="center"/>
              <w:rPr>
                <w:rFonts w:ascii="宋体" w:hAnsi="宋体" w:eastAsia="宋体" w:cs="仿宋_GB2312"/>
                <w:szCs w:val="21"/>
              </w:rPr>
            </w:pPr>
            <w:r>
              <w:rPr>
                <w:rFonts w:hint="eastAsia" w:ascii="宋体" w:hAnsi="宋体" w:eastAsia="宋体" w:cs="仿宋_GB2312"/>
                <w:szCs w:val="21"/>
              </w:rPr>
              <w:t>29.3</w:t>
            </w:r>
          </w:p>
        </w:tc>
        <w:tc>
          <w:tcPr>
            <w:tcW w:w="8175" w:type="dxa"/>
            <w:tcBorders>
              <w:top w:val="single" w:color="auto" w:sz="4" w:space="0"/>
              <w:left w:val="single" w:color="auto" w:sz="4" w:space="0"/>
              <w:right w:val="single" w:color="auto" w:sz="4" w:space="0"/>
            </w:tcBorders>
            <w:vAlign w:val="center"/>
          </w:tcPr>
          <w:p w14:paraId="34909093">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中标候选人推荐数量：</w:t>
            </w:r>
          </w:p>
          <w:p w14:paraId="578029B5">
            <w:pPr>
              <w:snapToGrid w:val="0"/>
              <w:spacing w:line="400" w:lineRule="exact"/>
              <w:ind w:firstLine="420" w:firstLineChars="200"/>
              <w:rPr>
                <w:rFonts w:ascii="宋体" w:hAnsi="宋体" w:eastAsia="宋体" w:cs="仿宋_GB2312"/>
                <w:szCs w:val="21"/>
              </w:rPr>
            </w:pPr>
            <w:r>
              <w:rPr>
                <w:rFonts w:hint="eastAsia" w:ascii="MS Mincho" w:hAnsi="MS Mincho" w:eastAsia="MS Mincho" w:cs="MS Mincho"/>
                <w:szCs w:val="21"/>
              </w:rPr>
              <w:t>☑</w:t>
            </w:r>
            <w:r>
              <w:rPr>
                <w:rFonts w:ascii="宋体" w:hAnsi="宋体" w:eastAsia="宋体" w:cs="仿宋_GB2312"/>
                <w:szCs w:val="21"/>
              </w:rPr>
              <w:t>3</w:t>
            </w:r>
            <w:r>
              <w:rPr>
                <w:rFonts w:hint="eastAsia" w:ascii="宋体" w:hAnsi="宋体" w:eastAsia="宋体" w:cs="仿宋_GB2312"/>
                <w:szCs w:val="21"/>
              </w:rPr>
              <w:t>名</w:t>
            </w:r>
          </w:p>
          <w:p w14:paraId="6E66E1F5">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根据</w:t>
            </w:r>
            <w:r>
              <w:rPr>
                <w:rFonts w:ascii="宋体" w:hAnsi="宋体" w:eastAsia="宋体" w:cs="仿宋_GB2312"/>
                <w:szCs w:val="21"/>
              </w:rPr>
              <w:t>[</w:t>
            </w:r>
            <w:r>
              <w:rPr>
                <w:rFonts w:hint="eastAsia" w:ascii="宋体" w:hAnsi="宋体" w:eastAsia="宋体" w:cs="仿宋_GB2312"/>
                <w:szCs w:val="21"/>
              </w:rPr>
              <w:t>总得分由高到低</w:t>
            </w:r>
            <w:r>
              <w:rPr>
                <w:rFonts w:ascii="宋体" w:hAnsi="宋体" w:eastAsia="宋体" w:cs="仿宋_GB2312"/>
                <w:szCs w:val="21"/>
              </w:rPr>
              <w:t>]</w:t>
            </w:r>
            <w:r>
              <w:rPr>
                <w:rFonts w:hint="eastAsia" w:ascii="宋体" w:hAnsi="宋体" w:eastAsia="宋体" w:cs="仿宋_GB2312"/>
                <w:szCs w:val="21"/>
              </w:rPr>
              <w:t>排列次序并全部推荐为中标候选人</w:t>
            </w:r>
          </w:p>
        </w:tc>
      </w:tr>
      <w:tr w14:paraId="469F7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8C9F39B">
            <w:pPr>
              <w:spacing w:line="400" w:lineRule="exact"/>
              <w:jc w:val="center"/>
              <w:rPr>
                <w:rFonts w:ascii="宋体" w:hAnsi="宋体" w:eastAsia="宋体" w:cs="仿宋_GB2312"/>
                <w:szCs w:val="21"/>
              </w:rPr>
            </w:pPr>
            <w:r>
              <w:rPr>
                <w:rFonts w:hint="eastAsia" w:ascii="宋体" w:hAnsi="宋体" w:eastAsia="宋体" w:cs="仿宋_GB2312"/>
                <w:szCs w:val="21"/>
              </w:rPr>
              <w:t>30.1</w:t>
            </w:r>
          </w:p>
        </w:tc>
        <w:tc>
          <w:tcPr>
            <w:tcW w:w="8175" w:type="dxa"/>
            <w:tcBorders>
              <w:top w:val="single" w:color="auto" w:sz="4" w:space="0"/>
              <w:left w:val="single" w:color="auto" w:sz="4" w:space="0"/>
              <w:bottom w:val="single" w:color="auto" w:sz="4" w:space="0"/>
              <w:right w:val="single" w:color="auto" w:sz="4" w:space="0"/>
            </w:tcBorders>
            <w:vAlign w:val="center"/>
          </w:tcPr>
          <w:p w14:paraId="7E940C51">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1.采用综合评分法的采购项目，采购人确定中标人时，出现中标候选人并列的情形，采购人按以下的方式确定中标人：</w:t>
            </w:r>
          </w:p>
          <w:p w14:paraId="6194D5CB">
            <w:pPr>
              <w:wordWrap w:val="0"/>
              <w:snapToGrid w:val="0"/>
              <w:spacing w:line="400" w:lineRule="exact"/>
              <w:ind w:firstLine="420" w:firstLineChars="200"/>
              <w:jc w:val="left"/>
              <w:rPr>
                <w:rFonts w:ascii="宋体" w:hAnsi="宋体" w:eastAsia="宋体" w:cs="仿宋_GB2312"/>
                <w:szCs w:val="21"/>
              </w:rPr>
            </w:pPr>
            <w:r>
              <w:rPr>
                <w:rFonts w:hint="eastAsia" w:ascii="宋体" w:hAnsi="宋体" w:eastAsia="宋体" w:cs="仿宋_GB2312"/>
                <w:szCs w:val="21"/>
              </w:rPr>
              <w:t>依次按投标报价低的优先、技术评分高的优先、商务评分高的优先、质量保证期长优先、交货期短优先、故障响应时间短优先、</w:t>
            </w:r>
            <w:bookmarkStart w:id="88" w:name="OLE_LINK5"/>
            <w:r>
              <w:rPr>
                <w:rFonts w:hint="eastAsia" w:ascii="宋体" w:hAnsi="宋体" w:eastAsia="宋体" w:cs="仿宋_GB2312"/>
                <w:szCs w:val="21"/>
              </w:rPr>
              <w:t>政策分得分高的优先</w:t>
            </w:r>
            <w:bookmarkEnd w:id="88"/>
            <w:r>
              <w:rPr>
                <w:rFonts w:hint="eastAsia" w:ascii="宋体" w:hAnsi="宋体" w:eastAsia="宋体" w:cs="仿宋_GB2312"/>
                <w:szCs w:val="21"/>
              </w:rPr>
              <w:t>的顺序确定。</w:t>
            </w:r>
          </w:p>
          <w:p w14:paraId="4DEB3FEF">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2.采用最低评标价法的采购项目，评标价相同时，按以下原则确定成交候选人的顺序：</w:t>
            </w:r>
          </w:p>
          <w:p w14:paraId="38992319">
            <w:pPr>
              <w:autoSpaceDE w:val="0"/>
              <w:autoSpaceDN w:val="0"/>
              <w:snapToGrid w:val="0"/>
              <w:spacing w:line="400" w:lineRule="exact"/>
              <w:ind w:firstLine="420" w:firstLineChars="200"/>
              <w:textAlignment w:val="bottom"/>
              <w:rPr>
                <w:rFonts w:ascii="宋体" w:hAnsi="宋体" w:eastAsia="宋体" w:cs="仿宋_GB2312"/>
                <w:iCs/>
                <w:szCs w:val="21"/>
              </w:rPr>
            </w:pPr>
            <w:r>
              <w:rPr>
                <w:rFonts w:hint="eastAsia" w:ascii="宋体" w:hAnsi="宋体" w:eastAsia="宋体" w:cs="仿宋_GB2312"/>
                <w:szCs w:val="21"/>
              </w:rPr>
              <w:t>依次按带“▲”的实质性要求正偏离项数多的优先、均无正偏离或者正偏离项数一致时负偏离项数少的优先、质量保证期长优先、交货期短优先、故障响应时间短优先、节能环保产品累计金额多的优先的顺序排列。</w:t>
            </w:r>
          </w:p>
        </w:tc>
      </w:tr>
      <w:tr w14:paraId="1F123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vAlign w:val="center"/>
          </w:tcPr>
          <w:p w14:paraId="0433E0D6">
            <w:pPr>
              <w:spacing w:line="400" w:lineRule="exact"/>
              <w:jc w:val="center"/>
              <w:rPr>
                <w:rFonts w:ascii="宋体" w:hAnsi="宋体" w:eastAsia="宋体" w:cs="仿宋_GB2312"/>
                <w:szCs w:val="21"/>
              </w:rPr>
            </w:pPr>
            <w:bookmarkStart w:id="89" w:name="_39.1"/>
            <w:bookmarkEnd w:id="89"/>
            <w:r>
              <w:rPr>
                <w:rFonts w:hint="eastAsia" w:ascii="宋体" w:hAnsi="宋体" w:eastAsia="宋体" w:cs="仿宋_GB2312"/>
                <w:szCs w:val="21"/>
              </w:rPr>
              <w:t>35.1</w:t>
            </w:r>
          </w:p>
        </w:tc>
        <w:tc>
          <w:tcPr>
            <w:tcW w:w="8175" w:type="dxa"/>
            <w:tcBorders>
              <w:top w:val="single" w:color="auto" w:sz="4" w:space="0"/>
              <w:left w:val="single" w:color="auto" w:sz="4" w:space="0"/>
              <w:bottom w:val="single" w:color="auto" w:sz="4" w:space="0"/>
              <w:right w:val="single" w:color="auto" w:sz="4" w:space="0"/>
            </w:tcBorders>
            <w:vAlign w:val="center"/>
          </w:tcPr>
          <w:p w14:paraId="5BBF2889">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sym w:font="Wingdings 2" w:char="00A3"/>
            </w:r>
            <w:r>
              <w:rPr>
                <w:rFonts w:hint="eastAsia" w:ascii="宋体" w:hAnsi="宋体" w:eastAsia="宋体" w:cs="仿宋_GB2312"/>
                <w:szCs w:val="21"/>
              </w:rPr>
              <w:t>本项目不收取履约保证金。</w:t>
            </w:r>
          </w:p>
          <w:p w14:paraId="5E87B522">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sym w:font="Wingdings 2" w:char="0052"/>
            </w:r>
            <w:r>
              <w:rPr>
                <w:rFonts w:hint="eastAsia" w:ascii="宋体" w:hAnsi="宋体" w:eastAsia="宋体" w:cs="仿宋_GB2312"/>
                <w:szCs w:val="21"/>
              </w:rPr>
              <w:t>本项目收取履约保证金。</w:t>
            </w:r>
          </w:p>
          <w:p w14:paraId="26E09C52">
            <w:pPr>
              <w:autoSpaceDE w:val="0"/>
              <w:autoSpaceDN w:val="0"/>
              <w:snapToGrid w:val="0"/>
              <w:spacing w:line="400" w:lineRule="exact"/>
              <w:ind w:firstLine="420" w:firstLineChars="200"/>
              <w:textAlignment w:val="bottom"/>
              <w:rPr>
                <w:rFonts w:ascii="宋体" w:hAnsi="宋体" w:eastAsia="宋体" w:cs="仿宋_GB2312"/>
                <w:iCs/>
                <w:szCs w:val="21"/>
              </w:rPr>
            </w:pPr>
            <w:r>
              <w:rPr>
                <w:rFonts w:hint="eastAsia" w:ascii="宋体" w:hAnsi="宋体" w:eastAsia="宋体" w:cs="仿宋_GB2312"/>
                <w:iCs/>
                <w:szCs w:val="21"/>
              </w:rPr>
              <w:t>履约保证金金额：</w:t>
            </w:r>
            <w:r>
              <w:rPr>
                <w:rFonts w:hint="eastAsia" w:ascii="宋体" w:hAnsi="宋体" w:eastAsia="宋体" w:cs="仿宋_GB2312"/>
                <w:iCs/>
                <w:szCs w:val="21"/>
                <w:u w:val="single"/>
              </w:rPr>
              <w:t>按各标项合同金额的5%，如中标人为中小企业的，则按各标项合同金额的2%</w:t>
            </w:r>
            <w:r>
              <w:rPr>
                <w:rFonts w:hint="eastAsia" w:ascii="宋体" w:hAnsi="宋体" w:eastAsia="宋体" w:cs="仿宋_GB2312"/>
                <w:iCs/>
                <w:szCs w:val="21"/>
              </w:rPr>
              <w:t>。</w:t>
            </w:r>
          </w:p>
          <w:p w14:paraId="206558A3">
            <w:pPr>
              <w:autoSpaceDE w:val="0"/>
              <w:autoSpaceDN w:val="0"/>
              <w:snapToGrid w:val="0"/>
              <w:spacing w:line="400" w:lineRule="exact"/>
              <w:ind w:firstLine="420" w:firstLineChars="200"/>
              <w:textAlignment w:val="bottom"/>
              <w:rPr>
                <w:rFonts w:ascii="宋体" w:hAnsi="宋体" w:eastAsia="宋体" w:cs="仿宋_GB2312"/>
                <w:iCs/>
                <w:szCs w:val="21"/>
              </w:rPr>
            </w:pPr>
            <w:r>
              <w:rPr>
                <w:rFonts w:hint="eastAsia" w:ascii="宋体" w:hAnsi="宋体" w:eastAsia="宋体" w:cs="仿宋_GB2312"/>
                <w:iCs/>
                <w:szCs w:val="21"/>
              </w:rPr>
              <w:t>履约保证金递交方式：中标人在签订合同前以银行转账、支票、汇票、本票或者金融机构、担保机构出具的保函等非现金方式向采购人提交。</w:t>
            </w:r>
          </w:p>
          <w:p w14:paraId="37A9FA00">
            <w:pPr>
              <w:autoSpaceDE w:val="0"/>
              <w:autoSpaceDN w:val="0"/>
              <w:snapToGrid w:val="0"/>
              <w:spacing w:line="400" w:lineRule="exact"/>
              <w:ind w:firstLine="420" w:firstLineChars="200"/>
              <w:textAlignment w:val="bottom"/>
              <w:rPr>
                <w:rFonts w:ascii="宋体" w:hAnsi="宋体" w:eastAsia="宋体" w:cs="仿宋_GB2312"/>
                <w:iCs/>
                <w:szCs w:val="21"/>
              </w:rPr>
            </w:pPr>
            <w:r>
              <w:rPr>
                <w:rFonts w:hint="eastAsia" w:ascii="宋体" w:hAnsi="宋体" w:eastAsia="宋体" w:cs="仿宋_GB2312"/>
                <w:iCs/>
                <w:szCs w:val="21"/>
              </w:rPr>
              <w:t>履约保证金退付方式、时间及条件：本项目</w:t>
            </w:r>
            <w:r>
              <w:rPr>
                <w:rFonts w:hint="eastAsia" w:ascii="宋体" w:hAnsi="宋体" w:eastAsia="宋体" w:cs="仿宋_GB2312"/>
                <w:szCs w:val="21"/>
              </w:rPr>
              <w:t>合同履约期限</w:t>
            </w:r>
            <w:r>
              <w:rPr>
                <w:rFonts w:hint="eastAsia" w:ascii="宋体" w:hAnsi="宋体" w:eastAsia="宋体" w:cs="仿宋_GB2312"/>
                <w:iCs/>
                <w:szCs w:val="21"/>
              </w:rPr>
              <w:t>满，中标人履行完服务义务且无违约情况下无息退付。由中标人向采购人提供《广西壮族自治区政府采购项目合同验收书》（详见桂财采〔2015〕22号），采购人在收到合格材料后10个工作日内办理退还手续（不计利息）。</w:t>
            </w:r>
          </w:p>
          <w:p w14:paraId="7D167EB7">
            <w:pPr>
              <w:autoSpaceDE w:val="0"/>
              <w:autoSpaceDN w:val="0"/>
              <w:snapToGrid w:val="0"/>
              <w:spacing w:line="400" w:lineRule="exact"/>
              <w:ind w:firstLine="420" w:firstLineChars="200"/>
              <w:textAlignment w:val="bottom"/>
              <w:rPr>
                <w:rFonts w:ascii="宋体" w:hAnsi="宋体" w:eastAsia="宋体" w:cs="仿宋_GB2312"/>
                <w:iCs/>
                <w:szCs w:val="21"/>
              </w:rPr>
            </w:pPr>
            <w:r>
              <w:rPr>
                <w:rFonts w:hint="eastAsia" w:ascii="宋体" w:hAnsi="宋体" w:eastAsia="宋体" w:cs="仿宋_GB2312"/>
                <w:iCs/>
                <w:szCs w:val="21"/>
              </w:rPr>
              <w:t>履约保证金指定账户：</w:t>
            </w:r>
          </w:p>
          <w:p w14:paraId="67F2C06E">
            <w:pPr>
              <w:autoSpaceDE w:val="0"/>
              <w:autoSpaceDN w:val="0"/>
              <w:snapToGrid w:val="0"/>
              <w:spacing w:line="400" w:lineRule="exact"/>
              <w:ind w:firstLine="420" w:firstLineChars="200"/>
              <w:textAlignment w:val="bottom"/>
              <w:rPr>
                <w:rFonts w:ascii="宋体" w:hAnsi="宋体" w:eastAsia="宋体" w:cs="仿宋_GB2312"/>
                <w:bCs/>
                <w:iCs/>
                <w:szCs w:val="21"/>
              </w:rPr>
            </w:pPr>
            <w:r>
              <w:rPr>
                <w:rFonts w:hint="eastAsia" w:ascii="宋体" w:hAnsi="宋体" w:eastAsia="宋体" w:cs="仿宋_GB2312"/>
                <w:bCs/>
                <w:iCs/>
                <w:szCs w:val="21"/>
              </w:rPr>
              <w:t>开户名称：广西交通职业技术学院</w:t>
            </w:r>
          </w:p>
          <w:p w14:paraId="6B405B7B">
            <w:pPr>
              <w:autoSpaceDE w:val="0"/>
              <w:autoSpaceDN w:val="0"/>
              <w:snapToGrid w:val="0"/>
              <w:spacing w:line="400" w:lineRule="exact"/>
              <w:ind w:firstLine="420" w:firstLineChars="200"/>
              <w:textAlignment w:val="bottom"/>
              <w:rPr>
                <w:rFonts w:ascii="宋体" w:hAnsi="宋体" w:eastAsia="宋体" w:cs="仿宋_GB2312"/>
                <w:bCs/>
                <w:iCs/>
                <w:szCs w:val="21"/>
              </w:rPr>
            </w:pPr>
            <w:r>
              <w:rPr>
                <w:rFonts w:hint="eastAsia" w:ascii="宋体" w:hAnsi="宋体" w:eastAsia="宋体" w:cs="仿宋_GB2312"/>
                <w:bCs/>
                <w:iCs/>
                <w:szCs w:val="21"/>
              </w:rPr>
              <w:t>开户银行：中国建设银行股份有限公司南宁园湖北路支行</w:t>
            </w:r>
          </w:p>
          <w:p w14:paraId="716BB4EF">
            <w:pPr>
              <w:autoSpaceDE w:val="0"/>
              <w:autoSpaceDN w:val="0"/>
              <w:snapToGrid w:val="0"/>
              <w:spacing w:line="400" w:lineRule="exact"/>
              <w:ind w:firstLine="420" w:firstLineChars="200"/>
              <w:textAlignment w:val="bottom"/>
              <w:rPr>
                <w:rFonts w:ascii="宋体" w:hAnsi="宋体" w:eastAsia="宋体" w:cs="仿宋_GB2312"/>
                <w:bCs/>
                <w:iCs/>
                <w:szCs w:val="21"/>
              </w:rPr>
            </w:pPr>
            <w:r>
              <w:rPr>
                <w:rFonts w:hint="eastAsia" w:ascii="宋体" w:hAnsi="宋体" w:eastAsia="宋体" w:cs="仿宋_GB2312"/>
                <w:bCs/>
                <w:iCs/>
                <w:szCs w:val="21"/>
              </w:rPr>
              <w:t>银行账号：45050160435309888999</w:t>
            </w:r>
          </w:p>
          <w:p w14:paraId="54CAD1EB">
            <w:pPr>
              <w:autoSpaceDE w:val="0"/>
              <w:autoSpaceDN w:val="0"/>
              <w:snapToGrid w:val="0"/>
              <w:spacing w:line="400" w:lineRule="exact"/>
              <w:ind w:firstLine="422" w:firstLineChars="200"/>
              <w:textAlignment w:val="bottom"/>
              <w:rPr>
                <w:rFonts w:ascii="宋体" w:hAnsi="宋体" w:eastAsia="宋体" w:cs="仿宋_GB2312"/>
                <w:b/>
                <w:iCs/>
                <w:szCs w:val="21"/>
              </w:rPr>
            </w:pPr>
            <w:r>
              <w:rPr>
                <w:rFonts w:hint="eastAsia" w:ascii="宋体" w:hAnsi="宋体" w:eastAsia="宋体" w:cs="仿宋_GB2312"/>
                <w:b/>
                <w:iCs/>
                <w:szCs w:val="21"/>
              </w:rPr>
              <w:t>备注：</w:t>
            </w:r>
          </w:p>
          <w:p w14:paraId="2A96BA8A">
            <w:pPr>
              <w:autoSpaceDE w:val="0"/>
              <w:autoSpaceDN w:val="0"/>
              <w:snapToGrid w:val="0"/>
              <w:spacing w:line="400" w:lineRule="exact"/>
              <w:ind w:firstLine="422" w:firstLineChars="200"/>
              <w:textAlignment w:val="bottom"/>
              <w:rPr>
                <w:rFonts w:ascii="宋体" w:hAnsi="宋体" w:eastAsia="宋体" w:cs="仿宋_GB2312"/>
                <w:b/>
                <w:iCs/>
                <w:szCs w:val="21"/>
              </w:rPr>
            </w:pPr>
            <w:r>
              <w:rPr>
                <w:rFonts w:hint="eastAsia" w:ascii="宋体" w:hAnsi="宋体" w:eastAsia="宋体" w:cs="仿宋_GB2312"/>
                <w:b/>
                <w:iCs/>
                <w:szCs w:val="21"/>
              </w:rPr>
              <w:t>1.根据《广西壮族自治区财政厅关于贯彻落实政府采购优化营商环境百日攻坚行动方案的通知》（桂财采〔2020〕49号）、《广西壮族自治区财政厅关于规范政府采购货物和服务项目保证金管理的通知》（桂财规〔2022〕8号）和《广西壮族自治区财政厅关于持续优化政府采购营商环境推动高质量发展的通知》（桂财采〔2024〕55号），采购文件要求中标或者中标人提交履约保证金的，履约保证金数额不得超过政府采购合同金额的5%，对中小企业收取的履约保证金数额不得超过政府采购合同金额的2%。采购人可根据供应商的资信等情况减免履约保证金。</w:t>
            </w:r>
          </w:p>
          <w:p w14:paraId="72E4A35E">
            <w:pPr>
              <w:autoSpaceDE w:val="0"/>
              <w:autoSpaceDN w:val="0"/>
              <w:snapToGrid w:val="0"/>
              <w:spacing w:line="400" w:lineRule="exact"/>
              <w:ind w:firstLine="422" w:firstLineChars="200"/>
              <w:textAlignment w:val="bottom"/>
              <w:rPr>
                <w:rFonts w:ascii="宋体" w:hAnsi="宋体" w:eastAsia="宋体" w:cs="仿宋_GB2312"/>
                <w:b/>
                <w:iCs/>
                <w:szCs w:val="21"/>
              </w:rPr>
            </w:pPr>
            <w:r>
              <w:rPr>
                <w:rFonts w:hint="eastAsia" w:ascii="宋体" w:hAnsi="宋体" w:eastAsia="宋体" w:cs="仿宋_GB2312"/>
                <w:b/>
                <w:iCs/>
                <w:szCs w:val="21"/>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052B6BC3">
            <w:pPr>
              <w:autoSpaceDE w:val="0"/>
              <w:autoSpaceDN w:val="0"/>
              <w:snapToGrid w:val="0"/>
              <w:spacing w:line="400" w:lineRule="exact"/>
              <w:ind w:firstLine="422" w:firstLineChars="200"/>
              <w:textAlignment w:val="bottom"/>
              <w:rPr>
                <w:rFonts w:ascii="宋体" w:hAnsi="宋体" w:eastAsia="宋体" w:cs="仿宋_GB2312"/>
                <w:b/>
                <w:iCs/>
                <w:szCs w:val="21"/>
              </w:rPr>
            </w:pPr>
            <w:r>
              <w:rPr>
                <w:rFonts w:hint="eastAsia" w:ascii="宋体" w:hAnsi="宋体" w:eastAsia="宋体" w:cs="仿宋_GB2312"/>
                <w:b/>
                <w:iCs/>
                <w:szCs w:val="21"/>
              </w:rPr>
              <w:t>3.采用银行、保险机构出具的保函的，必须为无条件保函，否则不予签订合同。</w:t>
            </w:r>
          </w:p>
          <w:p w14:paraId="1D3DC8C0">
            <w:pPr>
              <w:autoSpaceDE w:val="0"/>
              <w:autoSpaceDN w:val="0"/>
              <w:snapToGrid w:val="0"/>
              <w:spacing w:line="400" w:lineRule="exact"/>
              <w:ind w:firstLine="422" w:firstLineChars="200"/>
              <w:textAlignment w:val="bottom"/>
              <w:rPr>
                <w:rFonts w:ascii="宋体" w:hAnsi="宋体" w:eastAsia="宋体" w:cs="仿宋_GB2312"/>
                <w:szCs w:val="21"/>
              </w:rPr>
            </w:pPr>
            <w:r>
              <w:rPr>
                <w:rFonts w:hint="eastAsia" w:ascii="宋体" w:hAnsi="宋体" w:eastAsia="宋体" w:cs="仿宋_GB2312"/>
                <w:b/>
                <w:iCs/>
                <w:szCs w:val="21"/>
              </w:rPr>
              <w:t>4.投标人为联合体的，由联合体其中一方按规定提交的履约保证金，视为有效履约保证金。</w:t>
            </w:r>
          </w:p>
        </w:tc>
      </w:tr>
      <w:tr w14:paraId="279084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22B8A63">
            <w:pPr>
              <w:spacing w:line="400" w:lineRule="exact"/>
              <w:jc w:val="center"/>
              <w:rPr>
                <w:rFonts w:ascii="宋体" w:hAnsi="宋体" w:eastAsia="宋体" w:cs="仿宋_GB2312"/>
                <w:szCs w:val="21"/>
              </w:rPr>
            </w:pPr>
            <w:bookmarkStart w:id="90" w:name="_40.1"/>
            <w:bookmarkEnd w:id="90"/>
            <w:r>
              <w:rPr>
                <w:rFonts w:hint="eastAsia" w:ascii="宋体" w:hAnsi="宋体" w:eastAsia="宋体" w:cs="仿宋_GB2312"/>
                <w:szCs w:val="21"/>
              </w:rPr>
              <w:t>36.1</w:t>
            </w:r>
          </w:p>
        </w:tc>
        <w:tc>
          <w:tcPr>
            <w:tcW w:w="8175" w:type="dxa"/>
            <w:tcBorders>
              <w:top w:val="single" w:color="auto" w:sz="4" w:space="0"/>
              <w:left w:val="single" w:color="auto" w:sz="4" w:space="0"/>
              <w:bottom w:val="single" w:color="auto" w:sz="4" w:space="0"/>
              <w:right w:val="single" w:color="auto" w:sz="4" w:space="0"/>
            </w:tcBorders>
            <w:vAlign w:val="center"/>
          </w:tcPr>
          <w:p w14:paraId="545C563A">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签订合同携带的证明材料：</w:t>
            </w:r>
          </w:p>
          <w:p w14:paraId="3626B34F">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委托代理人负责签订合同的，须携带授权委托书及委托代理人身份证原件等其他资格证件。</w:t>
            </w:r>
          </w:p>
          <w:p w14:paraId="20242570">
            <w:pPr>
              <w:autoSpaceDE w:val="0"/>
              <w:autoSpaceDN w:val="0"/>
              <w:snapToGrid w:val="0"/>
              <w:spacing w:line="400" w:lineRule="exact"/>
              <w:ind w:firstLine="420" w:firstLineChars="200"/>
              <w:textAlignment w:val="bottom"/>
              <w:rPr>
                <w:rFonts w:ascii="宋体" w:hAnsi="宋体" w:eastAsia="宋体" w:cs="仿宋_GB2312"/>
                <w:szCs w:val="21"/>
              </w:rPr>
            </w:pPr>
            <w:r>
              <w:rPr>
                <w:rFonts w:hint="eastAsia" w:ascii="宋体" w:hAnsi="宋体" w:eastAsia="宋体" w:cs="仿宋_GB2312"/>
                <w:szCs w:val="21"/>
              </w:rPr>
              <w:t>法定代表人负责签订合同的，须携带法定代表人身份证明原件及身份证原件等其他证明材料。</w:t>
            </w:r>
          </w:p>
        </w:tc>
      </w:tr>
      <w:tr w14:paraId="5C9C8B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125B9E9">
            <w:pPr>
              <w:spacing w:line="400" w:lineRule="exact"/>
              <w:jc w:val="center"/>
              <w:rPr>
                <w:rFonts w:ascii="宋体" w:hAnsi="宋体" w:eastAsia="宋体" w:cs="仿宋_GB2312"/>
                <w:szCs w:val="21"/>
              </w:rPr>
            </w:pPr>
            <w:r>
              <w:rPr>
                <w:rFonts w:hint="eastAsia" w:ascii="宋体" w:hAnsi="宋体" w:eastAsia="宋体" w:cs="仿宋_GB2312"/>
                <w:szCs w:val="21"/>
              </w:rPr>
              <w:t>38.2</w:t>
            </w:r>
          </w:p>
        </w:tc>
        <w:tc>
          <w:tcPr>
            <w:tcW w:w="8175" w:type="dxa"/>
            <w:tcBorders>
              <w:top w:val="single" w:color="auto" w:sz="4" w:space="0"/>
              <w:left w:val="single" w:color="auto" w:sz="4" w:space="0"/>
              <w:bottom w:val="single" w:color="auto" w:sz="4" w:space="0"/>
              <w:right w:val="single" w:color="auto" w:sz="4" w:space="0"/>
            </w:tcBorders>
            <w:vAlign w:val="center"/>
          </w:tcPr>
          <w:p w14:paraId="2192ABF2">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接收质疑函方式：以书面形式</w:t>
            </w:r>
          </w:p>
          <w:p w14:paraId="512B4658">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质疑联系部门及联系方式：国信国际工程咨询集团股份有限公司，联系电话：</w:t>
            </w:r>
            <w:r>
              <w:rPr>
                <w:rFonts w:ascii="宋体" w:hAnsi="宋体" w:eastAsia="宋体" w:cs="仿宋_GB2312"/>
                <w:szCs w:val="21"/>
              </w:rPr>
              <w:t>0771-5514661</w:t>
            </w:r>
            <w:r>
              <w:rPr>
                <w:rFonts w:hint="eastAsia" w:ascii="宋体" w:hAnsi="宋体" w:eastAsia="宋体" w:cs="仿宋_GB2312"/>
                <w:szCs w:val="21"/>
              </w:rPr>
              <w:t>，通讯地址：南宁市中柬路8号龙光世纪2号楼1716室。</w:t>
            </w:r>
          </w:p>
          <w:p w14:paraId="63A2F7BF">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现场提交质疑办理业务时间：每天9时00分到12时00分，15时00分到18时00分，业务时间以外、双休日和法定节假日不办理业务。</w:t>
            </w:r>
          </w:p>
        </w:tc>
      </w:tr>
      <w:tr w14:paraId="0FFFB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F88A374">
            <w:pPr>
              <w:spacing w:line="400" w:lineRule="exact"/>
              <w:jc w:val="center"/>
              <w:rPr>
                <w:rFonts w:ascii="宋体" w:hAnsi="宋体" w:eastAsia="宋体" w:cs="仿宋_GB2312"/>
                <w:szCs w:val="21"/>
              </w:rPr>
            </w:pPr>
            <w:bookmarkStart w:id="91" w:name="_41"/>
            <w:bookmarkEnd w:id="91"/>
            <w:bookmarkStart w:id="92" w:name="_42"/>
            <w:bookmarkEnd w:id="92"/>
            <w:bookmarkStart w:id="93" w:name="_Hlt17709148"/>
            <w:r>
              <w:rPr>
                <w:rFonts w:hint="eastAsia" w:ascii="宋体" w:hAnsi="宋体" w:eastAsia="宋体" w:cs="仿宋_GB2312"/>
                <w:szCs w:val="21"/>
              </w:rPr>
              <w:t>3</w:t>
            </w:r>
            <w:bookmarkEnd w:id="93"/>
            <w:r>
              <w:rPr>
                <w:rFonts w:hint="eastAsia" w:ascii="宋体" w:hAnsi="宋体" w:eastAsia="宋体" w:cs="仿宋_GB2312"/>
                <w:szCs w:val="21"/>
              </w:rPr>
              <w:t>9.1</w:t>
            </w:r>
          </w:p>
        </w:tc>
        <w:tc>
          <w:tcPr>
            <w:tcW w:w="8175" w:type="dxa"/>
            <w:tcBorders>
              <w:top w:val="single" w:color="auto" w:sz="4" w:space="0"/>
              <w:left w:val="single" w:color="auto" w:sz="4" w:space="0"/>
              <w:bottom w:val="single" w:color="auto" w:sz="4" w:space="0"/>
              <w:right w:val="single" w:color="auto" w:sz="4" w:space="0"/>
            </w:tcBorders>
            <w:vAlign w:val="center"/>
          </w:tcPr>
          <w:p w14:paraId="423E0918">
            <w:pPr>
              <w:snapToGrid w:val="0"/>
              <w:spacing w:line="400" w:lineRule="exact"/>
              <w:ind w:firstLine="420" w:firstLineChars="200"/>
              <w:rPr>
                <w:rFonts w:ascii="宋体" w:hAnsi="宋体" w:eastAsia="宋体" w:cs="仿宋_GB2312"/>
                <w:szCs w:val="20"/>
              </w:rPr>
            </w:pPr>
            <w:r>
              <w:rPr>
                <w:rFonts w:hint="eastAsia" w:ascii="宋体" w:hAnsi="宋体" w:eastAsia="宋体" w:cs="仿宋_GB2312"/>
                <w:szCs w:val="20"/>
              </w:rPr>
              <w:t>1.采购代理费支付方式：本项目代理服务费由</w:t>
            </w:r>
            <w:r>
              <w:rPr>
                <w:rFonts w:hint="eastAsia" w:ascii="宋体" w:hAnsi="宋体" w:eastAsia="宋体" w:cs="仿宋_GB2312"/>
                <w:szCs w:val="20"/>
                <w:u w:val="single"/>
              </w:rPr>
              <w:t>各标项中标人</w:t>
            </w:r>
            <w:r>
              <w:rPr>
                <w:rFonts w:hint="eastAsia" w:ascii="宋体" w:hAnsi="宋体" w:eastAsia="宋体" w:cs="仿宋_GB2312"/>
                <w:szCs w:val="20"/>
              </w:rPr>
              <w:t>一次性向采购代理机构支付。</w:t>
            </w:r>
          </w:p>
          <w:p w14:paraId="3153EDE2">
            <w:pPr>
              <w:snapToGrid w:val="0"/>
              <w:spacing w:line="400" w:lineRule="exact"/>
              <w:ind w:firstLine="420" w:firstLineChars="200"/>
              <w:rPr>
                <w:rFonts w:ascii="宋体" w:hAnsi="宋体" w:eastAsia="宋体" w:cs="仿宋_GB2312"/>
                <w:szCs w:val="20"/>
              </w:rPr>
            </w:pPr>
            <w:r>
              <w:rPr>
                <w:rFonts w:hint="eastAsia" w:ascii="宋体" w:hAnsi="宋体" w:eastAsia="宋体" w:cs="仿宋_GB2312"/>
                <w:szCs w:val="20"/>
              </w:rPr>
              <w:t>2.采购代理费收取标准：</w:t>
            </w:r>
          </w:p>
          <w:p w14:paraId="77DA4B7C">
            <w:pPr>
              <w:snapToGrid w:val="0"/>
              <w:spacing w:line="400" w:lineRule="exact"/>
              <w:ind w:firstLine="420" w:firstLineChars="200"/>
              <w:rPr>
                <w:rFonts w:ascii="宋体" w:hAnsi="宋体" w:eastAsia="宋体" w:cs="仿宋_GB2312"/>
                <w:szCs w:val="20"/>
              </w:rPr>
            </w:pPr>
            <w:r>
              <w:rPr>
                <w:rFonts w:hint="eastAsia" w:ascii="宋体" w:hAnsi="宋体" w:eastAsia="宋体" w:cs="仿宋_GB2312"/>
                <w:szCs w:val="20"/>
              </w:rPr>
              <w:t>以各标项的中标金额为计费额，按本须知正文第39.2条规定的收费计算标准（服务招标）采用差额定率累进法计算出收费基准价格，采购代理收费以收费基准价格下浮  40%收取。</w:t>
            </w:r>
          </w:p>
          <w:p w14:paraId="5C3C1C84">
            <w:pPr>
              <w:snapToGrid w:val="0"/>
              <w:spacing w:line="400" w:lineRule="exact"/>
              <w:ind w:firstLine="420" w:firstLineChars="200"/>
              <w:rPr>
                <w:rFonts w:ascii="宋体" w:hAnsi="宋体" w:eastAsia="宋体" w:cs="仿宋_GB2312"/>
                <w:kern w:val="0"/>
                <w:szCs w:val="21"/>
              </w:rPr>
            </w:pPr>
            <w:r>
              <w:rPr>
                <w:rFonts w:hint="eastAsia" w:ascii="宋体" w:hAnsi="宋体" w:eastAsia="宋体" w:cs="仿宋_GB2312"/>
                <w:kern w:val="0"/>
                <w:szCs w:val="21"/>
              </w:rPr>
              <w:t>3.代理机构银行账户信息如下：</w:t>
            </w:r>
          </w:p>
          <w:p w14:paraId="78B48FCB">
            <w:pPr>
              <w:snapToGrid w:val="0"/>
              <w:spacing w:line="400" w:lineRule="exact"/>
              <w:ind w:firstLine="420" w:firstLineChars="200"/>
              <w:rPr>
                <w:rFonts w:ascii="宋体" w:hAnsi="宋体" w:eastAsia="宋体" w:cs="仿宋_GB2312"/>
                <w:szCs w:val="20"/>
              </w:rPr>
            </w:pPr>
            <w:r>
              <w:rPr>
                <w:rFonts w:hint="eastAsia" w:ascii="宋体" w:hAnsi="宋体" w:eastAsia="宋体" w:cs="仿宋_GB2312"/>
                <w:szCs w:val="20"/>
              </w:rPr>
              <w:t>账户名称：国信国际工程咨询集团股份有限公司广西分公司</w:t>
            </w:r>
          </w:p>
          <w:p w14:paraId="6C3437C5">
            <w:pPr>
              <w:snapToGrid w:val="0"/>
              <w:spacing w:line="400" w:lineRule="exact"/>
              <w:ind w:firstLine="420" w:firstLineChars="200"/>
              <w:rPr>
                <w:rFonts w:ascii="宋体" w:hAnsi="宋体" w:eastAsia="宋体" w:cs="仿宋_GB2312"/>
                <w:szCs w:val="20"/>
              </w:rPr>
            </w:pPr>
            <w:r>
              <w:rPr>
                <w:rFonts w:hint="eastAsia" w:ascii="宋体" w:hAnsi="宋体" w:eastAsia="宋体" w:cs="仿宋_GB2312"/>
                <w:szCs w:val="20"/>
              </w:rPr>
              <w:t>开户行：中国建设银行广西区分行营业部</w:t>
            </w:r>
          </w:p>
          <w:p w14:paraId="2B8B163E">
            <w:pPr>
              <w:snapToGrid w:val="0"/>
              <w:spacing w:line="400" w:lineRule="exact"/>
              <w:ind w:firstLine="420" w:firstLineChars="200"/>
              <w:rPr>
                <w:rFonts w:ascii="宋体" w:hAnsi="宋体" w:eastAsia="宋体" w:cs="仿宋_GB2312"/>
                <w:szCs w:val="20"/>
              </w:rPr>
            </w:pPr>
            <w:r>
              <w:rPr>
                <w:rFonts w:hint="eastAsia" w:ascii="宋体" w:hAnsi="宋体" w:eastAsia="宋体" w:cs="仿宋_GB2312"/>
                <w:szCs w:val="20"/>
              </w:rPr>
              <w:t>账号：</w:t>
            </w:r>
            <w:r>
              <w:rPr>
                <w:rFonts w:ascii="宋体" w:hAnsi="宋体" w:eastAsia="宋体" w:cs="仿宋_GB2312"/>
                <w:szCs w:val="20"/>
              </w:rPr>
              <w:t>4500 1594 1510 5070 4898</w:t>
            </w:r>
          </w:p>
        </w:tc>
      </w:tr>
      <w:tr w14:paraId="7C7C1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39DCFD5">
            <w:pPr>
              <w:snapToGrid w:val="0"/>
              <w:spacing w:line="400" w:lineRule="exact"/>
              <w:jc w:val="center"/>
              <w:rPr>
                <w:rFonts w:ascii="宋体" w:hAnsi="宋体" w:eastAsia="宋体" w:cs="仿宋_GB2312"/>
                <w:szCs w:val="21"/>
              </w:rPr>
            </w:pPr>
            <w:r>
              <w:rPr>
                <w:rFonts w:hint="eastAsia" w:ascii="宋体" w:hAnsi="宋体" w:eastAsia="宋体" w:cs="仿宋_GB2312"/>
                <w:szCs w:val="21"/>
              </w:rPr>
              <w:t>40.1</w:t>
            </w:r>
          </w:p>
        </w:tc>
        <w:tc>
          <w:tcPr>
            <w:tcW w:w="8175" w:type="dxa"/>
            <w:tcBorders>
              <w:top w:val="single" w:color="auto" w:sz="4" w:space="0"/>
              <w:left w:val="single" w:color="auto" w:sz="4" w:space="0"/>
              <w:bottom w:val="single" w:color="auto" w:sz="4" w:space="0"/>
              <w:right w:val="single" w:color="auto" w:sz="4" w:space="0"/>
            </w:tcBorders>
            <w:vAlign w:val="center"/>
          </w:tcPr>
          <w:p w14:paraId="510A2BA8">
            <w:pPr>
              <w:snapToGrid w:val="0"/>
              <w:spacing w:line="400" w:lineRule="exact"/>
              <w:ind w:firstLine="420" w:firstLineChars="200"/>
              <w:rPr>
                <w:rFonts w:ascii="宋体" w:hAnsi="宋体" w:eastAsia="宋体" w:cs="仿宋_GB2312"/>
                <w:szCs w:val="21"/>
              </w:rPr>
            </w:pPr>
            <w:r>
              <w:rPr>
                <w:rFonts w:hint="eastAsia" w:ascii="宋体" w:hAnsi="宋体" w:eastAsia="宋体" w:cs="仿宋_GB2312"/>
                <w:szCs w:val="21"/>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0FCE57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3AFD44A">
            <w:pPr>
              <w:snapToGrid w:val="0"/>
              <w:spacing w:line="400" w:lineRule="exact"/>
              <w:jc w:val="center"/>
              <w:rPr>
                <w:rFonts w:ascii="宋体" w:hAnsi="宋体" w:eastAsia="宋体" w:cs="仿宋_GB2312"/>
                <w:szCs w:val="21"/>
              </w:rPr>
            </w:pPr>
            <w:r>
              <w:rPr>
                <w:rFonts w:hint="eastAsia" w:ascii="宋体" w:hAnsi="宋体" w:eastAsia="宋体" w:cs="仿宋_GB2312"/>
                <w:szCs w:val="21"/>
              </w:rPr>
              <w:t>40.2</w:t>
            </w:r>
          </w:p>
        </w:tc>
        <w:tc>
          <w:tcPr>
            <w:tcW w:w="8175" w:type="dxa"/>
            <w:tcBorders>
              <w:top w:val="single" w:color="auto" w:sz="4" w:space="0"/>
              <w:left w:val="single" w:color="auto" w:sz="4" w:space="0"/>
              <w:bottom w:val="single" w:color="auto" w:sz="4" w:space="0"/>
              <w:right w:val="single" w:color="auto" w:sz="4" w:space="0"/>
            </w:tcBorders>
            <w:vAlign w:val="center"/>
          </w:tcPr>
          <w:p w14:paraId="7DBE16D8">
            <w:pPr>
              <w:snapToGrid w:val="0"/>
              <w:spacing w:line="400" w:lineRule="exact"/>
              <w:ind w:firstLine="420" w:firstLineChars="200"/>
              <w:rPr>
                <w:rFonts w:ascii="宋体" w:hAnsi="宋体" w:eastAsia="宋体" w:cs="仿宋_GB2312"/>
                <w:bCs/>
                <w:szCs w:val="20"/>
              </w:rPr>
            </w:pPr>
            <w:r>
              <w:rPr>
                <w:rFonts w:hint="eastAsia" w:ascii="宋体" w:hAnsi="宋体" w:eastAsia="宋体" w:cs="仿宋_GB2312"/>
                <w:bCs/>
                <w:szCs w:val="20"/>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39105975">
            <w:pPr>
              <w:snapToGrid w:val="0"/>
              <w:spacing w:line="400" w:lineRule="exact"/>
              <w:ind w:firstLine="420" w:firstLineChars="200"/>
              <w:rPr>
                <w:rFonts w:ascii="宋体" w:hAnsi="宋体" w:eastAsia="宋体" w:cs="仿宋_GB2312"/>
                <w:bCs/>
                <w:szCs w:val="20"/>
              </w:rPr>
            </w:pPr>
            <w:r>
              <w:rPr>
                <w:rFonts w:hint="eastAsia" w:ascii="宋体" w:hAnsi="宋体" w:eastAsia="宋体" w:cs="仿宋_GB2312"/>
                <w:bCs/>
                <w:szCs w:val="20"/>
              </w:rPr>
              <w:t>2.本招标文件所称的“</w:t>
            </w:r>
            <w:r>
              <w:rPr>
                <w:rFonts w:hint="eastAsia" w:ascii="宋体" w:hAnsi="宋体" w:eastAsia="宋体" w:cs="仿宋_GB2312"/>
                <w:szCs w:val="20"/>
              </w:rPr>
              <w:t>电子签章</w:t>
            </w:r>
            <w:r>
              <w:rPr>
                <w:rFonts w:hint="eastAsia" w:ascii="宋体" w:hAnsi="宋体" w:eastAsia="宋体" w:cs="仿宋_GB2312"/>
                <w:bCs/>
                <w:szCs w:val="20"/>
              </w:rPr>
              <w:t>”、“电子签名”</w:t>
            </w:r>
            <w:r>
              <w:rPr>
                <w:rFonts w:hint="eastAsia" w:ascii="宋体" w:hAnsi="宋体" w:eastAsia="宋体" w:cs="仿宋_GB2312"/>
                <w:szCs w:val="20"/>
              </w:rPr>
              <w:t>，是指经广西政府采购云平台认可的CA认证的电子签名数据为表现形式的印章，可用于签署电子投标文件，电子印章与实物印章具有同等法律效力，不因其采用电子化表现形式而否定其法律效力。</w:t>
            </w:r>
          </w:p>
          <w:p w14:paraId="703B5068">
            <w:pPr>
              <w:snapToGrid w:val="0"/>
              <w:spacing w:line="400" w:lineRule="exact"/>
              <w:ind w:firstLine="420" w:firstLineChars="200"/>
              <w:rPr>
                <w:rFonts w:ascii="宋体" w:hAnsi="宋体" w:eastAsia="宋体" w:cs="仿宋_GB2312"/>
                <w:bCs/>
                <w:szCs w:val="20"/>
              </w:rPr>
            </w:pPr>
            <w:r>
              <w:rPr>
                <w:rFonts w:hint="eastAsia" w:ascii="宋体" w:hAnsi="宋体" w:eastAsia="宋体" w:cs="仿宋_GB2312"/>
                <w:bCs/>
                <w:szCs w:val="20"/>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7A0C5554">
            <w:pPr>
              <w:snapToGrid w:val="0"/>
              <w:spacing w:line="400" w:lineRule="exact"/>
              <w:ind w:firstLine="420" w:firstLineChars="200"/>
              <w:rPr>
                <w:rFonts w:ascii="宋体" w:hAnsi="宋体" w:eastAsia="宋体" w:cs="仿宋_GB2312"/>
                <w:bCs/>
                <w:szCs w:val="20"/>
              </w:rPr>
            </w:pPr>
            <w:r>
              <w:rPr>
                <w:rFonts w:hint="eastAsia" w:ascii="宋体" w:hAnsi="宋体" w:eastAsia="宋体" w:cs="仿宋_GB2312"/>
                <w:bCs/>
                <w:szCs w:val="20"/>
              </w:rPr>
              <w:t>4.本招标文件中描述投标人的“签字”是指投标人的法定代表人或者委托代理人亲自在文件规定签字处亲笔写上个人的名字的行为，私章、签字章、印鉴、影印等其他形式均不能代替亲笔签字。</w:t>
            </w:r>
          </w:p>
          <w:p w14:paraId="04B3E018">
            <w:pPr>
              <w:snapToGrid w:val="0"/>
              <w:spacing w:line="400" w:lineRule="exact"/>
              <w:ind w:firstLine="420" w:firstLineChars="200"/>
              <w:rPr>
                <w:rFonts w:ascii="宋体" w:hAnsi="宋体" w:eastAsia="宋体" w:cs="Times New Roman"/>
                <w:szCs w:val="20"/>
              </w:rPr>
            </w:pPr>
            <w:r>
              <w:rPr>
                <w:rFonts w:hint="eastAsia" w:ascii="宋体" w:hAnsi="宋体" w:eastAsia="宋体" w:cs="仿宋_GB2312"/>
                <w:bCs/>
                <w:szCs w:val="20"/>
              </w:rPr>
              <w:t>5.本招标文件所称的“以上”“以下”“以内”“届满”，包括本数；所称的“不满”“超过”“以外”，不包括本数。</w:t>
            </w:r>
          </w:p>
        </w:tc>
      </w:tr>
    </w:tbl>
    <w:p w14:paraId="1F0A7AB8">
      <w:pPr>
        <w:snapToGrid w:val="0"/>
        <w:ind w:firstLine="482"/>
        <w:rPr>
          <w:rFonts w:ascii="宋体" w:hAnsi="宋体" w:eastAsia="宋体" w:cs="仿宋_GB2312"/>
          <w:sz w:val="24"/>
          <w:szCs w:val="20"/>
        </w:rPr>
      </w:pPr>
    </w:p>
    <w:p w14:paraId="21BC088F">
      <w:pPr>
        <w:snapToGrid w:val="0"/>
        <w:ind w:firstLine="482"/>
        <w:rPr>
          <w:rFonts w:ascii="宋体" w:hAnsi="宋体" w:eastAsia="宋体" w:cs="仿宋_GB2312"/>
          <w:sz w:val="24"/>
          <w:szCs w:val="20"/>
        </w:rPr>
      </w:pPr>
    </w:p>
    <w:p w14:paraId="31ED7487">
      <w:pPr>
        <w:keepNext/>
        <w:keepLines/>
        <w:spacing w:before="140" w:after="140" w:line="413" w:lineRule="auto"/>
        <w:ind w:firstLine="643" w:firstLineChars="200"/>
        <w:jc w:val="center"/>
        <w:outlineLvl w:val="1"/>
        <w:rPr>
          <w:rFonts w:ascii="宋体" w:hAnsi="宋体" w:eastAsia="宋体" w:cs="仿宋_GB2312"/>
          <w:b/>
          <w:bCs/>
          <w:sz w:val="32"/>
          <w:szCs w:val="32"/>
        </w:rPr>
      </w:pPr>
      <w:r>
        <w:rPr>
          <w:rFonts w:hint="eastAsia" w:ascii="宋体" w:hAnsi="宋体" w:eastAsia="宋体" w:cs="仿宋_GB2312"/>
          <w:b/>
          <w:bCs/>
          <w:sz w:val="32"/>
          <w:szCs w:val="32"/>
        </w:rPr>
        <w:br w:type="page"/>
      </w:r>
      <w:bookmarkStart w:id="94" w:name="_Toc30734"/>
      <w:bookmarkStart w:id="95" w:name="_Toc978"/>
      <w:bookmarkStart w:id="96" w:name="_Toc4106"/>
      <w:r>
        <w:rPr>
          <w:rFonts w:hint="eastAsia" w:ascii="宋体" w:hAnsi="宋体" w:eastAsia="宋体" w:cs="仿宋_GB2312"/>
          <w:b/>
          <w:bCs/>
          <w:sz w:val="32"/>
          <w:szCs w:val="32"/>
        </w:rPr>
        <w:t>投标人须知正文</w:t>
      </w:r>
      <w:bookmarkEnd w:id="94"/>
      <w:bookmarkEnd w:id="95"/>
      <w:bookmarkEnd w:id="96"/>
    </w:p>
    <w:p w14:paraId="359C1451">
      <w:pPr>
        <w:spacing w:line="600" w:lineRule="exact"/>
        <w:ind w:firstLine="640"/>
        <w:jc w:val="center"/>
        <w:outlineLvl w:val="2"/>
        <w:rPr>
          <w:rFonts w:ascii="宋体" w:hAnsi="宋体" w:eastAsia="宋体" w:cs="仿宋_GB2312"/>
          <w:b/>
          <w:bCs/>
          <w:sz w:val="32"/>
          <w:szCs w:val="32"/>
        </w:rPr>
      </w:pPr>
      <w:bookmarkStart w:id="97" w:name="_Toc15598"/>
      <w:bookmarkStart w:id="98" w:name="_Toc1149"/>
      <w:r>
        <w:rPr>
          <w:rFonts w:hint="eastAsia" w:ascii="宋体" w:hAnsi="宋体" w:eastAsia="宋体" w:cs="仿宋_GB2312"/>
          <w:b/>
          <w:bCs/>
          <w:sz w:val="32"/>
          <w:szCs w:val="32"/>
        </w:rPr>
        <w:t>一、总  则</w:t>
      </w:r>
      <w:bookmarkEnd w:id="97"/>
      <w:bookmarkEnd w:id="98"/>
    </w:p>
    <w:p w14:paraId="1BF2F01A">
      <w:pPr>
        <w:spacing w:line="440" w:lineRule="exact"/>
        <w:ind w:firstLine="480"/>
        <w:jc w:val="left"/>
        <w:rPr>
          <w:rFonts w:ascii="宋体" w:hAnsi="宋体" w:eastAsia="宋体" w:cs="仿宋_GB2312"/>
          <w:b/>
          <w:sz w:val="24"/>
          <w:szCs w:val="24"/>
        </w:rPr>
      </w:pPr>
      <w:bookmarkStart w:id="99" w:name="_Toc254970527"/>
      <w:bookmarkStart w:id="100" w:name="_Toc254970668"/>
      <w:r>
        <w:rPr>
          <w:rFonts w:hint="eastAsia" w:ascii="宋体" w:hAnsi="宋体" w:eastAsia="宋体" w:cs="仿宋_GB2312"/>
          <w:b/>
          <w:sz w:val="24"/>
          <w:szCs w:val="24"/>
        </w:rPr>
        <w:t>1.适用范围</w:t>
      </w:r>
      <w:bookmarkEnd w:id="99"/>
      <w:bookmarkEnd w:id="100"/>
    </w:p>
    <w:p w14:paraId="4CB6E93F">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5AAEB1ED">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1.2本招标文件</w:t>
      </w:r>
      <w:r>
        <w:rPr>
          <w:rFonts w:hint="eastAsia" w:ascii="宋体" w:hAnsi="宋体" w:eastAsia="宋体" w:cs="仿宋_GB2312"/>
          <w:spacing w:val="-6"/>
          <w:szCs w:val="21"/>
        </w:rPr>
        <w:t>适用于本项目的所有采购程序和环节（法律、法规另有规定的，从其规定）。</w:t>
      </w:r>
    </w:p>
    <w:p w14:paraId="1802247B">
      <w:pPr>
        <w:spacing w:line="440" w:lineRule="exact"/>
        <w:ind w:firstLine="480"/>
        <w:rPr>
          <w:rFonts w:ascii="宋体" w:hAnsi="宋体" w:eastAsia="宋体" w:cs="仿宋_GB2312"/>
          <w:b/>
          <w:sz w:val="24"/>
          <w:szCs w:val="24"/>
        </w:rPr>
      </w:pPr>
      <w:bookmarkStart w:id="101" w:name="_Toc254970669"/>
      <w:bookmarkStart w:id="102" w:name="_Toc254970528"/>
      <w:r>
        <w:rPr>
          <w:rFonts w:hint="eastAsia" w:ascii="宋体" w:hAnsi="宋体" w:eastAsia="宋体" w:cs="仿宋_GB2312"/>
          <w:b/>
          <w:sz w:val="24"/>
          <w:szCs w:val="24"/>
        </w:rPr>
        <w:t>2.定义</w:t>
      </w:r>
      <w:bookmarkEnd w:id="101"/>
      <w:bookmarkEnd w:id="102"/>
    </w:p>
    <w:p w14:paraId="0F5945C7">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2.1“采购人”是指依法进行政府采购的国家机关、事业单位、团体组织。</w:t>
      </w:r>
    </w:p>
    <w:p w14:paraId="0EBF24F1">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2.2“采购代理机构”是指政府采购集中采购机构和集中采购机构以外的采购代理机构。</w:t>
      </w:r>
    </w:p>
    <w:p w14:paraId="2B4B40C0">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2.3“供应商”是指向采购人提供货物、工程或者服务的法人、其他组织或者自然人。</w:t>
      </w:r>
    </w:p>
    <w:p w14:paraId="1FD8BD06">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2.4“投标人”是指响应招标、参加投标竞争的法人、其他组织或者自然人。</w:t>
      </w:r>
    </w:p>
    <w:p w14:paraId="4DA8D34D">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2.5“服务”是指除货物和工程以外的其他政府采购对象。</w:t>
      </w:r>
    </w:p>
    <w:p w14:paraId="7CA63EB5">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2.6“书面形式”是指合同书、信件和数据电文（包括电报、电传、传真、电子数据交换和电子邮件）等可以有形地表现所载内容的形式。</w:t>
      </w:r>
    </w:p>
    <w:p w14:paraId="5FEDB97E">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2.7</w:t>
      </w:r>
      <w:r>
        <w:rPr>
          <w:rFonts w:hint="eastAsia" w:ascii="宋体" w:hAnsi="宋体" w:eastAsia="宋体" w:cs="仿宋_GB2312"/>
          <w:b/>
          <w:bCs/>
          <w:szCs w:val="21"/>
        </w:rPr>
        <w:t>“实质性要求”是指招标文件中已经指明不满足则投标无效的条款，或者不能负偏离的条款，或者采购需求中带“▲”的条款。</w:t>
      </w:r>
    </w:p>
    <w:p w14:paraId="0CECE276">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2.8“正偏离”，是指投标文件对招标文件“采购需求”中有关条款作出的响应优于条款要求并有利于采购人的情形。</w:t>
      </w:r>
    </w:p>
    <w:p w14:paraId="6403D45C">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2.9“负偏离”，是指投标文件对招标文件“采购需求”中有关条款作出的响应不满足条款要求，导致采购人要求不能得到满足的情形。</w:t>
      </w:r>
    </w:p>
    <w:p w14:paraId="3B7F7AD8">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2.10“允许负偏离的条款”是指采购需求中的不属于“实质性要求”的条款。</w:t>
      </w:r>
      <w:bookmarkStart w:id="103" w:name="_Toc254970529"/>
      <w:bookmarkStart w:id="104" w:name="_Toc254970670"/>
    </w:p>
    <w:p w14:paraId="1F8276D2">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w:t>
      </w:r>
      <w:bookmarkEnd w:id="103"/>
      <w:bookmarkEnd w:id="104"/>
      <w:r>
        <w:rPr>
          <w:rFonts w:hint="eastAsia" w:ascii="宋体" w:hAnsi="宋体" w:eastAsia="宋体" w:cs="仿宋_GB2312"/>
          <w:b/>
          <w:sz w:val="24"/>
          <w:szCs w:val="24"/>
        </w:rPr>
        <w:t>投标人的资格要求</w:t>
      </w:r>
    </w:p>
    <w:p w14:paraId="3FD2E738">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投标人的资格要求详见“投标人须知前附表”。</w:t>
      </w:r>
    </w:p>
    <w:p w14:paraId="5FC7FC99">
      <w:pPr>
        <w:spacing w:line="440" w:lineRule="exact"/>
        <w:ind w:firstLine="480"/>
        <w:rPr>
          <w:rFonts w:ascii="宋体" w:hAnsi="宋体" w:eastAsia="宋体" w:cs="仿宋_GB2312"/>
          <w:b/>
          <w:sz w:val="24"/>
          <w:szCs w:val="24"/>
        </w:rPr>
      </w:pPr>
      <w:bookmarkStart w:id="105" w:name="_Toc254970530"/>
      <w:bookmarkStart w:id="106" w:name="_Toc254970671"/>
      <w:r>
        <w:rPr>
          <w:rFonts w:hint="eastAsia" w:ascii="宋体" w:hAnsi="宋体" w:eastAsia="宋体" w:cs="仿宋_GB2312"/>
          <w:b/>
          <w:sz w:val="24"/>
          <w:szCs w:val="24"/>
        </w:rPr>
        <w:t>4.投标委托</w:t>
      </w:r>
      <w:bookmarkEnd w:id="105"/>
      <w:bookmarkEnd w:id="106"/>
    </w:p>
    <w:p w14:paraId="5D0BE11B">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投标人代表参加投标活动过程中必须携带个人有效身份证件。如投标人代表不是法定代表人，须持有授权委托书（按第六章要求格式填写）。</w:t>
      </w:r>
    </w:p>
    <w:p w14:paraId="124D2691">
      <w:pPr>
        <w:spacing w:line="440" w:lineRule="exact"/>
        <w:ind w:firstLine="480"/>
        <w:rPr>
          <w:rFonts w:ascii="宋体" w:hAnsi="宋体" w:eastAsia="宋体" w:cs="仿宋_GB2312"/>
          <w:b/>
          <w:sz w:val="24"/>
          <w:szCs w:val="24"/>
        </w:rPr>
      </w:pPr>
      <w:bookmarkStart w:id="107" w:name="_5.投标费用"/>
      <w:bookmarkEnd w:id="107"/>
      <w:bookmarkStart w:id="108" w:name="_Toc254970531"/>
      <w:bookmarkStart w:id="109" w:name="_Toc254970672"/>
      <w:r>
        <w:rPr>
          <w:rFonts w:hint="eastAsia" w:ascii="宋体" w:hAnsi="宋体" w:eastAsia="宋体" w:cs="仿宋_GB2312"/>
          <w:b/>
          <w:sz w:val="24"/>
          <w:szCs w:val="24"/>
        </w:rPr>
        <w:t>5.投标费用</w:t>
      </w:r>
      <w:bookmarkEnd w:id="108"/>
      <w:bookmarkEnd w:id="109"/>
    </w:p>
    <w:p w14:paraId="317A90D3">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投标费用：投标人应承担参与本次采购活动有关的所有费用，包括但不限于获取招标文件、勘查现场、编制和提交投标文件、参加澄清说明、签订合同等，不论投标结果如何，均应自行承担。</w:t>
      </w:r>
    </w:p>
    <w:p w14:paraId="3BB68F9A">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6.联合体投标</w:t>
      </w:r>
    </w:p>
    <w:p w14:paraId="1B427059">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6.1本项目是否接受联合体投标，详见“投标人须知前附表”。</w:t>
      </w:r>
    </w:p>
    <w:p w14:paraId="71A5FFBB">
      <w:pPr>
        <w:snapToGrid w:val="0"/>
        <w:spacing w:line="440" w:lineRule="exact"/>
        <w:ind w:firstLine="420" w:firstLineChars="200"/>
        <w:jc w:val="left"/>
        <w:rPr>
          <w:rFonts w:ascii="宋体" w:hAnsi="宋体" w:eastAsia="宋体" w:cs="仿宋_GB2312"/>
          <w:bCs/>
          <w:szCs w:val="21"/>
        </w:rPr>
      </w:pPr>
      <w:r>
        <w:rPr>
          <w:rFonts w:hint="eastAsia" w:ascii="宋体" w:hAnsi="宋体" w:eastAsia="宋体" w:cs="仿宋_GB2312"/>
          <w:bCs/>
          <w:szCs w:val="21"/>
        </w:rPr>
        <w:t>6.2如接受联合体投标，联合体投标要求详见“投标人须知前附表”。</w:t>
      </w:r>
    </w:p>
    <w:p w14:paraId="0850F755">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bCs/>
          <w:szCs w:val="21"/>
        </w:rPr>
        <w:t>6.3</w:t>
      </w:r>
      <w:r>
        <w:rPr>
          <w:rFonts w:hint="eastAsia" w:ascii="宋体" w:hAnsi="宋体" w:eastAsia="宋体" w:cs="仿宋_GB2312"/>
          <w:szCs w:val="21"/>
        </w:rPr>
        <w:t>根据《政府采购促进中小企业发展管理办法》（财库〔2020〕46号）第九条第二款、《财政部关于进一步加大政府采购支持中小企业力度的通知》（财库〔2022〕19号）、《广西壮族自治区财政厅关于贯彻落实政府采购支持中小企业发展政策的通知（桂财采〔2022〕31号）和《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w:t>
      </w:r>
    </w:p>
    <w:p w14:paraId="6767FC52">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7.转包与分包</w:t>
      </w:r>
    </w:p>
    <w:p w14:paraId="68F7412C">
      <w:pPr>
        <w:snapToGrid w:val="0"/>
        <w:spacing w:line="440" w:lineRule="exact"/>
        <w:ind w:firstLine="422" w:firstLineChars="200"/>
        <w:jc w:val="left"/>
        <w:rPr>
          <w:rFonts w:ascii="宋体" w:hAnsi="宋体" w:eastAsia="宋体" w:cs="仿宋_GB2312"/>
          <w:b/>
          <w:bCs/>
          <w:szCs w:val="21"/>
        </w:rPr>
      </w:pPr>
      <w:bookmarkStart w:id="110" w:name="_Toc254970532"/>
      <w:bookmarkStart w:id="111" w:name="_Toc254970673"/>
      <w:r>
        <w:rPr>
          <w:rFonts w:hint="eastAsia" w:ascii="宋体" w:hAnsi="宋体" w:eastAsia="宋体" w:cs="仿宋_GB2312"/>
          <w:b/>
          <w:bCs/>
          <w:szCs w:val="21"/>
        </w:rPr>
        <w:t>7.1本项目不允许转包。</w:t>
      </w:r>
    </w:p>
    <w:p w14:paraId="2CFB8B58">
      <w:pPr>
        <w:snapToGrid w:val="0"/>
        <w:spacing w:line="440" w:lineRule="exact"/>
        <w:ind w:firstLine="422" w:firstLineChars="200"/>
        <w:jc w:val="left"/>
        <w:rPr>
          <w:rFonts w:ascii="宋体" w:hAnsi="宋体" w:eastAsia="宋体" w:cs="仿宋_GB2312"/>
          <w:b/>
          <w:bCs/>
          <w:szCs w:val="21"/>
        </w:rPr>
      </w:pPr>
      <w:r>
        <w:rPr>
          <w:rFonts w:hint="eastAsia" w:ascii="宋体" w:hAnsi="宋体" w:eastAsia="宋体" w:cs="仿宋_GB2312"/>
          <w:b/>
          <w:bCs/>
          <w:szCs w:val="21"/>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601A056D">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016C443A">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8.特别说明</w:t>
      </w:r>
      <w:bookmarkEnd w:id="110"/>
      <w:bookmarkEnd w:id="111"/>
    </w:p>
    <w:p w14:paraId="26974877">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8.1 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的方式确定一个投标人获得中标人推荐资格，其他同品牌投标人不作为中标候选人。</w:t>
      </w:r>
    </w:p>
    <w:p w14:paraId="1CA39F01">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非单一产品采购项目，多家投标人提供的核心产品品牌相同的，按前款规定处理。</w:t>
      </w:r>
    </w:p>
    <w:p w14:paraId="7A41A445">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8.2如果本招标文件要求提供投标人或制造商的资格、信誉、荣誉、业绩与企业认证等材料的，资格、信誉、荣誉、业绩与企业认证等必须为投标人或者制造商所拥有或自身获得 。</w:t>
      </w:r>
    </w:p>
    <w:p w14:paraId="3446A337">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8.3投标人应仔细阅读招标文件的所有内容，按照招标文件的要求提交投标文件，并对所提供的全部资料的真实性承担法律责任。</w:t>
      </w:r>
    </w:p>
    <w:p w14:paraId="2E79A2E2">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8.4投标人在投标活动中提供任何虚假材料，将报监管部门查处；中标后发现的，中标人须依照《中华人民共和国消费者权益保护法》规定赔偿采购人，且民事赔偿并不免除违法投标人的行政与刑事责任。</w:t>
      </w:r>
    </w:p>
    <w:p w14:paraId="737E59E6">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9.回避与串通投标</w:t>
      </w:r>
    </w:p>
    <w:p w14:paraId="22A7FE7A">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9.1在政府采购活动中，采购人员及相关人员与供应商有下列利害关系之一的，应当回避：</w:t>
      </w:r>
    </w:p>
    <w:p w14:paraId="239110D0">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（1）参加采购活动前3年内与供应商存在劳动关系；</w:t>
      </w:r>
    </w:p>
    <w:p w14:paraId="6471A7BB">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（2）参加采购活动前3年内担任供应商的董事、监事；</w:t>
      </w:r>
    </w:p>
    <w:p w14:paraId="267CE5E9">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（3）参加采购活动前3年内是供应商的控股股东或者实际控制人；</w:t>
      </w:r>
    </w:p>
    <w:p w14:paraId="0F541652">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（4）与供应商的法定代表人或者负责人有夫妻、直系血亲、三代以内旁系血亲或者近姻亲关系；</w:t>
      </w:r>
    </w:p>
    <w:p w14:paraId="28EACEC0">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（5）与供应商有其他可能影响政府采购活动公平、公正进行的关系。</w:t>
      </w:r>
    </w:p>
    <w:p w14:paraId="7F98CD1F">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C31B76A">
      <w:pPr>
        <w:snapToGrid w:val="0"/>
        <w:spacing w:line="440" w:lineRule="exact"/>
        <w:ind w:firstLine="422" w:firstLineChars="200"/>
        <w:jc w:val="left"/>
        <w:rPr>
          <w:rFonts w:ascii="宋体" w:hAnsi="宋体" w:eastAsia="宋体" w:cs="仿宋_GB2312"/>
          <w:b/>
          <w:szCs w:val="21"/>
        </w:rPr>
      </w:pPr>
      <w:r>
        <w:rPr>
          <w:rFonts w:hint="eastAsia" w:ascii="宋体" w:hAnsi="宋体" w:eastAsia="宋体" w:cs="仿宋_GB2312"/>
          <w:b/>
          <w:szCs w:val="21"/>
        </w:rPr>
        <w:t>9.2有下列情形之一的视为投标人相互串通投标，投标文件将被视为无效：</w:t>
      </w:r>
    </w:p>
    <w:p w14:paraId="4FE40E49">
      <w:pPr>
        <w:snapToGrid w:val="0"/>
        <w:spacing w:line="440" w:lineRule="exact"/>
        <w:ind w:firstLine="422" w:firstLineChars="200"/>
        <w:jc w:val="left"/>
        <w:rPr>
          <w:rFonts w:ascii="宋体" w:hAnsi="宋体" w:eastAsia="宋体" w:cs="仿宋_GB2312"/>
          <w:b/>
          <w:szCs w:val="21"/>
        </w:rPr>
      </w:pPr>
      <w:r>
        <w:rPr>
          <w:rFonts w:hint="eastAsia" w:ascii="宋体" w:hAnsi="宋体" w:eastAsia="宋体" w:cs="仿宋_GB2312"/>
          <w:b/>
          <w:szCs w:val="21"/>
        </w:rPr>
        <w:t>（1）不同投标人的投标文件由同一单位或者个人编制；</w:t>
      </w:r>
    </w:p>
    <w:p w14:paraId="435AD1B6">
      <w:pPr>
        <w:snapToGrid w:val="0"/>
        <w:spacing w:line="440" w:lineRule="exact"/>
        <w:ind w:firstLine="422" w:firstLineChars="200"/>
        <w:jc w:val="left"/>
        <w:rPr>
          <w:rFonts w:ascii="宋体" w:hAnsi="宋体" w:eastAsia="宋体" w:cs="仿宋_GB2312"/>
          <w:b/>
          <w:szCs w:val="21"/>
        </w:rPr>
      </w:pPr>
      <w:r>
        <w:rPr>
          <w:rFonts w:hint="eastAsia" w:ascii="宋体" w:hAnsi="宋体" w:eastAsia="宋体" w:cs="仿宋_GB2312"/>
          <w:b/>
          <w:szCs w:val="21"/>
        </w:rPr>
        <w:t>（2）不同投标人委托同一单位或者个人办理投标事宜；</w:t>
      </w:r>
    </w:p>
    <w:p w14:paraId="30B508DD">
      <w:pPr>
        <w:snapToGrid w:val="0"/>
        <w:spacing w:line="440" w:lineRule="exact"/>
        <w:ind w:firstLine="422" w:firstLineChars="200"/>
        <w:jc w:val="left"/>
        <w:rPr>
          <w:rFonts w:ascii="宋体" w:hAnsi="宋体" w:eastAsia="宋体" w:cs="仿宋_GB2312"/>
          <w:b/>
          <w:szCs w:val="21"/>
        </w:rPr>
      </w:pPr>
      <w:r>
        <w:rPr>
          <w:rFonts w:hint="eastAsia" w:ascii="宋体" w:hAnsi="宋体" w:eastAsia="宋体" w:cs="仿宋_GB2312"/>
          <w:b/>
          <w:szCs w:val="21"/>
        </w:rPr>
        <w:t>（3）不同的投标人的投标文件载明的项目管理员为同一个人；</w:t>
      </w:r>
    </w:p>
    <w:p w14:paraId="6A2EF515">
      <w:pPr>
        <w:snapToGrid w:val="0"/>
        <w:spacing w:line="440" w:lineRule="exact"/>
        <w:ind w:firstLine="422" w:firstLineChars="200"/>
        <w:jc w:val="left"/>
        <w:rPr>
          <w:rFonts w:ascii="宋体" w:hAnsi="宋体" w:eastAsia="宋体" w:cs="仿宋_GB2312"/>
          <w:b/>
          <w:szCs w:val="21"/>
        </w:rPr>
      </w:pPr>
      <w:r>
        <w:rPr>
          <w:rFonts w:hint="eastAsia" w:ascii="宋体" w:hAnsi="宋体" w:eastAsia="宋体" w:cs="仿宋_GB2312"/>
          <w:b/>
          <w:szCs w:val="21"/>
        </w:rPr>
        <w:t>（4）不同投标人的投标文件异常一致或者投标报价呈规律性差异；</w:t>
      </w:r>
    </w:p>
    <w:p w14:paraId="6403CA86">
      <w:pPr>
        <w:snapToGrid w:val="0"/>
        <w:spacing w:line="440" w:lineRule="exact"/>
        <w:ind w:firstLine="422" w:firstLineChars="200"/>
        <w:jc w:val="left"/>
        <w:rPr>
          <w:rFonts w:ascii="宋体" w:hAnsi="宋体" w:eastAsia="宋体" w:cs="仿宋_GB2312"/>
          <w:b/>
          <w:szCs w:val="21"/>
        </w:rPr>
      </w:pPr>
      <w:r>
        <w:rPr>
          <w:rFonts w:hint="eastAsia" w:ascii="宋体" w:hAnsi="宋体" w:eastAsia="宋体" w:cs="仿宋_GB2312"/>
          <w:b/>
          <w:szCs w:val="21"/>
        </w:rPr>
        <w:t>（5）不同投标人的投标文件相互混装；</w:t>
      </w:r>
    </w:p>
    <w:p w14:paraId="12E5D812">
      <w:pPr>
        <w:snapToGrid w:val="0"/>
        <w:spacing w:line="440" w:lineRule="exact"/>
        <w:ind w:firstLine="422" w:firstLineChars="200"/>
        <w:jc w:val="left"/>
        <w:rPr>
          <w:rFonts w:ascii="宋体" w:hAnsi="宋体" w:eastAsia="宋体" w:cs="仿宋_GB2312"/>
          <w:b/>
          <w:szCs w:val="21"/>
        </w:rPr>
      </w:pPr>
      <w:r>
        <w:rPr>
          <w:rFonts w:hint="eastAsia" w:ascii="宋体" w:hAnsi="宋体" w:eastAsia="宋体" w:cs="仿宋_GB2312"/>
          <w:b/>
          <w:szCs w:val="21"/>
        </w:rPr>
        <w:t>（6）不同投标人的投标保证金从同一单位或者个人账户转出。</w:t>
      </w:r>
    </w:p>
    <w:p w14:paraId="40F07EE7">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9.3供应商有下列情形之一的，属于恶意串通行为，将报同级监督管理部门：</w:t>
      </w:r>
    </w:p>
    <w:p w14:paraId="72845E0E">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（1）供应商直接或者间接从采购人或者采购代理机构处获得其他供应商的相关信息并修改其投标文件或者响应文件；</w:t>
      </w:r>
    </w:p>
    <w:p w14:paraId="22788D33">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（2）供应商按照采购人或者采购代理机构的授意撤换、修改投标文件或者响应文件；</w:t>
      </w:r>
    </w:p>
    <w:p w14:paraId="3E12353E">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（3）供应商之间协商报价、技术方案等投标文件或者响应文件的实质性内容；</w:t>
      </w:r>
    </w:p>
    <w:p w14:paraId="3D5D3AE1">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（4）属于同一集团、协会、商会等组织成员的供应商按照该组织要求协同参加政府采购活动；</w:t>
      </w:r>
    </w:p>
    <w:p w14:paraId="17793C89">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（5）供应商之间事先约定一致抬高或者压低投标报价，或者在招标项目中事先约定轮流以高价位或者低价位中标，或者事先约定由某一特定供应商中标，然后再参加投标；</w:t>
      </w:r>
    </w:p>
    <w:p w14:paraId="1C0C61B3">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（6）供应商之间商定部分供应商放弃参加政府采购活动或者放弃中标；</w:t>
      </w:r>
    </w:p>
    <w:p w14:paraId="63A0B107">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（7）供应商与采购人或者采购代理机构之间、供应商相互之间，为谋求特定供应商中标或者排斥其他供应商的其他串通行为。</w:t>
      </w:r>
    </w:p>
    <w:p w14:paraId="549EE389">
      <w:pPr>
        <w:spacing w:line="600" w:lineRule="exact"/>
        <w:ind w:firstLine="640"/>
        <w:jc w:val="center"/>
        <w:outlineLvl w:val="2"/>
        <w:rPr>
          <w:rFonts w:ascii="宋体" w:hAnsi="宋体" w:eastAsia="宋体" w:cs="仿宋_GB2312"/>
          <w:b/>
          <w:bCs/>
          <w:sz w:val="32"/>
          <w:szCs w:val="32"/>
        </w:rPr>
      </w:pPr>
      <w:bookmarkStart w:id="112" w:name="_Toc16733"/>
      <w:bookmarkStart w:id="113" w:name="_Toc5971"/>
      <w:bookmarkStart w:id="114" w:name="_Toc254970534"/>
      <w:bookmarkStart w:id="115" w:name="_Toc254970675"/>
      <w:r>
        <w:rPr>
          <w:rFonts w:hint="eastAsia" w:ascii="宋体" w:hAnsi="宋体" w:eastAsia="宋体" w:cs="仿宋_GB2312"/>
          <w:b/>
          <w:bCs/>
          <w:sz w:val="32"/>
          <w:szCs w:val="32"/>
        </w:rPr>
        <w:t>二、招标文件</w:t>
      </w:r>
      <w:bookmarkEnd w:id="112"/>
      <w:bookmarkEnd w:id="113"/>
      <w:bookmarkEnd w:id="114"/>
      <w:bookmarkEnd w:id="115"/>
    </w:p>
    <w:p w14:paraId="23618660">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10.招标文件的组成</w:t>
      </w:r>
    </w:p>
    <w:p w14:paraId="3EF6B9D2">
      <w:pPr>
        <w:snapToGrid w:val="0"/>
        <w:spacing w:line="440" w:lineRule="exact"/>
        <w:ind w:firstLine="482"/>
        <w:jc w:val="left"/>
        <w:rPr>
          <w:rFonts w:ascii="宋体" w:hAnsi="宋体" w:eastAsia="宋体" w:cs="仿宋_GB2312"/>
          <w:szCs w:val="21"/>
        </w:rPr>
      </w:pPr>
      <w:r>
        <w:rPr>
          <w:rFonts w:hint="eastAsia" w:ascii="宋体" w:hAnsi="宋体" w:eastAsia="宋体" w:cs="仿宋_GB2312"/>
          <w:szCs w:val="21"/>
        </w:rPr>
        <w:t>（1）招标公告；</w:t>
      </w:r>
    </w:p>
    <w:p w14:paraId="6F0F9157">
      <w:pPr>
        <w:snapToGrid w:val="0"/>
        <w:spacing w:line="440" w:lineRule="exact"/>
        <w:ind w:firstLine="482"/>
        <w:jc w:val="left"/>
        <w:rPr>
          <w:rFonts w:ascii="宋体" w:hAnsi="宋体" w:eastAsia="宋体" w:cs="仿宋_GB2312"/>
          <w:szCs w:val="21"/>
        </w:rPr>
      </w:pPr>
      <w:r>
        <w:rPr>
          <w:rFonts w:hint="eastAsia" w:ascii="宋体" w:hAnsi="宋体" w:eastAsia="宋体" w:cs="仿宋_GB2312"/>
          <w:szCs w:val="21"/>
        </w:rPr>
        <w:t xml:space="preserve">（2）采购需求； </w:t>
      </w:r>
    </w:p>
    <w:p w14:paraId="137A01A7">
      <w:pPr>
        <w:snapToGrid w:val="0"/>
        <w:spacing w:line="440" w:lineRule="exact"/>
        <w:ind w:firstLine="482"/>
        <w:jc w:val="left"/>
        <w:rPr>
          <w:rFonts w:ascii="宋体" w:hAnsi="宋体" w:eastAsia="宋体" w:cs="仿宋_GB2312"/>
          <w:szCs w:val="21"/>
        </w:rPr>
      </w:pPr>
      <w:r>
        <w:rPr>
          <w:rFonts w:hint="eastAsia" w:ascii="宋体" w:hAnsi="宋体" w:eastAsia="宋体" w:cs="仿宋_GB2312"/>
          <w:szCs w:val="21"/>
        </w:rPr>
        <w:t>（3）投标人须知；</w:t>
      </w:r>
    </w:p>
    <w:p w14:paraId="23EB18D6">
      <w:pPr>
        <w:snapToGrid w:val="0"/>
        <w:spacing w:line="440" w:lineRule="exact"/>
        <w:ind w:firstLine="482"/>
        <w:jc w:val="left"/>
        <w:rPr>
          <w:rFonts w:ascii="宋体" w:hAnsi="宋体" w:eastAsia="宋体" w:cs="仿宋_GB2312"/>
          <w:szCs w:val="21"/>
        </w:rPr>
      </w:pPr>
      <w:r>
        <w:rPr>
          <w:rFonts w:hint="eastAsia" w:ascii="宋体" w:hAnsi="宋体" w:eastAsia="宋体" w:cs="仿宋_GB2312"/>
          <w:szCs w:val="21"/>
        </w:rPr>
        <w:t>（4）评标方法及评标标准；</w:t>
      </w:r>
    </w:p>
    <w:p w14:paraId="079EDE13">
      <w:pPr>
        <w:snapToGrid w:val="0"/>
        <w:spacing w:line="440" w:lineRule="exact"/>
        <w:ind w:firstLine="482"/>
        <w:jc w:val="left"/>
        <w:rPr>
          <w:rFonts w:ascii="宋体" w:hAnsi="宋体" w:eastAsia="宋体" w:cs="仿宋_GB2312"/>
          <w:szCs w:val="21"/>
        </w:rPr>
      </w:pPr>
      <w:r>
        <w:rPr>
          <w:rFonts w:hint="eastAsia" w:ascii="宋体" w:hAnsi="宋体" w:eastAsia="宋体" w:cs="仿宋_GB2312"/>
          <w:szCs w:val="21"/>
        </w:rPr>
        <w:t>（5）拟签订的合同文本；</w:t>
      </w:r>
    </w:p>
    <w:p w14:paraId="2AE8B84F">
      <w:pPr>
        <w:snapToGrid w:val="0"/>
        <w:spacing w:line="440" w:lineRule="exact"/>
        <w:ind w:firstLine="482"/>
        <w:jc w:val="left"/>
        <w:rPr>
          <w:rFonts w:ascii="宋体" w:hAnsi="宋体" w:eastAsia="宋体" w:cs="仿宋_GB2312"/>
          <w:szCs w:val="21"/>
        </w:rPr>
      </w:pPr>
      <w:r>
        <w:rPr>
          <w:rFonts w:hint="eastAsia" w:ascii="宋体" w:hAnsi="宋体" w:eastAsia="宋体" w:cs="仿宋_GB2312"/>
          <w:szCs w:val="21"/>
        </w:rPr>
        <w:t>（6）投标文件格式。</w:t>
      </w:r>
    </w:p>
    <w:p w14:paraId="722706C5">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11.招标文件的澄清、修改、现场考察和答疑会</w:t>
      </w:r>
    </w:p>
    <w:p w14:paraId="514F1F63">
      <w:pPr>
        <w:snapToGrid w:val="0"/>
        <w:spacing w:line="440" w:lineRule="exact"/>
        <w:ind w:firstLine="420" w:firstLineChars="200"/>
        <w:rPr>
          <w:rFonts w:ascii="宋体" w:hAnsi="宋体" w:eastAsia="宋体" w:cs="仿宋_GB2312"/>
          <w:szCs w:val="20"/>
        </w:rPr>
      </w:pPr>
      <w:bookmarkStart w:id="116" w:name="_Hlk53134511"/>
      <w:r>
        <w:rPr>
          <w:rFonts w:hint="eastAsia" w:ascii="宋体" w:hAnsi="宋体" w:eastAsia="宋体" w:cs="仿宋_GB2312"/>
          <w:szCs w:val="20"/>
        </w:rPr>
        <w:t>11.1采购人或者采购代理机构可以对已发出的招标文件进行必要的澄清或者修改，但不得改变采购标的和资格条件。澄清或者修改将在原公告发布媒体上发布更正公告。澄清或者修改的内容为招标文件的组成部分。</w:t>
      </w:r>
    </w:p>
    <w:p w14:paraId="1B055927">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253582CB">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11.2采购人或者采购代理机构可以在招标文件提供期限截止后，组织已获取招标文件的潜在投标人现场考察或者召开开标前答疑会，具体详见“投标人须知前附表”。</w:t>
      </w:r>
    </w:p>
    <w:bookmarkEnd w:id="116"/>
    <w:p w14:paraId="467746B8">
      <w:pPr>
        <w:spacing w:line="600" w:lineRule="exact"/>
        <w:ind w:firstLine="640"/>
        <w:jc w:val="center"/>
        <w:outlineLvl w:val="2"/>
        <w:rPr>
          <w:rFonts w:ascii="宋体" w:hAnsi="宋体" w:eastAsia="宋体" w:cs="仿宋_GB2312"/>
          <w:b/>
          <w:bCs/>
          <w:sz w:val="32"/>
          <w:szCs w:val="32"/>
        </w:rPr>
      </w:pPr>
      <w:bookmarkStart w:id="117" w:name="_Toc254970535"/>
      <w:bookmarkStart w:id="118" w:name="_Toc32198"/>
      <w:bookmarkStart w:id="119" w:name="_Toc28609"/>
      <w:bookmarkStart w:id="120" w:name="_Toc254970676"/>
      <w:r>
        <w:rPr>
          <w:rFonts w:hint="eastAsia" w:ascii="宋体" w:hAnsi="宋体" w:eastAsia="宋体" w:cs="仿宋_GB2312"/>
          <w:b/>
          <w:bCs/>
          <w:sz w:val="32"/>
          <w:szCs w:val="32"/>
        </w:rPr>
        <w:t>三、投标文件的编制</w:t>
      </w:r>
      <w:bookmarkEnd w:id="117"/>
      <w:bookmarkEnd w:id="118"/>
      <w:bookmarkEnd w:id="119"/>
      <w:bookmarkEnd w:id="120"/>
    </w:p>
    <w:p w14:paraId="1B200AD2">
      <w:pPr>
        <w:spacing w:line="440" w:lineRule="exact"/>
        <w:ind w:firstLine="480"/>
        <w:rPr>
          <w:rFonts w:ascii="宋体" w:hAnsi="宋体" w:eastAsia="宋体" w:cs="仿宋_GB2312"/>
          <w:b/>
          <w:sz w:val="24"/>
          <w:szCs w:val="24"/>
        </w:rPr>
      </w:pPr>
      <w:bookmarkStart w:id="121" w:name="_Toc254970677"/>
      <w:bookmarkStart w:id="122" w:name="_Toc254970536"/>
      <w:r>
        <w:rPr>
          <w:rFonts w:hint="eastAsia" w:ascii="宋体" w:hAnsi="宋体" w:eastAsia="宋体" w:cs="仿宋_GB2312"/>
          <w:b/>
          <w:sz w:val="24"/>
          <w:szCs w:val="24"/>
        </w:rPr>
        <w:t>12.投标文件的编制原则</w:t>
      </w:r>
    </w:p>
    <w:p w14:paraId="6EDD46DE">
      <w:pPr>
        <w:snapToGrid w:val="0"/>
        <w:spacing w:line="440" w:lineRule="exact"/>
        <w:ind w:firstLine="482"/>
        <w:jc w:val="left"/>
        <w:rPr>
          <w:rFonts w:ascii="宋体" w:hAnsi="宋体" w:eastAsia="宋体" w:cs="仿宋_GB2312"/>
          <w:szCs w:val="21"/>
        </w:rPr>
      </w:pPr>
      <w:r>
        <w:rPr>
          <w:rFonts w:hint="eastAsia" w:ascii="宋体" w:hAnsi="宋体" w:eastAsia="宋体" w:cs="仿宋_GB2312"/>
          <w:szCs w:val="21"/>
        </w:rPr>
        <w:t>投标人必须按照招标文件的要求编制投标文件。投标文件必须对招标文件提出的要求和条件作出明确响应。</w:t>
      </w:r>
    </w:p>
    <w:p w14:paraId="3B23D117">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13.投标文件的组成</w:t>
      </w:r>
      <w:bookmarkEnd w:id="121"/>
      <w:bookmarkEnd w:id="122"/>
    </w:p>
    <w:p w14:paraId="3EAF3DC6">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投标文件由报价文件、资格证明文件、商务及技术文件三部分组成。</w:t>
      </w:r>
    </w:p>
    <w:p w14:paraId="78A064EC">
      <w:pPr>
        <w:snapToGrid w:val="0"/>
        <w:spacing w:line="440" w:lineRule="exact"/>
        <w:ind w:firstLine="420" w:firstLineChars="200"/>
        <w:jc w:val="left"/>
        <w:rPr>
          <w:rFonts w:ascii="宋体" w:hAnsi="宋体" w:eastAsia="宋体" w:cs="仿宋_GB2312"/>
          <w:szCs w:val="21"/>
        </w:rPr>
      </w:pPr>
      <w:bookmarkStart w:id="123" w:name="_13.1报价文件:_具体材料见“投标人须知前附表”。"/>
      <w:bookmarkEnd w:id="123"/>
      <w:r>
        <w:rPr>
          <w:rFonts w:hint="eastAsia" w:ascii="宋体" w:hAnsi="宋体" w:eastAsia="宋体" w:cs="仿宋_GB2312"/>
          <w:szCs w:val="21"/>
        </w:rPr>
        <w:t>（1）报价文件：具体材料见“投标人须知前附表”。</w:t>
      </w:r>
    </w:p>
    <w:p w14:paraId="731A08FA">
      <w:pPr>
        <w:snapToGrid w:val="0"/>
        <w:spacing w:line="440" w:lineRule="exact"/>
        <w:ind w:firstLine="420" w:firstLineChars="200"/>
        <w:jc w:val="left"/>
        <w:rPr>
          <w:rFonts w:ascii="宋体" w:hAnsi="宋体" w:eastAsia="宋体" w:cs="仿宋_GB2312"/>
          <w:szCs w:val="21"/>
        </w:rPr>
      </w:pPr>
      <w:bookmarkStart w:id="124" w:name="_13.2资格证明文件：具体材料见“投标人须知前附表”。"/>
      <w:bookmarkEnd w:id="124"/>
      <w:r>
        <w:rPr>
          <w:rFonts w:hint="eastAsia" w:ascii="宋体" w:hAnsi="宋体" w:eastAsia="宋体" w:cs="仿宋_GB2312"/>
          <w:szCs w:val="21"/>
        </w:rPr>
        <w:t>（2）资格证明文件：具体材料见“投标人须知前附表”。</w:t>
      </w:r>
    </w:p>
    <w:p w14:paraId="6B4D77F1">
      <w:pPr>
        <w:snapToGrid w:val="0"/>
        <w:spacing w:line="440" w:lineRule="exact"/>
        <w:ind w:firstLine="420" w:firstLineChars="200"/>
        <w:jc w:val="left"/>
        <w:rPr>
          <w:rFonts w:ascii="宋体" w:hAnsi="宋体" w:eastAsia="宋体" w:cs="仿宋_GB2312"/>
          <w:szCs w:val="21"/>
        </w:rPr>
      </w:pPr>
      <w:bookmarkStart w:id="125" w:name="_13.3商务文件:_具体材料见“投标人须知前附表”。"/>
      <w:bookmarkEnd w:id="125"/>
      <w:r>
        <w:rPr>
          <w:rFonts w:hint="eastAsia" w:ascii="宋体" w:hAnsi="宋体" w:eastAsia="宋体" w:cs="仿宋_GB2312"/>
          <w:szCs w:val="21"/>
        </w:rPr>
        <w:t>（3）商务及技术文件：具体材料见“投标人须知前附表”。</w:t>
      </w:r>
    </w:p>
    <w:p w14:paraId="0F9E9FF4">
      <w:pPr>
        <w:spacing w:line="440" w:lineRule="exact"/>
        <w:ind w:firstLine="480"/>
        <w:rPr>
          <w:rFonts w:ascii="宋体" w:hAnsi="宋体" w:eastAsia="宋体" w:cs="仿宋_GB2312"/>
          <w:b/>
          <w:sz w:val="24"/>
          <w:szCs w:val="24"/>
        </w:rPr>
      </w:pPr>
      <w:bookmarkStart w:id="126" w:name="_13.4技术文件：具体材料见“投标人须知前附表”。"/>
      <w:bookmarkEnd w:id="126"/>
      <w:bookmarkStart w:id="127" w:name="_13.5投标文件电子版：具体材料见“投标人须知前附表”。"/>
      <w:bookmarkEnd w:id="127"/>
      <w:bookmarkStart w:id="128" w:name="_Toc254970537"/>
      <w:bookmarkStart w:id="129" w:name="_Toc254970678"/>
      <w:r>
        <w:rPr>
          <w:rFonts w:hint="eastAsia" w:ascii="宋体" w:hAnsi="宋体" w:eastAsia="宋体" w:cs="仿宋_GB2312"/>
          <w:b/>
          <w:sz w:val="24"/>
          <w:szCs w:val="24"/>
        </w:rPr>
        <w:t>14.投标文件的语言及计量</w:t>
      </w:r>
      <w:bookmarkEnd w:id="128"/>
      <w:bookmarkEnd w:id="129"/>
    </w:p>
    <w:p w14:paraId="20905BD5">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14.1语言文字</w:t>
      </w:r>
    </w:p>
    <w:p w14:paraId="4534069E">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4CB843A">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14.2投标计量单位</w:t>
      </w:r>
    </w:p>
    <w:p w14:paraId="152F5755">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招标文件已有明确规定的，使用招标文件规定的计量单位；招标文件没有规定的，应采用中华人民共和国法定计量单位，货币种类为人民币，</w:t>
      </w:r>
      <w:r>
        <w:rPr>
          <w:rFonts w:hint="eastAsia" w:ascii="宋体" w:hAnsi="宋体" w:eastAsia="宋体" w:cs="仿宋_GB2312"/>
          <w:b/>
          <w:szCs w:val="21"/>
        </w:rPr>
        <w:t>否则视同未响应</w:t>
      </w:r>
      <w:r>
        <w:rPr>
          <w:rFonts w:hint="eastAsia" w:ascii="宋体" w:hAnsi="宋体" w:eastAsia="宋体" w:cs="仿宋_GB2312"/>
          <w:szCs w:val="21"/>
        </w:rPr>
        <w:t>。</w:t>
      </w:r>
    </w:p>
    <w:p w14:paraId="32A00515">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15.投标的风险</w:t>
      </w:r>
    </w:p>
    <w:p w14:paraId="5550A6A2">
      <w:pPr>
        <w:snapToGrid w:val="0"/>
        <w:spacing w:line="440" w:lineRule="exact"/>
        <w:ind w:firstLine="420" w:firstLineChars="200"/>
        <w:jc w:val="left"/>
        <w:rPr>
          <w:rFonts w:ascii="宋体" w:hAnsi="宋体" w:eastAsia="宋体" w:cs="仿宋_GB2312"/>
          <w:szCs w:val="20"/>
        </w:rPr>
      </w:pPr>
      <w:r>
        <w:rPr>
          <w:rFonts w:hint="eastAsia" w:ascii="宋体" w:hAnsi="宋体" w:eastAsia="宋体" w:cs="仿宋_GB2312"/>
          <w:szCs w:val="20"/>
        </w:rPr>
        <w:t>投标人没有按照招标文件要求提供全部资料，或者投标人没有对招标文件作出实质性响应是投标人的风险，并可能导致其投标被拒绝。</w:t>
      </w:r>
    </w:p>
    <w:p w14:paraId="629FFC4B">
      <w:pPr>
        <w:spacing w:line="440" w:lineRule="exact"/>
        <w:ind w:firstLine="480"/>
        <w:rPr>
          <w:rFonts w:ascii="宋体" w:hAnsi="宋体" w:eastAsia="宋体" w:cs="仿宋_GB2312"/>
          <w:b/>
          <w:sz w:val="24"/>
          <w:szCs w:val="24"/>
        </w:rPr>
      </w:pPr>
      <w:bookmarkStart w:id="130" w:name="_Toc254970538"/>
      <w:bookmarkStart w:id="131" w:name="_Toc254970679"/>
      <w:r>
        <w:rPr>
          <w:rFonts w:hint="eastAsia" w:ascii="宋体" w:hAnsi="宋体" w:eastAsia="宋体" w:cs="仿宋_GB2312"/>
          <w:b/>
          <w:sz w:val="24"/>
          <w:szCs w:val="24"/>
        </w:rPr>
        <w:t>16.投标报价</w:t>
      </w:r>
      <w:bookmarkEnd w:id="130"/>
      <w:bookmarkEnd w:id="131"/>
    </w:p>
    <w:p w14:paraId="09960685">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16.1投标报价应按“第六章　投标文件格式”中“开标一览表”格式填写。</w:t>
      </w:r>
    </w:p>
    <w:p w14:paraId="06CBBB4C">
      <w:pPr>
        <w:snapToGrid w:val="0"/>
        <w:spacing w:line="440" w:lineRule="exact"/>
        <w:ind w:firstLine="420" w:firstLineChars="200"/>
        <w:jc w:val="left"/>
        <w:rPr>
          <w:rFonts w:ascii="宋体" w:hAnsi="宋体" w:eastAsia="宋体" w:cs="仿宋_GB2312"/>
          <w:szCs w:val="21"/>
        </w:rPr>
      </w:pPr>
      <w:bookmarkStart w:id="132" w:name="_16.2投标报价具体定义见投标人须知前附表。"/>
      <w:bookmarkEnd w:id="132"/>
      <w:r>
        <w:rPr>
          <w:rFonts w:hint="eastAsia" w:ascii="宋体" w:hAnsi="宋体" w:eastAsia="宋体" w:cs="仿宋_GB2312"/>
          <w:szCs w:val="21"/>
        </w:rPr>
        <w:t>16.2投标报价具体包括内容详见“投标人须知前附表”。</w:t>
      </w:r>
    </w:p>
    <w:p w14:paraId="4A457B4F">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16.3投标人必须就所投每个分标的全部内容分别作完整唯一总价报价，不得存在漏项报价；投标人必须就所投分标的单项内容作唯一报价。</w:t>
      </w:r>
    </w:p>
    <w:p w14:paraId="46138896">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17.投标有效期</w:t>
      </w:r>
    </w:p>
    <w:p w14:paraId="0FA84361">
      <w:pPr>
        <w:snapToGrid w:val="0"/>
        <w:spacing w:line="440" w:lineRule="exact"/>
        <w:ind w:firstLine="420" w:firstLineChars="200"/>
        <w:jc w:val="left"/>
        <w:rPr>
          <w:rFonts w:ascii="宋体" w:hAnsi="宋体" w:eastAsia="宋体" w:cs="仿宋_GB2312"/>
          <w:szCs w:val="21"/>
        </w:rPr>
      </w:pPr>
      <w:bookmarkStart w:id="133" w:name="_17.1投标有效期应按“投标人须知中的前附表”规定的期限。"/>
      <w:bookmarkEnd w:id="133"/>
      <w:r>
        <w:rPr>
          <w:rFonts w:hint="eastAsia" w:ascii="宋体" w:hAnsi="宋体" w:eastAsia="宋体" w:cs="仿宋_GB2312"/>
          <w:szCs w:val="21"/>
        </w:rPr>
        <w:t>17.1投标有效期是指为保证采购人有足够的时间在开标后完成评标、定标、合同签订等工作而要求投标人提交的投标文件在一定时间内保持有效的期限。</w:t>
      </w:r>
    </w:p>
    <w:p w14:paraId="72B43F9A">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17.2</w:t>
      </w:r>
      <w:bookmarkStart w:id="134" w:name="_Toc254970681"/>
      <w:bookmarkStart w:id="135" w:name="_Toc254970540"/>
      <w:r>
        <w:rPr>
          <w:rFonts w:hint="eastAsia" w:ascii="宋体" w:hAnsi="宋体" w:eastAsia="宋体" w:cs="仿宋_GB2312"/>
          <w:szCs w:val="21"/>
        </w:rPr>
        <w:t>投标有效期应按招标文件规定的期限作出承诺，具体详见“投标人须知前附表”。</w:t>
      </w:r>
      <w:r>
        <w:rPr>
          <w:rFonts w:hint="eastAsia" w:ascii="宋体" w:hAnsi="宋体" w:eastAsia="宋体" w:cs="仿宋_GB2312"/>
          <w:b/>
          <w:szCs w:val="21"/>
        </w:rPr>
        <w:t>承诺的投标有效期低于招标文件规定期限的，按无效投标处理</w:t>
      </w:r>
      <w:r>
        <w:rPr>
          <w:rFonts w:hint="eastAsia" w:ascii="宋体" w:hAnsi="宋体" w:eastAsia="宋体" w:cs="仿宋_GB2312"/>
          <w:szCs w:val="21"/>
        </w:rPr>
        <w:t>。</w:t>
      </w:r>
    </w:p>
    <w:p w14:paraId="1E2098AB">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17.3投标人的投标文件在投标有效期内均保持有效。</w:t>
      </w:r>
      <w:bookmarkEnd w:id="134"/>
      <w:bookmarkEnd w:id="135"/>
    </w:p>
    <w:p w14:paraId="5B6EA691">
      <w:pPr>
        <w:spacing w:line="440" w:lineRule="exact"/>
        <w:ind w:firstLine="480"/>
        <w:rPr>
          <w:rFonts w:ascii="宋体" w:hAnsi="宋体" w:eastAsia="宋体" w:cs="仿宋_GB2312"/>
          <w:b/>
          <w:sz w:val="24"/>
          <w:szCs w:val="24"/>
        </w:rPr>
      </w:pPr>
      <w:bookmarkStart w:id="136" w:name="_18.投标保证金"/>
      <w:bookmarkEnd w:id="136"/>
      <w:bookmarkStart w:id="137" w:name="_Toc254970682"/>
      <w:bookmarkStart w:id="138" w:name="_Toc254970541"/>
      <w:r>
        <w:rPr>
          <w:rFonts w:hint="eastAsia" w:ascii="宋体" w:hAnsi="宋体" w:eastAsia="宋体" w:cs="仿宋_GB2312"/>
          <w:b/>
          <w:sz w:val="24"/>
          <w:szCs w:val="24"/>
        </w:rPr>
        <w:t>18.投标保证金</w:t>
      </w:r>
      <w:bookmarkEnd w:id="137"/>
      <w:bookmarkEnd w:id="138"/>
    </w:p>
    <w:p w14:paraId="72B28CAE">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18.1投标人须按“投标人须知前附表”的规定提交投标保证金。</w:t>
      </w:r>
    </w:p>
    <w:p w14:paraId="06DE0A69">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18.2投标保证金的退还</w:t>
      </w:r>
    </w:p>
    <w:p w14:paraId="3054EE6C">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未中标人的投标保证金自中标通知书发出之日起5个工作日内退还；中标人的投标保证金自政府采购合同签订之日起5个工作日内退还。</w:t>
      </w:r>
    </w:p>
    <w:p w14:paraId="205186BA">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18.3除逾期退还投标保证金和终止招标的情形以外，投标保证金不计息。</w:t>
      </w:r>
    </w:p>
    <w:p w14:paraId="0B4C3DA5">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18.4投标人有下列情形之一的，投标保证金将不予退还：</w:t>
      </w:r>
    </w:p>
    <w:p w14:paraId="21196202">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（1）投标人在投标有效期内撤销投标文件的；</w:t>
      </w:r>
    </w:p>
    <w:p w14:paraId="0E3138AC">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（2）未按规定提交履约保证金的；</w:t>
      </w:r>
    </w:p>
    <w:p w14:paraId="7B1E83CC">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（3）投标人在投标过程中弄虚作假，提供虚假材料的；</w:t>
      </w:r>
    </w:p>
    <w:p w14:paraId="3453E441">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（4）中标人无正当理由不与采购人签订合同的；</w:t>
      </w:r>
    </w:p>
    <w:p w14:paraId="3E398509">
      <w:pPr>
        <w:snapToGrid w:val="0"/>
        <w:spacing w:line="440" w:lineRule="exact"/>
        <w:ind w:firstLine="420" w:firstLineChars="200"/>
        <w:jc w:val="left"/>
        <w:rPr>
          <w:rFonts w:ascii="宋体" w:hAnsi="宋体" w:eastAsia="宋体" w:cs="仿宋_GB2312"/>
          <w:szCs w:val="21"/>
        </w:rPr>
      </w:pPr>
      <w:bookmarkStart w:id="139" w:name="_Toc254970542"/>
      <w:bookmarkStart w:id="140" w:name="_Toc254970683"/>
      <w:r>
        <w:rPr>
          <w:rFonts w:hint="eastAsia" w:ascii="宋体" w:hAnsi="宋体" w:eastAsia="宋体" w:cs="仿宋_GB2312"/>
          <w:szCs w:val="21"/>
        </w:rPr>
        <w:t>（5）投标人出现本章第9.2、9.3情形的；</w:t>
      </w:r>
    </w:p>
    <w:p w14:paraId="439275E8">
      <w:pPr>
        <w:snapToGrid w:val="0"/>
        <w:spacing w:line="440" w:lineRule="exact"/>
        <w:ind w:firstLine="420" w:firstLineChars="200"/>
        <w:jc w:val="left"/>
        <w:rPr>
          <w:rFonts w:ascii="宋体" w:hAnsi="宋体" w:eastAsia="宋体" w:cs="仿宋_GB2312"/>
          <w:szCs w:val="21"/>
        </w:rPr>
      </w:pPr>
      <w:r>
        <w:rPr>
          <w:rFonts w:hint="eastAsia" w:ascii="宋体" w:hAnsi="宋体" w:eastAsia="宋体" w:cs="仿宋_GB2312"/>
          <w:szCs w:val="21"/>
        </w:rPr>
        <w:t>（6）法律法规规定的其他情形。</w:t>
      </w:r>
    </w:p>
    <w:bookmarkEnd w:id="139"/>
    <w:bookmarkEnd w:id="140"/>
    <w:p w14:paraId="7730EEBD">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19.投标文件的编制</w:t>
      </w:r>
    </w:p>
    <w:p w14:paraId="5CC6AE61">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14:paraId="0A0B5058">
      <w:pPr>
        <w:spacing w:line="440" w:lineRule="exact"/>
        <w:ind w:firstLine="420" w:firstLineChars="200"/>
        <w:rPr>
          <w:rFonts w:ascii="宋体" w:hAnsi="宋体" w:eastAsia="宋体" w:cs="仿宋_GB2312"/>
          <w:szCs w:val="20"/>
        </w:rPr>
      </w:pPr>
      <w:bookmarkStart w:id="141" w:name="_19.2投标文件应按报价文件、资格证明文件、商务文件、技术文件分别编制"/>
      <w:bookmarkEnd w:id="141"/>
      <w:r>
        <w:rPr>
          <w:rFonts w:hint="eastAsia" w:ascii="宋体" w:hAnsi="宋体" w:eastAsia="宋体" w:cs="仿宋_GB2312"/>
          <w:szCs w:val="20"/>
        </w:rPr>
        <w:t>19.2为确保网上操作合法、有效和安全，投标人应当在投标截止时间前完成在广西政府采购云平台的身份认证，确保在电子投标过程中能够对相关数据电文进行加密和使用电子签章。</w:t>
      </w:r>
    </w:p>
    <w:p w14:paraId="339085F3">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19.3投标文件须由投标人在规定位置签字（或者电子签名）、盖章（具体以投标人须知前附表或投标文件格式规定为准），</w:t>
      </w:r>
      <w:r>
        <w:rPr>
          <w:rFonts w:hint="eastAsia" w:ascii="宋体" w:hAnsi="宋体" w:eastAsia="宋体" w:cs="仿宋_GB2312"/>
          <w:b/>
          <w:szCs w:val="20"/>
        </w:rPr>
        <w:t>否则按无效投标处理</w:t>
      </w:r>
      <w:r>
        <w:rPr>
          <w:rFonts w:hint="eastAsia" w:ascii="宋体" w:hAnsi="宋体" w:eastAsia="宋体" w:cs="仿宋_GB2312"/>
          <w:szCs w:val="20"/>
        </w:rPr>
        <w:t>。</w:t>
      </w:r>
    </w:p>
    <w:p w14:paraId="208B3B46">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eastAsia="宋体" w:cs="仿宋_GB2312"/>
          <w:b/>
          <w:szCs w:val="20"/>
        </w:rPr>
        <w:t>否则按无效投标处理</w:t>
      </w:r>
      <w:r>
        <w:rPr>
          <w:rFonts w:hint="eastAsia" w:ascii="宋体" w:hAnsi="宋体" w:eastAsia="宋体" w:cs="仿宋_GB2312"/>
          <w:szCs w:val="20"/>
        </w:rPr>
        <w:t>。</w:t>
      </w:r>
    </w:p>
    <w:p w14:paraId="2AE13165">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7B4F53EF">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20.投标文件的加密、解密</w:t>
      </w:r>
    </w:p>
    <w:p w14:paraId="7B5997DC">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20.1</w:t>
      </w:r>
      <w:r>
        <w:rPr>
          <w:rFonts w:hint="eastAsia" w:ascii="宋体" w:hAnsi="宋体" w:eastAsia="宋体" w:cs="仿宋_GB2312"/>
          <w:b/>
          <w:bCs/>
          <w:szCs w:val="20"/>
        </w:rPr>
        <w:t>电子投标文件编制完成后，投标人应按广西政府采购云平台的要求进行加密，并在规定时间内解密，否则，由此产生的后果由投标人自行负责。</w:t>
      </w:r>
    </w:p>
    <w:p w14:paraId="767B61D4">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20.2电子备份投标文件是指通过“广西政府采购云平台电子投标客户端”在线编制生成且后缀名为“bfbs”的文件，本项目不接受电子备份投标文件详见在“投标人须知前附表”。</w:t>
      </w:r>
    </w:p>
    <w:p w14:paraId="00C79608">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21.投标文件的提交</w:t>
      </w:r>
    </w:p>
    <w:p w14:paraId="6BF45668">
      <w:pPr>
        <w:spacing w:line="440" w:lineRule="exact"/>
        <w:ind w:firstLine="420" w:firstLineChars="200"/>
        <w:rPr>
          <w:rFonts w:ascii="宋体" w:hAnsi="宋体" w:eastAsia="宋体" w:cs="仿宋_GB2312"/>
          <w:b/>
          <w:szCs w:val="24"/>
        </w:rPr>
      </w:pPr>
      <w:bookmarkStart w:id="142" w:name="_21.1投标人必须在“投标人须知中的前附表”规定的投标文件接收时间和投"/>
      <w:bookmarkEnd w:id="142"/>
      <w:r>
        <w:rPr>
          <w:rFonts w:hint="eastAsia" w:ascii="宋体" w:hAnsi="宋体" w:eastAsia="宋体" w:cs="仿宋_GB2312"/>
          <w:bCs/>
          <w:szCs w:val="21"/>
        </w:rPr>
        <w:t>21.1投标人必须在“投标人须知前附表”规定的</w:t>
      </w:r>
      <w:r>
        <w:rPr>
          <w:rFonts w:hint="eastAsia" w:ascii="宋体" w:hAnsi="宋体" w:eastAsia="宋体" w:cs="仿宋_GB2312"/>
          <w:szCs w:val="21"/>
        </w:rPr>
        <w:t>提交投标文件截止时间前将</w:t>
      </w:r>
      <w:r>
        <w:rPr>
          <w:rFonts w:hint="eastAsia" w:ascii="宋体" w:hAnsi="宋体" w:eastAsia="宋体" w:cs="仿宋_GB2312"/>
          <w:bCs/>
          <w:szCs w:val="21"/>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eastAsia="宋体" w:cs="仿宋_GB2312"/>
          <w:b/>
          <w:szCs w:val="21"/>
        </w:rPr>
        <w:t>广西政府采购云平台</w:t>
      </w:r>
      <w:r>
        <w:rPr>
          <w:rFonts w:hint="eastAsia" w:ascii="宋体" w:hAnsi="宋体" w:eastAsia="宋体" w:cs="仿宋_GB2312"/>
          <w:bCs/>
          <w:szCs w:val="21"/>
        </w:rPr>
        <w:t>。</w:t>
      </w:r>
    </w:p>
    <w:p w14:paraId="26DEDB20">
      <w:pPr>
        <w:spacing w:line="440" w:lineRule="exact"/>
        <w:ind w:firstLine="422" w:firstLineChars="200"/>
        <w:rPr>
          <w:rFonts w:ascii="宋体" w:hAnsi="宋体" w:eastAsia="宋体" w:cs="仿宋_GB2312"/>
          <w:b/>
          <w:szCs w:val="20"/>
        </w:rPr>
      </w:pPr>
      <w:r>
        <w:rPr>
          <w:rFonts w:hint="eastAsia" w:ascii="宋体" w:hAnsi="宋体" w:eastAsia="宋体" w:cs="仿宋_GB2312"/>
          <w:b/>
          <w:szCs w:val="21"/>
        </w:rPr>
        <w:t>21.2未在规定时间内提交或者未按照招标文件要求加密的电子投标文件，广西政府采购云平台将拒收。</w:t>
      </w:r>
    </w:p>
    <w:p w14:paraId="0980B44F">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22. 投标文件的补充、修改、撤回与退回</w:t>
      </w:r>
    </w:p>
    <w:p w14:paraId="26EA815D">
      <w:pPr>
        <w:snapToGrid w:val="0"/>
        <w:spacing w:line="440" w:lineRule="exact"/>
        <w:ind w:firstLine="482"/>
        <w:jc w:val="left"/>
        <w:rPr>
          <w:rFonts w:ascii="宋体" w:hAnsi="宋体" w:eastAsia="宋体" w:cs="仿宋_GB2312"/>
          <w:szCs w:val="21"/>
        </w:rPr>
      </w:pPr>
      <w:bookmarkStart w:id="143" w:name="_Toc254970684"/>
      <w:bookmarkStart w:id="144" w:name="_Toc254970543"/>
      <w:r>
        <w:rPr>
          <w:rFonts w:hint="eastAsia" w:ascii="宋体" w:hAnsi="宋体" w:eastAsia="宋体" w:cs="仿宋_GB2312"/>
          <w:szCs w:val="21"/>
        </w:rPr>
        <w:t>22.1</w:t>
      </w:r>
      <w:r>
        <w:rPr>
          <w:rFonts w:hint="eastAsia" w:ascii="宋体" w:hAnsi="宋体" w:eastAsia="宋体" w:cs="仿宋_GB2312"/>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eastAsia="宋体" w:cs="仿宋_GB2312"/>
          <w:szCs w:val="21"/>
        </w:rPr>
        <w:t>（补充、修改或者撤回方式可登录</w:t>
      </w:r>
      <w:r>
        <w:rPr>
          <w:rFonts w:hint="eastAsia" w:ascii="宋体" w:hAnsi="宋体" w:eastAsia="宋体" w:cs="仿宋_GB2312"/>
          <w:kern w:val="0"/>
          <w:szCs w:val="21"/>
        </w:rPr>
        <w:t>广西政府采购云平台，</w:t>
      </w:r>
      <w:r>
        <w:rPr>
          <w:rFonts w:hint="eastAsia" w:ascii="宋体" w:hAnsi="宋体" w:eastAsia="宋体" w:cs="仿宋_GB2312"/>
          <w:szCs w:val="21"/>
        </w:rPr>
        <w:t>依次进入“服务中心”中查看“电子投标文件制作与投送教程”）</w:t>
      </w:r>
    </w:p>
    <w:bookmarkEnd w:id="143"/>
    <w:bookmarkEnd w:id="144"/>
    <w:p w14:paraId="6422DFDC">
      <w:pPr>
        <w:adjustRightInd w:val="0"/>
        <w:spacing w:line="440" w:lineRule="exact"/>
        <w:ind w:firstLine="420" w:firstLineChars="200"/>
        <w:rPr>
          <w:rFonts w:ascii="宋体" w:hAnsi="宋体" w:eastAsia="宋体" w:cs="仿宋_GB2312"/>
          <w:szCs w:val="21"/>
        </w:rPr>
      </w:pPr>
      <w:r>
        <w:rPr>
          <w:rFonts w:hint="eastAsia" w:ascii="宋体" w:hAnsi="宋体" w:eastAsia="宋体" w:cs="仿宋_GB2312"/>
          <w:szCs w:val="21"/>
        </w:rPr>
        <w:t>22.2广西政府采购云平台收到投标文件后向供应商发出确认回执通知。在投标截止时间前，除供应商补充、修改或者撤回投标文件外，任何单位和个人不得解密或提取投标文件。</w:t>
      </w:r>
    </w:p>
    <w:p w14:paraId="22E5298A">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22.3在投标截止时间后，采购人和采购代理机构对已提交的投标文件概不退回。</w:t>
      </w:r>
    </w:p>
    <w:p w14:paraId="7766BB32">
      <w:pPr>
        <w:spacing w:line="600" w:lineRule="exact"/>
        <w:ind w:firstLine="640"/>
        <w:jc w:val="center"/>
        <w:outlineLvl w:val="2"/>
        <w:rPr>
          <w:rFonts w:ascii="宋体" w:hAnsi="宋体" w:eastAsia="宋体" w:cs="仿宋_GB2312"/>
          <w:b/>
          <w:bCs/>
          <w:sz w:val="32"/>
          <w:szCs w:val="32"/>
        </w:rPr>
      </w:pPr>
      <w:bookmarkStart w:id="145" w:name="_Toc22389"/>
      <w:bookmarkStart w:id="146" w:name="_Toc23160"/>
      <w:bookmarkStart w:id="147" w:name="_Toc254970544"/>
      <w:bookmarkStart w:id="148" w:name="_Toc254970685"/>
      <w:r>
        <w:rPr>
          <w:rFonts w:hint="eastAsia" w:ascii="宋体" w:hAnsi="宋体" w:eastAsia="宋体" w:cs="仿宋_GB2312"/>
          <w:b/>
          <w:bCs/>
          <w:sz w:val="32"/>
          <w:szCs w:val="32"/>
        </w:rPr>
        <w:t>四、开  标</w:t>
      </w:r>
      <w:bookmarkEnd w:id="145"/>
      <w:bookmarkEnd w:id="146"/>
      <w:bookmarkEnd w:id="147"/>
      <w:bookmarkEnd w:id="148"/>
    </w:p>
    <w:p w14:paraId="15BF5255">
      <w:pPr>
        <w:spacing w:line="440" w:lineRule="exact"/>
        <w:ind w:firstLine="480"/>
        <w:rPr>
          <w:rFonts w:ascii="宋体" w:hAnsi="宋体" w:eastAsia="宋体" w:cs="仿宋_GB2312"/>
          <w:b/>
          <w:sz w:val="24"/>
          <w:szCs w:val="24"/>
        </w:rPr>
      </w:pPr>
      <w:bookmarkStart w:id="149" w:name="_23.开标时间和地点"/>
      <w:bookmarkEnd w:id="149"/>
      <w:r>
        <w:rPr>
          <w:rFonts w:hint="eastAsia" w:ascii="宋体" w:hAnsi="宋体" w:eastAsia="宋体" w:cs="仿宋_GB2312"/>
          <w:b/>
          <w:sz w:val="24"/>
          <w:szCs w:val="24"/>
        </w:rPr>
        <w:t>23.开标时间和地点</w:t>
      </w:r>
    </w:p>
    <w:p w14:paraId="43551DCE">
      <w:pPr>
        <w:spacing w:line="440" w:lineRule="exact"/>
        <w:ind w:firstLine="420" w:firstLineChars="200"/>
        <w:rPr>
          <w:rFonts w:ascii="宋体" w:hAnsi="宋体" w:eastAsia="宋体" w:cs="仿宋_GB2312"/>
          <w:bCs/>
          <w:szCs w:val="24"/>
        </w:rPr>
      </w:pPr>
      <w:r>
        <w:rPr>
          <w:rFonts w:hint="eastAsia" w:ascii="宋体" w:hAnsi="宋体" w:eastAsia="宋体" w:cs="仿宋_GB2312"/>
          <w:bCs/>
          <w:szCs w:val="24"/>
        </w:rPr>
        <w:t>开标时间及地点详见“投标人须知前附表”</w:t>
      </w:r>
    </w:p>
    <w:p w14:paraId="5C9773DB">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24.开标程序</w:t>
      </w:r>
    </w:p>
    <w:p w14:paraId="66001D9F">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24.1提交投标文件截止时间止，投标人不足3家的，不得开标。</w:t>
      </w:r>
    </w:p>
    <w:p w14:paraId="1E1D1705">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24.2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34E9271">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24.3开标程序：</w:t>
      </w:r>
    </w:p>
    <w:p w14:paraId="3917565F">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1）解密电子投标文件。广西政府采购云平台按开标时间自动提取所有投标文件。采购代理机构依托广西政府采购云平台向各投标人发出电子加密投标文件【开始解密】通知，由投标人按“投标人须知前附表”规定的时间内自行进行投标文件解密。投标人的法定代表人或其委托代理人须凭加密时所用的CA锁准时登录到广西政府采购云平台电子开标大厅签到并对电子投标文件解密。</w:t>
      </w:r>
      <w:r>
        <w:rPr>
          <w:rFonts w:hint="eastAsia" w:ascii="宋体" w:hAnsi="宋体" w:eastAsia="宋体" w:cs="仿宋_GB2312"/>
          <w:b/>
          <w:szCs w:val="20"/>
        </w:rPr>
        <w:t>投标人未在规定的时间内解密投标文件或者解密失败的，投标人的投标文件作无效处理。</w:t>
      </w:r>
    </w:p>
    <w:p w14:paraId="2E3E1DE9">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（2）电子唱标。投标文件解密结束，各投标供应商报价均在广西政府采购云平台远程不见面开标大厅展示；</w:t>
      </w:r>
    </w:p>
    <w:p w14:paraId="59425E76">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（3）开标过程由采购代理机构如实记录，并电子留痕，由参加电子开标的各投标人代表对电子开标记录在开标记录公布后15分钟内进行当场校核及勘误，并线上确认，未确认的视同认可开标结果。</w:t>
      </w:r>
    </w:p>
    <w:p w14:paraId="092374A8">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5B5F009D">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（5）开标结束。</w:t>
      </w:r>
    </w:p>
    <w:p w14:paraId="6DE7D971">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bCs/>
          <w:szCs w:val="20"/>
        </w:rPr>
        <w:t>特别说明：如遇广西政府采购云平台电子化开标或评审程序调整的，按调整后执行。</w:t>
      </w:r>
    </w:p>
    <w:p w14:paraId="710A5DEF">
      <w:pPr>
        <w:spacing w:line="600" w:lineRule="exact"/>
        <w:ind w:firstLine="640"/>
        <w:jc w:val="center"/>
        <w:outlineLvl w:val="2"/>
        <w:rPr>
          <w:rFonts w:ascii="宋体" w:hAnsi="宋体" w:eastAsia="宋体" w:cs="仿宋_GB2312"/>
          <w:b/>
          <w:bCs/>
          <w:sz w:val="32"/>
          <w:szCs w:val="32"/>
        </w:rPr>
      </w:pPr>
      <w:bookmarkStart w:id="150" w:name="_Toc6530"/>
      <w:bookmarkStart w:id="151" w:name="_Toc2525"/>
      <w:r>
        <w:rPr>
          <w:rFonts w:hint="eastAsia" w:ascii="宋体" w:hAnsi="宋体" w:eastAsia="宋体" w:cs="仿宋_GB2312"/>
          <w:b/>
          <w:bCs/>
          <w:sz w:val="32"/>
          <w:szCs w:val="32"/>
        </w:rPr>
        <w:t>五、资格审查</w:t>
      </w:r>
      <w:bookmarkEnd w:id="150"/>
      <w:bookmarkEnd w:id="151"/>
    </w:p>
    <w:p w14:paraId="51621A2C">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25.资格审查</w:t>
      </w:r>
    </w:p>
    <w:p w14:paraId="7BA4E392">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25.1开标结束后，采购人或者采购代理机构通过电子开评标系统依据招标文件对电子投标文件进行线上资格审查。</w:t>
      </w:r>
    </w:p>
    <w:p w14:paraId="6D89086B">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25.2资格审查标准为本招标文件中载明对投标人资格要求的条件。本项目资格审查采用合格制，凡符合招标文件规定的投标人资格要求的投标人均通过资格审查。</w:t>
      </w:r>
    </w:p>
    <w:p w14:paraId="7162D5FF">
      <w:pPr>
        <w:spacing w:line="440" w:lineRule="exact"/>
        <w:ind w:firstLine="422" w:firstLineChars="200"/>
        <w:rPr>
          <w:rFonts w:ascii="宋体" w:hAnsi="宋体" w:eastAsia="宋体" w:cs="仿宋_GB2312"/>
          <w:b/>
          <w:szCs w:val="20"/>
        </w:rPr>
      </w:pPr>
      <w:bookmarkStart w:id="152" w:name="_25.3_投标人有下列情形之一的，资格审查不通过而导致其投标无效："/>
      <w:bookmarkEnd w:id="152"/>
      <w:r>
        <w:rPr>
          <w:rFonts w:hint="eastAsia" w:ascii="宋体" w:hAnsi="宋体" w:eastAsia="宋体" w:cs="仿宋_GB2312"/>
          <w:b/>
          <w:szCs w:val="20"/>
        </w:rPr>
        <w:t>25.3 投标人有下列情形之一的，资格审查不通过，作无效投标处理：</w:t>
      </w:r>
    </w:p>
    <w:p w14:paraId="6AB26A12">
      <w:pPr>
        <w:spacing w:line="440" w:lineRule="exact"/>
        <w:ind w:firstLine="422" w:firstLineChars="200"/>
        <w:rPr>
          <w:rFonts w:ascii="宋体" w:hAnsi="宋体" w:eastAsia="宋体" w:cs="仿宋_GB2312"/>
          <w:b/>
          <w:szCs w:val="20"/>
        </w:rPr>
      </w:pPr>
      <w:r>
        <w:rPr>
          <w:rFonts w:hint="eastAsia" w:ascii="宋体" w:hAnsi="宋体" w:eastAsia="宋体" w:cs="仿宋_GB2312"/>
          <w:b/>
          <w:szCs w:val="20"/>
        </w:rPr>
        <w:t>（1）不具备招标文件中规定的资格要求的；</w:t>
      </w:r>
    </w:p>
    <w:p w14:paraId="3945DF51">
      <w:pPr>
        <w:spacing w:line="440" w:lineRule="exact"/>
        <w:ind w:firstLine="422" w:firstLineChars="200"/>
        <w:rPr>
          <w:rFonts w:ascii="宋体" w:hAnsi="宋体" w:eastAsia="宋体" w:cs="仿宋_GB2312"/>
          <w:b/>
          <w:szCs w:val="20"/>
        </w:rPr>
      </w:pPr>
      <w:r>
        <w:rPr>
          <w:rFonts w:hint="eastAsia" w:ascii="宋体" w:hAnsi="宋体" w:eastAsia="宋体" w:cs="仿宋_GB2312"/>
          <w:b/>
          <w:szCs w:val="20"/>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543DCE1F">
      <w:pPr>
        <w:spacing w:line="440" w:lineRule="exact"/>
        <w:ind w:firstLine="422" w:firstLineChars="200"/>
        <w:rPr>
          <w:rFonts w:ascii="宋体" w:hAnsi="宋体" w:eastAsia="宋体" w:cs="仿宋_GB2312"/>
          <w:b/>
          <w:szCs w:val="20"/>
        </w:rPr>
      </w:pPr>
      <w:r>
        <w:rPr>
          <w:rFonts w:hint="eastAsia" w:ascii="宋体" w:hAnsi="宋体" w:eastAsia="宋体" w:cs="仿宋_GB2312"/>
          <w:b/>
          <w:szCs w:val="20"/>
        </w:rPr>
        <w:t>（3）同一合同项下的不同投标人，单位负责人为同一人或者存在直接控股、管理关系的；为本项目提供过整体设计、规范编制或者项目管理、监理、检测等服务的供应商，再参加该采购项目的其他采购活动的；</w:t>
      </w:r>
    </w:p>
    <w:p w14:paraId="21133EEE">
      <w:pPr>
        <w:spacing w:line="440" w:lineRule="exact"/>
        <w:ind w:firstLine="422" w:firstLineChars="200"/>
        <w:rPr>
          <w:rFonts w:ascii="宋体" w:hAnsi="宋体" w:eastAsia="宋体" w:cs="仿宋_GB2312"/>
          <w:b/>
          <w:szCs w:val="20"/>
        </w:rPr>
      </w:pPr>
      <w:r>
        <w:rPr>
          <w:rFonts w:hint="eastAsia" w:ascii="宋体" w:hAnsi="宋体" w:eastAsia="宋体" w:cs="仿宋_GB2312"/>
          <w:b/>
          <w:szCs w:val="20"/>
        </w:rPr>
        <w:t>（4）投标文件中的资格证明文件缺少任一项“投标人须知前附表”资格证明文件规定“必须提供”的文件资料的；</w:t>
      </w:r>
    </w:p>
    <w:p w14:paraId="4CFEB94A">
      <w:pPr>
        <w:spacing w:line="440" w:lineRule="exact"/>
        <w:ind w:firstLine="422" w:firstLineChars="200"/>
        <w:rPr>
          <w:rFonts w:ascii="宋体" w:hAnsi="宋体" w:eastAsia="宋体" w:cs="仿宋_GB2312"/>
          <w:b/>
          <w:szCs w:val="20"/>
        </w:rPr>
      </w:pPr>
      <w:r>
        <w:rPr>
          <w:rFonts w:hint="eastAsia" w:ascii="宋体" w:hAnsi="宋体" w:eastAsia="宋体" w:cs="仿宋_GB2312"/>
          <w:b/>
          <w:szCs w:val="20"/>
        </w:rPr>
        <w:t>（5）投标文件中的资格证明文件出现任一项不符合“投标人须知前附表”资格证明文件规定“必须提供”的文件资料要求或者无效的。</w:t>
      </w:r>
    </w:p>
    <w:p w14:paraId="0727EAC1">
      <w:pPr>
        <w:spacing w:line="440" w:lineRule="exact"/>
        <w:ind w:firstLine="422" w:firstLineChars="200"/>
        <w:rPr>
          <w:rFonts w:ascii="宋体" w:hAnsi="宋体" w:eastAsia="宋体" w:cs="仿宋_GB2312"/>
          <w:szCs w:val="20"/>
        </w:rPr>
      </w:pPr>
      <w:r>
        <w:rPr>
          <w:rFonts w:hint="eastAsia" w:ascii="宋体" w:hAnsi="宋体" w:eastAsia="宋体" w:cs="仿宋_GB2312"/>
          <w:b/>
          <w:szCs w:val="20"/>
        </w:rPr>
        <w:t>25.4合格投标人不足3家的，不得评标。</w:t>
      </w:r>
    </w:p>
    <w:p w14:paraId="7C2E5851">
      <w:pPr>
        <w:spacing w:line="600" w:lineRule="exact"/>
        <w:ind w:firstLine="640"/>
        <w:jc w:val="center"/>
        <w:outlineLvl w:val="2"/>
        <w:rPr>
          <w:rFonts w:ascii="宋体" w:hAnsi="宋体" w:eastAsia="宋体" w:cs="仿宋_GB2312"/>
          <w:b/>
          <w:bCs/>
          <w:sz w:val="32"/>
          <w:szCs w:val="32"/>
        </w:rPr>
      </w:pPr>
      <w:bookmarkStart w:id="153" w:name="_Toc17280"/>
      <w:bookmarkStart w:id="154" w:name="_Toc31107"/>
      <w:r>
        <w:rPr>
          <w:rFonts w:hint="eastAsia" w:ascii="宋体" w:hAnsi="宋体" w:eastAsia="宋体" w:cs="仿宋_GB2312"/>
          <w:b/>
          <w:bCs/>
          <w:sz w:val="32"/>
          <w:szCs w:val="32"/>
        </w:rPr>
        <w:t>六、评  标</w:t>
      </w:r>
      <w:bookmarkEnd w:id="153"/>
      <w:bookmarkEnd w:id="154"/>
    </w:p>
    <w:p w14:paraId="7A2B8E92">
      <w:pPr>
        <w:spacing w:line="440" w:lineRule="exact"/>
        <w:ind w:firstLine="480"/>
        <w:rPr>
          <w:rFonts w:ascii="宋体" w:hAnsi="宋体" w:eastAsia="宋体" w:cs="仿宋_GB2312"/>
          <w:b/>
          <w:sz w:val="24"/>
          <w:szCs w:val="24"/>
        </w:rPr>
      </w:pPr>
      <w:bookmarkStart w:id="155" w:name="_26.组建评标委员会"/>
      <w:bookmarkEnd w:id="155"/>
      <w:r>
        <w:rPr>
          <w:rFonts w:hint="eastAsia" w:ascii="宋体" w:hAnsi="宋体" w:eastAsia="宋体" w:cs="仿宋_GB2312"/>
          <w:b/>
          <w:sz w:val="24"/>
          <w:szCs w:val="24"/>
        </w:rPr>
        <w:t>26.组建评标委员会</w:t>
      </w:r>
    </w:p>
    <w:p w14:paraId="4EC6FAE6">
      <w:pPr>
        <w:snapToGrid w:val="0"/>
        <w:spacing w:line="440" w:lineRule="exact"/>
        <w:ind w:left="2" w:leftChars="1" w:firstLine="420" w:firstLineChars="200"/>
        <w:rPr>
          <w:rFonts w:ascii="宋体" w:hAnsi="宋体" w:eastAsia="宋体" w:cs="仿宋_GB2312"/>
          <w:szCs w:val="20"/>
        </w:rPr>
      </w:pPr>
      <w:r>
        <w:rPr>
          <w:rFonts w:hint="eastAsia" w:ascii="宋体" w:hAnsi="宋体" w:eastAsia="宋体" w:cs="仿宋_GB2312"/>
          <w:szCs w:val="20"/>
        </w:rPr>
        <w:t>26.1评标委员会由采购人代表和评审专家组成，具体人数详见“投标人须知前附表”，其中评审专家不得少于成员总数的三分之二。</w:t>
      </w:r>
    </w:p>
    <w:p w14:paraId="7086CB68">
      <w:pPr>
        <w:snapToGrid w:val="0"/>
        <w:spacing w:line="440" w:lineRule="exact"/>
        <w:ind w:left="2" w:leftChars="1" w:firstLine="420" w:firstLineChars="200"/>
        <w:rPr>
          <w:rFonts w:ascii="宋体" w:hAnsi="宋体" w:eastAsia="宋体" w:cs="仿宋_GB2312"/>
          <w:szCs w:val="20"/>
        </w:rPr>
      </w:pPr>
      <w:r>
        <w:rPr>
          <w:rFonts w:hint="eastAsia" w:ascii="宋体" w:hAnsi="宋体" w:eastAsia="宋体" w:cs="仿宋_GB2312"/>
          <w:szCs w:val="20"/>
        </w:rPr>
        <w:t>26.2参加过采购项目前期咨询论证的专家，不得参加该采购项目的评审活动。</w:t>
      </w:r>
    </w:p>
    <w:p w14:paraId="23985C95">
      <w:pPr>
        <w:snapToGrid w:val="0"/>
        <w:spacing w:line="440" w:lineRule="exact"/>
        <w:ind w:left="2" w:leftChars="1" w:firstLine="420" w:firstLineChars="200"/>
        <w:rPr>
          <w:rFonts w:ascii="宋体" w:hAnsi="宋体" w:eastAsia="宋体" w:cs="仿宋_GB2312"/>
          <w:szCs w:val="20"/>
        </w:rPr>
      </w:pPr>
      <w:r>
        <w:rPr>
          <w:rFonts w:hint="eastAsia" w:ascii="宋体" w:hAnsi="宋体" w:eastAsia="宋体" w:cs="仿宋_GB2312"/>
          <w:szCs w:val="20"/>
        </w:rPr>
        <w:t>26.3采购代理机构应当基于广西政府采购云平台抽（选）取评审专家。</w:t>
      </w:r>
    </w:p>
    <w:p w14:paraId="4733ABAD">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27.评标的依据</w:t>
      </w:r>
    </w:p>
    <w:p w14:paraId="29B1BAAB">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评标委员会以“第四章 评标方法和评标标准”为依据对投标文件进行评审，没有规定的方法、评审因素和标准，不作为评标依据。</w:t>
      </w:r>
    </w:p>
    <w:p w14:paraId="71B84A2F">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28.评标原则</w:t>
      </w:r>
    </w:p>
    <w:p w14:paraId="36DBA780">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488C04F">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28.2</w:t>
      </w:r>
      <w:bookmarkStart w:id="156" w:name="_28.3评标方法。本项目将按须知前附表规定的评标办法进行评标，具体评标"/>
      <w:bookmarkEnd w:id="156"/>
      <w:r>
        <w:rPr>
          <w:rFonts w:hint="eastAsia" w:ascii="宋体" w:hAnsi="宋体" w:eastAsia="宋体" w:cs="仿宋_GB2312"/>
          <w:szCs w:val="20"/>
        </w:rPr>
        <w:t>评委表决。评标委员会成员对需要共同认定的事项存在争议的，应当按照少数服从多数的原则作出结论。</w:t>
      </w:r>
    </w:p>
    <w:p w14:paraId="61F0BB22">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DDC617A">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28.4评标过程的监控。本项目电子评标过程实行网上留痕、全程录音、录像监控，</w:t>
      </w:r>
      <w:r>
        <w:rPr>
          <w:rFonts w:hint="eastAsia" w:ascii="宋体" w:hAnsi="宋体" w:eastAsia="宋体" w:cs="仿宋_GB2312"/>
          <w:b/>
          <w:szCs w:val="20"/>
        </w:rPr>
        <w:t>投标人在评标过程中所进行的试图影响评标结果的不公正活动，可能导致其投标按无效处理。</w:t>
      </w:r>
    </w:p>
    <w:p w14:paraId="5FD026C6">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29.评标方法及中标候选人推荐</w:t>
      </w:r>
    </w:p>
    <w:p w14:paraId="1DA36FCD">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29.1本项目的评标方法详见“投标人须知前附表”。</w:t>
      </w:r>
    </w:p>
    <w:p w14:paraId="441C185E">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29.2 商务/技术要求允许负偏离的条款数详见“投标人须知前附表”。</w:t>
      </w:r>
    </w:p>
    <w:p w14:paraId="438459CC">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29.3 中标候选人推荐数量详见“投标人须知前附表”。</w:t>
      </w:r>
    </w:p>
    <w:p w14:paraId="32C21B50">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29.4 电子交易活动的中止。采购过程中出现以下情形，导致电子交易平台无法正常运行，或者无法保证电子交易的公平、公正和安全时，采购代理机构可中止电子交易活动：</w:t>
      </w:r>
    </w:p>
    <w:p w14:paraId="5A9C89E7">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 xml:space="preserve">（1）电子交易平台发生故障而无法登录访问的； </w:t>
      </w:r>
    </w:p>
    <w:p w14:paraId="3A588926">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（2）电子交易平台应用或数据库出现错误，不能进行正常操作的；</w:t>
      </w:r>
    </w:p>
    <w:p w14:paraId="25931B02">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（3）电子交易平台发现严重安全漏洞，有潜在泄密危险的；</w:t>
      </w:r>
    </w:p>
    <w:p w14:paraId="64CF3B18">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 xml:space="preserve">（4）病毒发作导致不能进行正常操作的； </w:t>
      </w:r>
    </w:p>
    <w:p w14:paraId="01AC8B03">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（5）其他无法保证电子交易的公平、公正和安全的情况。</w:t>
      </w:r>
    </w:p>
    <w:p w14:paraId="0A819C69">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7BC75D04">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29.5出现下列情形之一的，应予废标：</w:t>
      </w:r>
    </w:p>
    <w:p w14:paraId="28F80038">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（1）符合专业条件的供应商或者对招标文件作实质响应的供应商不足三家的；</w:t>
      </w:r>
    </w:p>
    <w:p w14:paraId="7A895E13">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（2）出现影响采购公正的违法、违规行为的；</w:t>
      </w:r>
    </w:p>
    <w:p w14:paraId="56999F53">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（3）投标人的报价均超过了采购预算，采购人不能支付的；</w:t>
      </w:r>
    </w:p>
    <w:p w14:paraId="5930A616">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（4）因重大变故，采购任务取消的。</w:t>
      </w:r>
    </w:p>
    <w:p w14:paraId="00B888F8">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废标后，采购人应当将废标理由通知所有投标人。</w:t>
      </w:r>
    </w:p>
    <w:p w14:paraId="320C1976">
      <w:pPr>
        <w:snapToGrid w:val="0"/>
        <w:spacing w:line="440" w:lineRule="exact"/>
        <w:ind w:firstLine="420" w:firstLineChars="200"/>
        <w:rPr>
          <w:rFonts w:ascii="宋体" w:hAnsi="宋体" w:eastAsia="宋体" w:cs="仿宋_GB2312"/>
          <w:szCs w:val="20"/>
        </w:rPr>
      </w:pPr>
    </w:p>
    <w:p w14:paraId="340AFBEB">
      <w:pPr>
        <w:spacing w:line="600" w:lineRule="exact"/>
        <w:ind w:firstLine="640"/>
        <w:jc w:val="center"/>
        <w:outlineLvl w:val="2"/>
        <w:rPr>
          <w:rFonts w:ascii="宋体" w:hAnsi="宋体" w:eastAsia="宋体" w:cs="仿宋_GB2312"/>
          <w:b/>
          <w:bCs/>
          <w:sz w:val="32"/>
          <w:szCs w:val="32"/>
        </w:rPr>
      </w:pPr>
      <w:bookmarkStart w:id="157" w:name="_Toc254970687"/>
      <w:bookmarkStart w:id="158" w:name="_Toc254970546"/>
      <w:bookmarkStart w:id="159" w:name="_Toc7365"/>
      <w:bookmarkStart w:id="160" w:name="_Toc3006"/>
      <w:r>
        <w:rPr>
          <w:rFonts w:hint="eastAsia" w:ascii="宋体" w:hAnsi="宋体" w:eastAsia="宋体" w:cs="仿宋_GB2312"/>
          <w:b/>
          <w:bCs/>
          <w:sz w:val="32"/>
          <w:szCs w:val="32"/>
        </w:rPr>
        <w:t>七、</w:t>
      </w:r>
      <w:bookmarkEnd w:id="157"/>
      <w:bookmarkEnd w:id="158"/>
      <w:r>
        <w:rPr>
          <w:rFonts w:hint="eastAsia" w:ascii="宋体" w:hAnsi="宋体" w:eastAsia="宋体" w:cs="仿宋_GB2312"/>
          <w:b/>
          <w:bCs/>
          <w:sz w:val="32"/>
          <w:szCs w:val="32"/>
        </w:rPr>
        <w:t>中标和合同</w:t>
      </w:r>
      <w:bookmarkEnd w:id="159"/>
      <w:bookmarkEnd w:id="160"/>
    </w:p>
    <w:p w14:paraId="5B13E63C">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30.确定中标人</w:t>
      </w:r>
    </w:p>
    <w:p w14:paraId="6AC1AB0B">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6A0E3E91">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30.2采购人在收到评标报告5个工作日内未按评标报告推荐的中标候选人顺序确定中标人，又不能说明合法理由的，视同按评标报告推荐的顺序确定排名第一的中标候选人为中标人。</w:t>
      </w:r>
    </w:p>
    <w:p w14:paraId="5DFAAAC4">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31.结果公告</w:t>
      </w:r>
    </w:p>
    <w:p w14:paraId="46FAB4A0">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31.1采购人或者采购代理机构应当自中标人确定之日起2个工作日内，在省级以上财政部门指定的媒体上公告中标结果，招标文件应当随中标结果同时公告。</w:t>
      </w:r>
      <w:r>
        <w:rPr>
          <w:rFonts w:hint="eastAsia" w:ascii="宋体" w:hAnsi="宋体" w:eastAsia="宋体" w:cs="仿宋_GB2312"/>
          <w:b/>
          <w:bCs/>
          <w:szCs w:val="20"/>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eastAsia="宋体" w:cs="仿宋_GB2312"/>
          <w:szCs w:val="20"/>
        </w:rPr>
        <w:t>排名第二的中标候选人因前款规定的同样原因被取消中标资格的，采购人可以确定排名第三的中标候选人为中标人，以此类推。</w:t>
      </w:r>
    </w:p>
    <w:p w14:paraId="63A98CA0">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以上信息查询记录及相关证据与采购文件一并保存。</w:t>
      </w:r>
    </w:p>
    <w:p w14:paraId="49106C1A">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31.2中标供应商享受《政府采购促进中小企业发展管理办法》（财库〔2020〕46号）规定的中小企业扶持政策的，采购人、采购代理机构应当随中标结果公开中标供应商的《中小企业声明函》。</w:t>
      </w:r>
    </w:p>
    <w:p w14:paraId="2B37055D">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32.发出中标通知书</w:t>
      </w:r>
    </w:p>
    <w:p w14:paraId="6103A831">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3E029AB4">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33.无义务解释未中标原因</w:t>
      </w:r>
    </w:p>
    <w:p w14:paraId="4575F46F">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采购代理机构无义务向未中标的投标人解释未中标原因。</w:t>
      </w:r>
    </w:p>
    <w:p w14:paraId="14E38011">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34.合同授予标准</w:t>
      </w:r>
    </w:p>
    <w:p w14:paraId="7536F03A">
      <w:pPr>
        <w:snapToGrid w:val="0"/>
        <w:spacing w:line="440" w:lineRule="exact"/>
        <w:ind w:firstLine="420" w:firstLineChars="200"/>
        <w:rPr>
          <w:rFonts w:ascii="宋体" w:hAnsi="宋体" w:eastAsia="宋体" w:cs="仿宋_GB2312"/>
          <w:szCs w:val="21"/>
        </w:rPr>
      </w:pPr>
      <w:r>
        <w:rPr>
          <w:rFonts w:hint="eastAsia" w:ascii="宋体" w:hAnsi="宋体" w:eastAsia="宋体" w:cs="仿宋_GB2312"/>
          <w:szCs w:val="21"/>
        </w:rPr>
        <w:t>合同将授予被确定实质上响应招标文件要求，具备履行合同能力的中标人。</w:t>
      </w:r>
    </w:p>
    <w:p w14:paraId="6B57A23C">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35.履约保证金</w:t>
      </w:r>
    </w:p>
    <w:p w14:paraId="4A44314B">
      <w:pPr>
        <w:spacing w:line="440" w:lineRule="exact"/>
        <w:ind w:firstLine="420" w:firstLineChars="200"/>
        <w:rPr>
          <w:rFonts w:ascii="宋体" w:hAnsi="宋体" w:eastAsia="宋体" w:cs="仿宋_GB2312"/>
          <w:szCs w:val="20"/>
        </w:rPr>
      </w:pPr>
      <w:bookmarkStart w:id="161" w:name="_39.1中标人须于签订合同前按本须知前附表规定的金额转账或电汇到指定账"/>
      <w:bookmarkEnd w:id="161"/>
      <w:r>
        <w:rPr>
          <w:rFonts w:hint="eastAsia" w:ascii="宋体" w:hAnsi="宋体" w:eastAsia="宋体" w:cs="仿宋_GB2312"/>
          <w:szCs w:val="20"/>
        </w:rPr>
        <w:t>35.1履约保证金的金额、提交方式、缴纳期限、退付的时间和条件详见 “投标人须知前附表”。中标人未按规定提交履约保证金的，视为拒绝与采购人签订合同。</w:t>
      </w:r>
    </w:p>
    <w:p w14:paraId="214B932E">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35.2在履约保证金退还日期前，若中标人的开户名称、开户银行、账号有变动的，请以书面形式通知履约保证金收取单位，否则由此产生的后果由中标人自行承担。</w:t>
      </w:r>
    </w:p>
    <w:p w14:paraId="6F5DA30B">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36.签订合同</w:t>
      </w:r>
    </w:p>
    <w:p w14:paraId="1CC939AC">
      <w:pPr>
        <w:spacing w:line="440" w:lineRule="exact"/>
        <w:ind w:firstLine="420" w:firstLineChars="200"/>
        <w:rPr>
          <w:rFonts w:ascii="宋体" w:hAnsi="宋体" w:eastAsia="宋体" w:cs="仿宋_GB2312"/>
          <w:szCs w:val="20"/>
        </w:rPr>
      </w:pPr>
      <w:bookmarkStart w:id="162" w:name="_40.1投标人接到中标通知书后，按须知前附表规定向采购人出示相关资格证"/>
      <w:bookmarkEnd w:id="162"/>
      <w:r>
        <w:rPr>
          <w:rFonts w:hint="eastAsia" w:ascii="宋体" w:hAnsi="宋体" w:eastAsia="宋体" w:cs="仿宋_GB2312"/>
          <w:szCs w:val="20"/>
        </w:rPr>
        <w:t>36.1签订电子采购合同：中标人领取电子中标通知书后，在规定的日期、时间、地点，由法定代表人或其授权代表与采购人代表签订电子采购合同。如中标人为联合体的，由联合体成员各方法定代表人或其授权代表与采购人代表签订合同。</w:t>
      </w:r>
    </w:p>
    <w:p w14:paraId="615865C5">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 xml:space="preserve"> 线下签订纸质合同：投标人领取中标通知书后，按“投标人须知前附表”规定向采购人出示相关证明材料，经采购人核验合格后方可签订合同。</w:t>
      </w:r>
    </w:p>
    <w:p w14:paraId="7B355D7D">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36.2签订合同时间：按中标通知书规定的时间与采购人签订合同。</w:t>
      </w:r>
    </w:p>
    <w:p w14:paraId="55DF62DD">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4E8446AA">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ED8EBA7">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36.5采购人或中标供应商不得单方面向合同另一方提出任何招标文件没有约定的条件或不合理的要求，作为签订合同的条件；也不得协商另行订立背离招标文件和合同实质性内容的协议。</w:t>
      </w:r>
    </w:p>
    <w:p w14:paraId="443CC0A7">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36.6如签订合同并生效后，供应商无故拒绝或延期，除按照合同条款处理外，将承担相应的法律责任。</w:t>
      </w:r>
    </w:p>
    <w:p w14:paraId="5B9E5E9B">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70BF9ECF">
      <w:pPr>
        <w:spacing w:line="440" w:lineRule="exact"/>
        <w:ind w:firstLine="480"/>
        <w:rPr>
          <w:rFonts w:ascii="宋体" w:hAnsi="宋体" w:eastAsia="宋体" w:cs="仿宋_GB2312"/>
          <w:b/>
          <w:sz w:val="24"/>
          <w:szCs w:val="24"/>
        </w:rPr>
      </w:pPr>
      <w:bookmarkStart w:id="163" w:name="_41.政府采购合同公告"/>
      <w:bookmarkEnd w:id="163"/>
      <w:r>
        <w:rPr>
          <w:rFonts w:hint="eastAsia" w:ascii="宋体" w:hAnsi="宋体" w:eastAsia="宋体" w:cs="仿宋_GB2312"/>
          <w:b/>
          <w:sz w:val="24"/>
          <w:szCs w:val="24"/>
        </w:rPr>
        <w:t>37.政府采购合同公告</w:t>
      </w:r>
    </w:p>
    <w:p w14:paraId="35699F16">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采购人或者受托采购代理机构应当自政府采购合同签订之日起2个工作日内，将政府采购合同在省级以上人民政府财政部门指定的媒体上公告，但政府采购合同中涉及国家秘密、商业秘密的内容除外。</w:t>
      </w:r>
    </w:p>
    <w:p w14:paraId="3BD525F3">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38.询问、质疑和投诉</w:t>
      </w:r>
    </w:p>
    <w:p w14:paraId="69C1EF1B">
      <w:pPr>
        <w:spacing w:line="440" w:lineRule="exact"/>
        <w:ind w:firstLine="482"/>
        <w:rPr>
          <w:rFonts w:ascii="宋体" w:hAnsi="宋体" w:eastAsia="宋体" w:cs="仿宋_GB2312"/>
          <w:szCs w:val="21"/>
        </w:rPr>
      </w:pPr>
      <w:r>
        <w:rPr>
          <w:rFonts w:hint="eastAsia" w:ascii="宋体" w:hAnsi="宋体" w:eastAsia="宋体" w:cs="仿宋_GB2312"/>
          <w:szCs w:val="21"/>
        </w:rPr>
        <w:t>38.1供应商对政府采购活动事项有疑问的，可以向采购人提出询问，采购人或者采购代理机构应当在3个工作日内对供应商依法提出的询问作出答复，但答复的内容不得涉及商业秘密。</w:t>
      </w:r>
    </w:p>
    <w:p w14:paraId="10AD2EFE">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7FF077C1">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（1）对可以质疑的招标文件提出质疑的，为收到招标文件之日或者招标文件公告期限届满之日；</w:t>
      </w:r>
    </w:p>
    <w:p w14:paraId="4A1EE1C2">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（2）对采购过程提出质疑的，为各采购程序环节结束之日；</w:t>
      </w:r>
    </w:p>
    <w:p w14:paraId="46FDEC5B">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szCs w:val="20"/>
        </w:rPr>
        <w:t>（3）对中标结果提出质疑的，为中标结果公告期限届满之日。</w:t>
      </w:r>
    </w:p>
    <w:p w14:paraId="5951C3B0">
      <w:pPr>
        <w:spacing w:line="440" w:lineRule="exact"/>
        <w:ind w:firstLine="420" w:firstLineChars="200"/>
        <w:rPr>
          <w:rFonts w:ascii="宋体" w:hAnsi="宋体" w:eastAsia="宋体" w:cs="仿宋_GB2312"/>
          <w:szCs w:val="20"/>
        </w:rPr>
      </w:pPr>
      <w:bookmarkStart w:id="164" w:name="_9.2质疑、投诉应当采用书面形式，质疑函、投诉书均应明确阐述招标文件、"/>
      <w:bookmarkEnd w:id="164"/>
      <w:r>
        <w:rPr>
          <w:rFonts w:hint="eastAsia" w:ascii="宋体" w:hAnsi="宋体" w:eastAsia="宋体" w:cs="仿宋_GB2312"/>
          <w:szCs w:val="20"/>
        </w:rPr>
        <w:t>38.3</w:t>
      </w:r>
      <w:r>
        <w:rPr>
          <w:rFonts w:hint="eastAsia" w:ascii="宋体" w:hAnsi="宋体" w:eastAsia="宋体" w:cs="仿宋_GB2312"/>
          <w:b/>
          <w:bCs/>
          <w:szCs w:val="20"/>
        </w:rPr>
        <w:t>供应商提出质疑应当提交质疑函和必要的证明材料，针对同一采购程序环节的质疑必须在法定质疑期内一次性提出。质疑函应当包括下列内容（质疑函格式后附）：</w:t>
      </w:r>
    </w:p>
    <w:p w14:paraId="764A224B">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（1）供应商的姓名或者名称、地址、邮编、联系人及联系电话；</w:t>
      </w:r>
    </w:p>
    <w:p w14:paraId="03AA8BE8">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（2）质疑项目的名称、编号；</w:t>
      </w:r>
    </w:p>
    <w:p w14:paraId="5CA56E40">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（3）具体、明确的质疑事项和与质疑事项相关的请求；</w:t>
      </w:r>
    </w:p>
    <w:p w14:paraId="3BEB6669">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（4）事实依据；</w:t>
      </w:r>
    </w:p>
    <w:p w14:paraId="6A33E689">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（5）必要的法律依据；</w:t>
      </w:r>
    </w:p>
    <w:p w14:paraId="0DE97992">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（6）提出质疑的日期。</w:t>
      </w:r>
    </w:p>
    <w:p w14:paraId="7D6C831E">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供应商为自然人的，应当由本人签字；供应商为法人或者其他组织的，应当由法定代表人、主要负责人，或者其委托代理人签字或者盖章，并加盖公章。</w:t>
      </w:r>
    </w:p>
    <w:p w14:paraId="7D23BE48">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38.4采购人、采购代理机构认为供应商质疑不成立，或者成立但未对中标结果构成影响的，继续开展采购活动；认为供应商质疑成立且影响或者可能影响中标结果的，按照下列情况处理：</w:t>
      </w:r>
    </w:p>
    <w:p w14:paraId="65DBC9C0">
      <w:pPr>
        <w:snapToGrid w:val="0"/>
        <w:spacing w:line="440" w:lineRule="exact"/>
        <w:rPr>
          <w:rFonts w:ascii="宋体" w:hAnsi="宋体" w:eastAsia="宋体" w:cs="仿宋_GB2312"/>
          <w:bCs/>
          <w:szCs w:val="20"/>
        </w:rPr>
      </w:pPr>
      <w:r>
        <w:rPr>
          <w:rFonts w:hint="eastAsia" w:ascii="宋体" w:hAnsi="宋体" w:eastAsia="宋体" w:cs="仿宋_GB2312"/>
          <w:bCs/>
          <w:szCs w:val="20"/>
        </w:rPr>
        <w:t>　　（一）对招标文件提出的质疑，依法通过澄清或者修改可以继续开展采购活动的，澄清或者修改招标文件后继续开展采购活动；否则应当修改招标文件后重新开展采购活动。</w:t>
      </w:r>
    </w:p>
    <w:p w14:paraId="406C9D1E">
      <w:pPr>
        <w:snapToGrid w:val="0"/>
        <w:spacing w:line="440" w:lineRule="exact"/>
        <w:rPr>
          <w:rFonts w:ascii="宋体" w:hAnsi="宋体" w:eastAsia="宋体" w:cs="仿宋_GB2312"/>
          <w:bCs/>
          <w:szCs w:val="20"/>
        </w:rPr>
      </w:pPr>
      <w:r>
        <w:rPr>
          <w:rFonts w:hint="eastAsia" w:ascii="宋体" w:hAnsi="宋体" w:eastAsia="宋体" w:cs="仿宋_GB2312"/>
          <w:bCs/>
          <w:szCs w:val="20"/>
        </w:rPr>
        <w:t>　　（二）对采购过程、中标结果提出的质疑，合格供应商符合法定数量时，可以从合格的中标候选人中另行确定中标供应商的，应当依法另行确定中标供应商；否则应当重新开展采购活动。</w:t>
      </w:r>
    </w:p>
    <w:p w14:paraId="14B41B5D">
      <w:pPr>
        <w:snapToGrid w:val="0"/>
        <w:spacing w:line="440" w:lineRule="exact"/>
        <w:ind w:firstLine="482"/>
        <w:rPr>
          <w:rFonts w:ascii="宋体" w:hAnsi="宋体" w:eastAsia="宋体" w:cs="仿宋_GB2312"/>
          <w:bCs/>
          <w:szCs w:val="20"/>
        </w:rPr>
      </w:pPr>
      <w:r>
        <w:rPr>
          <w:rFonts w:hint="eastAsia" w:ascii="宋体" w:hAnsi="宋体" w:eastAsia="宋体" w:cs="仿宋_GB2312"/>
          <w:bCs/>
          <w:szCs w:val="20"/>
        </w:rPr>
        <w:t>质疑答复导致中标结果改变的，采购人或者采购代理机构应当将有关情况书面报告本级财政部门。</w:t>
      </w:r>
    </w:p>
    <w:p w14:paraId="1389A7B7">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0"/>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1E935394">
      <w:pPr>
        <w:snapToGrid w:val="0"/>
        <w:spacing w:line="440" w:lineRule="exact"/>
        <w:ind w:firstLine="420" w:firstLineChars="200"/>
        <w:rPr>
          <w:rFonts w:ascii="宋体" w:hAnsi="宋体" w:eastAsia="宋体" w:cs="仿宋_GB2312"/>
          <w:szCs w:val="20"/>
        </w:rPr>
      </w:pPr>
    </w:p>
    <w:p w14:paraId="5BF8A3F3">
      <w:pPr>
        <w:spacing w:line="416" w:lineRule="auto"/>
        <w:ind w:firstLine="640"/>
        <w:jc w:val="center"/>
        <w:outlineLvl w:val="2"/>
        <w:rPr>
          <w:rFonts w:ascii="宋体" w:hAnsi="宋体" w:eastAsia="宋体" w:cs="仿宋_GB2312"/>
          <w:b/>
          <w:bCs/>
          <w:sz w:val="32"/>
          <w:szCs w:val="32"/>
        </w:rPr>
      </w:pPr>
      <w:bookmarkStart w:id="165" w:name="_八、其他事项"/>
      <w:bookmarkEnd w:id="165"/>
      <w:bookmarkStart w:id="166" w:name="_Toc21548"/>
      <w:bookmarkStart w:id="167" w:name="_Toc24956"/>
      <w:r>
        <w:rPr>
          <w:rFonts w:hint="eastAsia" w:ascii="宋体" w:hAnsi="宋体" w:eastAsia="宋体" w:cs="仿宋_GB2312"/>
          <w:b/>
          <w:bCs/>
          <w:sz w:val="32"/>
          <w:szCs w:val="32"/>
        </w:rPr>
        <w:t>八、其他事项</w:t>
      </w:r>
      <w:bookmarkEnd w:id="166"/>
      <w:bookmarkEnd w:id="167"/>
    </w:p>
    <w:p w14:paraId="3C71F598">
      <w:pPr>
        <w:spacing w:line="440" w:lineRule="exact"/>
        <w:ind w:firstLine="480"/>
        <w:rPr>
          <w:rFonts w:ascii="宋体" w:hAnsi="宋体" w:eastAsia="宋体" w:cs="仿宋_GB2312"/>
          <w:b/>
          <w:sz w:val="24"/>
          <w:szCs w:val="24"/>
        </w:rPr>
      </w:pPr>
      <w:bookmarkStart w:id="168" w:name="_42.代理服务费"/>
      <w:bookmarkEnd w:id="168"/>
      <w:r>
        <w:rPr>
          <w:rFonts w:hint="eastAsia" w:ascii="宋体" w:hAnsi="宋体" w:eastAsia="宋体" w:cs="仿宋_GB2312"/>
          <w:b/>
          <w:sz w:val="24"/>
          <w:szCs w:val="24"/>
        </w:rPr>
        <w:t>39.代理服务费</w:t>
      </w:r>
    </w:p>
    <w:p w14:paraId="79D405CF">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39.1代理服务收取标准及缴费账户详见“投标人须知前附表”，投标人为联合体的，可以由联合体中的一方或者多方共同交纳代理服务费。</w:t>
      </w:r>
    </w:p>
    <w:p w14:paraId="126138E8">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39.2代理服务收费标准：</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4"/>
        <w:gridCol w:w="1909"/>
        <w:gridCol w:w="1941"/>
        <w:gridCol w:w="1614"/>
      </w:tblGrid>
      <w:tr w14:paraId="308B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994" w:type="dxa"/>
            <w:tcBorders>
              <w:tl2br w:val="single" w:color="auto" w:sz="4" w:space="0"/>
            </w:tcBorders>
            <w:vAlign w:val="center"/>
          </w:tcPr>
          <w:p w14:paraId="79DD6BF9">
            <w:pPr>
              <w:spacing w:line="440" w:lineRule="exact"/>
              <w:jc w:val="right"/>
              <w:rPr>
                <w:rFonts w:ascii="宋体" w:hAnsi="宋体" w:eastAsia="宋体" w:cs="仿宋_GB2312"/>
                <w:szCs w:val="21"/>
              </w:rPr>
            </w:pPr>
            <w:r>
              <w:rPr>
                <w:rFonts w:hint="eastAsia" w:ascii="宋体" w:hAnsi="宋体" w:eastAsia="宋体" w:cs="仿宋_GB2312"/>
                <w:szCs w:val="21"/>
              </w:rPr>
              <w:t>费率</w:t>
            </w:r>
          </w:p>
          <w:p w14:paraId="095EE561">
            <w:pPr>
              <w:spacing w:line="440" w:lineRule="exact"/>
              <w:jc w:val="left"/>
              <w:rPr>
                <w:rFonts w:ascii="宋体" w:hAnsi="宋体" w:eastAsia="宋体" w:cs="仿宋_GB2312"/>
                <w:szCs w:val="21"/>
              </w:rPr>
            </w:pPr>
            <w:r>
              <w:rPr>
                <w:rFonts w:hint="eastAsia" w:ascii="宋体" w:hAnsi="宋体" w:eastAsia="宋体" w:cs="仿宋_GB2312"/>
                <w:szCs w:val="21"/>
              </w:rPr>
              <w:t>中标金额</w:t>
            </w:r>
          </w:p>
        </w:tc>
        <w:tc>
          <w:tcPr>
            <w:tcW w:w="1909" w:type="dxa"/>
            <w:vAlign w:val="center"/>
          </w:tcPr>
          <w:p w14:paraId="5F25268A">
            <w:pPr>
              <w:spacing w:line="440" w:lineRule="exact"/>
              <w:ind w:firstLine="105" w:firstLineChars="50"/>
              <w:jc w:val="center"/>
              <w:rPr>
                <w:rFonts w:ascii="宋体" w:hAnsi="宋体" w:eastAsia="宋体" w:cs="仿宋_GB2312"/>
                <w:szCs w:val="21"/>
              </w:rPr>
            </w:pPr>
            <w:r>
              <w:rPr>
                <w:rFonts w:hint="eastAsia" w:ascii="宋体" w:hAnsi="宋体" w:eastAsia="宋体" w:cs="仿宋_GB2312"/>
                <w:szCs w:val="21"/>
              </w:rPr>
              <w:t>货物招标</w:t>
            </w:r>
          </w:p>
        </w:tc>
        <w:tc>
          <w:tcPr>
            <w:tcW w:w="1941" w:type="dxa"/>
            <w:vAlign w:val="center"/>
          </w:tcPr>
          <w:p w14:paraId="34E69FFD">
            <w:pPr>
              <w:spacing w:line="440" w:lineRule="exact"/>
              <w:jc w:val="center"/>
              <w:rPr>
                <w:rFonts w:ascii="宋体" w:hAnsi="宋体" w:eastAsia="宋体" w:cs="仿宋_GB2312"/>
                <w:szCs w:val="21"/>
              </w:rPr>
            </w:pPr>
            <w:r>
              <w:rPr>
                <w:rFonts w:hint="eastAsia" w:ascii="宋体" w:hAnsi="宋体" w:eastAsia="宋体" w:cs="仿宋_GB2312"/>
                <w:szCs w:val="21"/>
              </w:rPr>
              <w:t>服务招标</w:t>
            </w:r>
          </w:p>
        </w:tc>
        <w:tc>
          <w:tcPr>
            <w:tcW w:w="1614" w:type="dxa"/>
            <w:vAlign w:val="center"/>
          </w:tcPr>
          <w:p w14:paraId="2311C132">
            <w:pPr>
              <w:spacing w:line="440" w:lineRule="exact"/>
              <w:jc w:val="center"/>
              <w:rPr>
                <w:rFonts w:ascii="宋体" w:hAnsi="宋体" w:eastAsia="宋体" w:cs="仿宋_GB2312"/>
                <w:szCs w:val="21"/>
              </w:rPr>
            </w:pPr>
            <w:r>
              <w:rPr>
                <w:rFonts w:hint="eastAsia" w:ascii="宋体" w:hAnsi="宋体" w:eastAsia="宋体" w:cs="仿宋_GB2312"/>
                <w:szCs w:val="21"/>
              </w:rPr>
              <w:t>工程招标</w:t>
            </w:r>
          </w:p>
        </w:tc>
      </w:tr>
      <w:tr w14:paraId="0AF0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28404008">
            <w:pPr>
              <w:spacing w:line="440" w:lineRule="exact"/>
              <w:jc w:val="center"/>
              <w:rPr>
                <w:rFonts w:ascii="宋体" w:hAnsi="宋体" w:eastAsia="宋体" w:cs="仿宋_GB2312"/>
                <w:szCs w:val="21"/>
              </w:rPr>
            </w:pPr>
            <w:r>
              <w:rPr>
                <w:rFonts w:hint="eastAsia" w:ascii="宋体" w:hAnsi="宋体" w:eastAsia="宋体" w:cs="仿宋_GB2312"/>
                <w:szCs w:val="21"/>
              </w:rPr>
              <w:t>100万元以下</w:t>
            </w:r>
          </w:p>
        </w:tc>
        <w:tc>
          <w:tcPr>
            <w:tcW w:w="1909" w:type="dxa"/>
            <w:vAlign w:val="center"/>
          </w:tcPr>
          <w:p w14:paraId="7E64DD22">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1.5%</w:t>
            </w:r>
          </w:p>
        </w:tc>
        <w:tc>
          <w:tcPr>
            <w:tcW w:w="1941" w:type="dxa"/>
            <w:vAlign w:val="center"/>
          </w:tcPr>
          <w:p w14:paraId="7C197E19">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1.5%</w:t>
            </w:r>
          </w:p>
        </w:tc>
        <w:tc>
          <w:tcPr>
            <w:tcW w:w="1614" w:type="dxa"/>
            <w:vAlign w:val="center"/>
          </w:tcPr>
          <w:p w14:paraId="40BE368F">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1.0%</w:t>
            </w:r>
          </w:p>
        </w:tc>
      </w:tr>
      <w:tr w14:paraId="2983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44219235">
            <w:pPr>
              <w:spacing w:line="440" w:lineRule="exact"/>
              <w:jc w:val="center"/>
              <w:rPr>
                <w:rFonts w:ascii="宋体" w:hAnsi="宋体" w:eastAsia="宋体" w:cs="仿宋_GB2312"/>
                <w:szCs w:val="21"/>
              </w:rPr>
            </w:pPr>
            <w:r>
              <w:rPr>
                <w:rFonts w:hint="eastAsia" w:ascii="宋体" w:hAnsi="宋体" w:eastAsia="宋体" w:cs="仿宋_GB2312"/>
                <w:szCs w:val="21"/>
              </w:rPr>
              <w:t>100万元～500万元</w:t>
            </w:r>
          </w:p>
        </w:tc>
        <w:tc>
          <w:tcPr>
            <w:tcW w:w="1909" w:type="dxa"/>
            <w:vAlign w:val="center"/>
          </w:tcPr>
          <w:p w14:paraId="4C81AA15">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1.1%</w:t>
            </w:r>
          </w:p>
        </w:tc>
        <w:tc>
          <w:tcPr>
            <w:tcW w:w="1941" w:type="dxa"/>
            <w:vAlign w:val="center"/>
          </w:tcPr>
          <w:p w14:paraId="5D26688E">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0.8%</w:t>
            </w:r>
          </w:p>
        </w:tc>
        <w:tc>
          <w:tcPr>
            <w:tcW w:w="1614" w:type="dxa"/>
            <w:vAlign w:val="center"/>
          </w:tcPr>
          <w:p w14:paraId="24C03DF1">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0.7%</w:t>
            </w:r>
          </w:p>
        </w:tc>
      </w:tr>
      <w:tr w14:paraId="5BEA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4C672151">
            <w:pPr>
              <w:spacing w:line="440" w:lineRule="exact"/>
              <w:jc w:val="center"/>
              <w:rPr>
                <w:rFonts w:ascii="宋体" w:hAnsi="宋体" w:eastAsia="宋体" w:cs="仿宋_GB2312"/>
                <w:szCs w:val="21"/>
              </w:rPr>
            </w:pPr>
            <w:r>
              <w:rPr>
                <w:rFonts w:hint="eastAsia" w:ascii="宋体" w:hAnsi="宋体" w:eastAsia="宋体" w:cs="仿宋_GB2312"/>
                <w:szCs w:val="21"/>
              </w:rPr>
              <w:t>500万元～1000万元</w:t>
            </w:r>
          </w:p>
        </w:tc>
        <w:tc>
          <w:tcPr>
            <w:tcW w:w="1909" w:type="dxa"/>
            <w:vAlign w:val="center"/>
          </w:tcPr>
          <w:p w14:paraId="0BC8D0E1">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0.8%</w:t>
            </w:r>
          </w:p>
        </w:tc>
        <w:tc>
          <w:tcPr>
            <w:tcW w:w="1941" w:type="dxa"/>
            <w:vAlign w:val="center"/>
          </w:tcPr>
          <w:p w14:paraId="662DC7C9">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0.45%</w:t>
            </w:r>
          </w:p>
        </w:tc>
        <w:tc>
          <w:tcPr>
            <w:tcW w:w="1614" w:type="dxa"/>
            <w:vAlign w:val="center"/>
          </w:tcPr>
          <w:p w14:paraId="01D89534">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0.55%</w:t>
            </w:r>
          </w:p>
        </w:tc>
      </w:tr>
      <w:tr w14:paraId="244E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5A7249AF">
            <w:pPr>
              <w:spacing w:line="440" w:lineRule="exact"/>
              <w:jc w:val="center"/>
              <w:rPr>
                <w:rFonts w:ascii="宋体" w:hAnsi="宋体" w:eastAsia="宋体" w:cs="仿宋_GB2312"/>
                <w:szCs w:val="21"/>
              </w:rPr>
            </w:pPr>
            <w:r>
              <w:rPr>
                <w:rFonts w:hint="eastAsia" w:ascii="宋体" w:hAnsi="宋体" w:eastAsia="宋体" w:cs="仿宋_GB2312"/>
                <w:szCs w:val="21"/>
              </w:rPr>
              <w:t>1000万元～5000万元</w:t>
            </w:r>
          </w:p>
        </w:tc>
        <w:tc>
          <w:tcPr>
            <w:tcW w:w="1909" w:type="dxa"/>
            <w:vAlign w:val="center"/>
          </w:tcPr>
          <w:p w14:paraId="63BA430B">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0.5%</w:t>
            </w:r>
          </w:p>
        </w:tc>
        <w:tc>
          <w:tcPr>
            <w:tcW w:w="1941" w:type="dxa"/>
            <w:vAlign w:val="center"/>
          </w:tcPr>
          <w:p w14:paraId="293CF872">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0.25%</w:t>
            </w:r>
          </w:p>
        </w:tc>
        <w:tc>
          <w:tcPr>
            <w:tcW w:w="1614" w:type="dxa"/>
            <w:vAlign w:val="center"/>
          </w:tcPr>
          <w:p w14:paraId="015C0CF3">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0.35%</w:t>
            </w:r>
          </w:p>
        </w:tc>
      </w:tr>
      <w:tr w14:paraId="2E3C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60CC2685">
            <w:pPr>
              <w:spacing w:line="440" w:lineRule="exact"/>
              <w:jc w:val="center"/>
              <w:rPr>
                <w:rFonts w:ascii="宋体" w:hAnsi="宋体" w:eastAsia="宋体" w:cs="仿宋_GB2312"/>
                <w:szCs w:val="21"/>
              </w:rPr>
            </w:pPr>
            <w:r>
              <w:rPr>
                <w:rFonts w:hint="eastAsia" w:ascii="宋体" w:hAnsi="宋体" w:eastAsia="宋体" w:cs="仿宋_GB2312"/>
                <w:szCs w:val="21"/>
              </w:rPr>
              <w:t>5000万元～1亿元</w:t>
            </w:r>
          </w:p>
        </w:tc>
        <w:tc>
          <w:tcPr>
            <w:tcW w:w="1909" w:type="dxa"/>
            <w:vAlign w:val="center"/>
          </w:tcPr>
          <w:p w14:paraId="21393540">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0.25%</w:t>
            </w:r>
          </w:p>
        </w:tc>
        <w:tc>
          <w:tcPr>
            <w:tcW w:w="1941" w:type="dxa"/>
            <w:vAlign w:val="center"/>
          </w:tcPr>
          <w:p w14:paraId="38F3D271">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0.1%</w:t>
            </w:r>
          </w:p>
        </w:tc>
        <w:tc>
          <w:tcPr>
            <w:tcW w:w="1614" w:type="dxa"/>
            <w:vAlign w:val="center"/>
          </w:tcPr>
          <w:p w14:paraId="13BF36F1">
            <w:pPr>
              <w:spacing w:line="440" w:lineRule="exact"/>
              <w:ind w:firstLine="420" w:firstLineChars="200"/>
              <w:rPr>
                <w:rFonts w:ascii="宋体" w:hAnsi="宋体" w:eastAsia="宋体" w:cs="仿宋_GB2312"/>
                <w:szCs w:val="21"/>
              </w:rPr>
            </w:pPr>
            <w:r>
              <w:rPr>
                <w:rFonts w:hint="eastAsia" w:ascii="宋体" w:hAnsi="宋体" w:eastAsia="宋体" w:cs="仿宋_GB2312"/>
                <w:kern w:val="0"/>
                <w:szCs w:val="21"/>
              </w:rPr>
              <w:t>0.2%</w:t>
            </w:r>
          </w:p>
        </w:tc>
      </w:tr>
      <w:tr w14:paraId="038D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2FE35808">
            <w:pPr>
              <w:spacing w:line="440" w:lineRule="exact"/>
              <w:jc w:val="center"/>
              <w:rPr>
                <w:rFonts w:ascii="宋体" w:hAnsi="宋体" w:eastAsia="宋体" w:cs="仿宋_GB2312"/>
                <w:szCs w:val="21"/>
              </w:rPr>
            </w:pPr>
            <w:r>
              <w:rPr>
                <w:rFonts w:hint="eastAsia" w:ascii="宋体" w:hAnsi="宋体" w:eastAsia="宋体" w:cs="仿宋_GB2312"/>
                <w:szCs w:val="21"/>
              </w:rPr>
              <w:t>1亿元～5亿元</w:t>
            </w:r>
          </w:p>
        </w:tc>
        <w:tc>
          <w:tcPr>
            <w:tcW w:w="1909" w:type="dxa"/>
            <w:vAlign w:val="center"/>
          </w:tcPr>
          <w:p w14:paraId="5BEA270D">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0.05%</w:t>
            </w:r>
          </w:p>
        </w:tc>
        <w:tc>
          <w:tcPr>
            <w:tcW w:w="1941" w:type="dxa"/>
            <w:vAlign w:val="center"/>
          </w:tcPr>
          <w:p w14:paraId="0A1373F2">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0.05%</w:t>
            </w:r>
          </w:p>
        </w:tc>
        <w:tc>
          <w:tcPr>
            <w:tcW w:w="1614" w:type="dxa"/>
            <w:vAlign w:val="center"/>
          </w:tcPr>
          <w:p w14:paraId="5F81482C">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0.05%</w:t>
            </w:r>
          </w:p>
        </w:tc>
      </w:tr>
      <w:tr w14:paraId="24C8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29B24314">
            <w:pPr>
              <w:spacing w:line="440" w:lineRule="exact"/>
              <w:jc w:val="center"/>
              <w:rPr>
                <w:rFonts w:ascii="宋体" w:hAnsi="宋体" w:eastAsia="宋体" w:cs="仿宋_GB2312"/>
                <w:szCs w:val="21"/>
              </w:rPr>
            </w:pPr>
            <w:r>
              <w:rPr>
                <w:rFonts w:hint="eastAsia" w:ascii="宋体" w:hAnsi="宋体" w:eastAsia="宋体" w:cs="仿宋_GB2312"/>
                <w:szCs w:val="21"/>
              </w:rPr>
              <w:t>5亿元～10亿元</w:t>
            </w:r>
          </w:p>
        </w:tc>
        <w:tc>
          <w:tcPr>
            <w:tcW w:w="1909" w:type="dxa"/>
            <w:vAlign w:val="center"/>
          </w:tcPr>
          <w:p w14:paraId="495693BD">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0.035%</w:t>
            </w:r>
          </w:p>
        </w:tc>
        <w:tc>
          <w:tcPr>
            <w:tcW w:w="1941" w:type="dxa"/>
            <w:vAlign w:val="center"/>
          </w:tcPr>
          <w:p w14:paraId="67206685">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0.035%</w:t>
            </w:r>
          </w:p>
        </w:tc>
        <w:tc>
          <w:tcPr>
            <w:tcW w:w="1614" w:type="dxa"/>
            <w:vAlign w:val="center"/>
          </w:tcPr>
          <w:p w14:paraId="16A48EC4">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0.035%</w:t>
            </w:r>
          </w:p>
        </w:tc>
      </w:tr>
      <w:tr w14:paraId="3AAF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7A93E81E">
            <w:pPr>
              <w:spacing w:line="440" w:lineRule="exact"/>
              <w:jc w:val="center"/>
              <w:rPr>
                <w:rFonts w:ascii="宋体" w:hAnsi="宋体" w:eastAsia="宋体" w:cs="仿宋_GB2312"/>
                <w:szCs w:val="21"/>
              </w:rPr>
            </w:pPr>
            <w:r>
              <w:rPr>
                <w:rFonts w:hint="eastAsia" w:ascii="宋体" w:hAnsi="宋体" w:eastAsia="宋体" w:cs="仿宋_GB2312"/>
                <w:szCs w:val="21"/>
              </w:rPr>
              <w:t>10亿元～50亿元</w:t>
            </w:r>
          </w:p>
        </w:tc>
        <w:tc>
          <w:tcPr>
            <w:tcW w:w="1909" w:type="dxa"/>
            <w:vAlign w:val="center"/>
          </w:tcPr>
          <w:p w14:paraId="275E2AEB">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0.008%</w:t>
            </w:r>
          </w:p>
        </w:tc>
        <w:tc>
          <w:tcPr>
            <w:tcW w:w="1941" w:type="dxa"/>
            <w:vAlign w:val="center"/>
          </w:tcPr>
          <w:p w14:paraId="58239B4A">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0.008%</w:t>
            </w:r>
          </w:p>
        </w:tc>
        <w:tc>
          <w:tcPr>
            <w:tcW w:w="1614" w:type="dxa"/>
            <w:vAlign w:val="center"/>
          </w:tcPr>
          <w:p w14:paraId="12C37946">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0.008%</w:t>
            </w:r>
          </w:p>
        </w:tc>
      </w:tr>
      <w:tr w14:paraId="6979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74C2673E">
            <w:pPr>
              <w:spacing w:line="440" w:lineRule="exact"/>
              <w:jc w:val="center"/>
              <w:rPr>
                <w:rFonts w:ascii="宋体" w:hAnsi="宋体" w:eastAsia="宋体" w:cs="仿宋_GB2312"/>
                <w:szCs w:val="21"/>
              </w:rPr>
            </w:pPr>
            <w:r>
              <w:rPr>
                <w:rFonts w:hint="eastAsia" w:ascii="宋体" w:hAnsi="宋体" w:eastAsia="宋体" w:cs="仿宋_GB2312"/>
                <w:szCs w:val="21"/>
              </w:rPr>
              <w:t>50亿元～100亿元</w:t>
            </w:r>
          </w:p>
        </w:tc>
        <w:tc>
          <w:tcPr>
            <w:tcW w:w="1909" w:type="dxa"/>
            <w:vAlign w:val="center"/>
          </w:tcPr>
          <w:p w14:paraId="6BD51197">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0.006%</w:t>
            </w:r>
          </w:p>
        </w:tc>
        <w:tc>
          <w:tcPr>
            <w:tcW w:w="1941" w:type="dxa"/>
            <w:vAlign w:val="center"/>
          </w:tcPr>
          <w:p w14:paraId="194E0321">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0.006%</w:t>
            </w:r>
          </w:p>
        </w:tc>
        <w:tc>
          <w:tcPr>
            <w:tcW w:w="1614" w:type="dxa"/>
            <w:vAlign w:val="center"/>
          </w:tcPr>
          <w:p w14:paraId="70A8CCCA">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0.006%</w:t>
            </w:r>
          </w:p>
        </w:tc>
      </w:tr>
      <w:tr w14:paraId="3794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4" w:type="dxa"/>
            <w:vAlign w:val="center"/>
          </w:tcPr>
          <w:p w14:paraId="48946EF5">
            <w:pPr>
              <w:spacing w:line="440" w:lineRule="exact"/>
              <w:jc w:val="center"/>
              <w:rPr>
                <w:rFonts w:ascii="宋体" w:hAnsi="宋体" w:eastAsia="宋体" w:cs="仿宋_GB2312"/>
                <w:szCs w:val="21"/>
              </w:rPr>
            </w:pPr>
            <w:r>
              <w:rPr>
                <w:rFonts w:hint="eastAsia" w:ascii="宋体" w:hAnsi="宋体" w:eastAsia="宋体" w:cs="仿宋_GB2312"/>
                <w:szCs w:val="21"/>
              </w:rPr>
              <w:t>100亿以上</w:t>
            </w:r>
          </w:p>
        </w:tc>
        <w:tc>
          <w:tcPr>
            <w:tcW w:w="1909" w:type="dxa"/>
            <w:vAlign w:val="center"/>
          </w:tcPr>
          <w:p w14:paraId="17BE0154">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0.004%</w:t>
            </w:r>
          </w:p>
        </w:tc>
        <w:tc>
          <w:tcPr>
            <w:tcW w:w="1941" w:type="dxa"/>
            <w:vAlign w:val="center"/>
          </w:tcPr>
          <w:p w14:paraId="6038B812">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0.004%</w:t>
            </w:r>
          </w:p>
        </w:tc>
        <w:tc>
          <w:tcPr>
            <w:tcW w:w="1614" w:type="dxa"/>
            <w:vAlign w:val="center"/>
          </w:tcPr>
          <w:p w14:paraId="071BFD1B">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0.004%</w:t>
            </w:r>
          </w:p>
        </w:tc>
      </w:tr>
    </w:tbl>
    <w:p w14:paraId="2F6129EA">
      <w:pPr>
        <w:spacing w:line="440" w:lineRule="exact"/>
        <w:ind w:firstLine="420" w:firstLineChars="200"/>
        <w:rPr>
          <w:rFonts w:ascii="宋体" w:hAnsi="宋体" w:eastAsia="宋体" w:cs="仿宋_GB2312"/>
          <w:szCs w:val="21"/>
        </w:rPr>
      </w:pPr>
      <w:r>
        <w:rPr>
          <w:rFonts w:hint="eastAsia" w:ascii="宋体" w:hAnsi="宋体" w:eastAsia="宋体" w:cs="仿宋_GB2312"/>
          <w:szCs w:val="21"/>
        </w:rPr>
        <w:t>注：</w:t>
      </w:r>
    </w:p>
    <w:p w14:paraId="19468448">
      <w:pPr>
        <w:snapToGrid w:val="0"/>
        <w:spacing w:line="440" w:lineRule="exact"/>
        <w:ind w:firstLine="420" w:firstLineChars="200"/>
        <w:rPr>
          <w:rFonts w:ascii="宋体" w:hAnsi="宋体" w:eastAsia="宋体" w:cs="仿宋_GB2312"/>
          <w:szCs w:val="21"/>
        </w:rPr>
      </w:pPr>
      <w:r>
        <w:rPr>
          <w:rFonts w:hint="eastAsia" w:ascii="宋体" w:hAnsi="宋体" w:eastAsia="宋体" w:cs="仿宋_GB2312"/>
          <w:szCs w:val="21"/>
        </w:rPr>
        <w:t>（1）按本表费率计算的收费为采购代理的收费基准价格；</w:t>
      </w:r>
    </w:p>
    <w:p w14:paraId="475ECEEF">
      <w:pPr>
        <w:snapToGrid w:val="0"/>
        <w:spacing w:line="440" w:lineRule="exact"/>
        <w:ind w:firstLine="420" w:firstLineChars="200"/>
        <w:rPr>
          <w:rFonts w:ascii="宋体" w:hAnsi="宋体" w:eastAsia="宋体" w:cs="仿宋_GB2312"/>
          <w:szCs w:val="21"/>
        </w:rPr>
      </w:pPr>
      <w:r>
        <w:rPr>
          <w:rFonts w:hint="eastAsia" w:ascii="宋体" w:hAnsi="宋体" w:eastAsia="宋体" w:cs="仿宋_GB2312"/>
          <w:szCs w:val="21"/>
        </w:rPr>
        <w:t>（2）采购代理收费按差额定率累进法计算。</w:t>
      </w:r>
    </w:p>
    <w:p w14:paraId="109AC8C2">
      <w:pPr>
        <w:snapToGrid w:val="0"/>
        <w:spacing w:line="440" w:lineRule="exact"/>
        <w:ind w:firstLine="420" w:firstLineChars="200"/>
        <w:rPr>
          <w:rFonts w:ascii="宋体" w:hAnsi="宋体" w:eastAsia="宋体" w:cs="仿宋_GB2312"/>
          <w:szCs w:val="21"/>
        </w:rPr>
      </w:pPr>
      <w:r>
        <w:rPr>
          <w:rFonts w:hint="eastAsia" w:ascii="宋体" w:hAnsi="宋体" w:eastAsia="宋体" w:cs="仿宋_GB2312"/>
          <w:szCs w:val="21"/>
        </w:rPr>
        <w:t>例如：某货物采购代理业务中标金额或者暂定价为200万元，计算采购代理收费额如下：</w:t>
      </w:r>
    </w:p>
    <w:p w14:paraId="58519421">
      <w:pPr>
        <w:snapToGrid w:val="0"/>
        <w:spacing w:line="440" w:lineRule="exact"/>
        <w:ind w:firstLine="420" w:firstLineChars="200"/>
        <w:rPr>
          <w:rFonts w:ascii="宋体" w:hAnsi="宋体" w:eastAsia="宋体" w:cs="仿宋_GB2312"/>
          <w:szCs w:val="21"/>
        </w:rPr>
      </w:pPr>
      <w:r>
        <w:rPr>
          <w:rFonts w:hint="eastAsia" w:ascii="宋体" w:hAnsi="宋体" w:eastAsia="宋体" w:cs="仿宋_GB2312"/>
          <w:szCs w:val="21"/>
        </w:rPr>
        <w:t>100万元×l.5％＝ 1.5万元</w:t>
      </w:r>
    </w:p>
    <w:p w14:paraId="093523E1">
      <w:pPr>
        <w:snapToGrid w:val="0"/>
        <w:spacing w:line="440" w:lineRule="exact"/>
        <w:ind w:firstLine="420" w:firstLineChars="200"/>
        <w:rPr>
          <w:rFonts w:ascii="宋体" w:hAnsi="宋体" w:eastAsia="宋体" w:cs="仿宋_GB2312"/>
          <w:szCs w:val="21"/>
        </w:rPr>
      </w:pPr>
      <w:r>
        <w:rPr>
          <w:rFonts w:hint="eastAsia" w:ascii="宋体" w:hAnsi="宋体" w:eastAsia="宋体" w:cs="仿宋_GB2312"/>
          <w:szCs w:val="21"/>
        </w:rPr>
        <w:t>（200－ 100）万元×1.1％＝1.1万元</w:t>
      </w:r>
    </w:p>
    <w:p w14:paraId="05A25CF8">
      <w:pPr>
        <w:snapToGrid w:val="0"/>
        <w:spacing w:line="440" w:lineRule="exact"/>
        <w:ind w:firstLine="420" w:firstLineChars="200"/>
        <w:rPr>
          <w:rFonts w:ascii="宋体" w:hAnsi="宋体" w:eastAsia="宋体" w:cs="仿宋_GB2312"/>
          <w:szCs w:val="20"/>
        </w:rPr>
      </w:pPr>
      <w:r>
        <w:rPr>
          <w:rFonts w:hint="eastAsia" w:ascii="宋体" w:hAnsi="宋体" w:eastAsia="宋体" w:cs="仿宋_GB2312"/>
          <w:szCs w:val="21"/>
        </w:rPr>
        <w:t>合计收费＝1.5+1.1＝ 2.6（万元）</w:t>
      </w:r>
    </w:p>
    <w:p w14:paraId="0481625F">
      <w:pPr>
        <w:spacing w:line="440" w:lineRule="exact"/>
        <w:ind w:firstLine="480"/>
        <w:rPr>
          <w:rFonts w:ascii="宋体" w:hAnsi="宋体" w:eastAsia="宋体" w:cs="仿宋_GB2312"/>
          <w:b/>
          <w:sz w:val="24"/>
          <w:szCs w:val="24"/>
        </w:rPr>
      </w:pPr>
      <w:r>
        <w:rPr>
          <w:rFonts w:hint="eastAsia" w:ascii="宋体" w:hAnsi="宋体" w:eastAsia="宋体" w:cs="仿宋_GB2312"/>
          <w:b/>
          <w:sz w:val="24"/>
          <w:szCs w:val="24"/>
        </w:rPr>
        <w:t>40.需要补充的其他内容</w:t>
      </w:r>
    </w:p>
    <w:p w14:paraId="086E5186">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40.1本招标文件解释规则详见“投标人须知前附表”。</w:t>
      </w:r>
    </w:p>
    <w:p w14:paraId="5F0BE86D">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40.2 其他事项详见“投标人须知前附表”。</w:t>
      </w:r>
    </w:p>
    <w:p w14:paraId="2A42B77A">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DB21242">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（1）在货物采购项目中，货物由中小企业制造，即货物由中小企业生产且使用该中小企业商号或者注册商标，不对其中涉及的工程承建商和服务的承接商作出要求；</w:t>
      </w:r>
    </w:p>
    <w:p w14:paraId="3107F8C3">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（2）在工程采购项目中，工程由中小企业承建，即工程施工单位为中小企业，不对其中涉及的货物的制造商和服务的承接商作出要求；</w:t>
      </w:r>
    </w:p>
    <w:p w14:paraId="460400B5">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（3）在服务采购项目中，服务由中小企业承接，即提供服务的人员为中小企业依照《中华人民共和国劳动合同法》订立劳动合同的从业人员，不对其中涉及的货物的制造商和工程承建商作出要求。</w:t>
      </w:r>
    </w:p>
    <w:p w14:paraId="01A3722F">
      <w:pPr>
        <w:spacing w:line="440" w:lineRule="exact"/>
        <w:ind w:firstLine="420" w:firstLineChars="200"/>
        <w:rPr>
          <w:rFonts w:ascii="宋体" w:hAnsi="宋体" w:eastAsia="宋体" w:cs="仿宋_GB2312"/>
          <w:szCs w:val="20"/>
        </w:rPr>
      </w:pPr>
      <w:r>
        <w:rPr>
          <w:rFonts w:hint="eastAsia" w:ascii="宋体" w:hAnsi="宋体" w:eastAsia="宋体" w:cs="仿宋_GB2312"/>
          <w:szCs w:val="20"/>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45C69BF8">
      <w:pPr>
        <w:spacing w:line="440" w:lineRule="exact"/>
        <w:ind w:firstLine="420" w:firstLineChars="200"/>
        <w:rPr>
          <w:rFonts w:ascii="宋体" w:hAnsi="宋体" w:eastAsia="宋体" w:cs="仿宋_GB2312"/>
          <w:szCs w:val="20"/>
        </w:rPr>
      </w:pPr>
      <w:r>
        <w:rPr>
          <w:rFonts w:hint="eastAsia" w:ascii="宋体" w:hAnsi="宋体" w:eastAsia="宋体" w:cs="仿宋_GB2312"/>
          <w:szCs w:val="24"/>
        </w:rPr>
        <w:t>依据本招标文件规定享受扶持政策获得政府采购合同的，小微企业不得将合同分包给大中型企业，中型企业不得将合同分包给大型企业。</w:t>
      </w:r>
    </w:p>
    <w:p w14:paraId="089DC509">
      <w:pPr>
        <w:keepNext/>
        <w:keepLines/>
        <w:spacing w:line="360" w:lineRule="auto"/>
        <w:ind w:firstLine="880"/>
        <w:jc w:val="center"/>
        <w:outlineLvl w:val="0"/>
        <w:rPr>
          <w:rFonts w:ascii="宋体" w:hAnsi="宋体" w:eastAsia="宋体" w:cs="仿宋_GB2312"/>
          <w:b/>
          <w:bCs/>
          <w:kern w:val="44"/>
          <w:sz w:val="44"/>
          <w:szCs w:val="44"/>
        </w:rPr>
      </w:pPr>
      <w:r>
        <w:rPr>
          <w:rFonts w:hint="eastAsia" w:ascii="宋体" w:hAnsi="宋体" w:eastAsia="宋体" w:cs="仿宋_GB2312"/>
          <w:b/>
          <w:bCs/>
          <w:kern w:val="44"/>
          <w:sz w:val="44"/>
          <w:szCs w:val="44"/>
        </w:rPr>
        <w:br w:type="page"/>
      </w:r>
      <w:bookmarkStart w:id="169" w:name="_Toc330456896"/>
      <w:bookmarkStart w:id="170" w:name="_Toc207203149"/>
      <w:bookmarkStart w:id="171" w:name="_Toc2178"/>
      <w:bookmarkStart w:id="172" w:name="_Toc18816"/>
      <w:bookmarkStart w:id="173" w:name="_Toc27431"/>
      <w:bookmarkStart w:id="174" w:name="_Toc254970689"/>
      <w:bookmarkStart w:id="175" w:name="_Toc254970548"/>
      <w:r>
        <w:rPr>
          <w:rFonts w:hint="eastAsia" w:ascii="宋体" w:hAnsi="宋体" w:eastAsia="宋体" w:cs="仿宋_GB2312"/>
          <w:b/>
          <w:bCs/>
          <w:kern w:val="44"/>
          <w:sz w:val="44"/>
          <w:szCs w:val="44"/>
        </w:rPr>
        <w:t>第四章  评标方法及评标标准</w:t>
      </w:r>
      <w:bookmarkEnd w:id="169"/>
      <w:bookmarkEnd w:id="170"/>
      <w:bookmarkEnd w:id="171"/>
      <w:bookmarkEnd w:id="172"/>
      <w:bookmarkEnd w:id="173"/>
      <w:bookmarkEnd w:id="174"/>
      <w:bookmarkEnd w:id="175"/>
    </w:p>
    <w:p w14:paraId="00D3128D">
      <w:pPr>
        <w:keepNext/>
        <w:keepLines/>
        <w:spacing w:line="360" w:lineRule="auto"/>
        <w:ind w:firstLine="643" w:firstLineChars="200"/>
        <w:jc w:val="center"/>
        <w:textAlignment w:val="center"/>
        <w:outlineLvl w:val="1"/>
        <w:rPr>
          <w:rFonts w:ascii="宋体" w:hAnsi="宋体" w:eastAsia="宋体" w:cs="仿宋_GB2312"/>
          <w:b/>
          <w:bCs/>
          <w:sz w:val="32"/>
          <w:szCs w:val="32"/>
        </w:rPr>
      </w:pPr>
      <w:bookmarkStart w:id="176" w:name="_Toc10073"/>
      <w:bookmarkStart w:id="177" w:name="_Toc23781"/>
      <w:r>
        <w:rPr>
          <w:rFonts w:hint="eastAsia" w:ascii="宋体" w:hAnsi="宋体" w:eastAsia="宋体" w:cs="仿宋_GB2312"/>
          <w:b/>
          <w:bCs/>
          <w:sz w:val="32"/>
          <w:szCs w:val="32"/>
        </w:rPr>
        <w:t>一、评标方法</w:t>
      </w:r>
      <w:bookmarkEnd w:id="176"/>
      <w:bookmarkEnd w:id="177"/>
    </w:p>
    <w:p w14:paraId="6BD6A53A">
      <w:pPr>
        <w:spacing w:line="360" w:lineRule="auto"/>
        <w:ind w:firstLine="482"/>
        <w:rPr>
          <w:rFonts w:ascii="宋体" w:hAnsi="宋体" w:eastAsia="宋体" w:cs="仿宋_GB2312"/>
          <w:szCs w:val="20"/>
        </w:rPr>
      </w:pPr>
      <w:r>
        <w:rPr>
          <w:rFonts w:hint="eastAsia" w:ascii="宋体" w:hAnsi="宋体" w:eastAsia="宋体" w:cs="仿宋_GB2312"/>
          <w:szCs w:val="20"/>
        </w:rPr>
        <w:t>综合评分法，是指投标文件满足招标文件全部实质性要求，且按照评审因素的量化指标评审得分最高的投标人为中标候选人的评标方法。</w:t>
      </w:r>
    </w:p>
    <w:p w14:paraId="024BF28F">
      <w:pPr>
        <w:keepNext/>
        <w:keepLines/>
        <w:spacing w:line="360" w:lineRule="auto"/>
        <w:ind w:firstLine="643" w:firstLineChars="200"/>
        <w:jc w:val="center"/>
        <w:textAlignment w:val="center"/>
        <w:outlineLvl w:val="1"/>
        <w:rPr>
          <w:rFonts w:ascii="宋体" w:hAnsi="宋体" w:eastAsia="宋体" w:cs="仿宋_GB2312"/>
          <w:b/>
          <w:bCs/>
          <w:sz w:val="32"/>
          <w:szCs w:val="32"/>
        </w:rPr>
      </w:pPr>
      <w:bookmarkStart w:id="178" w:name="_Toc25346"/>
      <w:bookmarkStart w:id="179" w:name="_Toc3353"/>
      <w:r>
        <w:rPr>
          <w:rFonts w:hint="eastAsia" w:ascii="宋体" w:hAnsi="宋体" w:eastAsia="宋体" w:cs="仿宋_GB2312"/>
          <w:b/>
          <w:bCs/>
          <w:sz w:val="32"/>
          <w:szCs w:val="32"/>
        </w:rPr>
        <w:t>二、评标程序</w:t>
      </w:r>
      <w:bookmarkEnd w:id="178"/>
      <w:bookmarkEnd w:id="179"/>
    </w:p>
    <w:p w14:paraId="2810BE7D">
      <w:pPr>
        <w:snapToGrid w:val="0"/>
        <w:spacing w:line="360" w:lineRule="auto"/>
        <w:ind w:firstLine="480"/>
        <w:rPr>
          <w:rFonts w:ascii="宋体" w:hAnsi="宋体" w:eastAsia="宋体" w:cs="仿宋_GB2312"/>
          <w:b/>
          <w:szCs w:val="20"/>
        </w:rPr>
      </w:pPr>
      <w:r>
        <w:rPr>
          <w:rFonts w:hint="eastAsia" w:ascii="宋体" w:hAnsi="宋体" w:eastAsia="宋体" w:cs="仿宋_GB2312"/>
          <w:b/>
          <w:szCs w:val="20"/>
        </w:rPr>
        <w:t>1.符合性审查</w:t>
      </w:r>
    </w:p>
    <w:p w14:paraId="47AB45E4">
      <w:pPr>
        <w:snapToGrid w:val="0"/>
        <w:spacing w:line="360" w:lineRule="auto"/>
        <w:ind w:firstLine="482"/>
        <w:rPr>
          <w:rFonts w:ascii="宋体" w:hAnsi="宋体" w:eastAsia="宋体" w:cs="仿宋_GB2312"/>
          <w:bCs/>
          <w:szCs w:val="20"/>
        </w:rPr>
      </w:pPr>
      <w:r>
        <w:rPr>
          <w:rFonts w:hint="eastAsia" w:ascii="宋体" w:hAnsi="宋体" w:eastAsia="宋体" w:cs="仿宋_GB2312"/>
          <w:bCs/>
          <w:szCs w:val="20"/>
        </w:rPr>
        <w:t>评标委员会应当对符合资格的投标人的投标文件进行投标报价、商务、技术等实质性内容符合性审查，以确定其是否满足招标文件的实质性要求。</w:t>
      </w:r>
    </w:p>
    <w:p w14:paraId="3B14BE46">
      <w:pPr>
        <w:snapToGrid w:val="0"/>
        <w:spacing w:line="360" w:lineRule="auto"/>
        <w:ind w:firstLine="480"/>
        <w:rPr>
          <w:rFonts w:ascii="宋体" w:hAnsi="宋体" w:eastAsia="宋体" w:cs="仿宋_GB2312"/>
          <w:b/>
          <w:szCs w:val="20"/>
        </w:rPr>
      </w:pPr>
      <w:r>
        <w:rPr>
          <w:rFonts w:hint="eastAsia" w:ascii="宋体" w:hAnsi="宋体" w:eastAsia="宋体" w:cs="仿宋_GB2312"/>
          <w:b/>
          <w:szCs w:val="20"/>
        </w:rPr>
        <w:t>2.符合性审查不通过而导致投标无效的情形</w:t>
      </w:r>
    </w:p>
    <w:p w14:paraId="17E7CBE6">
      <w:p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投标人的投标文件中存在对招标文件的任何实质性要求和条件的负偏离，将被视为投标无效。</w:t>
      </w:r>
    </w:p>
    <w:p w14:paraId="66BC2352">
      <w:pPr>
        <w:snapToGrid w:val="0"/>
        <w:spacing w:line="360" w:lineRule="auto"/>
        <w:ind w:firstLine="480"/>
        <w:rPr>
          <w:rFonts w:ascii="宋体" w:hAnsi="宋体" w:eastAsia="宋体" w:cs="仿宋_GB2312"/>
          <w:b/>
          <w:szCs w:val="20"/>
        </w:rPr>
      </w:pPr>
      <w:r>
        <w:rPr>
          <w:rFonts w:hint="eastAsia" w:ascii="宋体" w:hAnsi="宋体" w:eastAsia="宋体" w:cs="仿宋_GB2312"/>
          <w:b/>
          <w:szCs w:val="20"/>
        </w:rPr>
        <w:t>2.1在报价评审时，如发现下列情形之一的，将被视为投标无效：</w:t>
      </w:r>
    </w:p>
    <w:p w14:paraId="2570A3A3">
      <w:pPr>
        <w:numPr>
          <w:ilvl w:val="0"/>
          <w:numId w:val="47"/>
        </w:numPr>
        <w:spacing w:line="360" w:lineRule="auto"/>
        <w:ind w:firstLine="398" w:firstLineChars="200"/>
        <w:rPr>
          <w:rFonts w:ascii="宋体" w:hAnsi="宋体" w:eastAsia="宋体" w:cs="仿宋_GB2312"/>
          <w:b/>
          <w:spacing w:val="-6"/>
          <w:szCs w:val="21"/>
        </w:rPr>
      </w:pPr>
      <w:r>
        <w:rPr>
          <w:rFonts w:hint="eastAsia" w:ascii="宋体" w:hAnsi="宋体" w:eastAsia="宋体" w:cs="仿宋_GB2312"/>
          <w:b/>
          <w:spacing w:val="-6"/>
          <w:szCs w:val="21"/>
        </w:rPr>
        <w:t>报价文件未提供“投标人须知前附表”第13.1条规定中“必须提供”的文件资料的；</w:t>
      </w:r>
    </w:p>
    <w:p w14:paraId="17883F54">
      <w:pPr>
        <w:numPr>
          <w:ilvl w:val="0"/>
          <w:numId w:val="47"/>
        </w:numPr>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未采用人民币报价或者未按照招标文件标明的币种报价的；</w:t>
      </w:r>
    </w:p>
    <w:p w14:paraId="4EEB77F8">
      <w:pPr>
        <w:numPr>
          <w:ilvl w:val="0"/>
          <w:numId w:val="47"/>
        </w:numPr>
        <w:spacing w:line="360" w:lineRule="auto"/>
        <w:ind w:firstLine="456"/>
        <w:rPr>
          <w:rFonts w:ascii="宋体" w:hAnsi="宋体" w:eastAsia="宋体" w:cs="仿宋_GB2312"/>
          <w:b/>
          <w:spacing w:val="-6"/>
          <w:szCs w:val="21"/>
        </w:rPr>
      </w:pPr>
      <w:r>
        <w:rPr>
          <w:rFonts w:hint="eastAsia" w:ascii="宋体" w:hAnsi="宋体" w:eastAsia="宋体" w:cs="仿宋_GB2312"/>
          <w:b/>
          <w:spacing w:val="-6"/>
          <w:szCs w:val="21"/>
        </w:rPr>
        <w:t>各分标报价超出招标文件相应分标规定最高限价，或者超出相应分标采购预算金额的；</w:t>
      </w:r>
    </w:p>
    <w:p w14:paraId="203D0697">
      <w:pPr>
        <w:numPr>
          <w:ilvl w:val="0"/>
          <w:numId w:val="47"/>
        </w:numPr>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031B9BA">
      <w:pPr>
        <w:numPr>
          <w:ilvl w:val="0"/>
          <w:numId w:val="47"/>
        </w:numPr>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修正后的报价，投标人不确认的；</w:t>
      </w:r>
    </w:p>
    <w:p w14:paraId="48C9B57C">
      <w:pPr>
        <w:numPr>
          <w:ilvl w:val="0"/>
          <w:numId w:val="47"/>
        </w:numPr>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投标文件中承诺的投标有效期低于招标文件要求的期限的；</w:t>
      </w:r>
    </w:p>
    <w:p w14:paraId="62219818">
      <w:pPr>
        <w:numPr>
          <w:ilvl w:val="0"/>
          <w:numId w:val="47"/>
        </w:numPr>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投标人属于本章第5.1条（2）或者第5.2条（2）项情形的。</w:t>
      </w:r>
    </w:p>
    <w:p w14:paraId="6AD513D1">
      <w:pPr>
        <w:numPr>
          <w:ilvl w:val="0"/>
          <w:numId w:val="47"/>
        </w:numPr>
        <w:spacing w:line="360" w:lineRule="auto"/>
        <w:ind w:firstLine="398" w:firstLineChars="200"/>
        <w:rPr>
          <w:rFonts w:ascii="宋体" w:hAnsi="宋体" w:eastAsia="宋体" w:cs="仿宋_GB2312"/>
          <w:b/>
          <w:szCs w:val="21"/>
        </w:rPr>
      </w:pPr>
      <w:r>
        <w:rPr>
          <w:rFonts w:hint="eastAsia" w:ascii="宋体" w:hAnsi="宋体" w:eastAsia="宋体" w:cs="仿宋_GB2312"/>
          <w:b/>
          <w:spacing w:val="-6"/>
          <w:szCs w:val="21"/>
        </w:rPr>
        <w:t>报价文件</w:t>
      </w:r>
      <w:r>
        <w:rPr>
          <w:rFonts w:hint="eastAsia" w:ascii="宋体" w:hAnsi="宋体" w:eastAsia="宋体" w:cs="仿宋_GB2312"/>
          <w:b/>
          <w:szCs w:val="21"/>
        </w:rPr>
        <w:t>响应的标的数量及单位与招标文件要求实质性不一致的。</w:t>
      </w:r>
    </w:p>
    <w:p w14:paraId="05E17BF9">
      <w:pPr>
        <w:spacing w:line="360" w:lineRule="auto"/>
        <w:rPr>
          <w:rFonts w:ascii="宋体" w:hAnsi="宋体" w:eastAsia="宋体" w:cs="仿宋_GB2312"/>
          <w:szCs w:val="21"/>
        </w:rPr>
      </w:pPr>
      <w:r>
        <w:rPr>
          <w:rFonts w:hint="eastAsia" w:ascii="宋体" w:hAnsi="宋体" w:eastAsia="宋体" w:cs="仿宋_GB2312"/>
          <w:szCs w:val="21"/>
        </w:rPr>
        <w:t>2.2在商务评审时，如发现下列情形之一的，将被视为投标无效：</w:t>
      </w:r>
    </w:p>
    <w:p w14:paraId="7E0C6D84">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投标文件未按招标文件要求签署、盖章的；</w:t>
      </w:r>
    </w:p>
    <w:p w14:paraId="6631ED19">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 xml:space="preserve">委托代理人未能出具有效身份证或者出具的身份证与授权委托书中的信息不符的； </w:t>
      </w:r>
    </w:p>
    <w:p w14:paraId="4195942E">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为无效投标保证金的或者未按照招标文件的规定提交投标保证金的；</w:t>
      </w:r>
    </w:p>
    <w:p w14:paraId="6F771C5D">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投标文件未提供“投标人须知前附表”第13.1条规定中“必须提供”或者“委托时必须提供”的文件资料的；</w:t>
      </w:r>
    </w:p>
    <w:p w14:paraId="1B714ACE">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商务要求评审允许负偏离的条款数超过“投标人须知前附表”规定项数的；</w:t>
      </w:r>
    </w:p>
    <w:p w14:paraId="083AC044">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投标文件的实质性内容未使用中文表述、使用计量单位不符合招标文件要求的；</w:t>
      </w:r>
    </w:p>
    <w:p w14:paraId="1F672E5A">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投标文件中的文件资料因填写不齐全或者内容虚假或者出现其他情形而导致被评标委员会认定无效的；</w:t>
      </w:r>
    </w:p>
    <w:p w14:paraId="53D87DD8">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投标文件含有采购人不能接受的附加条件的；</w:t>
      </w:r>
    </w:p>
    <w:p w14:paraId="7AAC5B98">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属于投标人须知正文第9.2条情形的；</w:t>
      </w:r>
    </w:p>
    <w:p w14:paraId="506AC89C">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投标文件标注的项目名称或者项目编号与招标文件标注的项目名称或者项目编号不一致的；</w:t>
      </w:r>
    </w:p>
    <w:p w14:paraId="5F478550">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招标文件明确不允许分包，投标文件拟分包的；</w:t>
      </w:r>
    </w:p>
    <w:p w14:paraId="31677BCD">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招标文件未载明允许提供备选（替代）投标方案或明确不允许提供备选（替代）投标方案时，投标人提供了备选（替代）投标方案的；</w:t>
      </w:r>
    </w:p>
    <w:p w14:paraId="218443D3">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未响应招标文件实质性要求的；</w:t>
      </w:r>
    </w:p>
    <w:p w14:paraId="34BE14CE">
      <w:pPr>
        <w:numPr>
          <w:ilvl w:val="0"/>
          <w:numId w:val="48"/>
        </w:numPr>
        <w:snapToGrid w:val="0"/>
        <w:spacing w:line="360" w:lineRule="auto"/>
        <w:ind w:firstLine="422" w:firstLineChars="200"/>
        <w:rPr>
          <w:rFonts w:ascii="宋体" w:hAnsi="宋体" w:eastAsia="宋体" w:cs="仿宋_GB2312"/>
          <w:b/>
          <w:szCs w:val="21"/>
        </w:rPr>
      </w:pPr>
      <w:r>
        <w:rPr>
          <w:rFonts w:hint="eastAsia" w:ascii="宋体" w:hAnsi="宋体" w:eastAsia="宋体" w:cs="仿宋_GB2312"/>
          <w:b/>
          <w:szCs w:val="21"/>
        </w:rPr>
        <w:t>法律、法规和招标文件规定的其他无效情形。</w:t>
      </w:r>
    </w:p>
    <w:p w14:paraId="22CF5B15">
      <w:pPr>
        <w:spacing w:line="360" w:lineRule="auto"/>
        <w:rPr>
          <w:rFonts w:ascii="宋体" w:hAnsi="宋体" w:eastAsia="宋体" w:cs="仿宋_GB2312"/>
          <w:szCs w:val="21"/>
        </w:rPr>
      </w:pPr>
      <w:r>
        <w:rPr>
          <w:rFonts w:hint="eastAsia" w:ascii="宋体" w:hAnsi="宋体" w:eastAsia="宋体" w:cs="仿宋_GB2312"/>
          <w:szCs w:val="21"/>
        </w:rPr>
        <w:t>2.3在技术评审时，如发现下列情形之一的，将被视为投标无效：</w:t>
      </w:r>
    </w:p>
    <w:p w14:paraId="068AC2D5">
      <w:pPr>
        <w:snapToGrid w:val="0"/>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（1）技术要求评审允许负偏离的条款数超过“投标人须知前附表”规定项数的；</w:t>
      </w:r>
    </w:p>
    <w:p w14:paraId="5286DD87">
      <w:pPr>
        <w:snapToGrid w:val="0"/>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（2）投标文件未提供“投标人须知前附表”第13.1条规定中“必须提供”的文件资料的；</w:t>
      </w:r>
    </w:p>
    <w:p w14:paraId="2790A3BB">
      <w:pPr>
        <w:snapToGrid w:val="0"/>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（3）虚假投标，或者出现其他情形而导致被评标委员会认定无效的；</w:t>
      </w:r>
    </w:p>
    <w:p w14:paraId="4517187A">
      <w:pPr>
        <w:snapToGrid w:val="0"/>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（4）</w:t>
      </w:r>
      <w:bookmarkStart w:id="180" w:name="_Hlk71706244"/>
      <w:r>
        <w:rPr>
          <w:rFonts w:hint="eastAsia" w:ascii="宋体" w:hAnsi="宋体" w:eastAsia="宋体" w:cs="仿宋_GB2312"/>
          <w:b/>
          <w:spacing w:val="-4"/>
          <w:szCs w:val="21"/>
        </w:rPr>
        <w:t>招标文件未载明允许提供备选（替代）投标方案或明确不允许提供备选（替代）投标方案时，投标人提供了备选（替代）投标方案的；</w:t>
      </w:r>
      <w:bookmarkEnd w:id="180"/>
    </w:p>
    <w:p w14:paraId="19E896AC">
      <w:pPr>
        <w:snapToGrid w:val="0"/>
        <w:spacing w:line="360" w:lineRule="auto"/>
        <w:ind w:firstLine="398" w:firstLineChars="196"/>
        <w:rPr>
          <w:rFonts w:ascii="宋体" w:hAnsi="宋体" w:eastAsia="宋体" w:cs="仿宋_GB2312"/>
          <w:spacing w:val="-4"/>
          <w:sz w:val="18"/>
          <w:szCs w:val="20"/>
        </w:rPr>
      </w:pPr>
      <w:r>
        <w:rPr>
          <w:rFonts w:hint="eastAsia" w:ascii="宋体" w:hAnsi="宋体" w:eastAsia="宋体" w:cs="仿宋_GB2312"/>
          <w:b/>
          <w:spacing w:val="-4"/>
          <w:szCs w:val="21"/>
        </w:rPr>
        <w:t>（5）未响应招标文件实质性要求的。</w:t>
      </w:r>
    </w:p>
    <w:p w14:paraId="7ABAA6BD">
      <w:pPr>
        <w:snapToGrid w:val="0"/>
        <w:spacing w:line="360" w:lineRule="auto"/>
        <w:ind w:firstLine="466"/>
        <w:rPr>
          <w:rFonts w:ascii="宋体" w:hAnsi="宋体" w:eastAsia="宋体" w:cs="仿宋_GB2312"/>
          <w:bCs/>
          <w:spacing w:val="-4"/>
          <w:szCs w:val="21"/>
        </w:rPr>
      </w:pPr>
      <w:r>
        <w:rPr>
          <w:rFonts w:hint="eastAsia" w:ascii="宋体" w:hAnsi="宋体" w:eastAsia="宋体" w:cs="仿宋_GB2312"/>
          <w:bCs/>
          <w:spacing w:val="-4"/>
          <w:szCs w:val="21"/>
        </w:rPr>
        <w:t>2.4其他投标无效的情形：</w:t>
      </w:r>
    </w:p>
    <w:p w14:paraId="4D1263E9">
      <w:pPr>
        <w:snapToGrid w:val="0"/>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（1）投标文件未按招标文件要求签署或CA电子签章的；</w:t>
      </w:r>
    </w:p>
    <w:p w14:paraId="021E361C">
      <w:pPr>
        <w:snapToGrid w:val="0"/>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（2）投标人提交两份或两份以上内容不同的投标文件；</w:t>
      </w:r>
    </w:p>
    <w:p w14:paraId="6C802977">
      <w:pPr>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（3）投标人在线制作投标文件时填写的报价金额与解密后“电子加密投标文件”中《开标一览表》填写的金额不一致并拒绝按招标文件要求接受调整的；</w:t>
      </w:r>
    </w:p>
    <w:p w14:paraId="407273C4">
      <w:pPr>
        <w:snapToGrid w:val="0"/>
        <w:spacing w:line="360" w:lineRule="auto"/>
        <w:ind w:firstLine="398" w:firstLineChars="196"/>
        <w:rPr>
          <w:rFonts w:ascii="宋体" w:hAnsi="宋体" w:eastAsia="宋体" w:cs="仿宋_GB2312"/>
          <w:b/>
          <w:spacing w:val="-4"/>
          <w:szCs w:val="21"/>
        </w:rPr>
      </w:pPr>
      <w:r>
        <w:rPr>
          <w:rFonts w:hint="eastAsia" w:ascii="宋体" w:hAnsi="宋体" w:eastAsia="宋体" w:cs="仿宋_GB2312"/>
          <w:b/>
          <w:spacing w:val="-4"/>
          <w:szCs w:val="21"/>
        </w:rPr>
        <w:t>（4）法律、法规和招标文件规定的其他无效情形（或出现重大偏差）。</w:t>
      </w:r>
    </w:p>
    <w:p w14:paraId="78038CB2">
      <w:pPr>
        <w:snapToGrid w:val="0"/>
        <w:spacing w:line="360" w:lineRule="auto"/>
        <w:ind w:firstLine="480"/>
        <w:rPr>
          <w:rFonts w:ascii="宋体" w:hAnsi="宋体" w:eastAsia="宋体" w:cs="仿宋_GB2312"/>
          <w:b/>
          <w:szCs w:val="20"/>
        </w:rPr>
      </w:pPr>
      <w:r>
        <w:rPr>
          <w:rFonts w:hint="eastAsia" w:ascii="宋体" w:hAnsi="宋体" w:eastAsia="宋体" w:cs="仿宋_GB2312"/>
          <w:b/>
          <w:szCs w:val="20"/>
        </w:rPr>
        <w:t>3.澄清补正</w:t>
      </w:r>
    </w:p>
    <w:p w14:paraId="1FFA6397">
      <w:pPr>
        <w:spacing w:line="360" w:lineRule="auto"/>
        <w:ind w:firstLine="420" w:firstLineChars="200"/>
        <w:rPr>
          <w:rFonts w:ascii="宋体" w:hAnsi="宋体" w:eastAsia="宋体" w:cs="仿宋_GB2312"/>
          <w:b/>
          <w:szCs w:val="21"/>
        </w:rPr>
      </w:pPr>
      <w:r>
        <w:rPr>
          <w:rFonts w:hint="eastAsia" w:ascii="宋体" w:hAnsi="宋体" w:eastAsia="宋体" w:cs="仿宋_GB2312"/>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674B6FE1">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61C1FBB1">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未按评标委员会的要求作出明确澄清、说明或者更正的投标人的投标文件将按照有利于采购人的原则由评标委员会进行判定。</w:t>
      </w:r>
    </w:p>
    <w:p w14:paraId="6977057A">
      <w:pPr>
        <w:snapToGrid w:val="0"/>
        <w:spacing w:line="360" w:lineRule="auto"/>
        <w:ind w:firstLine="480"/>
        <w:rPr>
          <w:rFonts w:ascii="宋体" w:hAnsi="宋体" w:eastAsia="宋体" w:cs="仿宋_GB2312"/>
          <w:b/>
          <w:szCs w:val="20"/>
        </w:rPr>
      </w:pPr>
      <w:r>
        <w:rPr>
          <w:rFonts w:hint="eastAsia" w:ascii="宋体" w:hAnsi="宋体" w:eastAsia="宋体" w:cs="仿宋_GB2312"/>
          <w:b/>
          <w:szCs w:val="20"/>
        </w:rPr>
        <w:t>4.投标文件修正</w:t>
      </w:r>
    </w:p>
    <w:p w14:paraId="5DF16E1D">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4.1投标文件报价出现前后不一致的，按照下列规定修正：</w:t>
      </w:r>
    </w:p>
    <w:p w14:paraId="24B78945">
      <w:pPr>
        <w:snapToGrid w:val="0"/>
        <w:spacing w:line="360" w:lineRule="auto"/>
        <w:ind w:firstLine="420" w:firstLineChars="200"/>
        <w:rPr>
          <w:rFonts w:ascii="宋体" w:hAnsi="宋体" w:eastAsia="宋体" w:cs="仿宋_GB2312"/>
          <w:szCs w:val="20"/>
        </w:rPr>
      </w:pPr>
      <w:r>
        <w:rPr>
          <w:rFonts w:hint="eastAsia" w:ascii="宋体" w:hAnsi="宋体" w:eastAsia="宋体" w:cs="仿宋_GB2312"/>
          <w:szCs w:val="20"/>
        </w:rPr>
        <w:t>（1）投标文件中开标一览表（报价表）内容与投标文件中相应内容不一致的，以开标一览表（报价表）为准；</w:t>
      </w:r>
    </w:p>
    <w:p w14:paraId="1711811F">
      <w:pPr>
        <w:snapToGrid w:val="0"/>
        <w:spacing w:line="360" w:lineRule="auto"/>
        <w:ind w:firstLine="420" w:firstLineChars="200"/>
        <w:rPr>
          <w:rFonts w:ascii="宋体" w:hAnsi="宋体" w:eastAsia="宋体" w:cs="仿宋_GB2312"/>
          <w:szCs w:val="20"/>
        </w:rPr>
      </w:pPr>
      <w:r>
        <w:rPr>
          <w:rFonts w:hint="eastAsia" w:ascii="宋体" w:hAnsi="宋体" w:eastAsia="宋体" w:cs="仿宋_GB2312"/>
          <w:szCs w:val="20"/>
        </w:rPr>
        <w:t>（2）大写金额和小写金额不一致的，以大写金额为准；</w:t>
      </w:r>
    </w:p>
    <w:p w14:paraId="0CDD21CB">
      <w:pPr>
        <w:snapToGrid w:val="0"/>
        <w:spacing w:line="360" w:lineRule="auto"/>
        <w:ind w:firstLine="420" w:firstLineChars="200"/>
        <w:rPr>
          <w:rFonts w:ascii="宋体" w:hAnsi="宋体" w:eastAsia="宋体" w:cs="仿宋_GB2312"/>
          <w:szCs w:val="20"/>
        </w:rPr>
      </w:pPr>
      <w:r>
        <w:rPr>
          <w:rFonts w:hint="eastAsia" w:ascii="宋体" w:hAnsi="宋体" w:eastAsia="宋体" w:cs="仿宋_GB2312"/>
          <w:szCs w:val="20"/>
        </w:rPr>
        <w:t>（3）单价金额小数点或者百分比有明显错位的，以开标一览表的总价为准，并修改单价；</w:t>
      </w:r>
    </w:p>
    <w:p w14:paraId="690E1A46">
      <w:pPr>
        <w:snapToGrid w:val="0"/>
        <w:spacing w:line="360" w:lineRule="auto"/>
        <w:ind w:firstLine="420" w:firstLineChars="200"/>
        <w:rPr>
          <w:rFonts w:ascii="宋体" w:hAnsi="宋体" w:eastAsia="宋体" w:cs="仿宋_GB2312"/>
          <w:szCs w:val="20"/>
        </w:rPr>
      </w:pPr>
      <w:r>
        <w:rPr>
          <w:rFonts w:hint="eastAsia" w:ascii="宋体" w:hAnsi="宋体" w:eastAsia="宋体" w:cs="仿宋_GB2312"/>
          <w:szCs w:val="20"/>
        </w:rPr>
        <w:t>（4）总价金额与按单价汇总金额不一致的，以单价金额计算结果为准。</w:t>
      </w:r>
    </w:p>
    <w:p w14:paraId="07A84522">
      <w:pPr>
        <w:snapToGrid w:val="0"/>
        <w:spacing w:line="360" w:lineRule="auto"/>
        <w:ind w:firstLine="420" w:firstLineChars="200"/>
        <w:rPr>
          <w:rFonts w:ascii="宋体" w:hAnsi="宋体" w:eastAsia="宋体" w:cs="仿宋_GB2312"/>
          <w:szCs w:val="20"/>
        </w:rPr>
      </w:pPr>
      <w:r>
        <w:rPr>
          <w:rFonts w:hint="eastAsia" w:ascii="宋体" w:hAnsi="宋体" w:eastAsia="宋体" w:cs="仿宋_GB2312"/>
          <w:szCs w:val="20"/>
        </w:rPr>
        <w:t>同时出现两种以上不一致的，按照以上（1）-（4）规定的顺序修正。修正后的报价经投标人确认后产生约束力，投标人不确认的，</w:t>
      </w:r>
      <w:r>
        <w:rPr>
          <w:rFonts w:hint="eastAsia" w:ascii="宋体" w:hAnsi="宋体" w:eastAsia="宋体" w:cs="仿宋_GB2312"/>
          <w:b/>
          <w:szCs w:val="20"/>
        </w:rPr>
        <w:t>其投标无效</w:t>
      </w:r>
      <w:r>
        <w:rPr>
          <w:rFonts w:hint="eastAsia" w:ascii="宋体" w:hAnsi="宋体" w:eastAsia="宋体" w:cs="仿宋_GB2312"/>
          <w:szCs w:val="20"/>
        </w:rPr>
        <w:t>。</w:t>
      </w:r>
    </w:p>
    <w:p w14:paraId="75C24CB7">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4.2经投标人确认修正后的报价若超过采购预算金额或者最高限价，</w:t>
      </w:r>
      <w:r>
        <w:rPr>
          <w:rFonts w:hint="eastAsia" w:ascii="宋体" w:hAnsi="宋体" w:eastAsia="宋体" w:cs="仿宋_GB2312"/>
          <w:b/>
          <w:szCs w:val="21"/>
        </w:rPr>
        <w:t>投标人的投标文件作无效投标处理</w:t>
      </w:r>
      <w:r>
        <w:rPr>
          <w:rFonts w:hint="eastAsia" w:ascii="宋体" w:hAnsi="宋体" w:eastAsia="宋体" w:cs="仿宋_GB2312"/>
          <w:szCs w:val="21"/>
        </w:rPr>
        <w:t>。</w:t>
      </w:r>
    </w:p>
    <w:p w14:paraId="76124429">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4.3经投标人确认修正后的报价作为签订合同的依据，并以此报价计算价格分。</w:t>
      </w:r>
    </w:p>
    <w:p w14:paraId="25D5620E">
      <w:pPr>
        <w:snapToGrid w:val="0"/>
        <w:spacing w:line="360" w:lineRule="auto"/>
        <w:ind w:firstLine="480"/>
        <w:rPr>
          <w:rFonts w:ascii="宋体" w:hAnsi="宋体" w:eastAsia="宋体" w:cs="仿宋_GB2312"/>
          <w:b/>
          <w:szCs w:val="20"/>
        </w:rPr>
      </w:pPr>
      <w:r>
        <w:rPr>
          <w:rFonts w:hint="eastAsia" w:ascii="宋体" w:hAnsi="宋体" w:eastAsia="宋体" w:cs="仿宋_GB2312"/>
          <w:b/>
          <w:szCs w:val="20"/>
        </w:rPr>
        <w:t>5.比较与评价</w:t>
      </w:r>
    </w:p>
    <w:p w14:paraId="1F6CB97A">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5.1采用综合评分法的</w:t>
      </w:r>
    </w:p>
    <w:p w14:paraId="1236950B">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（1）评标委员会按照招标文件中规定的评标方法及评标标准，对符合性审查合格的投标文件进行商务和技术评估，综合比较与评价。</w:t>
      </w:r>
    </w:p>
    <w:p w14:paraId="15FE359B">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（2）评标委员会独立对每个投标人的投标文件进行评价，并汇总每个投标人的得分。</w:t>
      </w:r>
    </w:p>
    <w:p w14:paraId="0E630002">
      <w:pPr>
        <w:snapToGrid w:val="0"/>
        <w:spacing w:line="360" w:lineRule="auto"/>
        <w:ind w:firstLine="420" w:firstLineChars="200"/>
        <w:rPr>
          <w:rFonts w:ascii="宋体" w:hAnsi="宋体" w:eastAsia="宋体" w:cs="仿宋_GB2312"/>
          <w:b/>
          <w:szCs w:val="21"/>
        </w:rPr>
      </w:pPr>
      <w:r>
        <w:rPr>
          <w:rFonts w:hint="eastAsia" w:ascii="宋体" w:hAnsi="宋体" w:eastAsia="宋体" w:cs="仿宋_GB2312"/>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仿宋_GB2312"/>
          <w:b/>
          <w:szCs w:val="21"/>
        </w:rPr>
        <w:t>投标人不能证明其报价合理性的，评标委员会应当将其作为无效投标处理。</w:t>
      </w:r>
    </w:p>
    <w:p w14:paraId="0AFAC5BB">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（3）评标委员会按照招标文件中规定的评标方法和标准计算各投标人的报价得分。在计算过程中，不得去掉最高报价或者最低报价。</w:t>
      </w:r>
    </w:p>
    <w:p w14:paraId="0CAEF368">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（4）各投标人的得分为所有评委的有效评分的算术平均数。</w:t>
      </w:r>
    </w:p>
    <w:p w14:paraId="70E8D386">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（5）评标委员会按照招标文件中的规定推荐中标候选人。</w:t>
      </w:r>
    </w:p>
    <w:p w14:paraId="3CCA5C7E">
      <w:pPr>
        <w:snapToGrid w:val="0"/>
        <w:spacing w:line="360" w:lineRule="auto"/>
        <w:ind w:firstLine="420" w:firstLineChars="200"/>
        <w:rPr>
          <w:rFonts w:ascii="宋体" w:hAnsi="宋体" w:eastAsia="宋体" w:cs="仿宋_GB2312"/>
          <w:szCs w:val="21"/>
        </w:rPr>
      </w:pPr>
      <w:r>
        <w:rPr>
          <w:rFonts w:hint="eastAsia" w:ascii="宋体" w:hAnsi="宋体" w:eastAsia="宋体" w:cs="仿宋_GB2312"/>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4BE17337">
      <w:pPr>
        <w:spacing w:after="120"/>
        <w:rPr>
          <w:rFonts w:ascii="宋体" w:hAnsi="宋体" w:eastAsia="宋体" w:cs="Times New Roman"/>
          <w:szCs w:val="24"/>
        </w:rPr>
      </w:pPr>
    </w:p>
    <w:p w14:paraId="3631261A">
      <w:pPr>
        <w:keepNext/>
        <w:keepLines/>
        <w:spacing w:line="360" w:lineRule="auto"/>
        <w:ind w:firstLine="643" w:firstLineChars="200"/>
        <w:jc w:val="center"/>
        <w:textAlignment w:val="center"/>
        <w:outlineLvl w:val="1"/>
        <w:rPr>
          <w:rFonts w:ascii="宋体" w:hAnsi="宋体" w:eastAsia="宋体" w:cs="仿宋_GB2312"/>
          <w:b/>
          <w:bCs/>
          <w:sz w:val="32"/>
          <w:szCs w:val="32"/>
        </w:rPr>
      </w:pPr>
      <w:bookmarkStart w:id="181" w:name="_Toc5924"/>
      <w:bookmarkStart w:id="182" w:name="_Toc17497"/>
      <w:r>
        <w:rPr>
          <w:rFonts w:ascii="宋体" w:hAnsi="宋体" w:eastAsia="宋体" w:cs="仿宋_GB2312"/>
          <w:b/>
          <w:bCs/>
          <w:sz w:val="32"/>
          <w:szCs w:val="32"/>
        </w:rPr>
        <w:br w:type="page"/>
      </w:r>
      <w:r>
        <w:rPr>
          <w:rFonts w:hint="eastAsia" w:ascii="宋体" w:hAnsi="宋体" w:eastAsia="宋体" w:cs="仿宋_GB2312"/>
          <w:b/>
          <w:bCs/>
          <w:sz w:val="32"/>
          <w:szCs w:val="32"/>
        </w:rPr>
        <w:t>三、评标标准</w:t>
      </w:r>
      <w:bookmarkEnd w:id="181"/>
      <w:bookmarkEnd w:id="182"/>
    </w:p>
    <w:p w14:paraId="01EF67BC">
      <w:pPr>
        <w:keepNext/>
        <w:keepLines/>
        <w:spacing w:line="360" w:lineRule="auto"/>
        <w:ind w:firstLine="643" w:firstLineChars="200"/>
        <w:jc w:val="center"/>
        <w:textAlignment w:val="center"/>
        <w:rPr>
          <w:rFonts w:ascii="宋体" w:hAnsi="宋体" w:eastAsia="宋体" w:cs="仿宋_GB2312"/>
          <w:b/>
          <w:bCs/>
          <w:sz w:val="32"/>
          <w:szCs w:val="32"/>
        </w:rPr>
      </w:pPr>
      <w:bookmarkStart w:id="183" w:name="_Toc26687"/>
      <w:bookmarkStart w:id="184" w:name="_Toc23251"/>
      <w:bookmarkStart w:id="185" w:name="_Toc26507"/>
      <w:bookmarkStart w:id="186" w:name="_Toc1515"/>
      <w:r>
        <w:rPr>
          <w:rFonts w:hint="eastAsia" w:ascii="宋体" w:hAnsi="宋体" w:eastAsia="宋体" w:cs="仿宋_GB2312"/>
          <w:b/>
          <w:bCs/>
          <w:sz w:val="32"/>
          <w:szCs w:val="32"/>
        </w:rPr>
        <w:t>综合评分法</w:t>
      </w:r>
      <w:bookmarkEnd w:id="183"/>
      <w:bookmarkEnd w:id="184"/>
      <w:bookmarkEnd w:id="185"/>
      <w:bookmarkEnd w:id="186"/>
    </w:p>
    <w:p w14:paraId="5D8D41CC">
      <w:pPr>
        <w:spacing w:line="360" w:lineRule="auto"/>
        <w:ind w:firstLine="482"/>
        <w:rPr>
          <w:rFonts w:ascii="宋体" w:hAnsi="宋体" w:eastAsia="宋体" w:cs="仿宋_GB2312"/>
          <w:szCs w:val="20"/>
        </w:rPr>
      </w:pPr>
      <w:bookmarkStart w:id="187" w:name="_Toc2914"/>
      <w:r>
        <w:rPr>
          <w:rFonts w:hint="eastAsia" w:ascii="宋体" w:hAnsi="宋体" w:eastAsia="宋体" w:cs="仿宋_GB2312"/>
          <w:szCs w:val="20"/>
        </w:rPr>
        <w:t>注：1.计分方法按四舍五入取至百分位；</w:t>
      </w:r>
    </w:p>
    <w:p w14:paraId="089A2914">
      <w:pPr>
        <w:spacing w:line="360" w:lineRule="auto"/>
        <w:ind w:firstLine="482"/>
        <w:rPr>
          <w:rFonts w:ascii="宋体" w:hAnsi="宋体" w:eastAsia="宋体" w:cs="仿宋_GB2312"/>
          <w:szCs w:val="20"/>
        </w:rPr>
      </w:pPr>
      <w:r>
        <w:rPr>
          <w:rFonts w:hint="eastAsia" w:ascii="宋体" w:hAnsi="宋体" w:eastAsia="宋体" w:cs="仿宋_GB2312"/>
          <w:szCs w:val="20"/>
        </w:rPr>
        <w:t>2.因落实政府采购政策进行价格调整的，以调整后的价格计算评标基准价和投标报价。</w:t>
      </w:r>
    </w:p>
    <w:p w14:paraId="53F1AACB">
      <w:pPr>
        <w:spacing w:line="360" w:lineRule="auto"/>
        <w:ind w:firstLine="482"/>
        <w:rPr>
          <w:rFonts w:ascii="宋体" w:hAnsi="宋体" w:eastAsia="宋体" w:cs="宋体"/>
          <w:bCs/>
          <w:kern w:val="0"/>
          <w:sz w:val="24"/>
          <w:szCs w:val="24"/>
        </w:rPr>
      </w:pPr>
    </w:p>
    <w:tbl>
      <w:tblPr>
        <w:tblStyle w:val="53"/>
        <w:tblW w:w="9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47"/>
        <w:gridCol w:w="1126"/>
        <w:gridCol w:w="6667"/>
      </w:tblGrid>
      <w:tr w14:paraId="7E9B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09" w:type="dxa"/>
            <w:tcBorders>
              <w:top w:val="single" w:color="auto" w:sz="4" w:space="0"/>
              <w:left w:val="single" w:color="auto" w:sz="4" w:space="0"/>
              <w:right w:val="single" w:color="auto" w:sz="4" w:space="0"/>
            </w:tcBorders>
            <w:vAlign w:val="center"/>
          </w:tcPr>
          <w:p w14:paraId="42167795">
            <w:pPr>
              <w:widowControl/>
              <w:spacing w:line="360" w:lineRule="auto"/>
              <w:jc w:val="center"/>
              <w:rPr>
                <w:rFonts w:ascii="宋体" w:hAnsi="宋体" w:eastAsia="宋体" w:cs="宋体"/>
                <w:bCs/>
                <w:sz w:val="24"/>
                <w:szCs w:val="24"/>
              </w:rPr>
            </w:pPr>
            <w:r>
              <w:rPr>
                <w:rFonts w:hint="eastAsia" w:ascii="宋体" w:hAnsi="宋体" w:eastAsia="宋体" w:cs="宋体"/>
                <w:bCs/>
                <w:sz w:val="24"/>
                <w:szCs w:val="24"/>
              </w:rPr>
              <w:t>序号</w:t>
            </w:r>
          </w:p>
        </w:tc>
        <w:tc>
          <w:tcPr>
            <w:tcW w:w="1147" w:type="dxa"/>
            <w:tcBorders>
              <w:top w:val="single" w:color="auto" w:sz="4" w:space="0"/>
              <w:left w:val="single" w:color="auto" w:sz="4" w:space="0"/>
              <w:right w:val="single" w:color="auto" w:sz="4" w:space="0"/>
            </w:tcBorders>
            <w:vAlign w:val="center"/>
          </w:tcPr>
          <w:p w14:paraId="0571B97C">
            <w:pPr>
              <w:widowControl/>
              <w:spacing w:line="360" w:lineRule="auto"/>
              <w:jc w:val="center"/>
              <w:rPr>
                <w:rFonts w:ascii="宋体" w:hAnsi="宋体" w:eastAsia="宋体" w:cs="宋体"/>
                <w:bCs/>
                <w:sz w:val="24"/>
                <w:szCs w:val="24"/>
              </w:rPr>
            </w:pPr>
            <w:r>
              <w:rPr>
                <w:rFonts w:hint="eastAsia" w:ascii="宋体" w:hAnsi="宋体" w:eastAsia="宋体" w:cs="宋体"/>
                <w:bCs/>
                <w:sz w:val="24"/>
                <w:szCs w:val="24"/>
              </w:rPr>
              <w:t>评审</w:t>
            </w:r>
          </w:p>
          <w:p w14:paraId="5E722526">
            <w:pPr>
              <w:widowControl/>
              <w:spacing w:line="360" w:lineRule="auto"/>
              <w:jc w:val="center"/>
              <w:rPr>
                <w:rFonts w:ascii="宋体" w:hAnsi="宋体" w:eastAsia="宋体" w:cs="宋体"/>
                <w:bCs/>
                <w:sz w:val="24"/>
                <w:szCs w:val="24"/>
              </w:rPr>
            </w:pPr>
            <w:r>
              <w:rPr>
                <w:rFonts w:hint="eastAsia" w:ascii="宋体" w:hAnsi="宋体" w:eastAsia="宋体" w:cs="宋体"/>
                <w:bCs/>
                <w:sz w:val="24"/>
                <w:szCs w:val="24"/>
              </w:rPr>
              <w:t>因素</w:t>
            </w:r>
          </w:p>
        </w:tc>
        <w:tc>
          <w:tcPr>
            <w:tcW w:w="1126" w:type="dxa"/>
            <w:tcBorders>
              <w:top w:val="single" w:color="auto" w:sz="4" w:space="0"/>
              <w:left w:val="single" w:color="auto" w:sz="4" w:space="0"/>
              <w:right w:val="single" w:color="auto" w:sz="4" w:space="0"/>
            </w:tcBorders>
            <w:vAlign w:val="center"/>
          </w:tcPr>
          <w:p w14:paraId="7B8528E0">
            <w:pPr>
              <w:widowControl/>
              <w:spacing w:line="360" w:lineRule="auto"/>
              <w:jc w:val="center"/>
              <w:rPr>
                <w:rFonts w:ascii="宋体" w:hAnsi="宋体" w:eastAsia="宋体" w:cs="宋体"/>
                <w:bCs/>
                <w:sz w:val="24"/>
                <w:szCs w:val="24"/>
              </w:rPr>
            </w:pPr>
            <w:r>
              <w:rPr>
                <w:rFonts w:hint="eastAsia" w:ascii="宋体" w:hAnsi="宋体" w:eastAsia="宋体" w:cs="宋体"/>
                <w:bCs/>
                <w:sz w:val="24"/>
                <w:szCs w:val="24"/>
              </w:rPr>
              <w:t>分值</w:t>
            </w:r>
          </w:p>
        </w:tc>
        <w:tc>
          <w:tcPr>
            <w:tcW w:w="6667" w:type="dxa"/>
            <w:tcBorders>
              <w:top w:val="single" w:color="auto" w:sz="4" w:space="0"/>
              <w:left w:val="single" w:color="auto" w:sz="4" w:space="0"/>
              <w:bottom w:val="single" w:color="auto" w:sz="4" w:space="0"/>
              <w:right w:val="single" w:color="auto" w:sz="4" w:space="0"/>
            </w:tcBorders>
            <w:vAlign w:val="center"/>
          </w:tcPr>
          <w:p w14:paraId="2CCF1956">
            <w:pPr>
              <w:spacing w:line="360" w:lineRule="auto"/>
              <w:ind w:firstLine="482"/>
              <w:jc w:val="center"/>
              <w:rPr>
                <w:rFonts w:ascii="宋体" w:hAnsi="宋体" w:eastAsia="宋体" w:cs="宋体"/>
                <w:b/>
                <w:bCs/>
                <w:sz w:val="24"/>
                <w:szCs w:val="24"/>
              </w:rPr>
            </w:pPr>
            <w:r>
              <w:rPr>
                <w:rFonts w:hint="eastAsia" w:ascii="宋体" w:hAnsi="宋体" w:eastAsia="宋体" w:cs="宋体"/>
                <w:bCs/>
                <w:kern w:val="0"/>
                <w:sz w:val="24"/>
                <w:szCs w:val="21"/>
              </w:rPr>
              <w:t>评分标准</w:t>
            </w:r>
          </w:p>
        </w:tc>
      </w:tr>
      <w:tr w14:paraId="4697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8" w:hRule="atLeast"/>
          <w:jc w:val="center"/>
        </w:trPr>
        <w:tc>
          <w:tcPr>
            <w:tcW w:w="709" w:type="dxa"/>
            <w:tcBorders>
              <w:top w:val="single" w:color="auto" w:sz="4" w:space="0"/>
              <w:left w:val="single" w:color="auto" w:sz="4" w:space="0"/>
              <w:right w:val="single" w:color="auto" w:sz="4" w:space="0"/>
            </w:tcBorders>
            <w:vAlign w:val="center"/>
          </w:tcPr>
          <w:p w14:paraId="28739AF3">
            <w:pPr>
              <w:widowControl/>
              <w:spacing w:line="360" w:lineRule="auto"/>
              <w:jc w:val="center"/>
              <w:rPr>
                <w:rFonts w:ascii="宋体" w:hAnsi="宋体" w:eastAsia="宋体" w:cs="宋体"/>
                <w:bCs/>
                <w:sz w:val="24"/>
                <w:szCs w:val="24"/>
              </w:rPr>
            </w:pPr>
            <w:r>
              <w:rPr>
                <w:rFonts w:hint="eastAsia" w:ascii="宋体" w:hAnsi="宋体" w:eastAsia="宋体" w:cs="宋体"/>
                <w:bCs/>
                <w:sz w:val="24"/>
                <w:szCs w:val="24"/>
              </w:rPr>
              <w:t>1</w:t>
            </w:r>
          </w:p>
        </w:tc>
        <w:tc>
          <w:tcPr>
            <w:tcW w:w="1147" w:type="dxa"/>
            <w:tcBorders>
              <w:top w:val="single" w:color="auto" w:sz="4" w:space="0"/>
              <w:left w:val="single" w:color="auto" w:sz="4" w:space="0"/>
              <w:right w:val="single" w:color="auto" w:sz="4" w:space="0"/>
            </w:tcBorders>
            <w:vAlign w:val="center"/>
          </w:tcPr>
          <w:p w14:paraId="635F5C47">
            <w:pPr>
              <w:widowControl/>
              <w:spacing w:line="360" w:lineRule="auto"/>
              <w:jc w:val="center"/>
              <w:rPr>
                <w:rFonts w:ascii="宋体" w:hAnsi="宋体" w:eastAsia="宋体" w:cs="宋体"/>
                <w:bCs/>
                <w:sz w:val="24"/>
                <w:szCs w:val="24"/>
              </w:rPr>
            </w:pPr>
            <w:r>
              <w:rPr>
                <w:rFonts w:hint="eastAsia" w:ascii="宋体" w:hAnsi="宋体" w:eastAsia="宋体" w:cs="宋体"/>
                <w:bCs/>
                <w:sz w:val="24"/>
                <w:szCs w:val="24"/>
              </w:rPr>
              <w:t>价格分（满分80分）</w:t>
            </w:r>
          </w:p>
          <w:p w14:paraId="1DAFDBDE">
            <w:pPr>
              <w:ind w:firstLine="480"/>
              <w:jc w:val="center"/>
              <w:rPr>
                <w:rFonts w:ascii="Calibri Light" w:hAnsi="Calibri Light" w:eastAsia="Arial Unicode MS" w:cs="Times New Roman"/>
                <w:b/>
                <w:szCs w:val="24"/>
              </w:rPr>
            </w:pPr>
          </w:p>
        </w:tc>
        <w:tc>
          <w:tcPr>
            <w:tcW w:w="1126" w:type="dxa"/>
            <w:tcBorders>
              <w:top w:val="single" w:color="auto" w:sz="4" w:space="0"/>
              <w:left w:val="single" w:color="auto" w:sz="4" w:space="0"/>
              <w:right w:val="single" w:color="auto" w:sz="4" w:space="0"/>
            </w:tcBorders>
            <w:vAlign w:val="center"/>
          </w:tcPr>
          <w:p w14:paraId="1250CE14">
            <w:pPr>
              <w:widowControl/>
              <w:spacing w:line="360" w:lineRule="auto"/>
              <w:jc w:val="center"/>
              <w:rPr>
                <w:rFonts w:ascii="宋体" w:hAnsi="宋体" w:eastAsia="宋体" w:cs="宋体"/>
                <w:bCs/>
                <w:sz w:val="24"/>
                <w:szCs w:val="24"/>
              </w:rPr>
            </w:pPr>
            <w:r>
              <w:rPr>
                <w:rFonts w:hint="eastAsia" w:ascii="宋体" w:hAnsi="宋体" w:eastAsia="宋体" w:cs="宋体"/>
                <w:bCs/>
                <w:sz w:val="24"/>
                <w:szCs w:val="24"/>
              </w:rPr>
              <w:t>投标报价（满分80分）</w:t>
            </w:r>
          </w:p>
        </w:tc>
        <w:tc>
          <w:tcPr>
            <w:tcW w:w="6667" w:type="dxa"/>
            <w:tcBorders>
              <w:top w:val="single" w:color="auto" w:sz="4" w:space="0"/>
              <w:left w:val="single" w:color="auto" w:sz="4" w:space="0"/>
              <w:bottom w:val="single" w:color="auto" w:sz="4" w:space="0"/>
              <w:right w:val="single" w:color="auto" w:sz="4" w:space="0"/>
            </w:tcBorders>
            <w:vAlign w:val="center"/>
          </w:tcPr>
          <w:p w14:paraId="5E6DC2D6">
            <w:pPr>
              <w:widowControl/>
              <w:snapToGrid/>
              <w:spacing w:line="360" w:lineRule="auto"/>
              <w:ind w:firstLine="482" w:firstLineChars="200"/>
              <w:jc w:val="left"/>
              <w:rPr>
                <w:rFonts w:ascii="宋体" w:hAnsi="宋体" w:eastAsia="宋体" w:cs="宋体"/>
                <w:b/>
                <w:bCs/>
                <w:sz w:val="24"/>
                <w:szCs w:val="24"/>
              </w:rPr>
            </w:pPr>
            <w:bookmarkStart w:id="188" w:name="_Toc7327"/>
            <w:r>
              <w:rPr>
                <w:rFonts w:hint="eastAsia" w:ascii="宋体" w:hAnsi="宋体" w:eastAsia="宋体" w:cs="宋体"/>
                <w:b/>
                <w:bCs/>
                <w:sz w:val="24"/>
                <w:szCs w:val="24"/>
              </w:rPr>
              <w:t>1分标、3分标、4分标：</w:t>
            </w:r>
          </w:p>
          <w:p w14:paraId="32F5E03D">
            <w:pPr>
              <w:widowControl/>
              <w:snapToGrid/>
              <w:spacing w:line="360" w:lineRule="auto"/>
              <w:ind w:firstLine="480" w:firstLineChars="200"/>
              <w:jc w:val="left"/>
              <w:rPr>
                <w:rFonts w:ascii="宋体" w:hAnsi="宋体" w:eastAsia="宋体" w:cs="宋体"/>
                <w:bCs w:val="0"/>
                <w:sz w:val="24"/>
                <w:szCs w:val="24"/>
              </w:rPr>
            </w:pPr>
            <w:r>
              <w:rPr>
                <w:rFonts w:hint="eastAsia" w:ascii="宋体" w:hAnsi="宋体" w:eastAsia="宋体" w:cs="宋体"/>
                <w:bCs w:val="0"/>
                <w:sz w:val="24"/>
                <w:szCs w:val="24"/>
                <w:lang w:bidi="ar"/>
              </w:rPr>
              <w:t>（</w:t>
            </w:r>
            <w:r>
              <w:rPr>
                <w:rFonts w:ascii="宋体" w:hAnsi="宋体" w:eastAsia="宋体" w:cs="宋体"/>
                <w:bCs w:val="0"/>
                <w:sz w:val="24"/>
                <w:szCs w:val="24"/>
                <w:lang w:bidi="ar"/>
              </w:rPr>
              <w:t>1）</w:t>
            </w:r>
            <w:r>
              <w:rPr>
                <w:rFonts w:ascii="宋体" w:hAnsi="宋体" w:eastAsia="宋体" w:cs="宋体"/>
                <w:b/>
                <w:bCs/>
                <w:sz w:val="24"/>
                <w:szCs w:val="24"/>
              </w:rPr>
              <w:t>1</w:t>
            </w:r>
            <w:r>
              <w:rPr>
                <w:rFonts w:hint="eastAsia" w:ascii="宋体" w:hAnsi="宋体" w:eastAsia="宋体" w:cs="宋体"/>
                <w:b/>
                <w:bCs/>
                <w:sz w:val="24"/>
                <w:szCs w:val="24"/>
              </w:rPr>
              <w:t>分标、</w:t>
            </w:r>
            <w:r>
              <w:rPr>
                <w:rFonts w:ascii="宋体" w:hAnsi="宋体" w:eastAsia="宋体" w:cs="宋体"/>
                <w:b/>
                <w:bCs/>
                <w:sz w:val="24"/>
                <w:szCs w:val="24"/>
              </w:rPr>
              <w:t>3</w:t>
            </w:r>
            <w:r>
              <w:rPr>
                <w:rFonts w:hint="eastAsia" w:ascii="宋体" w:hAnsi="宋体" w:eastAsia="宋体" w:cs="宋体"/>
                <w:b/>
                <w:bCs/>
                <w:sz w:val="24"/>
                <w:szCs w:val="24"/>
              </w:rPr>
              <w:t>分标、</w:t>
            </w:r>
            <w:r>
              <w:rPr>
                <w:rFonts w:ascii="宋体" w:hAnsi="宋体" w:eastAsia="宋体" w:cs="宋体"/>
                <w:b/>
                <w:bCs/>
                <w:sz w:val="24"/>
                <w:szCs w:val="24"/>
              </w:rPr>
              <w:t>4</w:t>
            </w:r>
            <w:r>
              <w:rPr>
                <w:rFonts w:hint="eastAsia" w:ascii="宋体" w:hAnsi="宋体" w:eastAsia="宋体" w:cs="宋体"/>
                <w:b/>
                <w:bCs/>
                <w:sz w:val="24"/>
                <w:szCs w:val="24"/>
              </w:rPr>
              <w:t>分标</w:t>
            </w:r>
            <w:r>
              <w:rPr>
                <w:rFonts w:hint="eastAsia" w:ascii="宋体" w:hAnsi="宋体" w:eastAsia="宋体" w:cs="宋体"/>
                <w:bCs w:val="0"/>
                <w:sz w:val="24"/>
                <w:szCs w:val="24"/>
                <w:lang w:bidi="ar"/>
              </w:rPr>
              <w:t>为专门面向中小企业预留项目，价格评审时均不进行价格折扣。</w:t>
            </w:r>
          </w:p>
          <w:p w14:paraId="2FF98F87">
            <w:pPr>
              <w:widowControl/>
              <w:snapToGrid/>
              <w:spacing w:line="360" w:lineRule="auto"/>
              <w:ind w:firstLine="480" w:firstLineChars="200"/>
              <w:jc w:val="left"/>
              <w:rPr>
                <w:rFonts w:ascii="宋体" w:hAnsi="宋体" w:eastAsia="宋体" w:cs="宋体"/>
                <w:bCs w:val="0"/>
                <w:sz w:val="24"/>
                <w:szCs w:val="24"/>
              </w:rPr>
            </w:pPr>
            <w:r>
              <w:rPr>
                <w:rFonts w:hint="eastAsia" w:ascii="宋体" w:hAnsi="宋体" w:eastAsia="宋体" w:cs="宋体"/>
                <w:bCs w:val="0"/>
                <w:sz w:val="24"/>
                <w:szCs w:val="24"/>
                <w:lang w:bidi="ar"/>
              </w:rPr>
              <w:t>（</w:t>
            </w:r>
            <w:r>
              <w:rPr>
                <w:rFonts w:ascii="宋体" w:hAnsi="宋体" w:eastAsia="宋体" w:cs="宋体"/>
                <w:bCs w:val="0"/>
                <w:sz w:val="24"/>
                <w:szCs w:val="24"/>
                <w:lang w:bidi="ar"/>
              </w:rPr>
              <w:t>2）满足招标文件要求且评标报价最低的评标报价为评标基准价，其价格分为满分。</w:t>
            </w:r>
          </w:p>
          <w:p w14:paraId="5B96550D">
            <w:pPr>
              <w:widowControl/>
              <w:spacing w:line="360" w:lineRule="auto"/>
              <w:ind w:firstLine="480" w:firstLineChars="200"/>
              <w:jc w:val="left"/>
              <w:rPr>
                <w:rFonts w:ascii="宋体" w:hAnsi="宋体" w:eastAsia="宋体" w:cs="宋体"/>
                <w:bCs/>
                <w:szCs w:val="21"/>
              </w:rPr>
            </w:pPr>
            <w:r>
              <w:rPr>
                <w:rFonts w:hint="eastAsia" w:ascii="宋体" w:hAnsi="宋体" w:eastAsia="宋体" w:cs="宋体"/>
                <w:bCs w:val="0"/>
                <w:sz w:val="24"/>
                <w:szCs w:val="24"/>
                <w:lang w:bidi="ar"/>
              </w:rPr>
              <w:t>（</w:t>
            </w:r>
            <w:r>
              <w:rPr>
                <w:rFonts w:ascii="宋体" w:hAnsi="宋体" w:eastAsia="宋体" w:cs="宋体"/>
                <w:bCs w:val="0"/>
                <w:sz w:val="24"/>
                <w:szCs w:val="24"/>
                <w:lang w:bidi="ar"/>
              </w:rPr>
              <w:t xml:space="preserve">3）价格分计算公式： </w:t>
            </w:r>
            <w:r>
              <w:rPr>
                <w:rFonts w:hint="eastAsia" w:ascii="宋体" w:hAnsi="宋体" w:eastAsia="宋体" w:cs="宋体"/>
                <w:bCs/>
                <w:szCs w:val="21"/>
                <w:lang w:bidi="ar"/>
              </w:rPr>
              <w:t xml:space="preserve">       </w:t>
            </w:r>
          </w:p>
          <w:p w14:paraId="4D59B6A2">
            <w:pPr>
              <w:spacing w:line="360" w:lineRule="auto"/>
              <w:ind w:firstLine="480" w:firstLineChars="200"/>
              <w:rPr>
                <w:rFonts w:ascii="Times New Roman" w:hAnsi="Times New Roman" w:eastAsia="宋体" w:cs="宋体"/>
                <w:bCs/>
                <w:szCs w:val="24"/>
                <w:lang w:bidi="ar"/>
              </w:rPr>
            </w:pPr>
            <w:r>
              <w:rPr>
                <w:rFonts w:hint="eastAsia" w:ascii="宋体" w:hAnsi="宋体" w:eastAsia="宋体" w:cs="宋体"/>
                <w:sz w:val="24"/>
                <w:szCs w:val="24"/>
              </w:rPr>
              <w:t>某投标人价格分=（基准价/某投标人评标报价金额）×80分。</w:t>
            </w:r>
          </w:p>
          <w:p w14:paraId="29C08E59">
            <w:pPr>
              <w:spacing w:line="360" w:lineRule="auto"/>
              <w:ind w:firstLine="482" w:firstLineChars="200"/>
              <w:rPr>
                <w:rFonts w:ascii="宋体" w:hAnsi="宋体" w:eastAsia="宋体" w:cs="宋体"/>
                <w:b/>
                <w:sz w:val="24"/>
                <w:szCs w:val="24"/>
              </w:rPr>
            </w:pPr>
            <w:r>
              <w:rPr>
                <w:rFonts w:ascii="宋体" w:hAnsi="宋体" w:eastAsia="宋体" w:cs="宋体"/>
                <w:b/>
                <w:sz w:val="24"/>
                <w:szCs w:val="24"/>
              </w:rPr>
              <w:t>2分标：</w:t>
            </w:r>
          </w:p>
          <w:p w14:paraId="274952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（1）评标报价为投标人的投标报价进行政策性扣除后的价格，评标报价只是作为评标时使用。最终中标人的中标金额等于投标报价。</w:t>
            </w:r>
            <w:bookmarkEnd w:id="188"/>
          </w:p>
          <w:p w14:paraId="352A46A1">
            <w:pPr>
              <w:spacing w:line="360" w:lineRule="auto"/>
              <w:ind w:firstLine="480" w:firstLineChars="200"/>
              <w:rPr>
                <w:rFonts w:ascii="宋体" w:hAnsi="宋体" w:eastAsia="宋体" w:cs="宋体"/>
                <w:sz w:val="24"/>
                <w:szCs w:val="24"/>
              </w:rPr>
            </w:pPr>
            <w:bookmarkStart w:id="189" w:name="_Toc14148"/>
            <w:r>
              <w:rPr>
                <w:rFonts w:hint="eastAsia" w:ascii="宋体" w:hAnsi="宋体" w:eastAsia="宋体" w:cs="宋体"/>
                <w:sz w:val="24"/>
                <w:szCs w:val="24"/>
              </w:rPr>
              <w:t>（2）按照《政府采购促进中小企业发展管理办法》（财库〔2020〕46号）及《广西壮族自治区财政厅关于持续优化政府采购营商环境推动高质量发展的通知》（桂财采〔2024〕55号）的规定，供应商在其投标文件中提供《中小企业声明函》，且其所投标产品全部为小型和微型企业产品的，对供应商的投标报价给予10%的扣除。</w:t>
            </w:r>
            <w:bookmarkEnd w:id="189"/>
          </w:p>
          <w:p w14:paraId="4E344B0E">
            <w:pPr>
              <w:spacing w:line="360" w:lineRule="auto"/>
              <w:ind w:firstLine="480" w:firstLineChars="200"/>
              <w:rPr>
                <w:rFonts w:ascii="宋体" w:hAnsi="宋体" w:eastAsia="宋体" w:cs="宋体"/>
                <w:sz w:val="24"/>
                <w:szCs w:val="24"/>
              </w:rPr>
            </w:pPr>
            <w:bookmarkStart w:id="190" w:name="_Toc20202"/>
            <w:r>
              <w:rPr>
                <w:rFonts w:hint="eastAsia" w:ascii="宋体" w:hAnsi="宋体" w:eastAsia="宋体" w:cs="宋体"/>
                <w:sz w:val="24"/>
                <w:szCs w:val="24"/>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bookmarkEnd w:id="190"/>
          </w:p>
          <w:p w14:paraId="6D6E8DF7">
            <w:pPr>
              <w:spacing w:line="360" w:lineRule="auto"/>
              <w:ind w:firstLine="480" w:firstLineChars="200"/>
              <w:rPr>
                <w:rFonts w:ascii="宋体" w:hAnsi="宋体" w:eastAsia="宋体" w:cs="宋体"/>
                <w:sz w:val="24"/>
                <w:szCs w:val="24"/>
              </w:rPr>
            </w:pPr>
            <w:bookmarkStart w:id="191" w:name="_Toc1834"/>
            <w:r>
              <w:rPr>
                <w:rFonts w:hint="eastAsia" w:ascii="宋体" w:hAnsi="宋体" w:eastAsia="宋体" w:cs="宋体"/>
                <w:sz w:val="24"/>
                <w:szCs w:val="24"/>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bookmarkEnd w:id="191"/>
          </w:p>
          <w:p w14:paraId="3587CA19">
            <w:pPr>
              <w:spacing w:line="360" w:lineRule="auto"/>
              <w:ind w:firstLine="480" w:firstLineChars="200"/>
              <w:rPr>
                <w:rFonts w:ascii="宋体" w:hAnsi="宋体" w:eastAsia="宋体" w:cs="宋体"/>
                <w:sz w:val="24"/>
                <w:szCs w:val="24"/>
              </w:rPr>
            </w:pPr>
            <w:bookmarkStart w:id="192" w:name="_Toc32515"/>
            <w:r>
              <w:rPr>
                <w:rFonts w:hint="eastAsia" w:ascii="宋体" w:hAnsi="宋体" w:eastAsia="宋体" w:cs="宋体"/>
                <w:sz w:val="24"/>
                <w:szCs w:val="24"/>
              </w:rPr>
              <w:t>（5）政策性扣除计算方法。</w:t>
            </w:r>
            <w:bookmarkEnd w:id="192"/>
          </w:p>
          <w:p w14:paraId="464D8062">
            <w:pPr>
              <w:spacing w:line="360" w:lineRule="auto"/>
              <w:ind w:firstLine="480" w:firstLineChars="200"/>
              <w:rPr>
                <w:rFonts w:ascii="宋体" w:hAnsi="宋体" w:eastAsia="宋体" w:cs="宋体"/>
                <w:sz w:val="24"/>
                <w:szCs w:val="24"/>
              </w:rPr>
            </w:pPr>
            <w:bookmarkStart w:id="193" w:name="_Toc6938"/>
            <w:r>
              <w:rPr>
                <w:rFonts w:hint="eastAsia" w:ascii="宋体" w:hAnsi="宋体" w:eastAsia="宋体" w:cs="宋体"/>
                <w:sz w:val="24"/>
                <w:szCs w:val="24"/>
              </w:rPr>
              <w:t>在货物采购项目中，投标人投标的全部货物由小型和微型企业制造的，该投标人的投标报价给予10%的扣除，扣除后的价格为评标报价，即评标报价=投标报价×（1-10%）。接受大中型企业与小微企业</w:t>
            </w:r>
            <w:bookmarkEnd w:id="193"/>
          </w:p>
          <w:p w14:paraId="796FD5B1">
            <w:pPr>
              <w:spacing w:line="360" w:lineRule="auto"/>
              <w:ind w:firstLine="480" w:firstLineChars="200"/>
              <w:rPr>
                <w:rFonts w:ascii="宋体" w:hAnsi="宋体" w:eastAsia="宋体" w:cs="宋体"/>
                <w:sz w:val="24"/>
                <w:szCs w:val="24"/>
              </w:rPr>
            </w:pPr>
            <w:bookmarkStart w:id="194" w:name="_Toc19363"/>
            <w:r>
              <w:rPr>
                <w:rFonts w:hint="eastAsia" w:ascii="宋体" w:hAnsi="宋体" w:eastAsia="宋体" w:cs="宋体"/>
                <w:sz w:val="24"/>
                <w:szCs w:val="24"/>
              </w:rPr>
              <w:t>组成联合体或者允许大中型企业向一家或者多家小微企业分包的采购项目，联合协议或者分包意向协议约定小微企业的合同份额占到合同总金额 30%以上的，采购人、采购代理机构应当对联合体或者大中型企业的报价给予 4%的扣除，用扣除后的价格参加评审，扣除后的价格为评标价，即评标报价=投标报价×（1-4%）。除上述情况外，评标报价=投标报价。</w:t>
            </w:r>
            <w:bookmarkEnd w:id="194"/>
          </w:p>
          <w:p w14:paraId="24B47A6D">
            <w:pPr>
              <w:spacing w:line="360" w:lineRule="auto"/>
              <w:ind w:firstLine="480" w:firstLineChars="200"/>
              <w:rPr>
                <w:rFonts w:ascii="宋体" w:hAnsi="宋体" w:eastAsia="宋体" w:cs="宋体"/>
                <w:sz w:val="24"/>
                <w:szCs w:val="24"/>
              </w:rPr>
            </w:pPr>
            <w:bookmarkStart w:id="195" w:name="_Toc15498"/>
            <w:r>
              <w:rPr>
                <w:rFonts w:hint="eastAsia" w:ascii="宋体" w:hAnsi="宋体" w:eastAsia="宋体" w:cs="宋体"/>
                <w:sz w:val="24"/>
                <w:szCs w:val="24"/>
              </w:rPr>
              <w:t>（6）满足招标文件要求且评标报价最低的评标报价为评标基准价，其价格分为满分。</w:t>
            </w:r>
            <w:bookmarkEnd w:id="195"/>
          </w:p>
          <w:p w14:paraId="4D15F441">
            <w:pPr>
              <w:spacing w:line="360" w:lineRule="auto"/>
              <w:ind w:firstLine="480" w:firstLineChars="200"/>
              <w:rPr>
                <w:rFonts w:ascii="宋体" w:hAnsi="宋体" w:eastAsia="宋体" w:cs="宋体"/>
                <w:sz w:val="24"/>
                <w:szCs w:val="24"/>
              </w:rPr>
            </w:pPr>
            <w:bookmarkStart w:id="196" w:name="_Toc28544"/>
            <w:r>
              <w:rPr>
                <w:rFonts w:hint="eastAsia" w:ascii="宋体" w:hAnsi="宋体" w:eastAsia="宋体" w:cs="宋体"/>
                <w:sz w:val="24"/>
                <w:szCs w:val="24"/>
              </w:rPr>
              <w:t>（7）价格分计算公式：</w:t>
            </w:r>
            <w:bookmarkEnd w:id="196"/>
          </w:p>
          <w:p w14:paraId="23AAAEC1">
            <w:pPr>
              <w:spacing w:line="360" w:lineRule="auto"/>
              <w:ind w:firstLine="482"/>
              <w:rPr>
                <w:rFonts w:ascii="宋体" w:hAnsi="宋体" w:eastAsia="宋体" w:cs="宋体"/>
                <w:sz w:val="24"/>
                <w:szCs w:val="24"/>
              </w:rPr>
            </w:pPr>
            <w:bookmarkStart w:id="197" w:name="_Toc24078"/>
            <w:r>
              <w:rPr>
                <w:rFonts w:hint="eastAsia" w:ascii="宋体" w:hAnsi="宋体" w:eastAsia="宋体" w:cs="宋体"/>
                <w:sz w:val="24"/>
                <w:szCs w:val="24"/>
              </w:rPr>
              <w:t>某投标人价格分=（基准价/某投标人评标报价金额）×80分。</w:t>
            </w:r>
            <w:bookmarkEnd w:id="197"/>
          </w:p>
        </w:tc>
      </w:tr>
      <w:tr w14:paraId="138C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709" w:type="dxa"/>
            <w:vMerge w:val="restart"/>
            <w:tcBorders>
              <w:top w:val="single" w:color="auto" w:sz="4" w:space="0"/>
              <w:left w:val="single" w:color="auto" w:sz="4" w:space="0"/>
              <w:right w:val="single" w:color="auto" w:sz="4" w:space="0"/>
            </w:tcBorders>
            <w:vAlign w:val="center"/>
          </w:tcPr>
          <w:p w14:paraId="73CA6E9B">
            <w:pPr>
              <w:adjustRightInd w:val="0"/>
              <w:spacing w:line="360" w:lineRule="auto"/>
              <w:jc w:val="center"/>
              <w:textAlignment w:val="baseline"/>
              <w:rPr>
                <w:rFonts w:ascii="宋体" w:hAnsi="宋体" w:eastAsia="宋体" w:cs="宋体"/>
                <w:bCs/>
                <w:sz w:val="24"/>
                <w:szCs w:val="24"/>
              </w:rPr>
            </w:pPr>
            <w:r>
              <w:rPr>
                <w:rFonts w:hint="eastAsia" w:ascii="宋体" w:hAnsi="宋体" w:eastAsia="宋体" w:cs="宋体"/>
                <w:bCs/>
                <w:sz w:val="24"/>
                <w:szCs w:val="24"/>
              </w:rPr>
              <w:t>2</w:t>
            </w:r>
          </w:p>
        </w:tc>
        <w:tc>
          <w:tcPr>
            <w:tcW w:w="1147" w:type="dxa"/>
            <w:vMerge w:val="restart"/>
            <w:tcBorders>
              <w:top w:val="single" w:color="auto" w:sz="4" w:space="0"/>
              <w:left w:val="single" w:color="auto" w:sz="4" w:space="0"/>
              <w:right w:val="single" w:color="auto" w:sz="4" w:space="0"/>
            </w:tcBorders>
            <w:vAlign w:val="center"/>
          </w:tcPr>
          <w:p w14:paraId="50A7CB22">
            <w:pPr>
              <w:adjustRightInd w:val="0"/>
              <w:spacing w:line="360" w:lineRule="auto"/>
              <w:ind w:right="-105" w:rightChars="-50"/>
              <w:jc w:val="center"/>
              <w:textAlignment w:val="baseline"/>
              <w:rPr>
                <w:rFonts w:ascii="宋体" w:hAnsi="宋体" w:eastAsia="宋体" w:cs="宋体"/>
                <w:bCs/>
                <w:sz w:val="24"/>
                <w:szCs w:val="24"/>
              </w:rPr>
            </w:pPr>
            <w:r>
              <w:rPr>
                <w:rFonts w:hint="eastAsia" w:ascii="宋体" w:hAnsi="宋体" w:eastAsia="宋体" w:cs="宋体"/>
                <w:bCs/>
                <w:sz w:val="24"/>
                <w:szCs w:val="24"/>
              </w:rPr>
              <w:t>技术分（满分10分）</w:t>
            </w:r>
          </w:p>
        </w:tc>
        <w:tc>
          <w:tcPr>
            <w:tcW w:w="1126" w:type="dxa"/>
            <w:tcBorders>
              <w:top w:val="single" w:color="auto" w:sz="4" w:space="0"/>
              <w:left w:val="single" w:color="auto" w:sz="4" w:space="0"/>
              <w:right w:val="single" w:color="auto" w:sz="4" w:space="0"/>
            </w:tcBorders>
            <w:vAlign w:val="center"/>
          </w:tcPr>
          <w:p w14:paraId="067208DC">
            <w:pPr>
              <w:spacing w:line="360" w:lineRule="auto"/>
              <w:jc w:val="center"/>
              <w:rPr>
                <w:rFonts w:ascii="宋体" w:hAnsi="宋体" w:eastAsia="宋体" w:cs="宋体"/>
                <w:bCs/>
                <w:sz w:val="24"/>
                <w:szCs w:val="24"/>
              </w:rPr>
            </w:pPr>
            <w:r>
              <w:rPr>
                <w:rFonts w:hint="eastAsia" w:ascii="宋体" w:hAnsi="宋体" w:eastAsia="宋体" w:cs="宋体"/>
                <w:sz w:val="24"/>
                <w:szCs w:val="24"/>
              </w:rPr>
              <w:t>实施方案分（满分5分）</w:t>
            </w:r>
          </w:p>
        </w:tc>
        <w:tc>
          <w:tcPr>
            <w:tcW w:w="6667" w:type="dxa"/>
            <w:tcBorders>
              <w:top w:val="single" w:color="auto" w:sz="4" w:space="0"/>
              <w:left w:val="single" w:color="auto" w:sz="4" w:space="0"/>
              <w:right w:val="single" w:color="auto" w:sz="4" w:space="0"/>
            </w:tcBorders>
            <w:vAlign w:val="center"/>
          </w:tcPr>
          <w:p w14:paraId="7B9704B6">
            <w:pPr>
              <w:spacing w:line="360" w:lineRule="auto"/>
              <w:ind w:firstLine="480" w:firstLineChars="200"/>
              <w:rPr>
                <w:sz w:val="24"/>
              </w:rPr>
            </w:pPr>
            <w:r>
              <w:rPr>
                <w:rFonts w:hint="eastAsia"/>
                <w:sz w:val="24"/>
              </w:rPr>
              <w:t>根据投标人本分标项目实施方案[内容可包含但不限于①项目实施要点、项目需求理解、②管理措施、③具体实施流程、④配送进度安排、⑤风险防范措施、⑥货期和质量保证措施、⑦组织机构安排、⑧调试、安装、培训及验收方案]进行独立评分。由评委根据投标人提供的项目实施方案进行独立打分。</w:t>
            </w:r>
          </w:p>
          <w:p w14:paraId="6C06F300">
            <w:pPr>
              <w:spacing w:line="360" w:lineRule="auto"/>
              <w:ind w:firstLine="482"/>
              <w:jc w:val="left"/>
              <w:rPr>
                <w:rFonts w:ascii="Times New Roman" w:hAnsi="Times New Roman" w:eastAsia="宋体" w:cs="Times New Roman"/>
                <w:bCs/>
                <w:sz w:val="24"/>
                <w:szCs w:val="32"/>
              </w:rPr>
            </w:pPr>
            <w:r>
              <w:rPr>
                <w:rFonts w:hint="eastAsia"/>
                <w:sz w:val="24"/>
              </w:rPr>
              <w:t>一档（1分）：</w:t>
            </w:r>
            <w:r>
              <w:rPr>
                <w:rFonts w:hint="eastAsia" w:ascii="Times New Roman" w:hAnsi="Times New Roman" w:eastAsia="宋体" w:cs="Times New Roman"/>
                <w:bCs/>
                <w:sz w:val="24"/>
                <w:szCs w:val="32"/>
              </w:rPr>
              <w:t>仅提供了简单的实施方案，无针对性，没有明显技术错误，设备功能配置基本达到要求；方案整体性不完整，不满足采购人要求。</w:t>
            </w:r>
          </w:p>
          <w:p w14:paraId="7BAA91A0">
            <w:pPr>
              <w:spacing w:line="360" w:lineRule="auto"/>
              <w:ind w:firstLine="482"/>
              <w:jc w:val="left"/>
              <w:rPr>
                <w:rFonts w:ascii="Times New Roman" w:hAnsi="Times New Roman" w:eastAsia="宋体" w:cs="Times New Roman"/>
                <w:bCs/>
                <w:sz w:val="24"/>
                <w:szCs w:val="32"/>
              </w:rPr>
            </w:pPr>
            <w:r>
              <w:rPr>
                <w:rFonts w:hint="eastAsia" w:ascii="Times New Roman" w:hAnsi="Times New Roman" w:eastAsia="宋体" w:cs="Times New Roman"/>
                <w:bCs/>
                <w:sz w:val="24"/>
                <w:szCs w:val="32"/>
              </w:rPr>
              <w:t>二档（3分）：在一档基础上，实施方案详细可行，对系统有较全面的描述，实施方案详细、具体、可行，并考虑到技术、安全、丰富的实训内容，方案整体性完整，基本满足采购人要求。</w:t>
            </w:r>
          </w:p>
          <w:p w14:paraId="2D2C46F2">
            <w:pPr>
              <w:spacing w:line="360" w:lineRule="auto"/>
              <w:ind w:firstLine="482"/>
              <w:jc w:val="left"/>
              <w:rPr>
                <w:rFonts w:ascii="Times New Roman" w:hAnsi="Times New Roman" w:eastAsia="宋体" w:cs="Times New Roman"/>
                <w:bCs/>
                <w:sz w:val="24"/>
                <w:szCs w:val="32"/>
              </w:rPr>
            </w:pPr>
            <w:r>
              <w:rPr>
                <w:rFonts w:hint="eastAsia" w:ascii="Times New Roman" w:hAnsi="Times New Roman" w:eastAsia="宋体" w:cs="Times New Roman"/>
                <w:bCs/>
                <w:sz w:val="24"/>
                <w:szCs w:val="32"/>
              </w:rPr>
              <w:t>三档（5分）：满足二档情况下，提供完善的供货保障方案，保障措施考虑周全详细、可行操作性高，保证按招标约定工期、质量要求移交交付等条理清晰、内容有针对性。对项目重点、难点分析准确到位，能对项目的建设提出合理化建议，建议合理、可行；方案重点突出，整体性满足采购人要求，。</w:t>
            </w:r>
          </w:p>
          <w:p w14:paraId="1893952C">
            <w:pPr>
              <w:spacing w:line="360" w:lineRule="auto"/>
              <w:ind w:firstLine="482"/>
              <w:jc w:val="left"/>
            </w:pPr>
            <w:r>
              <w:rPr>
                <w:rFonts w:hint="eastAsia" w:ascii="Times New Roman" w:hAnsi="Times New Roman" w:eastAsia="宋体" w:cs="Times New Roman"/>
                <w:bCs/>
                <w:sz w:val="24"/>
                <w:szCs w:val="32"/>
              </w:rPr>
              <w:t>注：投标人未提供或提供的内容不符合要求的不得分。</w:t>
            </w:r>
          </w:p>
        </w:tc>
      </w:tr>
      <w:tr w14:paraId="7A98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vAlign w:val="center"/>
          </w:tcPr>
          <w:p w14:paraId="59583EB7">
            <w:pPr>
              <w:spacing w:line="360" w:lineRule="auto"/>
              <w:ind w:firstLine="480"/>
              <w:jc w:val="center"/>
              <w:rPr>
                <w:rFonts w:ascii="宋体" w:hAnsi="宋体" w:eastAsia="宋体" w:cs="宋体"/>
                <w:b/>
                <w:sz w:val="24"/>
                <w:szCs w:val="24"/>
              </w:rPr>
            </w:pPr>
          </w:p>
        </w:tc>
        <w:tc>
          <w:tcPr>
            <w:tcW w:w="1147" w:type="dxa"/>
            <w:vMerge w:val="continue"/>
            <w:tcBorders>
              <w:left w:val="single" w:color="auto" w:sz="4" w:space="0"/>
              <w:bottom w:val="single" w:color="auto" w:sz="4" w:space="0"/>
              <w:right w:val="single" w:color="auto" w:sz="4" w:space="0"/>
            </w:tcBorders>
            <w:vAlign w:val="center"/>
          </w:tcPr>
          <w:p w14:paraId="7E1652E5">
            <w:pPr>
              <w:spacing w:line="360" w:lineRule="auto"/>
              <w:ind w:firstLine="480"/>
              <w:jc w:val="center"/>
              <w:rPr>
                <w:rFonts w:ascii="宋体" w:hAnsi="宋体" w:eastAsia="宋体" w:cs="宋体"/>
                <w:b/>
                <w:sz w:val="24"/>
                <w:szCs w:val="24"/>
              </w:rPr>
            </w:pPr>
          </w:p>
        </w:tc>
        <w:tc>
          <w:tcPr>
            <w:tcW w:w="1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D10B799">
            <w:pPr>
              <w:spacing w:line="360" w:lineRule="auto"/>
              <w:rPr>
                <w:rFonts w:ascii="宋体" w:hAnsi="宋体" w:eastAsia="宋体" w:cs="宋体"/>
                <w:sz w:val="24"/>
                <w:szCs w:val="24"/>
              </w:rPr>
            </w:pPr>
            <w:r>
              <w:rPr>
                <w:rFonts w:hint="eastAsia" w:ascii="宋体" w:hAnsi="宋体" w:eastAsia="宋体" w:cs="宋体"/>
                <w:sz w:val="24"/>
                <w:szCs w:val="24"/>
              </w:rPr>
              <w:t>售后培训方案分（满分5分）</w:t>
            </w:r>
          </w:p>
        </w:tc>
        <w:tc>
          <w:tcPr>
            <w:tcW w:w="6667" w:type="dxa"/>
            <w:tcBorders>
              <w:top w:val="single" w:color="auto" w:sz="4" w:space="0"/>
              <w:left w:val="single" w:color="auto" w:sz="4" w:space="0"/>
              <w:bottom w:val="single" w:color="auto" w:sz="4" w:space="0"/>
              <w:right w:val="single" w:color="auto" w:sz="4" w:space="0"/>
            </w:tcBorders>
            <w:vAlign w:val="center"/>
          </w:tcPr>
          <w:p w14:paraId="51810B84">
            <w:pPr>
              <w:spacing w:line="360" w:lineRule="auto"/>
              <w:ind w:firstLine="480" w:firstLineChars="200"/>
              <w:rPr>
                <w:sz w:val="24"/>
              </w:rPr>
            </w:pPr>
            <w:r>
              <w:rPr>
                <w:rFonts w:hint="eastAsia"/>
                <w:sz w:val="24"/>
              </w:rPr>
              <w:t>评标委员会根据投标文件中售后服务方案内容的完整性、可行性，质保期期限、故障响应时间、到达现场维护时间、故障修复方案、售后服务人员配置、售后回访机制、定期维修和保养服务、质保期外维修方案、培训方案、其他优惠措施等方面独立打分。</w:t>
            </w:r>
          </w:p>
          <w:p w14:paraId="664694F1">
            <w:pPr>
              <w:spacing w:line="360" w:lineRule="auto"/>
              <w:ind w:firstLine="480" w:firstLineChars="200"/>
              <w:rPr>
                <w:sz w:val="24"/>
              </w:rPr>
            </w:pPr>
            <w:r>
              <w:rPr>
                <w:rFonts w:hint="eastAsia"/>
                <w:sz w:val="24"/>
              </w:rPr>
              <w:t>一档（</w:t>
            </w:r>
            <w:r>
              <w:rPr>
                <w:sz w:val="24"/>
              </w:rPr>
              <w:t>1</w:t>
            </w:r>
            <w:r>
              <w:rPr>
                <w:rFonts w:hint="eastAsia"/>
                <w:sz w:val="24"/>
              </w:rPr>
              <w:t>分）：满足招标文件售后服务要求，提供基本的售后服务方案。</w:t>
            </w:r>
          </w:p>
          <w:p w14:paraId="65B72FD9">
            <w:pPr>
              <w:spacing w:line="360" w:lineRule="auto"/>
              <w:ind w:firstLine="480" w:firstLineChars="200"/>
              <w:rPr>
                <w:sz w:val="24"/>
              </w:rPr>
            </w:pPr>
            <w:r>
              <w:rPr>
                <w:rFonts w:hint="eastAsia"/>
                <w:sz w:val="24"/>
              </w:rPr>
              <w:t>二档（3分）：在满足一档的基础上，</w:t>
            </w:r>
            <w:r>
              <w:rPr>
                <w:rFonts w:hint="eastAsia"/>
                <w:sz w:val="24"/>
                <w:lang w:bidi="ar"/>
              </w:rPr>
              <w:t>售后服务方案内容有针对性，故障响应时间、到达现场维护时间、修复时间优于招标文件要求；提供项目售后服务实施计划，有基本的培训方案</w:t>
            </w:r>
            <w:r>
              <w:rPr>
                <w:rFonts w:hint="eastAsia"/>
                <w:sz w:val="24"/>
              </w:rPr>
              <w:t>。</w:t>
            </w:r>
          </w:p>
          <w:p w14:paraId="2C6D0E59">
            <w:pPr>
              <w:widowControl/>
              <w:spacing w:line="360" w:lineRule="auto"/>
              <w:ind w:firstLine="480" w:firstLineChars="200"/>
              <w:rPr>
                <w:sz w:val="24"/>
              </w:rPr>
            </w:pPr>
            <w:r>
              <w:rPr>
                <w:rFonts w:hint="eastAsia"/>
                <w:sz w:val="24"/>
              </w:rPr>
              <w:t>三档（5分）：满足二档的基础上，售后服务方案内容针对性强，故障响应时间、到达现场维护时间、修复时间优于招标文件要求，有售后服务流程图，且流程图完整、清晰，配备售后服务技术团队，能根据采购人情况提供售后回访机制服务、有定期维修和保养服务方案，有质保期外维修方案、提供培训方案，且培训方案科学合理、内容完整、可操作性高。</w:t>
            </w:r>
          </w:p>
          <w:p w14:paraId="24D4FF4D">
            <w:pPr>
              <w:spacing w:line="360" w:lineRule="auto"/>
              <w:ind w:firstLine="480" w:firstLineChars="200"/>
              <w:rPr>
                <w:sz w:val="24"/>
              </w:rPr>
            </w:pPr>
            <w:r>
              <w:rPr>
                <w:rFonts w:hint="eastAsia"/>
                <w:sz w:val="24"/>
              </w:rPr>
              <w:t>注:未提供或不满足进档要求不得分。</w:t>
            </w:r>
          </w:p>
        </w:tc>
      </w:tr>
      <w:tr w14:paraId="4ADD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709" w:type="dxa"/>
            <w:vMerge w:val="restart"/>
            <w:tcBorders>
              <w:top w:val="single" w:color="auto" w:sz="4" w:space="0"/>
              <w:left w:val="single" w:color="auto" w:sz="4" w:space="0"/>
              <w:right w:val="single" w:color="auto" w:sz="4" w:space="0"/>
            </w:tcBorders>
            <w:vAlign w:val="center"/>
          </w:tcPr>
          <w:p w14:paraId="2F7C7D92">
            <w:pPr>
              <w:spacing w:line="360" w:lineRule="auto"/>
              <w:ind w:firstLine="480"/>
              <w:jc w:val="center"/>
              <w:rPr>
                <w:rFonts w:ascii="宋体" w:hAnsi="宋体" w:eastAsia="宋体" w:cs="宋体"/>
                <w:b/>
                <w:sz w:val="24"/>
                <w:szCs w:val="24"/>
              </w:rPr>
            </w:pPr>
            <w:r>
              <w:rPr>
                <w:rFonts w:hint="eastAsia" w:ascii="宋体" w:hAnsi="宋体" w:eastAsia="宋体" w:cs="宋体"/>
                <w:b/>
                <w:sz w:val="24"/>
                <w:szCs w:val="24"/>
              </w:rPr>
              <w:t>3</w:t>
            </w:r>
          </w:p>
        </w:tc>
        <w:tc>
          <w:tcPr>
            <w:tcW w:w="1147" w:type="dxa"/>
            <w:vMerge w:val="restart"/>
            <w:tcBorders>
              <w:top w:val="single" w:color="auto" w:sz="4" w:space="0"/>
              <w:left w:val="single" w:color="auto" w:sz="4" w:space="0"/>
              <w:right w:val="single" w:color="auto" w:sz="4" w:space="0"/>
            </w:tcBorders>
            <w:vAlign w:val="center"/>
          </w:tcPr>
          <w:p w14:paraId="1B56AB22">
            <w:pPr>
              <w:adjustRightInd w:val="0"/>
              <w:spacing w:line="360" w:lineRule="auto"/>
              <w:jc w:val="center"/>
              <w:textAlignment w:val="baseline"/>
              <w:rPr>
                <w:rFonts w:ascii="宋体" w:hAnsi="宋体" w:eastAsia="宋体" w:cs="宋体"/>
                <w:sz w:val="24"/>
                <w:szCs w:val="24"/>
              </w:rPr>
            </w:pPr>
            <w:r>
              <w:rPr>
                <w:rFonts w:hint="eastAsia" w:ascii="宋体" w:hAnsi="宋体" w:eastAsia="宋体" w:cs="宋体"/>
                <w:sz w:val="24"/>
                <w:szCs w:val="24"/>
              </w:rPr>
              <w:t>商务分</w:t>
            </w:r>
          </w:p>
          <w:p w14:paraId="7F7B9B0F">
            <w:pPr>
              <w:adjustRightInd w:val="0"/>
              <w:spacing w:line="360" w:lineRule="auto"/>
              <w:jc w:val="center"/>
              <w:textAlignment w:val="baseline"/>
              <w:rPr>
                <w:rFonts w:ascii="宋体" w:hAnsi="宋体" w:eastAsia="宋体" w:cs="宋体"/>
                <w:sz w:val="24"/>
                <w:szCs w:val="24"/>
              </w:rPr>
            </w:pPr>
            <w:r>
              <w:rPr>
                <w:rFonts w:hint="eastAsia" w:ascii="宋体" w:hAnsi="宋体" w:eastAsia="宋体" w:cs="宋体"/>
                <w:sz w:val="24"/>
                <w:szCs w:val="24"/>
              </w:rPr>
              <w:t>（满分10分）</w:t>
            </w:r>
          </w:p>
        </w:tc>
        <w:tc>
          <w:tcPr>
            <w:tcW w:w="1126"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287156BA">
            <w:pPr>
              <w:spacing w:line="360" w:lineRule="auto"/>
              <w:jc w:val="center"/>
              <w:rPr>
                <w:rFonts w:ascii="宋体" w:hAnsi="宋体" w:eastAsia="宋体" w:cs="宋体"/>
                <w:sz w:val="24"/>
                <w:szCs w:val="24"/>
              </w:rPr>
            </w:pPr>
            <w:r>
              <w:rPr>
                <w:rFonts w:hint="eastAsia" w:ascii="宋体" w:hAnsi="宋体" w:eastAsia="宋体" w:cs="宋体"/>
                <w:sz w:val="24"/>
                <w:szCs w:val="24"/>
              </w:rPr>
              <w:t>质保期（满分6分）</w:t>
            </w:r>
          </w:p>
        </w:tc>
        <w:tc>
          <w:tcPr>
            <w:tcW w:w="6667" w:type="dxa"/>
            <w:tcBorders>
              <w:top w:val="single" w:color="auto" w:sz="4" w:space="0"/>
              <w:left w:val="single" w:color="auto" w:sz="4" w:space="0"/>
              <w:right w:val="single" w:color="auto" w:sz="4" w:space="0"/>
            </w:tcBorders>
            <w:vAlign w:val="center"/>
          </w:tcPr>
          <w:p w14:paraId="19EFEBBD">
            <w:pPr>
              <w:spacing w:line="360" w:lineRule="auto"/>
              <w:ind w:firstLine="480" w:firstLineChars="200"/>
              <w:rPr>
                <w:sz w:val="24"/>
              </w:rPr>
            </w:pPr>
            <w:r>
              <w:rPr>
                <w:rFonts w:hint="eastAsia"/>
                <w:sz w:val="24"/>
              </w:rPr>
              <w:t>在满足招标文件质保期要求的基础上，投标人承诺的质保期每增加一年的得2分，本项满分6分。</w:t>
            </w:r>
          </w:p>
        </w:tc>
      </w:tr>
      <w:tr w14:paraId="1FD7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709" w:type="dxa"/>
            <w:vMerge w:val="continue"/>
            <w:tcBorders>
              <w:left w:val="single" w:color="auto" w:sz="4" w:space="0"/>
              <w:right w:val="single" w:color="auto" w:sz="4" w:space="0"/>
            </w:tcBorders>
            <w:vAlign w:val="center"/>
          </w:tcPr>
          <w:p w14:paraId="7E8CD7D0">
            <w:pPr>
              <w:spacing w:line="360" w:lineRule="auto"/>
              <w:ind w:firstLine="480"/>
              <w:jc w:val="center"/>
              <w:rPr>
                <w:rFonts w:ascii="宋体" w:hAnsi="宋体" w:eastAsia="宋体" w:cs="宋体"/>
                <w:b/>
                <w:sz w:val="24"/>
                <w:szCs w:val="24"/>
              </w:rPr>
            </w:pPr>
          </w:p>
        </w:tc>
        <w:tc>
          <w:tcPr>
            <w:tcW w:w="1147" w:type="dxa"/>
            <w:vMerge w:val="continue"/>
            <w:tcBorders>
              <w:left w:val="single" w:color="auto" w:sz="4" w:space="0"/>
              <w:right w:val="single" w:color="auto" w:sz="4" w:space="0"/>
            </w:tcBorders>
            <w:vAlign w:val="center"/>
          </w:tcPr>
          <w:p w14:paraId="0A3B0945">
            <w:pPr>
              <w:adjustRightInd w:val="0"/>
              <w:spacing w:line="360" w:lineRule="auto"/>
              <w:jc w:val="center"/>
              <w:textAlignment w:val="baseline"/>
              <w:rPr>
                <w:rFonts w:ascii="宋体" w:hAnsi="宋体" w:eastAsia="宋体" w:cs="宋体"/>
                <w:sz w:val="24"/>
                <w:szCs w:val="24"/>
              </w:rPr>
            </w:pPr>
          </w:p>
        </w:tc>
        <w:tc>
          <w:tcPr>
            <w:tcW w:w="1126"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1F3E4EFA">
            <w:pPr>
              <w:spacing w:line="360" w:lineRule="auto"/>
              <w:jc w:val="center"/>
              <w:rPr>
                <w:rFonts w:ascii="宋体" w:hAnsi="宋体" w:eastAsia="宋体" w:cs="宋体"/>
                <w:sz w:val="24"/>
                <w:szCs w:val="24"/>
              </w:rPr>
            </w:pPr>
            <w:r>
              <w:rPr>
                <w:rFonts w:hint="eastAsia" w:ascii="宋体" w:hAnsi="宋体" w:eastAsia="宋体" w:cs="宋体"/>
                <w:sz w:val="24"/>
                <w:szCs w:val="24"/>
              </w:rPr>
              <w:t>业绩（满分3分）</w:t>
            </w:r>
          </w:p>
        </w:tc>
        <w:tc>
          <w:tcPr>
            <w:tcW w:w="6667" w:type="dxa"/>
            <w:tcBorders>
              <w:top w:val="single" w:color="auto" w:sz="4" w:space="0"/>
              <w:left w:val="single" w:color="auto" w:sz="4" w:space="0"/>
              <w:right w:val="single" w:color="auto" w:sz="4" w:space="0"/>
            </w:tcBorders>
            <w:vAlign w:val="center"/>
          </w:tcPr>
          <w:p w14:paraId="040AB78E">
            <w:pPr>
              <w:spacing w:line="360" w:lineRule="auto"/>
              <w:ind w:firstLine="480" w:firstLineChars="200"/>
              <w:rPr>
                <w:sz w:val="24"/>
              </w:rPr>
            </w:pPr>
            <w:r>
              <w:rPr>
                <w:rFonts w:hint="eastAsia"/>
                <w:sz w:val="24"/>
              </w:rPr>
              <w:t>投标人2022年10月1日至投标截止时间具有同类项目业绩，每有1项得1分，满分3分。（投标文件提供合同复印件，否则不计分）。</w:t>
            </w:r>
          </w:p>
        </w:tc>
      </w:tr>
      <w:tr w14:paraId="3F50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709" w:type="dxa"/>
            <w:vMerge w:val="continue"/>
            <w:tcBorders>
              <w:left w:val="single" w:color="auto" w:sz="4" w:space="0"/>
              <w:right w:val="single" w:color="auto" w:sz="4" w:space="0"/>
            </w:tcBorders>
            <w:vAlign w:val="center"/>
          </w:tcPr>
          <w:p w14:paraId="7AC088AA">
            <w:pPr>
              <w:spacing w:line="360" w:lineRule="auto"/>
              <w:ind w:firstLine="480"/>
              <w:jc w:val="center"/>
              <w:rPr>
                <w:rFonts w:ascii="宋体" w:hAnsi="宋体" w:eastAsia="宋体" w:cs="宋体"/>
                <w:b/>
                <w:sz w:val="24"/>
                <w:szCs w:val="24"/>
              </w:rPr>
            </w:pPr>
          </w:p>
        </w:tc>
        <w:tc>
          <w:tcPr>
            <w:tcW w:w="1147" w:type="dxa"/>
            <w:vMerge w:val="continue"/>
            <w:tcBorders>
              <w:left w:val="single" w:color="auto" w:sz="4" w:space="0"/>
              <w:right w:val="single" w:color="auto" w:sz="4" w:space="0"/>
            </w:tcBorders>
            <w:vAlign w:val="center"/>
          </w:tcPr>
          <w:p w14:paraId="26C282C6">
            <w:pPr>
              <w:adjustRightInd w:val="0"/>
              <w:spacing w:line="360" w:lineRule="auto"/>
              <w:jc w:val="center"/>
              <w:textAlignment w:val="baseline"/>
              <w:rPr>
                <w:rFonts w:ascii="宋体" w:hAnsi="宋体" w:eastAsia="宋体" w:cs="宋体"/>
                <w:sz w:val="24"/>
                <w:szCs w:val="24"/>
              </w:rPr>
            </w:pPr>
          </w:p>
        </w:tc>
        <w:tc>
          <w:tcPr>
            <w:tcW w:w="1126"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77965CC0">
            <w:pPr>
              <w:spacing w:line="360" w:lineRule="auto"/>
              <w:jc w:val="center"/>
              <w:rPr>
                <w:rFonts w:ascii="宋体" w:hAnsi="宋体" w:eastAsia="宋体" w:cs="宋体"/>
                <w:sz w:val="24"/>
                <w:szCs w:val="24"/>
              </w:rPr>
            </w:pPr>
            <w:r>
              <w:rPr>
                <w:rFonts w:hint="eastAsia" w:ascii="宋体" w:hAnsi="宋体" w:eastAsia="宋体" w:cs="宋体"/>
                <w:sz w:val="24"/>
                <w:szCs w:val="24"/>
              </w:rPr>
              <w:t>政策功能分（满分1</w:t>
            </w:r>
            <w:r>
              <w:rPr>
                <w:rFonts w:ascii="宋体" w:hAnsi="宋体" w:eastAsia="宋体" w:cs="宋体"/>
                <w:sz w:val="24"/>
                <w:szCs w:val="24"/>
              </w:rPr>
              <w:t>分）</w:t>
            </w:r>
            <w:r>
              <w:rPr>
                <w:rFonts w:hint="eastAsia" w:ascii="宋体" w:hAnsi="宋体" w:eastAsia="宋体" w:cs="宋体"/>
                <w:sz w:val="24"/>
                <w:szCs w:val="24"/>
              </w:rPr>
              <w:t>节能、环保产品</w:t>
            </w:r>
          </w:p>
        </w:tc>
        <w:tc>
          <w:tcPr>
            <w:tcW w:w="6667" w:type="dxa"/>
            <w:tcBorders>
              <w:top w:val="single" w:color="auto" w:sz="4" w:space="0"/>
              <w:left w:val="single" w:color="auto" w:sz="4" w:space="0"/>
              <w:right w:val="single" w:color="auto" w:sz="4" w:space="0"/>
            </w:tcBorders>
            <w:vAlign w:val="center"/>
          </w:tcPr>
          <w:p w14:paraId="782C6954">
            <w:pPr>
              <w:spacing w:line="360" w:lineRule="auto"/>
              <w:ind w:firstLine="482"/>
              <w:jc w:val="left"/>
              <w:rPr>
                <w:rFonts w:ascii="Times New Roman" w:hAnsi="Times New Roman" w:eastAsia="宋体" w:cs="Times New Roman"/>
                <w:bCs/>
                <w:sz w:val="24"/>
                <w:szCs w:val="32"/>
              </w:rPr>
            </w:pPr>
            <w:r>
              <w:rPr>
                <w:rFonts w:hint="eastAsia" w:ascii="Times New Roman" w:hAnsi="Times New Roman" w:eastAsia="宋体" w:cs="Times New Roman"/>
                <w:bCs/>
                <w:sz w:val="24"/>
                <w:szCs w:val="32"/>
              </w:rPr>
              <w:t>（1）投标产品中含有政府采购节能产品的，每项得0.5分，满分0.5分。（适用于非强制采购节能产品，以有效的政府采购节能产品认证证书复印件为准，投标产品需清晰反映在证书上）。</w:t>
            </w:r>
          </w:p>
          <w:p w14:paraId="5DACF419">
            <w:pPr>
              <w:spacing w:line="360" w:lineRule="auto"/>
              <w:ind w:firstLine="420" w:firstLineChars="0"/>
              <w:rPr>
                <w:sz w:val="24"/>
              </w:rPr>
            </w:pPr>
            <w:r>
              <w:rPr>
                <w:rFonts w:hint="eastAsia" w:ascii="Times New Roman" w:hAnsi="Times New Roman" w:eastAsia="宋体" w:cs="Times New Roman"/>
                <w:bCs/>
                <w:sz w:val="24"/>
                <w:szCs w:val="32"/>
              </w:rPr>
              <w:t>（2）投标产品中含有政府采购环境标志产品的，每项得0.5 分，满分0.5分。（以有效的政府采购环境标志产品认证证书复印件为准，投标产品需清晰反映在证书上）。</w:t>
            </w:r>
          </w:p>
        </w:tc>
      </w:tr>
      <w:tr w14:paraId="3BA2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9" w:type="dxa"/>
            <w:gridSpan w:val="4"/>
            <w:tcBorders>
              <w:left w:val="single" w:color="auto" w:sz="4" w:space="0"/>
              <w:right w:val="single" w:color="auto" w:sz="4" w:space="0"/>
            </w:tcBorders>
            <w:vAlign w:val="center"/>
          </w:tcPr>
          <w:p w14:paraId="5F43C713">
            <w:pPr>
              <w:spacing w:line="360" w:lineRule="auto"/>
              <w:ind w:firstLine="480"/>
              <w:jc w:val="center"/>
              <w:rPr>
                <w:rFonts w:ascii="宋体" w:hAnsi="宋体" w:eastAsia="宋体" w:cs="宋体"/>
                <w:b/>
                <w:sz w:val="24"/>
                <w:szCs w:val="24"/>
              </w:rPr>
            </w:pPr>
            <w:r>
              <w:rPr>
                <w:rFonts w:hint="eastAsia" w:ascii="宋体" w:hAnsi="宋体" w:eastAsia="宋体" w:cs="宋体"/>
                <w:b/>
                <w:sz w:val="24"/>
                <w:szCs w:val="24"/>
              </w:rPr>
              <w:t>总得分为以上各项评审因素得分合计,总得分=1+2+3=100分</w:t>
            </w:r>
          </w:p>
        </w:tc>
      </w:tr>
    </w:tbl>
    <w:p w14:paraId="7F6F027F">
      <w:pPr>
        <w:keepNext/>
        <w:keepLines/>
        <w:spacing w:line="360" w:lineRule="auto"/>
        <w:ind w:firstLine="562" w:firstLineChars="200"/>
        <w:jc w:val="center"/>
        <w:textAlignment w:val="center"/>
        <w:outlineLvl w:val="1"/>
        <w:rPr>
          <w:rFonts w:ascii="宋体" w:hAnsi="宋体" w:eastAsia="宋体" w:cs="仿宋_GB2312"/>
          <w:b/>
          <w:bCs/>
          <w:sz w:val="32"/>
          <w:szCs w:val="32"/>
        </w:rPr>
      </w:pPr>
      <w:r>
        <w:rPr>
          <w:rFonts w:hint="eastAsia" w:ascii="宋体" w:hAnsi="宋体" w:eastAsia="宋体" w:cs="仿宋_GB2312"/>
          <w:b/>
          <w:sz w:val="28"/>
          <w:szCs w:val="28"/>
        </w:rPr>
        <w:br w:type="page"/>
      </w:r>
      <w:bookmarkEnd w:id="187"/>
      <w:bookmarkStart w:id="198" w:name="_Toc26670"/>
      <w:bookmarkStart w:id="199" w:name="_Toc13030"/>
      <w:r>
        <w:rPr>
          <w:rFonts w:hint="eastAsia" w:ascii="宋体" w:hAnsi="宋体" w:eastAsia="宋体" w:cs="仿宋_GB2312"/>
          <w:b/>
          <w:bCs/>
          <w:sz w:val="32"/>
          <w:szCs w:val="32"/>
        </w:rPr>
        <w:t>四、中标候选人推荐原则</w:t>
      </w:r>
      <w:bookmarkEnd w:id="198"/>
      <w:bookmarkEnd w:id="199"/>
    </w:p>
    <w:p w14:paraId="65AF6801">
      <w:pPr>
        <w:spacing w:line="360" w:lineRule="auto"/>
        <w:ind w:firstLine="482"/>
        <w:rPr>
          <w:rFonts w:ascii="宋体" w:hAnsi="宋体" w:eastAsia="宋体" w:cs="仿宋_GB2312"/>
          <w:szCs w:val="20"/>
        </w:rPr>
      </w:pPr>
      <w:r>
        <w:rPr>
          <w:rFonts w:hint="eastAsia" w:ascii="宋体" w:hAnsi="宋体" w:eastAsia="宋体" w:cs="仿宋_GB2312"/>
          <w:szCs w:val="20"/>
        </w:rPr>
        <w:t>1.评标委员会根据原始评标记录和评标结果编写评标报告，并通过电子交易平台向采购人、采购代理机构提交。</w:t>
      </w:r>
    </w:p>
    <w:p w14:paraId="356CD7FE">
      <w:pPr>
        <w:spacing w:line="360" w:lineRule="auto"/>
        <w:ind w:firstLine="482"/>
        <w:rPr>
          <w:rFonts w:ascii="宋体" w:hAnsi="宋体" w:eastAsia="宋体" w:cs="仿宋_GB2312"/>
          <w:szCs w:val="20"/>
        </w:rPr>
      </w:pPr>
      <w:r>
        <w:rPr>
          <w:rFonts w:hint="eastAsia" w:ascii="宋体" w:hAnsi="宋体" w:eastAsia="宋体" w:cs="仿宋_GB2312"/>
          <w:szCs w:val="20"/>
        </w:rPr>
        <w:t>2.评标委员会将根据总得分由高到低排列次序并推荐中标候选人。得分相同的，按投标报价由低到高顺序排列。得分且投标报价相同的并列，依次按技术评分高的优先、商务评分高的优先、质量保证期长优先、交货期短优先、故障响应时间短优先、政策分得分高的优先的顺序确定中标候选人。</w:t>
      </w:r>
    </w:p>
    <w:p w14:paraId="64B6B6EE">
      <w:pPr>
        <w:spacing w:line="360" w:lineRule="auto"/>
        <w:ind w:firstLine="482"/>
        <w:rPr>
          <w:rFonts w:ascii="宋体" w:hAnsi="宋体" w:eastAsia="宋体" w:cs="仿宋_GB2312"/>
          <w:szCs w:val="20"/>
        </w:rPr>
      </w:pPr>
      <w:r>
        <w:rPr>
          <w:rFonts w:hint="eastAsia" w:ascii="宋体" w:hAnsi="宋体" w:eastAsia="宋体" w:cs="仿宋_GB2312"/>
          <w:szCs w:val="20"/>
        </w:rPr>
        <w:t>3.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8.1规定推荐，确定后其他同品牌投标人不作为中标候选人。</w:t>
      </w:r>
    </w:p>
    <w:p w14:paraId="3F958673">
      <w:pPr>
        <w:spacing w:line="360" w:lineRule="auto"/>
        <w:ind w:firstLine="482"/>
        <w:rPr>
          <w:rFonts w:ascii="宋体" w:hAnsi="宋体" w:eastAsia="宋体" w:cs="仿宋_GB2312"/>
          <w:szCs w:val="20"/>
        </w:rPr>
      </w:pPr>
      <w:r>
        <w:rPr>
          <w:rFonts w:hint="eastAsia" w:ascii="宋体" w:hAnsi="宋体" w:eastAsia="宋体" w:cs="仿宋_GB2312"/>
          <w:szCs w:val="20"/>
        </w:rPr>
        <w:t>4.投标人可以针对一个或者多个分标进行投标，分标1至分标4兼投不兼中，只能成为一个分标的第一中标候选人，其他分标不再成为中标候选人，分标1至分标4的推荐顺序按照分标1→分标2→分标3→分标4进行推荐。</w:t>
      </w:r>
    </w:p>
    <w:p w14:paraId="37A73513">
      <w:pPr>
        <w:spacing w:line="360" w:lineRule="auto"/>
        <w:ind w:firstLine="482"/>
        <w:rPr>
          <w:rFonts w:ascii="宋体" w:hAnsi="宋体" w:eastAsia="宋体" w:cs="仿宋_GB2312"/>
          <w:szCs w:val="20"/>
        </w:rPr>
      </w:pPr>
      <w:r>
        <w:rPr>
          <w:rFonts w:hint="eastAsia" w:ascii="宋体" w:hAnsi="宋体" w:eastAsia="宋体" w:cs="仿宋_GB2312"/>
          <w:szCs w:val="20"/>
        </w:rPr>
        <w:br w:type="page"/>
      </w:r>
    </w:p>
    <w:p w14:paraId="1D6B6023">
      <w:pPr>
        <w:keepNext/>
        <w:keepLines/>
        <w:spacing w:before="120" w:after="120" w:line="576" w:lineRule="auto"/>
        <w:ind w:firstLine="880"/>
        <w:jc w:val="center"/>
        <w:outlineLvl w:val="0"/>
        <w:rPr>
          <w:rFonts w:ascii="宋体" w:hAnsi="宋体" w:eastAsia="宋体" w:cs="仿宋_GB2312"/>
          <w:b/>
          <w:bCs/>
          <w:kern w:val="44"/>
          <w:sz w:val="44"/>
          <w:szCs w:val="44"/>
        </w:rPr>
      </w:pPr>
      <w:bookmarkStart w:id="200" w:name="_Toc16933"/>
      <w:bookmarkStart w:id="201" w:name="_Toc207203150"/>
      <w:bookmarkStart w:id="202" w:name="_Toc5182"/>
      <w:bookmarkStart w:id="203" w:name="_Toc25693"/>
      <w:r>
        <w:rPr>
          <w:rFonts w:hint="eastAsia" w:ascii="宋体" w:hAnsi="宋体" w:eastAsia="宋体" w:cs="仿宋_GB2312"/>
          <w:b/>
          <w:bCs/>
          <w:kern w:val="44"/>
          <w:sz w:val="44"/>
          <w:szCs w:val="44"/>
        </w:rPr>
        <w:t>第五章  拟签订的合同文本</w:t>
      </w:r>
      <w:bookmarkEnd w:id="200"/>
      <w:bookmarkEnd w:id="201"/>
      <w:bookmarkEnd w:id="202"/>
      <w:bookmarkEnd w:id="203"/>
    </w:p>
    <w:p w14:paraId="281A79B5">
      <w:pPr>
        <w:spacing w:line="360" w:lineRule="auto"/>
        <w:ind w:firstLine="1040"/>
        <w:jc w:val="left"/>
        <w:rPr>
          <w:rFonts w:ascii="宋体" w:hAnsi="宋体" w:eastAsia="宋体" w:cs="仿宋_GB2312"/>
          <w:b/>
          <w:sz w:val="52"/>
          <w:szCs w:val="52"/>
          <w:lang w:bidi="ar"/>
        </w:rPr>
      </w:pPr>
    </w:p>
    <w:p w14:paraId="33B8F2BF">
      <w:pPr>
        <w:spacing w:line="360" w:lineRule="auto"/>
        <w:ind w:firstLine="1040"/>
        <w:jc w:val="center"/>
        <w:rPr>
          <w:rFonts w:ascii="宋体" w:hAnsi="宋体" w:eastAsia="宋体" w:cs="仿宋_GB2312"/>
          <w:b/>
          <w:kern w:val="0"/>
          <w:sz w:val="52"/>
          <w:szCs w:val="52"/>
        </w:rPr>
      </w:pPr>
      <w:r>
        <w:rPr>
          <w:rFonts w:hint="eastAsia" w:ascii="宋体" w:hAnsi="宋体" w:eastAsia="宋体" w:cs="仿宋_GB2312"/>
          <w:b/>
          <w:sz w:val="52"/>
          <w:szCs w:val="52"/>
          <w:lang w:bidi="ar"/>
        </w:rPr>
        <w:t>广西壮族自治区政府采购合同</w:t>
      </w:r>
    </w:p>
    <w:p w14:paraId="0ACD5216">
      <w:pPr>
        <w:spacing w:line="360" w:lineRule="auto"/>
        <w:ind w:firstLine="602"/>
        <w:jc w:val="right"/>
        <w:rPr>
          <w:rFonts w:ascii="宋体" w:hAnsi="宋体" w:eastAsia="宋体" w:cs="仿宋_GB2312"/>
          <w:sz w:val="30"/>
          <w:szCs w:val="30"/>
        </w:rPr>
      </w:pPr>
    </w:p>
    <w:p w14:paraId="2266D83B">
      <w:pPr>
        <w:spacing w:line="360" w:lineRule="auto"/>
        <w:ind w:firstLine="482"/>
        <w:jc w:val="right"/>
        <w:rPr>
          <w:rFonts w:ascii="宋体" w:hAnsi="宋体" w:eastAsia="宋体" w:cs="仿宋_GB2312"/>
          <w:kern w:val="0"/>
          <w:sz w:val="24"/>
          <w:szCs w:val="24"/>
        </w:rPr>
      </w:pPr>
    </w:p>
    <w:p w14:paraId="60F2A3DC">
      <w:pPr>
        <w:spacing w:line="360" w:lineRule="auto"/>
        <w:ind w:firstLine="482"/>
        <w:rPr>
          <w:rFonts w:ascii="宋体" w:hAnsi="宋体" w:eastAsia="宋体" w:cs="仿宋_GB2312"/>
          <w:kern w:val="0"/>
          <w:sz w:val="24"/>
          <w:szCs w:val="24"/>
        </w:rPr>
      </w:pPr>
    </w:p>
    <w:p w14:paraId="35324635">
      <w:pPr>
        <w:spacing w:line="360" w:lineRule="auto"/>
        <w:ind w:firstLine="482"/>
        <w:rPr>
          <w:rFonts w:ascii="宋体" w:hAnsi="宋体" w:eastAsia="宋体" w:cs="仿宋_GB2312"/>
          <w:kern w:val="0"/>
          <w:sz w:val="24"/>
          <w:szCs w:val="24"/>
        </w:rPr>
      </w:pPr>
    </w:p>
    <w:p w14:paraId="01B8B98C">
      <w:pPr>
        <w:spacing w:line="600" w:lineRule="auto"/>
        <w:ind w:firstLine="1590" w:firstLineChars="495"/>
        <w:rPr>
          <w:rFonts w:ascii="宋体" w:hAnsi="宋体" w:eastAsia="宋体" w:cs="仿宋_GB2312"/>
          <w:b/>
          <w:kern w:val="0"/>
          <w:sz w:val="32"/>
          <w:szCs w:val="32"/>
          <w:u w:val="single"/>
        </w:rPr>
      </w:pPr>
      <w:r>
        <w:rPr>
          <w:rFonts w:hint="eastAsia" w:ascii="宋体" w:hAnsi="宋体" w:eastAsia="宋体" w:cs="仿宋_GB2312"/>
          <w:b/>
          <w:sz w:val="32"/>
          <w:szCs w:val="32"/>
          <w:lang w:bidi="ar"/>
        </w:rPr>
        <w:t>合同名称：</w:t>
      </w:r>
      <w:r>
        <w:rPr>
          <w:rFonts w:hint="eastAsia" w:ascii="宋体" w:hAnsi="宋体" w:eastAsia="宋体" w:cs="仿宋_GB2312"/>
          <w:b/>
          <w:sz w:val="32"/>
          <w:szCs w:val="32"/>
          <w:u w:val="single"/>
          <w:lang w:bidi="ar"/>
        </w:rPr>
        <w:t xml:space="preserve">                              </w:t>
      </w:r>
    </w:p>
    <w:p w14:paraId="5518142C">
      <w:pPr>
        <w:spacing w:line="600" w:lineRule="auto"/>
        <w:ind w:firstLine="1590" w:firstLineChars="495"/>
        <w:rPr>
          <w:rFonts w:ascii="宋体" w:hAnsi="宋体" w:eastAsia="宋体" w:cs="仿宋_GB2312"/>
          <w:b/>
          <w:kern w:val="0"/>
          <w:sz w:val="32"/>
          <w:szCs w:val="32"/>
          <w:u w:val="single"/>
        </w:rPr>
      </w:pPr>
      <w:r>
        <w:rPr>
          <w:rFonts w:hint="eastAsia" w:ascii="宋体" w:hAnsi="宋体" w:eastAsia="宋体" w:cs="仿宋_GB2312"/>
          <w:b/>
          <w:sz w:val="32"/>
          <w:szCs w:val="32"/>
          <w:lang w:bidi="ar"/>
        </w:rPr>
        <w:t>合同编号：</w:t>
      </w:r>
      <w:r>
        <w:rPr>
          <w:rFonts w:hint="eastAsia" w:ascii="宋体" w:hAnsi="宋体" w:eastAsia="宋体" w:cs="仿宋_GB2312"/>
          <w:b/>
          <w:sz w:val="32"/>
          <w:szCs w:val="32"/>
          <w:u w:val="single"/>
          <w:lang w:bidi="ar"/>
        </w:rPr>
        <w:t xml:space="preserve">                              </w:t>
      </w:r>
    </w:p>
    <w:p w14:paraId="365F4070">
      <w:pPr>
        <w:spacing w:line="600" w:lineRule="auto"/>
        <w:ind w:firstLine="1590" w:firstLineChars="495"/>
        <w:rPr>
          <w:rFonts w:ascii="宋体" w:hAnsi="宋体" w:eastAsia="宋体" w:cs="仿宋_GB2312"/>
          <w:b/>
          <w:kern w:val="0"/>
          <w:sz w:val="32"/>
          <w:szCs w:val="32"/>
        </w:rPr>
      </w:pPr>
      <w:r>
        <w:rPr>
          <w:rFonts w:hint="eastAsia" w:ascii="宋体" w:hAnsi="宋体" w:eastAsia="宋体" w:cs="仿宋_GB2312"/>
          <w:b/>
          <w:sz w:val="32"/>
          <w:szCs w:val="32"/>
          <w:lang w:bidi="ar"/>
        </w:rPr>
        <w:t>采 购 人（甲方）：</w:t>
      </w:r>
      <w:r>
        <w:rPr>
          <w:rFonts w:hint="eastAsia" w:ascii="宋体" w:hAnsi="宋体" w:eastAsia="宋体" w:cs="仿宋_GB2312"/>
          <w:b/>
          <w:sz w:val="32"/>
          <w:szCs w:val="32"/>
          <w:u w:val="single"/>
          <w:lang w:bidi="ar"/>
        </w:rPr>
        <w:t xml:space="preserve">                       </w:t>
      </w:r>
    </w:p>
    <w:p w14:paraId="03DF0A54">
      <w:pPr>
        <w:spacing w:line="600" w:lineRule="auto"/>
        <w:ind w:firstLine="1590" w:firstLineChars="495"/>
        <w:rPr>
          <w:rFonts w:ascii="宋体" w:hAnsi="宋体" w:eastAsia="宋体" w:cs="仿宋_GB2312"/>
          <w:b/>
          <w:kern w:val="0"/>
          <w:sz w:val="32"/>
          <w:szCs w:val="32"/>
        </w:rPr>
      </w:pPr>
      <w:r>
        <w:rPr>
          <w:rFonts w:hint="eastAsia" w:ascii="宋体" w:hAnsi="宋体" w:eastAsia="宋体" w:cs="仿宋_GB2312"/>
          <w:b/>
          <w:sz w:val="32"/>
          <w:szCs w:val="32"/>
          <w:lang w:bidi="ar"/>
        </w:rPr>
        <w:t>供 应 商（乙方）：</w:t>
      </w:r>
      <w:r>
        <w:rPr>
          <w:rFonts w:hint="eastAsia" w:ascii="宋体" w:hAnsi="宋体" w:eastAsia="宋体" w:cs="仿宋_GB2312"/>
          <w:b/>
          <w:sz w:val="32"/>
          <w:szCs w:val="32"/>
          <w:u w:val="single"/>
          <w:lang w:bidi="ar"/>
        </w:rPr>
        <w:t xml:space="preserve">                       </w:t>
      </w:r>
    </w:p>
    <w:p w14:paraId="4DD9A935">
      <w:pPr>
        <w:spacing w:line="600" w:lineRule="auto"/>
        <w:ind w:firstLine="1590" w:firstLineChars="495"/>
        <w:rPr>
          <w:rFonts w:ascii="宋体" w:hAnsi="宋体" w:eastAsia="宋体" w:cs="仿宋_GB2312"/>
          <w:b/>
          <w:kern w:val="0"/>
          <w:sz w:val="32"/>
          <w:szCs w:val="32"/>
          <w:u w:val="single"/>
        </w:rPr>
      </w:pPr>
      <w:r>
        <w:rPr>
          <w:rFonts w:hint="eastAsia" w:ascii="宋体" w:hAnsi="宋体" w:eastAsia="宋体" w:cs="仿宋_GB2312"/>
          <w:b/>
          <w:sz w:val="32"/>
          <w:szCs w:val="32"/>
          <w:lang w:bidi="ar"/>
        </w:rPr>
        <w:t>签订合同地点：</w:t>
      </w:r>
      <w:r>
        <w:rPr>
          <w:rFonts w:hint="eastAsia" w:ascii="宋体" w:hAnsi="宋体" w:eastAsia="宋体" w:cs="仿宋_GB2312"/>
          <w:b/>
          <w:sz w:val="32"/>
          <w:szCs w:val="32"/>
          <w:u w:val="single"/>
          <w:lang w:bidi="ar"/>
        </w:rPr>
        <w:t xml:space="preserve">                          </w:t>
      </w:r>
    </w:p>
    <w:p w14:paraId="7D7F2FB3">
      <w:pPr>
        <w:spacing w:line="600" w:lineRule="auto"/>
        <w:ind w:firstLine="1590" w:firstLineChars="495"/>
        <w:rPr>
          <w:rFonts w:ascii="宋体" w:hAnsi="宋体" w:eastAsia="宋体" w:cs="仿宋_GB2312"/>
          <w:b/>
          <w:kern w:val="0"/>
          <w:sz w:val="32"/>
          <w:szCs w:val="32"/>
        </w:rPr>
      </w:pPr>
      <w:r>
        <w:rPr>
          <w:rFonts w:hint="eastAsia" w:ascii="宋体" w:hAnsi="宋体" w:eastAsia="宋体" w:cs="仿宋_GB2312"/>
          <w:b/>
          <w:sz w:val="32"/>
          <w:szCs w:val="32"/>
          <w:lang w:bidi="ar"/>
        </w:rPr>
        <w:t>签订合同时间：</w:t>
      </w:r>
      <w:r>
        <w:rPr>
          <w:rFonts w:hint="eastAsia" w:ascii="宋体" w:hAnsi="宋体" w:eastAsia="宋体" w:cs="仿宋_GB2312"/>
          <w:b/>
          <w:sz w:val="32"/>
          <w:szCs w:val="32"/>
          <w:u w:val="single"/>
          <w:lang w:bidi="ar"/>
        </w:rPr>
        <w:t xml:space="preserve">                          </w:t>
      </w:r>
    </w:p>
    <w:p w14:paraId="06B10B8E">
      <w:pPr>
        <w:spacing w:line="560" w:lineRule="exact"/>
        <w:rPr>
          <w:rFonts w:ascii="宋体" w:hAnsi="宋体" w:eastAsia="宋体" w:cs="仿宋_GB2312"/>
          <w:b/>
          <w:bCs/>
          <w:sz w:val="32"/>
          <w:szCs w:val="32"/>
        </w:rPr>
      </w:pPr>
      <w:r>
        <w:rPr>
          <w:rFonts w:hint="eastAsia" w:ascii="宋体" w:hAnsi="宋体" w:eastAsia="宋体" w:cs="仿宋_GB2312"/>
          <w:szCs w:val="21"/>
          <w:lang w:bidi="ar"/>
        </w:rPr>
        <w:t>合同使用说明：根据《中华人民共和国政府采购法》《中华人民共和国民法典》等法律法规规定，按照招标文件规定条款和中标供应商投标文件及其承诺，甲乙双方签订本合同。</w:t>
      </w:r>
    </w:p>
    <w:p w14:paraId="7783F328">
      <w:pPr>
        <w:snapToGrid w:val="0"/>
        <w:spacing w:line="400" w:lineRule="exact"/>
        <w:ind w:firstLine="640"/>
        <w:jc w:val="center"/>
        <w:rPr>
          <w:rFonts w:ascii="宋体" w:hAnsi="宋体" w:eastAsia="宋体" w:cs="Times New Roman"/>
          <w:b/>
          <w:bCs/>
          <w:sz w:val="32"/>
          <w:szCs w:val="32"/>
        </w:rPr>
      </w:pPr>
      <w:r>
        <w:rPr>
          <w:rFonts w:hint="eastAsia" w:ascii="宋体" w:hAnsi="宋体" w:eastAsia="宋体" w:cs="仿宋_GB2312"/>
          <w:b/>
          <w:bCs/>
          <w:sz w:val="32"/>
          <w:szCs w:val="32"/>
        </w:rPr>
        <w:br w:type="page"/>
      </w:r>
      <w:r>
        <w:rPr>
          <w:rFonts w:hint="eastAsia" w:ascii="宋体" w:hAnsi="宋体" w:eastAsia="宋体" w:cs="Times New Roman"/>
          <w:b/>
          <w:bCs/>
          <w:sz w:val="32"/>
          <w:szCs w:val="32"/>
        </w:rPr>
        <w:t>《广西壮族自治区政府采购合同》</w:t>
      </w:r>
    </w:p>
    <w:p w14:paraId="34A714D8">
      <w:pPr>
        <w:snapToGrid w:val="0"/>
        <w:spacing w:line="400" w:lineRule="exact"/>
        <w:ind w:right="480" w:firstLine="5250" w:firstLineChars="2500"/>
        <w:rPr>
          <w:rFonts w:ascii="宋体" w:hAnsi="宋体" w:eastAsia="宋体" w:cs="Times New Roman"/>
          <w:bCs/>
          <w:szCs w:val="21"/>
          <w:u w:val="single"/>
        </w:rPr>
      </w:pPr>
      <w:r>
        <w:rPr>
          <w:rFonts w:hint="eastAsia" w:ascii="宋体" w:hAnsi="宋体" w:eastAsia="宋体" w:cs="Times New Roman"/>
          <w:bCs/>
          <w:szCs w:val="21"/>
        </w:rPr>
        <w:t>合同编号：</w:t>
      </w:r>
    </w:p>
    <w:p w14:paraId="4D1F9F54">
      <w:pPr>
        <w:snapToGrid w:val="0"/>
        <w:spacing w:line="360" w:lineRule="exact"/>
        <w:rPr>
          <w:rFonts w:ascii="宋体" w:hAnsi="宋体" w:eastAsia="宋体" w:cs="Times New Roman"/>
          <w:szCs w:val="21"/>
        </w:rPr>
      </w:pPr>
    </w:p>
    <w:p w14:paraId="5CF2A491">
      <w:pPr>
        <w:snapToGrid w:val="0"/>
        <w:spacing w:line="360" w:lineRule="auto"/>
        <w:rPr>
          <w:rFonts w:ascii="宋体" w:hAnsi="宋体" w:eastAsia="宋体" w:cs="Times New Roman"/>
          <w:szCs w:val="21"/>
        </w:rPr>
      </w:pPr>
    </w:p>
    <w:p w14:paraId="61B7B58E">
      <w:pPr>
        <w:snapToGrid w:val="0"/>
        <w:spacing w:line="440" w:lineRule="exact"/>
        <w:rPr>
          <w:rFonts w:ascii="宋体" w:hAnsi="宋体" w:eastAsia="宋体" w:cs="宋体"/>
          <w:szCs w:val="21"/>
          <w:u w:val="single"/>
        </w:rPr>
      </w:pPr>
      <w:r>
        <w:rPr>
          <w:rFonts w:hint="eastAsia" w:ascii="宋体" w:hAnsi="宋体" w:eastAsia="宋体" w:cs="宋体"/>
          <w:szCs w:val="21"/>
        </w:rPr>
        <w:t>采购单位（甲方）</w:t>
      </w:r>
      <w:r>
        <w:rPr>
          <w:rFonts w:hint="eastAsia" w:ascii="宋体" w:hAnsi="宋体" w:eastAsia="宋体" w:cs="宋体"/>
          <w:szCs w:val="21"/>
          <w:u w:val="single"/>
        </w:rPr>
        <w:t xml:space="preserve">                          </w:t>
      </w:r>
      <w:r>
        <w:rPr>
          <w:rFonts w:hint="eastAsia" w:ascii="宋体" w:hAnsi="宋体" w:eastAsia="宋体" w:cs="宋体"/>
          <w:szCs w:val="21"/>
        </w:rPr>
        <w:t xml:space="preserve">  </w:t>
      </w:r>
      <w:r>
        <w:rPr>
          <w:rFonts w:hint="eastAsia" w:ascii="宋体" w:hAnsi="宋体" w:eastAsia="宋体" w:cs="宋体"/>
          <w:spacing w:val="-20"/>
          <w:szCs w:val="21"/>
        </w:rPr>
        <w:t>采 购 计 划 号</w:t>
      </w:r>
      <w:r>
        <w:rPr>
          <w:rFonts w:hint="eastAsia" w:ascii="宋体" w:hAnsi="宋体" w:eastAsia="宋体" w:cs="宋体"/>
          <w:szCs w:val="21"/>
          <w:u w:val="single"/>
        </w:rPr>
        <w:t xml:space="preserve">                        </w:t>
      </w:r>
    </w:p>
    <w:p w14:paraId="5AC266C6">
      <w:pPr>
        <w:snapToGrid w:val="0"/>
        <w:spacing w:line="440" w:lineRule="exact"/>
        <w:rPr>
          <w:rFonts w:ascii="宋体" w:hAnsi="宋体" w:eastAsia="宋体" w:cs="宋体"/>
          <w:szCs w:val="21"/>
          <w:u w:val="single"/>
        </w:rPr>
      </w:pPr>
      <w:r>
        <w:rPr>
          <w:rFonts w:hint="eastAsia" w:ascii="宋体" w:hAnsi="宋体" w:eastAsia="宋体" w:cs="宋体"/>
          <w:szCs w:val="21"/>
        </w:rPr>
        <w:t>供 应 商（乙方）</w:t>
      </w:r>
      <w:r>
        <w:rPr>
          <w:rFonts w:hint="eastAsia" w:ascii="宋体" w:hAnsi="宋体" w:eastAsia="宋体" w:cs="宋体"/>
          <w:szCs w:val="21"/>
          <w:u w:val="single"/>
        </w:rPr>
        <w:t xml:space="preserve">                          </w:t>
      </w:r>
      <w:r>
        <w:rPr>
          <w:rFonts w:hint="eastAsia" w:ascii="宋体" w:hAnsi="宋体" w:eastAsia="宋体" w:cs="宋体"/>
          <w:szCs w:val="21"/>
        </w:rPr>
        <w:t xml:space="preserve">  项目名称</w:t>
      </w:r>
      <w:r>
        <w:rPr>
          <w:rFonts w:hint="eastAsia" w:ascii="宋体" w:hAnsi="宋体" w:eastAsia="宋体" w:cs="宋体"/>
          <w:spacing w:val="-20"/>
          <w:szCs w:val="21"/>
        </w:rPr>
        <w:t>编号</w:t>
      </w:r>
      <w:r>
        <w:rPr>
          <w:rFonts w:hint="eastAsia" w:ascii="宋体" w:hAnsi="宋体" w:eastAsia="宋体" w:cs="宋体"/>
          <w:szCs w:val="21"/>
          <w:u w:val="single"/>
        </w:rPr>
        <w:t xml:space="preserve">                       </w:t>
      </w:r>
    </w:p>
    <w:p w14:paraId="33B17A0E">
      <w:pPr>
        <w:snapToGrid w:val="0"/>
        <w:spacing w:line="440" w:lineRule="exact"/>
        <w:rPr>
          <w:rFonts w:ascii="宋体" w:hAnsi="宋体" w:eastAsia="宋体" w:cs="宋体"/>
          <w:szCs w:val="21"/>
          <w:u w:val="single"/>
        </w:rPr>
      </w:pPr>
      <w:r>
        <w:rPr>
          <w:rFonts w:hint="eastAsia" w:ascii="宋体" w:hAnsi="宋体" w:eastAsia="宋体" w:cs="宋体"/>
          <w:szCs w:val="21"/>
        </w:rPr>
        <w:t xml:space="preserve">签  订  地  点  </w:t>
      </w:r>
      <w:r>
        <w:rPr>
          <w:rFonts w:hint="eastAsia" w:ascii="宋体" w:hAnsi="宋体" w:eastAsia="宋体" w:cs="宋体"/>
          <w:szCs w:val="21"/>
          <w:u w:val="single"/>
        </w:rPr>
        <w:t xml:space="preserve">                          </w:t>
      </w:r>
      <w:r>
        <w:rPr>
          <w:rFonts w:hint="eastAsia" w:ascii="宋体" w:hAnsi="宋体" w:eastAsia="宋体" w:cs="宋体"/>
          <w:szCs w:val="21"/>
        </w:rPr>
        <w:t xml:space="preserve">  签 订 时 间</w:t>
      </w:r>
      <w:r>
        <w:rPr>
          <w:rFonts w:hint="eastAsia" w:ascii="宋体" w:hAnsi="宋体" w:eastAsia="宋体" w:cs="宋体"/>
          <w:szCs w:val="21"/>
          <w:u w:val="single"/>
        </w:rPr>
        <w:t xml:space="preserve">                       </w:t>
      </w:r>
    </w:p>
    <w:p w14:paraId="76FAE994">
      <w:pPr>
        <w:snapToGrid w:val="0"/>
        <w:spacing w:line="440" w:lineRule="exact"/>
        <w:ind w:firstLine="420" w:firstLineChars="200"/>
        <w:rPr>
          <w:rFonts w:ascii="宋体" w:hAnsi="宋体" w:eastAsia="宋体" w:cs="宋体"/>
          <w:szCs w:val="21"/>
        </w:rPr>
      </w:pPr>
    </w:p>
    <w:p w14:paraId="4779F301">
      <w:pPr>
        <w:spacing w:line="440" w:lineRule="exact"/>
        <w:ind w:firstLine="420" w:firstLineChars="200"/>
        <w:rPr>
          <w:rFonts w:ascii="宋体" w:hAnsi="宋体" w:eastAsia="宋体" w:cs="宋体"/>
          <w:kern w:val="0"/>
          <w:szCs w:val="21"/>
          <w:lang w:val="zh-CN"/>
        </w:rPr>
      </w:pPr>
      <w:r>
        <w:rPr>
          <w:rFonts w:hint="eastAsia" w:ascii="宋体" w:hAnsi="宋体" w:eastAsia="宋体" w:cs="宋体"/>
          <w:kern w:val="0"/>
          <w:szCs w:val="21"/>
          <w:lang w:val="zh-CN"/>
        </w:rPr>
        <w:t>根据《中华人民共和国政府采购法》《政府采购货物和服务招标投标管理办法》《中华人民共和国民法典》等法律、法规规定，按照招标文件规定条款和乙方投标文件及其承诺，甲乙双方签订本合同。</w:t>
      </w:r>
    </w:p>
    <w:p w14:paraId="0F585A2B">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 xml:space="preserve">第一条 合同标的 </w:t>
      </w:r>
    </w:p>
    <w:p w14:paraId="1EF42D4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1．供货一览表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512"/>
        <w:gridCol w:w="616"/>
        <w:gridCol w:w="1587"/>
        <w:gridCol w:w="690"/>
        <w:gridCol w:w="1104"/>
        <w:gridCol w:w="661"/>
        <w:gridCol w:w="980"/>
        <w:gridCol w:w="1009"/>
      </w:tblGrid>
      <w:tr w14:paraId="7A22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6" w:type="dxa"/>
            <w:tcBorders>
              <w:top w:val="single" w:color="auto" w:sz="4" w:space="0"/>
              <w:left w:val="single" w:color="auto" w:sz="4" w:space="0"/>
              <w:bottom w:val="single" w:color="auto" w:sz="4" w:space="0"/>
              <w:right w:val="single" w:color="auto" w:sz="4" w:space="0"/>
            </w:tcBorders>
            <w:vAlign w:val="center"/>
          </w:tcPr>
          <w:p w14:paraId="07EAD9C8">
            <w:pPr>
              <w:spacing w:line="440" w:lineRule="exact"/>
              <w:ind w:right="-42" w:rightChars="-20"/>
              <w:rPr>
                <w:rFonts w:ascii="宋体" w:hAnsi="宋体" w:eastAsia="宋体" w:cs="宋体"/>
                <w:szCs w:val="21"/>
              </w:rPr>
            </w:pPr>
            <w:r>
              <w:rPr>
                <w:rFonts w:hint="eastAsia" w:ascii="宋体" w:hAnsi="宋体" w:eastAsia="宋体" w:cs="宋体"/>
                <w:szCs w:val="21"/>
              </w:rPr>
              <w:t>序号</w:t>
            </w:r>
          </w:p>
        </w:tc>
        <w:tc>
          <w:tcPr>
            <w:tcW w:w="1512" w:type="dxa"/>
            <w:tcBorders>
              <w:top w:val="single" w:color="auto" w:sz="4" w:space="0"/>
              <w:left w:val="single" w:color="auto" w:sz="4" w:space="0"/>
              <w:bottom w:val="single" w:color="auto" w:sz="4" w:space="0"/>
              <w:right w:val="single" w:color="auto" w:sz="4" w:space="0"/>
            </w:tcBorders>
            <w:vAlign w:val="center"/>
          </w:tcPr>
          <w:p w14:paraId="0EE2595C">
            <w:pPr>
              <w:spacing w:line="440" w:lineRule="exact"/>
              <w:jc w:val="center"/>
              <w:rPr>
                <w:rFonts w:ascii="宋体" w:hAnsi="宋体" w:eastAsia="宋体" w:cs="宋体"/>
                <w:szCs w:val="21"/>
              </w:rPr>
            </w:pPr>
            <w:r>
              <w:rPr>
                <w:rFonts w:hint="eastAsia" w:ascii="宋体" w:hAnsi="宋体" w:eastAsia="宋体" w:cs="宋体"/>
                <w:szCs w:val="21"/>
              </w:rPr>
              <w:t>标的名称</w:t>
            </w:r>
          </w:p>
        </w:tc>
        <w:tc>
          <w:tcPr>
            <w:tcW w:w="616" w:type="dxa"/>
            <w:tcBorders>
              <w:top w:val="single" w:color="auto" w:sz="4" w:space="0"/>
              <w:left w:val="single" w:color="auto" w:sz="4" w:space="0"/>
              <w:bottom w:val="single" w:color="auto" w:sz="4" w:space="0"/>
              <w:right w:val="single" w:color="auto" w:sz="4" w:space="0"/>
            </w:tcBorders>
            <w:vAlign w:val="center"/>
          </w:tcPr>
          <w:p w14:paraId="13911793">
            <w:pPr>
              <w:spacing w:line="440" w:lineRule="exact"/>
              <w:jc w:val="center"/>
              <w:rPr>
                <w:rFonts w:ascii="宋体" w:hAnsi="宋体" w:eastAsia="宋体" w:cs="宋体"/>
                <w:szCs w:val="21"/>
              </w:rPr>
            </w:pPr>
            <w:r>
              <w:rPr>
                <w:rFonts w:hint="eastAsia" w:ascii="宋体" w:hAnsi="宋体" w:eastAsia="宋体" w:cs="宋体"/>
                <w:szCs w:val="21"/>
              </w:rPr>
              <w:t>国别</w:t>
            </w:r>
          </w:p>
        </w:tc>
        <w:tc>
          <w:tcPr>
            <w:tcW w:w="1587" w:type="dxa"/>
            <w:tcBorders>
              <w:top w:val="single" w:color="auto" w:sz="4" w:space="0"/>
              <w:left w:val="single" w:color="auto" w:sz="4" w:space="0"/>
              <w:bottom w:val="single" w:color="auto" w:sz="4" w:space="0"/>
              <w:right w:val="single" w:color="auto" w:sz="4" w:space="0"/>
            </w:tcBorders>
            <w:vAlign w:val="center"/>
          </w:tcPr>
          <w:p w14:paraId="04B2300A">
            <w:pPr>
              <w:spacing w:line="440" w:lineRule="exact"/>
              <w:jc w:val="center"/>
              <w:rPr>
                <w:rFonts w:ascii="宋体" w:hAnsi="宋体" w:eastAsia="宋体" w:cs="宋体"/>
                <w:szCs w:val="21"/>
              </w:rPr>
            </w:pPr>
            <w:r>
              <w:rPr>
                <w:rFonts w:hint="eastAsia" w:ascii="宋体" w:hAnsi="宋体" w:eastAsia="宋体" w:cs="宋体"/>
                <w:szCs w:val="21"/>
              </w:rPr>
              <w:t>生产厂家</w:t>
            </w:r>
          </w:p>
        </w:tc>
        <w:tc>
          <w:tcPr>
            <w:tcW w:w="690" w:type="dxa"/>
            <w:tcBorders>
              <w:top w:val="single" w:color="auto" w:sz="4" w:space="0"/>
              <w:left w:val="single" w:color="auto" w:sz="4" w:space="0"/>
              <w:bottom w:val="single" w:color="auto" w:sz="4" w:space="0"/>
              <w:right w:val="single" w:color="auto" w:sz="4" w:space="0"/>
            </w:tcBorders>
            <w:vAlign w:val="center"/>
          </w:tcPr>
          <w:p w14:paraId="2B529E35">
            <w:pPr>
              <w:spacing w:line="440" w:lineRule="exact"/>
              <w:jc w:val="center"/>
              <w:rPr>
                <w:rFonts w:ascii="宋体" w:hAnsi="宋体" w:eastAsia="宋体" w:cs="宋体"/>
                <w:szCs w:val="21"/>
              </w:rPr>
            </w:pPr>
            <w:r>
              <w:rPr>
                <w:rFonts w:hint="eastAsia" w:ascii="宋体" w:hAnsi="宋体" w:eastAsia="宋体" w:cs="宋体"/>
                <w:szCs w:val="21"/>
              </w:rPr>
              <w:t>品牌</w:t>
            </w:r>
          </w:p>
        </w:tc>
        <w:tc>
          <w:tcPr>
            <w:tcW w:w="1104" w:type="dxa"/>
            <w:tcBorders>
              <w:top w:val="single" w:color="auto" w:sz="4" w:space="0"/>
              <w:left w:val="single" w:color="auto" w:sz="4" w:space="0"/>
              <w:bottom w:val="single" w:color="auto" w:sz="4" w:space="0"/>
              <w:right w:val="single" w:color="auto" w:sz="4" w:space="0"/>
            </w:tcBorders>
            <w:vAlign w:val="center"/>
          </w:tcPr>
          <w:p w14:paraId="34696C53">
            <w:pPr>
              <w:spacing w:line="440" w:lineRule="exact"/>
              <w:jc w:val="center"/>
              <w:rPr>
                <w:rFonts w:ascii="宋体" w:hAnsi="宋体" w:eastAsia="宋体" w:cs="宋体"/>
                <w:szCs w:val="21"/>
              </w:rPr>
            </w:pPr>
            <w:r>
              <w:rPr>
                <w:rFonts w:hint="eastAsia" w:ascii="宋体" w:hAnsi="宋体" w:eastAsia="宋体" w:cs="宋体"/>
                <w:szCs w:val="21"/>
              </w:rPr>
              <w:t>规格型号</w:t>
            </w:r>
          </w:p>
        </w:tc>
        <w:tc>
          <w:tcPr>
            <w:tcW w:w="661" w:type="dxa"/>
            <w:tcBorders>
              <w:top w:val="single" w:color="auto" w:sz="4" w:space="0"/>
              <w:left w:val="single" w:color="auto" w:sz="4" w:space="0"/>
              <w:bottom w:val="single" w:color="auto" w:sz="4" w:space="0"/>
              <w:right w:val="single" w:color="auto" w:sz="4" w:space="0"/>
            </w:tcBorders>
            <w:vAlign w:val="center"/>
          </w:tcPr>
          <w:p w14:paraId="6041C7BB">
            <w:pPr>
              <w:spacing w:line="440" w:lineRule="exact"/>
              <w:jc w:val="center"/>
              <w:rPr>
                <w:rFonts w:ascii="宋体" w:hAnsi="宋体" w:eastAsia="宋体" w:cs="宋体"/>
                <w:szCs w:val="21"/>
              </w:rPr>
            </w:pPr>
            <w:r>
              <w:rPr>
                <w:rFonts w:hint="eastAsia" w:ascii="宋体" w:hAnsi="宋体" w:eastAsia="宋体" w:cs="宋体"/>
                <w:szCs w:val="21"/>
              </w:rPr>
              <w:t>数量</w:t>
            </w:r>
          </w:p>
          <w:p w14:paraId="40F6C627">
            <w:pPr>
              <w:spacing w:line="440" w:lineRule="exact"/>
              <w:jc w:val="center"/>
              <w:rPr>
                <w:rFonts w:ascii="宋体" w:hAnsi="宋体" w:eastAsia="宋体" w:cs="宋体"/>
                <w:szCs w:val="21"/>
              </w:rPr>
            </w:pPr>
            <w:r>
              <w:rPr>
                <w:rFonts w:hint="eastAsia" w:ascii="宋体" w:hAnsi="宋体" w:eastAsia="宋体" w:cs="宋体"/>
                <w:szCs w:val="21"/>
              </w:rPr>
              <w:t>/单位</w:t>
            </w:r>
          </w:p>
        </w:tc>
        <w:tc>
          <w:tcPr>
            <w:tcW w:w="980" w:type="dxa"/>
            <w:tcBorders>
              <w:top w:val="single" w:color="auto" w:sz="4" w:space="0"/>
              <w:left w:val="single" w:color="auto" w:sz="4" w:space="0"/>
              <w:bottom w:val="single" w:color="auto" w:sz="4" w:space="0"/>
              <w:right w:val="single" w:color="auto" w:sz="4" w:space="0"/>
            </w:tcBorders>
            <w:vAlign w:val="center"/>
          </w:tcPr>
          <w:p w14:paraId="46E389EC">
            <w:pPr>
              <w:spacing w:line="440" w:lineRule="exact"/>
              <w:jc w:val="center"/>
              <w:rPr>
                <w:rFonts w:ascii="宋体" w:hAnsi="宋体" w:eastAsia="宋体" w:cs="宋体"/>
                <w:szCs w:val="21"/>
              </w:rPr>
            </w:pPr>
            <w:r>
              <w:rPr>
                <w:rFonts w:hint="eastAsia" w:ascii="宋体" w:hAnsi="宋体" w:eastAsia="宋体" w:cs="宋体"/>
                <w:szCs w:val="21"/>
              </w:rPr>
              <w:t>单价（元)</w:t>
            </w:r>
          </w:p>
        </w:tc>
        <w:tc>
          <w:tcPr>
            <w:tcW w:w="1009" w:type="dxa"/>
            <w:tcBorders>
              <w:top w:val="single" w:color="auto" w:sz="4" w:space="0"/>
              <w:left w:val="single" w:color="auto" w:sz="4" w:space="0"/>
              <w:bottom w:val="single" w:color="auto" w:sz="4" w:space="0"/>
              <w:right w:val="single" w:color="auto" w:sz="4" w:space="0"/>
            </w:tcBorders>
            <w:vAlign w:val="center"/>
          </w:tcPr>
          <w:p w14:paraId="0694F01D">
            <w:pPr>
              <w:spacing w:line="440" w:lineRule="exact"/>
              <w:jc w:val="center"/>
              <w:rPr>
                <w:rFonts w:ascii="宋体" w:hAnsi="宋体" w:eastAsia="宋体" w:cs="宋体"/>
                <w:szCs w:val="21"/>
              </w:rPr>
            </w:pPr>
            <w:r>
              <w:rPr>
                <w:rFonts w:hint="eastAsia" w:ascii="宋体" w:hAnsi="宋体" w:eastAsia="宋体" w:cs="宋体"/>
                <w:szCs w:val="21"/>
              </w:rPr>
              <w:t>金额（元)</w:t>
            </w:r>
          </w:p>
        </w:tc>
      </w:tr>
      <w:tr w14:paraId="4D8C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6" w:type="dxa"/>
            <w:tcBorders>
              <w:top w:val="single" w:color="auto" w:sz="4" w:space="0"/>
              <w:left w:val="single" w:color="auto" w:sz="4" w:space="0"/>
              <w:bottom w:val="single" w:color="auto" w:sz="4" w:space="0"/>
              <w:right w:val="single" w:color="auto" w:sz="4" w:space="0"/>
            </w:tcBorders>
            <w:vAlign w:val="center"/>
          </w:tcPr>
          <w:p w14:paraId="4C12E61C">
            <w:pPr>
              <w:tabs>
                <w:tab w:val="left" w:pos="5660"/>
              </w:tabs>
              <w:autoSpaceDE w:val="0"/>
              <w:autoSpaceDN w:val="0"/>
              <w:adjustRightInd w:val="0"/>
              <w:snapToGrid w:val="0"/>
              <w:spacing w:line="440" w:lineRule="exact"/>
              <w:jc w:val="center"/>
              <w:rPr>
                <w:rFonts w:ascii="宋体" w:hAnsi="宋体" w:eastAsia="宋体" w:cs="宋体"/>
                <w:kern w:val="0"/>
                <w:szCs w:val="21"/>
              </w:rPr>
            </w:pPr>
          </w:p>
        </w:tc>
        <w:tc>
          <w:tcPr>
            <w:tcW w:w="1512" w:type="dxa"/>
            <w:tcBorders>
              <w:top w:val="single" w:color="auto" w:sz="4" w:space="0"/>
              <w:left w:val="single" w:color="auto" w:sz="4" w:space="0"/>
              <w:bottom w:val="single" w:color="auto" w:sz="4" w:space="0"/>
              <w:right w:val="single" w:color="auto" w:sz="4" w:space="0"/>
            </w:tcBorders>
            <w:vAlign w:val="center"/>
          </w:tcPr>
          <w:p w14:paraId="469C5C5C">
            <w:pPr>
              <w:spacing w:line="440" w:lineRule="exact"/>
              <w:jc w:val="center"/>
              <w:rPr>
                <w:rFonts w:ascii="宋体" w:hAnsi="宋体" w:eastAsia="宋体" w:cs="宋体"/>
                <w:szCs w:val="21"/>
              </w:rPr>
            </w:pPr>
          </w:p>
        </w:tc>
        <w:tc>
          <w:tcPr>
            <w:tcW w:w="616" w:type="dxa"/>
            <w:tcBorders>
              <w:top w:val="single" w:color="auto" w:sz="4" w:space="0"/>
              <w:left w:val="single" w:color="auto" w:sz="4" w:space="0"/>
              <w:bottom w:val="single" w:color="auto" w:sz="4" w:space="0"/>
              <w:right w:val="single" w:color="auto" w:sz="4" w:space="0"/>
            </w:tcBorders>
            <w:vAlign w:val="center"/>
          </w:tcPr>
          <w:p w14:paraId="0F783B03">
            <w:pPr>
              <w:spacing w:line="440" w:lineRule="exact"/>
              <w:jc w:val="center"/>
              <w:rPr>
                <w:rFonts w:ascii="宋体" w:hAnsi="宋体" w:eastAsia="宋体" w:cs="宋体"/>
                <w:szCs w:val="21"/>
              </w:rPr>
            </w:pPr>
          </w:p>
        </w:tc>
        <w:tc>
          <w:tcPr>
            <w:tcW w:w="1587" w:type="dxa"/>
            <w:tcBorders>
              <w:top w:val="single" w:color="auto" w:sz="4" w:space="0"/>
              <w:left w:val="single" w:color="auto" w:sz="4" w:space="0"/>
              <w:bottom w:val="single" w:color="auto" w:sz="4" w:space="0"/>
              <w:right w:val="single" w:color="auto" w:sz="4" w:space="0"/>
            </w:tcBorders>
            <w:vAlign w:val="center"/>
          </w:tcPr>
          <w:p w14:paraId="5CF499A5">
            <w:pPr>
              <w:spacing w:line="440" w:lineRule="exact"/>
              <w:jc w:val="center"/>
              <w:rPr>
                <w:rFonts w:ascii="宋体" w:hAnsi="宋体" w:eastAsia="宋体" w:cs="宋体"/>
                <w:szCs w:val="21"/>
              </w:rPr>
            </w:pPr>
          </w:p>
        </w:tc>
        <w:tc>
          <w:tcPr>
            <w:tcW w:w="690" w:type="dxa"/>
            <w:tcBorders>
              <w:top w:val="single" w:color="auto" w:sz="4" w:space="0"/>
              <w:left w:val="single" w:color="auto" w:sz="4" w:space="0"/>
              <w:bottom w:val="single" w:color="auto" w:sz="4" w:space="0"/>
              <w:right w:val="single" w:color="auto" w:sz="4" w:space="0"/>
            </w:tcBorders>
            <w:vAlign w:val="center"/>
          </w:tcPr>
          <w:p w14:paraId="03D71439">
            <w:pPr>
              <w:spacing w:line="440" w:lineRule="exact"/>
              <w:jc w:val="center"/>
              <w:rPr>
                <w:rFonts w:ascii="宋体" w:hAnsi="宋体" w:eastAsia="宋体" w:cs="宋体"/>
                <w:szCs w:val="21"/>
              </w:rPr>
            </w:pPr>
          </w:p>
        </w:tc>
        <w:tc>
          <w:tcPr>
            <w:tcW w:w="1104" w:type="dxa"/>
            <w:tcBorders>
              <w:top w:val="single" w:color="auto" w:sz="4" w:space="0"/>
              <w:left w:val="single" w:color="auto" w:sz="4" w:space="0"/>
              <w:bottom w:val="single" w:color="auto" w:sz="4" w:space="0"/>
              <w:right w:val="single" w:color="auto" w:sz="4" w:space="0"/>
            </w:tcBorders>
            <w:vAlign w:val="center"/>
          </w:tcPr>
          <w:p w14:paraId="30E858C5">
            <w:pPr>
              <w:spacing w:line="440" w:lineRule="exact"/>
              <w:jc w:val="center"/>
              <w:rPr>
                <w:rFonts w:ascii="宋体" w:hAnsi="宋体" w:eastAsia="宋体" w:cs="宋体"/>
                <w:szCs w:val="21"/>
              </w:rPr>
            </w:pPr>
          </w:p>
        </w:tc>
        <w:tc>
          <w:tcPr>
            <w:tcW w:w="661" w:type="dxa"/>
            <w:tcBorders>
              <w:top w:val="single" w:color="auto" w:sz="4" w:space="0"/>
              <w:left w:val="single" w:color="auto" w:sz="4" w:space="0"/>
              <w:bottom w:val="single" w:color="auto" w:sz="4" w:space="0"/>
              <w:right w:val="single" w:color="auto" w:sz="4" w:space="0"/>
            </w:tcBorders>
            <w:vAlign w:val="center"/>
          </w:tcPr>
          <w:p w14:paraId="3160EA71">
            <w:pPr>
              <w:spacing w:line="440" w:lineRule="exact"/>
              <w:jc w:val="center"/>
              <w:rPr>
                <w:rFonts w:ascii="宋体" w:hAnsi="宋体" w:eastAsia="宋体" w:cs="宋体"/>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148A5C00">
            <w:pPr>
              <w:widowControl/>
              <w:spacing w:line="440" w:lineRule="exact"/>
              <w:jc w:val="center"/>
              <w:textAlignment w:val="center"/>
              <w:rPr>
                <w:rFonts w:ascii="宋体" w:hAnsi="宋体" w:eastAsia="宋体" w:cs="宋体"/>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54839FBE">
            <w:pPr>
              <w:widowControl/>
              <w:spacing w:line="440" w:lineRule="exact"/>
              <w:jc w:val="center"/>
              <w:textAlignment w:val="center"/>
              <w:rPr>
                <w:rFonts w:ascii="宋体" w:hAnsi="宋体" w:eastAsia="宋体" w:cs="宋体"/>
                <w:szCs w:val="21"/>
              </w:rPr>
            </w:pPr>
          </w:p>
        </w:tc>
      </w:tr>
      <w:tr w14:paraId="5EDB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6" w:type="dxa"/>
            <w:tcBorders>
              <w:top w:val="single" w:color="auto" w:sz="4" w:space="0"/>
              <w:left w:val="single" w:color="auto" w:sz="4" w:space="0"/>
              <w:bottom w:val="single" w:color="auto" w:sz="4" w:space="0"/>
              <w:right w:val="single" w:color="auto" w:sz="4" w:space="0"/>
            </w:tcBorders>
            <w:vAlign w:val="center"/>
          </w:tcPr>
          <w:p w14:paraId="59305AAF">
            <w:pPr>
              <w:tabs>
                <w:tab w:val="left" w:pos="5660"/>
              </w:tabs>
              <w:autoSpaceDE w:val="0"/>
              <w:autoSpaceDN w:val="0"/>
              <w:adjustRightInd w:val="0"/>
              <w:snapToGrid w:val="0"/>
              <w:spacing w:line="440" w:lineRule="exact"/>
              <w:jc w:val="center"/>
              <w:rPr>
                <w:rFonts w:ascii="宋体" w:hAnsi="宋体" w:eastAsia="宋体" w:cs="宋体"/>
                <w:kern w:val="0"/>
                <w:szCs w:val="21"/>
              </w:rPr>
            </w:pPr>
          </w:p>
        </w:tc>
        <w:tc>
          <w:tcPr>
            <w:tcW w:w="1512" w:type="dxa"/>
            <w:tcBorders>
              <w:top w:val="single" w:color="auto" w:sz="4" w:space="0"/>
              <w:left w:val="single" w:color="auto" w:sz="4" w:space="0"/>
              <w:bottom w:val="single" w:color="auto" w:sz="4" w:space="0"/>
              <w:right w:val="single" w:color="auto" w:sz="4" w:space="0"/>
            </w:tcBorders>
            <w:vAlign w:val="center"/>
          </w:tcPr>
          <w:p w14:paraId="0182C1DA">
            <w:pPr>
              <w:spacing w:line="440" w:lineRule="exact"/>
              <w:jc w:val="center"/>
              <w:rPr>
                <w:rFonts w:ascii="宋体" w:hAnsi="宋体" w:eastAsia="宋体" w:cs="宋体"/>
                <w:szCs w:val="21"/>
              </w:rPr>
            </w:pPr>
          </w:p>
        </w:tc>
        <w:tc>
          <w:tcPr>
            <w:tcW w:w="616" w:type="dxa"/>
            <w:tcBorders>
              <w:top w:val="single" w:color="auto" w:sz="4" w:space="0"/>
              <w:left w:val="single" w:color="auto" w:sz="4" w:space="0"/>
              <w:bottom w:val="single" w:color="auto" w:sz="4" w:space="0"/>
              <w:right w:val="single" w:color="auto" w:sz="4" w:space="0"/>
            </w:tcBorders>
            <w:vAlign w:val="center"/>
          </w:tcPr>
          <w:p w14:paraId="55BB2A6C">
            <w:pPr>
              <w:spacing w:line="440" w:lineRule="exact"/>
              <w:jc w:val="center"/>
              <w:rPr>
                <w:rFonts w:ascii="宋体" w:hAnsi="宋体" w:eastAsia="宋体" w:cs="宋体"/>
                <w:szCs w:val="21"/>
              </w:rPr>
            </w:pPr>
          </w:p>
        </w:tc>
        <w:tc>
          <w:tcPr>
            <w:tcW w:w="1587" w:type="dxa"/>
            <w:tcBorders>
              <w:top w:val="single" w:color="auto" w:sz="4" w:space="0"/>
              <w:left w:val="single" w:color="auto" w:sz="4" w:space="0"/>
              <w:bottom w:val="single" w:color="auto" w:sz="4" w:space="0"/>
              <w:right w:val="single" w:color="auto" w:sz="4" w:space="0"/>
            </w:tcBorders>
            <w:vAlign w:val="center"/>
          </w:tcPr>
          <w:p w14:paraId="56292F52">
            <w:pPr>
              <w:spacing w:line="440" w:lineRule="exact"/>
              <w:jc w:val="center"/>
              <w:rPr>
                <w:rFonts w:ascii="宋体" w:hAnsi="宋体" w:eastAsia="宋体" w:cs="宋体"/>
                <w:szCs w:val="21"/>
              </w:rPr>
            </w:pPr>
          </w:p>
        </w:tc>
        <w:tc>
          <w:tcPr>
            <w:tcW w:w="690" w:type="dxa"/>
            <w:tcBorders>
              <w:top w:val="single" w:color="auto" w:sz="4" w:space="0"/>
              <w:left w:val="single" w:color="auto" w:sz="4" w:space="0"/>
              <w:bottom w:val="single" w:color="auto" w:sz="4" w:space="0"/>
              <w:right w:val="single" w:color="auto" w:sz="4" w:space="0"/>
            </w:tcBorders>
            <w:vAlign w:val="center"/>
          </w:tcPr>
          <w:p w14:paraId="0DC71A87">
            <w:pPr>
              <w:spacing w:line="440" w:lineRule="exact"/>
              <w:jc w:val="center"/>
              <w:rPr>
                <w:rFonts w:ascii="宋体" w:hAnsi="宋体" w:eastAsia="宋体" w:cs="宋体"/>
                <w:szCs w:val="21"/>
              </w:rPr>
            </w:pPr>
          </w:p>
        </w:tc>
        <w:tc>
          <w:tcPr>
            <w:tcW w:w="1104" w:type="dxa"/>
            <w:tcBorders>
              <w:top w:val="single" w:color="auto" w:sz="4" w:space="0"/>
              <w:left w:val="single" w:color="auto" w:sz="4" w:space="0"/>
              <w:bottom w:val="single" w:color="auto" w:sz="4" w:space="0"/>
              <w:right w:val="single" w:color="auto" w:sz="4" w:space="0"/>
            </w:tcBorders>
            <w:vAlign w:val="center"/>
          </w:tcPr>
          <w:p w14:paraId="22FB38BC">
            <w:pPr>
              <w:spacing w:line="440" w:lineRule="exact"/>
              <w:jc w:val="center"/>
              <w:rPr>
                <w:rFonts w:ascii="宋体" w:hAnsi="宋体" w:eastAsia="宋体" w:cs="宋体"/>
                <w:szCs w:val="21"/>
              </w:rPr>
            </w:pPr>
          </w:p>
        </w:tc>
        <w:tc>
          <w:tcPr>
            <w:tcW w:w="661" w:type="dxa"/>
            <w:tcBorders>
              <w:top w:val="single" w:color="auto" w:sz="4" w:space="0"/>
              <w:left w:val="single" w:color="auto" w:sz="4" w:space="0"/>
              <w:bottom w:val="single" w:color="auto" w:sz="4" w:space="0"/>
              <w:right w:val="single" w:color="auto" w:sz="4" w:space="0"/>
            </w:tcBorders>
            <w:vAlign w:val="center"/>
          </w:tcPr>
          <w:p w14:paraId="404EC368">
            <w:pPr>
              <w:spacing w:line="440" w:lineRule="exact"/>
              <w:jc w:val="center"/>
              <w:rPr>
                <w:rFonts w:ascii="宋体" w:hAnsi="宋体" w:eastAsia="宋体" w:cs="宋体"/>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04A8D803">
            <w:pPr>
              <w:widowControl/>
              <w:spacing w:line="440" w:lineRule="exact"/>
              <w:jc w:val="center"/>
              <w:textAlignment w:val="center"/>
              <w:rPr>
                <w:rFonts w:ascii="宋体" w:hAnsi="宋体" w:eastAsia="宋体" w:cs="宋体"/>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2467E189">
            <w:pPr>
              <w:widowControl/>
              <w:spacing w:line="440" w:lineRule="exact"/>
              <w:jc w:val="center"/>
              <w:textAlignment w:val="center"/>
              <w:rPr>
                <w:rFonts w:ascii="宋体" w:hAnsi="宋体" w:eastAsia="宋体" w:cs="宋体"/>
                <w:szCs w:val="21"/>
              </w:rPr>
            </w:pPr>
          </w:p>
        </w:tc>
      </w:tr>
      <w:tr w14:paraId="2E62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6" w:type="dxa"/>
            <w:tcBorders>
              <w:top w:val="single" w:color="auto" w:sz="4" w:space="0"/>
              <w:left w:val="single" w:color="auto" w:sz="4" w:space="0"/>
              <w:bottom w:val="single" w:color="auto" w:sz="4" w:space="0"/>
              <w:right w:val="single" w:color="auto" w:sz="4" w:space="0"/>
            </w:tcBorders>
            <w:vAlign w:val="center"/>
          </w:tcPr>
          <w:p w14:paraId="08FC50AF">
            <w:pPr>
              <w:tabs>
                <w:tab w:val="left" w:pos="5660"/>
              </w:tabs>
              <w:autoSpaceDE w:val="0"/>
              <w:autoSpaceDN w:val="0"/>
              <w:adjustRightInd w:val="0"/>
              <w:snapToGrid w:val="0"/>
              <w:spacing w:line="440" w:lineRule="exact"/>
              <w:jc w:val="center"/>
              <w:rPr>
                <w:rFonts w:ascii="宋体" w:hAnsi="宋体" w:eastAsia="宋体" w:cs="宋体"/>
                <w:kern w:val="0"/>
                <w:szCs w:val="21"/>
              </w:rPr>
            </w:pPr>
          </w:p>
        </w:tc>
        <w:tc>
          <w:tcPr>
            <w:tcW w:w="1512" w:type="dxa"/>
            <w:tcBorders>
              <w:top w:val="single" w:color="auto" w:sz="4" w:space="0"/>
              <w:left w:val="single" w:color="auto" w:sz="4" w:space="0"/>
              <w:bottom w:val="single" w:color="auto" w:sz="4" w:space="0"/>
              <w:right w:val="single" w:color="auto" w:sz="4" w:space="0"/>
            </w:tcBorders>
            <w:vAlign w:val="center"/>
          </w:tcPr>
          <w:p w14:paraId="25488E6F">
            <w:pPr>
              <w:spacing w:line="440" w:lineRule="exact"/>
              <w:jc w:val="center"/>
              <w:rPr>
                <w:rFonts w:ascii="宋体" w:hAnsi="宋体" w:eastAsia="宋体" w:cs="宋体"/>
                <w:szCs w:val="21"/>
              </w:rPr>
            </w:pPr>
          </w:p>
        </w:tc>
        <w:tc>
          <w:tcPr>
            <w:tcW w:w="616" w:type="dxa"/>
            <w:tcBorders>
              <w:top w:val="single" w:color="auto" w:sz="4" w:space="0"/>
              <w:left w:val="single" w:color="auto" w:sz="4" w:space="0"/>
              <w:bottom w:val="single" w:color="auto" w:sz="4" w:space="0"/>
              <w:right w:val="single" w:color="auto" w:sz="4" w:space="0"/>
            </w:tcBorders>
            <w:vAlign w:val="center"/>
          </w:tcPr>
          <w:p w14:paraId="63E0E840">
            <w:pPr>
              <w:spacing w:line="440" w:lineRule="exact"/>
              <w:jc w:val="center"/>
              <w:rPr>
                <w:rFonts w:ascii="宋体" w:hAnsi="宋体" w:eastAsia="宋体" w:cs="宋体"/>
                <w:szCs w:val="21"/>
              </w:rPr>
            </w:pPr>
          </w:p>
        </w:tc>
        <w:tc>
          <w:tcPr>
            <w:tcW w:w="1587" w:type="dxa"/>
            <w:tcBorders>
              <w:top w:val="single" w:color="auto" w:sz="4" w:space="0"/>
              <w:left w:val="single" w:color="auto" w:sz="4" w:space="0"/>
              <w:bottom w:val="single" w:color="auto" w:sz="4" w:space="0"/>
              <w:right w:val="single" w:color="auto" w:sz="4" w:space="0"/>
            </w:tcBorders>
            <w:vAlign w:val="center"/>
          </w:tcPr>
          <w:p w14:paraId="1DF74342">
            <w:pPr>
              <w:spacing w:line="440" w:lineRule="exact"/>
              <w:jc w:val="center"/>
              <w:rPr>
                <w:rFonts w:ascii="宋体" w:hAnsi="宋体" w:eastAsia="宋体" w:cs="宋体"/>
                <w:szCs w:val="21"/>
              </w:rPr>
            </w:pPr>
          </w:p>
        </w:tc>
        <w:tc>
          <w:tcPr>
            <w:tcW w:w="690" w:type="dxa"/>
            <w:tcBorders>
              <w:top w:val="single" w:color="auto" w:sz="4" w:space="0"/>
              <w:left w:val="single" w:color="auto" w:sz="4" w:space="0"/>
              <w:bottom w:val="single" w:color="auto" w:sz="4" w:space="0"/>
              <w:right w:val="single" w:color="auto" w:sz="4" w:space="0"/>
            </w:tcBorders>
            <w:vAlign w:val="center"/>
          </w:tcPr>
          <w:p w14:paraId="679C2DC4">
            <w:pPr>
              <w:spacing w:line="440" w:lineRule="exact"/>
              <w:jc w:val="center"/>
              <w:rPr>
                <w:rFonts w:ascii="宋体" w:hAnsi="宋体" w:eastAsia="宋体" w:cs="宋体"/>
                <w:szCs w:val="21"/>
              </w:rPr>
            </w:pPr>
          </w:p>
        </w:tc>
        <w:tc>
          <w:tcPr>
            <w:tcW w:w="1104" w:type="dxa"/>
            <w:tcBorders>
              <w:top w:val="single" w:color="auto" w:sz="4" w:space="0"/>
              <w:left w:val="single" w:color="auto" w:sz="4" w:space="0"/>
              <w:bottom w:val="single" w:color="auto" w:sz="4" w:space="0"/>
              <w:right w:val="single" w:color="auto" w:sz="4" w:space="0"/>
            </w:tcBorders>
            <w:vAlign w:val="center"/>
          </w:tcPr>
          <w:p w14:paraId="0F4B7DE9">
            <w:pPr>
              <w:spacing w:line="440" w:lineRule="exact"/>
              <w:jc w:val="center"/>
              <w:rPr>
                <w:rFonts w:ascii="宋体" w:hAnsi="宋体" w:eastAsia="宋体" w:cs="宋体"/>
                <w:szCs w:val="21"/>
              </w:rPr>
            </w:pPr>
          </w:p>
        </w:tc>
        <w:tc>
          <w:tcPr>
            <w:tcW w:w="661" w:type="dxa"/>
            <w:tcBorders>
              <w:top w:val="single" w:color="auto" w:sz="4" w:space="0"/>
              <w:left w:val="single" w:color="auto" w:sz="4" w:space="0"/>
              <w:bottom w:val="single" w:color="auto" w:sz="4" w:space="0"/>
              <w:right w:val="single" w:color="auto" w:sz="4" w:space="0"/>
            </w:tcBorders>
            <w:vAlign w:val="center"/>
          </w:tcPr>
          <w:p w14:paraId="364DC89E">
            <w:pPr>
              <w:spacing w:line="440" w:lineRule="exact"/>
              <w:jc w:val="center"/>
              <w:rPr>
                <w:rFonts w:ascii="宋体" w:hAnsi="宋体" w:eastAsia="宋体" w:cs="宋体"/>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4AD7A0CB">
            <w:pPr>
              <w:widowControl/>
              <w:spacing w:line="440" w:lineRule="exact"/>
              <w:jc w:val="center"/>
              <w:textAlignment w:val="center"/>
              <w:rPr>
                <w:rFonts w:ascii="宋体" w:hAnsi="宋体" w:eastAsia="宋体" w:cs="宋体"/>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6E0F88DE">
            <w:pPr>
              <w:widowControl/>
              <w:spacing w:line="440" w:lineRule="exact"/>
              <w:jc w:val="center"/>
              <w:textAlignment w:val="center"/>
              <w:rPr>
                <w:rFonts w:ascii="宋体" w:hAnsi="宋体" w:eastAsia="宋体" w:cs="宋体"/>
                <w:szCs w:val="21"/>
              </w:rPr>
            </w:pPr>
          </w:p>
        </w:tc>
      </w:tr>
      <w:tr w14:paraId="79D8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6" w:type="dxa"/>
            <w:tcBorders>
              <w:top w:val="single" w:color="auto" w:sz="4" w:space="0"/>
              <w:left w:val="single" w:color="auto" w:sz="4" w:space="0"/>
              <w:bottom w:val="single" w:color="auto" w:sz="4" w:space="0"/>
              <w:right w:val="single" w:color="auto" w:sz="4" w:space="0"/>
            </w:tcBorders>
            <w:vAlign w:val="center"/>
          </w:tcPr>
          <w:p w14:paraId="41A0B248">
            <w:pPr>
              <w:tabs>
                <w:tab w:val="left" w:pos="5660"/>
              </w:tabs>
              <w:autoSpaceDE w:val="0"/>
              <w:autoSpaceDN w:val="0"/>
              <w:adjustRightInd w:val="0"/>
              <w:snapToGrid w:val="0"/>
              <w:spacing w:line="440" w:lineRule="exact"/>
              <w:jc w:val="center"/>
              <w:rPr>
                <w:rFonts w:ascii="宋体" w:hAnsi="宋体" w:eastAsia="宋体" w:cs="宋体"/>
                <w:kern w:val="0"/>
                <w:szCs w:val="21"/>
              </w:rPr>
            </w:pPr>
          </w:p>
        </w:tc>
        <w:tc>
          <w:tcPr>
            <w:tcW w:w="1512" w:type="dxa"/>
            <w:tcBorders>
              <w:top w:val="single" w:color="auto" w:sz="4" w:space="0"/>
              <w:left w:val="single" w:color="auto" w:sz="4" w:space="0"/>
              <w:bottom w:val="single" w:color="auto" w:sz="4" w:space="0"/>
              <w:right w:val="single" w:color="auto" w:sz="4" w:space="0"/>
            </w:tcBorders>
            <w:vAlign w:val="center"/>
          </w:tcPr>
          <w:p w14:paraId="1E6F544A">
            <w:pPr>
              <w:widowControl/>
              <w:spacing w:line="440" w:lineRule="exact"/>
              <w:jc w:val="center"/>
              <w:rPr>
                <w:rFonts w:ascii="宋体" w:hAnsi="宋体" w:eastAsia="宋体" w:cs="宋体"/>
                <w:szCs w:val="21"/>
              </w:rPr>
            </w:pPr>
          </w:p>
        </w:tc>
        <w:tc>
          <w:tcPr>
            <w:tcW w:w="616" w:type="dxa"/>
            <w:tcBorders>
              <w:top w:val="single" w:color="auto" w:sz="4" w:space="0"/>
              <w:left w:val="single" w:color="auto" w:sz="4" w:space="0"/>
              <w:bottom w:val="single" w:color="auto" w:sz="4" w:space="0"/>
              <w:right w:val="single" w:color="auto" w:sz="4" w:space="0"/>
            </w:tcBorders>
          </w:tcPr>
          <w:p w14:paraId="30687A56">
            <w:pPr>
              <w:spacing w:line="440" w:lineRule="exact"/>
              <w:rPr>
                <w:rFonts w:ascii="宋体" w:hAnsi="宋体" w:eastAsia="宋体" w:cs="宋体"/>
                <w:szCs w:val="21"/>
              </w:rPr>
            </w:pPr>
          </w:p>
        </w:tc>
        <w:tc>
          <w:tcPr>
            <w:tcW w:w="1587" w:type="dxa"/>
            <w:tcBorders>
              <w:top w:val="single" w:color="auto" w:sz="4" w:space="0"/>
              <w:left w:val="single" w:color="auto" w:sz="4" w:space="0"/>
              <w:bottom w:val="single" w:color="auto" w:sz="4" w:space="0"/>
              <w:right w:val="single" w:color="auto" w:sz="4" w:space="0"/>
            </w:tcBorders>
            <w:vAlign w:val="center"/>
          </w:tcPr>
          <w:p w14:paraId="3CC1E0A3">
            <w:pPr>
              <w:widowControl/>
              <w:spacing w:line="440" w:lineRule="exact"/>
              <w:jc w:val="center"/>
              <w:rPr>
                <w:rFonts w:ascii="宋体" w:hAnsi="宋体" w:eastAsia="宋体" w:cs="宋体"/>
                <w:szCs w:val="21"/>
              </w:rPr>
            </w:pPr>
          </w:p>
        </w:tc>
        <w:tc>
          <w:tcPr>
            <w:tcW w:w="690" w:type="dxa"/>
            <w:tcBorders>
              <w:top w:val="single" w:color="auto" w:sz="4" w:space="0"/>
              <w:left w:val="single" w:color="auto" w:sz="4" w:space="0"/>
              <w:bottom w:val="single" w:color="auto" w:sz="4" w:space="0"/>
              <w:right w:val="single" w:color="auto" w:sz="4" w:space="0"/>
            </w:tcBorders>
            <w:vAlign w:val="center"/>
          </w:tcPr>
          <w:p w14:paraId="5998029F">
            <w:pPr>
              <w:spacing w:line="440" w:lineRule="exact"/>
              <w:jc w:val="center"/>
              <w:rPr>
                <w:rFonts w:ascii="宋体" w:hAnsi="宋体" w:eastAsia="宋体" w:cs="宋体"/>
                <w:szCs w:val="21"/>
              </w:rPr>
            </w:pPr>
          </w:p>
        </w:tc>
        <w:tc>
          <w:tcPr>
            <w:tcW w:w="1104" w:type="dxa"/>
            <w:tcBorders>
              <w:top w:val="single" w:color="auto" w:sz="4" w:space="0"/>
              <w:left w:val="single" w:color="auto" w:sz="4" w:space="0"/>
              <w:bottom w:val="single" w:color="auto" w:sz="4" w:space="0"/>
              <w:right w:val="single" w:color="auto" w:sz="4" w:space="0"/>
            </w:tcBorders>
            <w:vAlign w:val="center"/>
          </w:tcPr>
          <w:p w14:paraId="3204D62A">
            <w:pPr>
              <w:widowControl/>
              <w:spacing w:line="440" w:lineRule="exact"/>
              <w:jc w:val="center"/>
              <w:rPr>
                <w:rFonts w:ascii="宋体" w:hAnsi="宋体" w:eastAsia="宋体" w:cs="宋体"/>
                <w:szCs w:val="21"/>
              </w:rPr>
            </w:pPr>
          </w:p>
        </w:tc>
        <w:tc>
          <w:tcPr>
            <w:tcW w:w="661" w:type="dxa"/>
            <w:tcBorders>
              <w:top w:val="single" w:color="auto" w:sz="4" w:space="0"/>
              <w:left w:val="single" w:color="auto" w:sz="4" w:space="0"/>
              <w:bottom w:val="single" w:color="auto" w:sz="4" w:space="0"/>
              <w:right w:val="single" w:color="auto" w:sz="4" w:space="0"/>
            </w:tcBorders>
            <w:vAlign w:val="center"/>
          </w:tcPr>
          <w:p w14:paraId="5EF652F1">
            <w:pPr>
              <w:widowControl/>
              <w:spacing w:line="440" w:lineRule="exact"/>
              <w:jc w:val="center"/>
              <w:rPr>
                <w:rFonts w:ascii="宋体" w:hAnsi="宋体" w:eastAsia="宋体" w:cs="宋体"/>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31A693C2">
            <w:pPr>
              <w:widowControl/>
              <w:spacing w:line="440" w:lineRule="exact"/>
              <w:jc w:val="center"/>
              <w:textAlignment w:val="center"/>
              <w:rPr>
                <w:rFonts w:ascii="宋体" w:hAnsi="宋体" w:eastAsia="宋体" w:cs="宋体"/>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04FD246C">
            <w:pPr>
              <w:widowControl/>
              <w:spacing w:line="440" w:lineRule="exact"/>
              <w:jc w:val="center"/>
              <w:textAlignment w:val="center"/>
              <w:rPr>
                <w:rFonts w:ascii="宋体" w:hAnsi="宋体" w:eastAsia="宋体" w:cs="宋体"/>
                <w:szCs w:val="21"/>
              </w:rPr>
            </w:pPr>
          </w:p>
        </w:tc>
      </w:tr>
      <w:tr w14:paraId="59C5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6" w:type="dxa"/>
            <w:tcBorders>
              <w:top w:val="single" w:color="auto" w:sz="4" w:space="0"/>
              <w:left w:val="single" w:color="auto" w:sz="4" w:space="0"/>
              <w:bottom w:val="single" w:color="auto" w:sz="4" w:space="0"/>
              <w:right w:val="single" w:color="auto" w:sz="4" w:space="0"/>
            </w:tcBorders>
            <w:vAlign w:val="center"/>
          </w:tcPr>
          <w:p w14:paraId="5444CF07">
            <w:pPr>
              <w:tabs>
                <w:tab w:val="left" w:pos="5660"/>
              </w:tabs>
              <w:autoSpaceDE w:val="0"/>
              <w:autoSpaceDN w:val="0"/>
              <w:adjustRightInd w:val="0"/>
              <w:snapToGrid w:val="0"/>
              <w:spacing w:line="440" w:lineRule="exact"/>
              <w:jc w:val="center"/>
              <w:rPr>
                <w:rFonts w:ascii="宋体" w:hAnsi="宋体" w:eastAsia="宋体" w:cs="宋体"/>
                <w:kern w:val="0"/>
                <w:szCs w:val="21"/>
              </w:rPr>
            </w:pPr>
          </w:p>
        </w:tc>
        <w:tc>
          <w:tcPr>
            <w:tcW w:w="1512" w:type="dxa"/>
            <w:tcBorders>
              <w:top w:val="single" w:color="auto" w:sz="4" w:space="0"/>
              <w:left w:val="single" w:color="auto" w:sz="4" w:space="0"/>
              <w:bottom w:val="single" w:color="auto" w:sz="4" w:space="0"/>
              <w:right w:val="single" w:color="auto" w:sz="4" w:space="0"/>
            </w:tcBorders>
            <w:vAlign w:val="center"/>
          </w:tcPr>
          <w:p w14:paraId="66B8C991">
            <w:pPr>
              <w:widowControl/>
              <w:spacing w:line="440" w:lineRule="exact"/>
              <w:jc w:val="center"/>
              <w:rPr>
                <w:rFonts w:ascii="宋体" w:hAnsi="宋体" w:eastAsia="宋体" w:cs="宋体"/>
                <w:szCs w:val="21"/>
              </w:rPr>
            </w:pPr>
          </w:p>
        </w:tc>
        <w:tc>
          <w:tcPr>
            <w:tcW w:w="616" w:type="dxa"/>
            <w:tcBorders>
              <w:top w:val="single" w:color="auto" w:sz="4" w:space="0"/>
              <w:left w:val="single" w:color="auto" w:sz="4" w:space="0"/>
              <w:bottom w:val="single" w:color="auto" w:sz="4" w:space="0"/>
              <w:right w:val="single" w:color="auto" w:sz="4" w:space="0"/>
            </w:tcBorders>
          </w:tcPr>
          <w:p w14:paraId="61C93A8B">
            <w:pPr>
              <w:spacing w:line="440" w:lineRule="exact"/>
              <w:rPr>
                <w:rFonts w:ascii="宋体" w:hAnsi="宋体" w:eastAsia="宋体" w:cs="宋体"/>
                <w:szCs w:val="21"/>
              </w:rPr>
            </w:pPr>
          </w:p>
        </w:tc>
        <w:tc>
          <w:tcPr>
            <w:tcW w:w="1587" w:type="dxa"/>
            <w:tcBorders>
              <w:top w:val="single" w:color="auto" w:sz="4" w:space="0"/>
              <w:left w:val="single" w:color="auto" w:sz="4" w:space="0"/>
              <w:bottom w:val="single" w:color="auto" w:sz="4" w:space="0"/>
              <w:right w:val="single" w:color="auto" w:sz="4" w:space="0"/>
            </w:tcBorders>
            <w:vAlign w:val="center"/>
          </w:tcPr>
          <w:p w14:paraId="1E9B7794">
            <w:pPr>
              <w:widowControl/>
              <w:spacing w:line="440" w:lineRule="exact"/>
              <w:jc w:val="center"/>
              <w:rPr>
                <w:rFonts w:ascii="宋体" w:hAnsi="宋体" w:eastAsia="宋体" w:cs="宋体"/>
                <w:szCs w:val="21"/>
              </w:rPr>
            </w:pPr>
          </w:p>
        </w:tc>
        <w:tc>
          <w:tcPr>
            <w:tcW w:w="690" w:type="dxa"/>
            <w:tcBorders>
              <w:top w:val="single" w:color="auto" w:sz="4" w:space="0"/>
              <w:left w:val="single" w:color="auto" w:sz="4" w:space="0"/>
              <w:bottom w:val="single" w:color="auto" w:sz="4" w:space="0"/>
              <w:right w:val="single" w:color="auto" w:sz="4" w:space="0"/>
            </w:tcBorders>
            <w:vAlign w:val="center"/>
          </w:tcPr>
          <w:p w14:paraId="5D3754E7">
            <w:pPr>
              <w:spacing w:line="440" w:lineRule="exact"/>
              <w:jc w:val="center"/>
              <w:rPr>
                <w:rFonts w:ascii="宋体" w:hAnsi="宋体" w:eastAsia="宋体" w:cs="宋体"/>
                <w:szCs w:val="21"/>
              </w:rPr>
            </w:pPr>
          </w:p>
        </w:tc>
        <w:tc>
          <w:tcPr>
            <w:tcW w:w="1104" w:type="dxa"/>
            <w:tcBorders>
              <w:top w:val="single" w:color="auto" w:sz="4" w:space="0"/>
              <w:left w:val="single" w:color="auto" w:sz="4" w:space="0"/>
              <w:bottom w:val="single" w:color="auto" w:sz="4" w:space="0"/>
              <w:right w:val="single" w:color="auto" w:sz="4" w:space="0"/>
            </w:tcBorders>
            <w:vAlign w:val="center"/>
          </w:tcPr>
          <w:p w14:paraId="3531D87F">
            <w:pPr>
              <w:widowControl/>
              <w:spacing w:line="440" w:lineRule="exact"/>
              <w:jc w:val="center"/>
              <w:rPr>
                <w:rFonts w:ascii="宋体" w:hAnsi="宋体" w:eastAsia="宋体" w:cs="宋体"/>
                <w:szCs w:val="21"/>
              </w:rPr>
            </w:pPr>
          </w:p>
        </w:tc>
        <w:tc>
          <w:tcPr>
            <w:tcW w:w="661" w:type="dxa"/>
            <w:tcBorders>
              <w:top w:val="single" w:color="auto" w:sz="4" w:space="0"/>
              <w:left w:val="single" w:color="auto" w:sz="4" w:space="0"/>
              <w:bottom w:val="single" w:color="auto" w:sz="4" w:space="0"/>
              <w:right w:val="single" w:color="auto" w:sz="4" w:space="0"/>
            </w:tcBorders>
            <w:vAlign w:val="center"/>
          </w:tcPr>
          <w:p w14:paraId="08A1E85D">
            <w:pPr>
              <w:widowControl/>
              <w:spacing w:line="440" w:lineRule="exact"/>
              <w:jc w:val="center"/>
              <w:rPr>
                <w:rFonts w:ascii="宋体" w:hAnsi="宋体" w:eastAsia="宋体" w:cs="宋体"/>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442B97CE">
            <w:pPr>
              <w:widowControl/>
              <w:spacing w:line="440" w:lineRule="exact"/>
              <w:jc w:val="center"/>
              <w:textAlignment w:val="center"/>
              <w:rPr>
                <w:rFonts w:ascii="宋体" w:hAnsi="宋体" w:eastAsia="宋体" w:cs="宋体"/>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7403F57B">
            <w:pPr>
              <w:widowControl/>
              <w:spacing w:line="440" w:lineRule="exact"/>
              <w:jc w:val="center"/>
              <w:textAlignment w:val="center"/>
              <w:rPr>
                <w:rFonts w:ascii="宋体" w:hAnsi="宋体" w:eastAsia="宋体" w:cs="宋体"/>
                <w:szCs w:val="21"/>
              </w:rPr>
            </w:pPr>
          </w:p>
        </w:tc>
      </w:tr>
      <w:tr w14:paraId="7BB7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5" w:type="dxa"/>
            <w:gridSpan w:val="9"/>
            <w:tcBorders>
              <w:top w:val="single" w:color="auto" w:sz="4" w:space="0"/>
              <w:left w:val="single" w:color="auto" w:sz="4" w:space="0"/>
              <w:bottom w:val="single" w:color="auto" w:sz="4" w:space="0"/>
              <w:right w:val="single" w:color="auto" w:sz="4" w:space="0"/>
            </w:tcBorders>
            <w:vAlign w:val="center"/>
          </w:tcPr>
          <w:p w14:paraId="1CE410E5">
            <w:pPr>
              <w:spacing w:line="440" w:lineRule="exact"/>
              <w:jc w:val="left"/>
              <w:rPr>
                <w:rFonts w:ascii="宋体" w:hAnsi="宋体" w:eastAsia="宋体" w:cs="宋体"/>
                <w:szCs w:val="21"/>
              </w:rPr>
            </w:pPr>
            <w:r>
              <w:rPr>
                <w:rFonts w:hint="eastAsia" w:ascii="宋体" w:hAnsi="宋体" w:eastAsia="宋体" w:cs="宋体"/>
                <w:szCs w:val="21"/>
              </w:rPr>
              <w:t>总价：（大写)</w:t>
            </w:r>
            <w:r>
              <w:rPr>
                <w:rFonts w:hint="eastAsia" w:ascii="宋体" w:hAnsi="宋体" w:eastAsia="宋体" w:cs="宋体"/>
                <w:szCs w:val="21"/>
                <w:u w:val="single"/>
              </w:rPr>
              <w:t xml:space="preserve">人民币            </w:t>
            </w:r>
            <w:r>
              <w:rPr>
                <w:rFonts w:hint="eastAsia" w:ascii="宋体" w:hAnsi="宋体" w:eastAsia="宋体" w:cs="宋体"/>
                <w:szCs w:val="21"/>
              </w:rPr>
              <w:t>（￥          ）</w:t>
            </w:r>
          </w:p>
        </w:tc>
      </w:tr>
    </w:tbl>
    <w:p w14:paraId="64F37DD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2．合同合计金额包括但不限于：</w:t>
      </w:r>
      <w:r>
        <w:rPr>
          <w:rFonts w:hint="eastAsia" w:ascii="宋体" w:hAnsi="宋体" w:eastAsia="宋体" w:cs="宋体"/>
          <w:szCs w:val="21"/>
          <w:u w:val="single"/>
        </w:rPr>
        <w:t xml:space="preserve">        </w:t>
      </w:r>
      <w:r>
        <w:rPr>
          <w:rFonts w:hint="eastAsia" w:ascii="宋体" w:hAnsi="宋体" w:eastAsia="宋体" w:cs="宋体"/>
          <w:szCs w:val="21"/>
        </w:rPr>
        <w:t>。如招投标文件对其另有规定的，从其规定。</w:t>
      </w:r>
    </w:p>
    <w:p w14:paraId="549C1371">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第二条 质量保证</w:t>
      </w:r>
    </w:p>
    <w:p w14:paraId="161E1B6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1．乙方所提供的货物型号、技术规格、技术参数等质量必须与招投标文件和承诺相一致，满足项目实施要求。</w:t>
      </w:r>
    </w:p>
    <w:p w14:paraId="0D70C43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2．乙方所提供的货物必须是全新、未使用过的且符合国家安全质量标准的原装的合格产品，且在正常安装、使用和保养条件下，其使用寿命期内各项指标均达到投标（响应）文件承诺的质量标准。</w:t>
      </w:r>
    </w:p>
    <w:p w14:paraId="0AE495C5">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第三条 权利保证</w:t>
      </w:r>
    </w:p>
    <w:p w14:paraId="7F147119">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1．乙方应保证所提供货物在使用时不会侵犯任何第三方的知识产权如专利权、商标权、工业设计权等或其他权利。</w:t>
      </w:r>
    </w:p>
    <w:p w14:paraId="11356BA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2．乙方应按招标文件规定的时间向甲方提供使用货物的有关技术资料。</w:t>
      </w:r>
    </w:p>
    <w:p w14:paraId="40B7774D">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3F684CF">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4．乙方保证所交付的货物的所有权完全属于乙方且无任何抵押、质押、查封等产权瑕疵。</w:t>
      </w:r>
    </w:p>
    <w:p w14:paraId="04398DF4">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5．乙方就交付给甲方的货物，负有保证第三人不得向甲方主张任何权利的义务。</w:t>
      </w:r>
    </w:p>
    <w:p w14:paraId="3048D7A6">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6. 如果甲方收到任何第三方有关侵权的主张、索赔或诉讼,乙方在收到甲方通知后，应,自行处理与第三方的索赔或诉讼,并赔偿甲方因此发生的费用和遭受的损失；如果乙方拒绝处理或在收到甲方通知后15日内未能解决的，甲方有权自行处理，因此发生的费用和受到的损失（包括但不限于侵权赔款、行政罚款、诉讼费、律师费等）全部由乙方承担。</w:t>
      </w:r>
    </w:p>
    <w:p w14:paraId="4432FF5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第四条 货物包装、运输及交付</w:t>
      </w:r>
    </w:p>
    <w:p w14:paraId="74C3F6E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1．乙方负责货物运输，货物运输合理损耗及计算方法：</w:t>
      </w:r>
      <w:r>
        <w:rPr>
          <w:rFonts w:hint="eastAsia" w:ascii="宋体" w:hAnsi="宋体" w:eastAsia="宋体" w:cs="宋体"/>
          <w:szCs w:val="21"/>
          <w:u w:val="single"/>
        </w:rPr>
        <w:t>货物运输保险费已包含在合同总价中，乙方须确保货物安全无损地运抵安装地点。本项目合同不接受损耗</w:t>
      </w:r>
      <w:r>
        <w:rPr>
          <w:rFonts w:hint="eastAsia" w:ascii="宋体" w:hAnsi="宋体" w:eastAsia="宋体" w:cs="宋体"/>
          <w:szCs w:val="21"/>
        </w:rPr>
        <w:t>。</w:t>
      </w:r>
    </w:p>
    <w:p w14:paraId="5A812C02">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2．货物的运输方式：</w:t>
      </w:r>
      <w:r>
        <w:rPr>
          <w:rFonts w:hint="eastAsia" w:ascii="宋体" w:hAnsi="宋体" w:eastAsia="宋体" w:cs="宋体"/>
          <w:szCs w:val="21"/>
          <w:u w:val="single"/>
        </w:rPr>
        <w:t>不限</w:t>
      </w:r>
      <w:r>
        <w:rPr>
          <w:rFonts w:hint="eastAsia" w:ascii="宋体" w:hAnsi="宋体" w:eastAsia="宋体" w:cs="宋体"/>
          <w:szCs w:val="21"/>
        </w:rPr>
        <w:t>。</w:t>
      </w:r>
    </w:p>
    <w:p w14:paraId="47C823E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3．乙方应在货物发运前对其进行满足运输距离、防潮、防震、防锈和防破损装卸等要求包装，以保证货物安全运达甲方地点</w:t>
      </w:r>
      <w:r>
        <w:rPr>
          <w:rFonts w:hint="eastAsia" w:ascii="宋体" w:hAnsi="宋体" w:eastAsia="宋体" w:cs="宋体"/>
          <w:szCs w:val="21"/>
          <w:u w:val="single"/>
        </w:rPr>
        <w:t xml:space="preserve">          </w:t>
      </w:r>
      <w:r>
        <w:rPr>
          <w:rFonts w:hint="eastAsia" w:ascii="宋体" w:hAnsi="宋体" w:eastAsia="宋体" w:cs="宋体"/>
          <w:szCs w:val="21"/>
        </w:rPr>
        <w:t>。</w:t>
      </w:r>
    </w:p>
    <w:p w14:paraId="45E1580A">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4．交货时间：</w:t>
      </w:r>
      <w:r>
        <w:rPr>
          <w:rFonts w:hint="eastAsia" w:ascii="宋体" w:hAnsi="宋体" w:eastAsia="宋体" w:cs="宋体"/>
          <w:szCs w:val="21"/>
          <w:u w:val="single"/>
        </w:rPr>
        <w:t xml:space="preserve">               </w:t>
      </w:r>
      <w:r>
        <w:rPr>
          <w:rFonts w:hint="eastAsia" w:ascii="宋体" w:hAnsi="宋体" w:eastAsia="宋体" w:cs="宋体"/>
          <w:szCs w:val="21"/>
        </w:rPr>
        <w:t>。</w:t>
      </w:r>
    </w:p>
    <w:p w14:paraId="5C6F5663">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5．乙方应将所提供货物的装箱清单、质量检验证明书、用户手册、原厂保修卡、随机资料、工具和备品、备件等附于货物内交付给甲方，如有缺失应及时补齐，否则视为逾期交货。</w:t>
      </w:r>
    </w:p>
    <w:p w14:paraId="186CD837">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6．乙方在货物发运手续办理完毕后二十四小时内或货到甲方四十八小时前通知甲方，以准备接货。</w:t>
      </w:r>
    </w:p>
    <w:p w14:paraId="09C6204B">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7．货物在交付甲方前发生的风险均由乙方负责。</w:t>
      </w:r>
    </w:p>
    <w:p w14:paraId="01B477BA">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8．甲方对乙方提交的货物依据招标文件上的技术规格要求和国家有关质量标准进行现场初步验收。外观、说明书符合招标文件技术要求的，给予签收，初步验收不合格的不予签收。</w:t>
      </w:r>
    </w:p>
    <w:p w14:paraId="33C49F39">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9．货物在规定的交付期限内由乙方送达甲方指定的地点，完成安装调试并经最终验收合格。除售后服务验收外，最终验收结论合格的，乙方应自收到验收书后5日内向甲方交付使用。</w:t>
      </w:r>
    </w:p>
    <w:p w14:paraId="09F59342">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第五条 安装和培训（如有）</w:t>
      </w:r>
    </w:p>
    <w:p w14:paraId="03465F11">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1．甲方应提供必要安装条件（如场地、电源、水源等），乙方负责安装，费用包含在合同价中。</w:t>
      </w:r>
    </w:p>
    <w:p w14:paraId="2A582F5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2．乙方负责甲方有关人员的培训：根据甲方要求开展。</w:t>
      </w:r>
    </w:p>
    <w:p w14:paraId="56E85595">
      <w:pPr>
        <w:wordWrap w:val="0"/>
        <w:spacing w:after="124" w:afterLines="40" w:line="440" w:lineRule="exact"/>
        <w:ind w:firstLine="420" w:firstLineChars="200"/>
        <w:rPr>
          <w:rFonts w:ascii="宋体" w:hAnsi="宋体" w:eastAsia="宋体" w:cs="宋体"/>
          <w:szCs w:val="21"/>
          <w:u w:val="single"/>
        </w:rPr>
      </w:pPr>
      <w:r>
        <w:rPr>
          <w:rFonts w:hint="eastAsia" w:ascii="宋体" w:hAnsi="宋体" w:eastAsia="宋体" w:cs="宋体"/>
          <w:szCs w:val="21"/>
          <w:u w:val="single"/>
        </w:rPr>
        <w:t>3.培训时间、地点：甲方指定。</w:t>
      </w:r>
    </w:p>
    <w:p w14:paraId="18C98D97">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第六条 验收</w:t>
      </w:r>
    </w:p>
    <w:p w14:paraId="759F123A">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 甲方按照合同规定的技术、服务、安全标准组织对乙方履行合同情况进行验收，并出具验收报告。验收报告应当包括每一项技术及服务，安全标准的履约情况，货物参数指标验收按照投标产品检测报告的参数进行验收，功能验收按招标文件要求验收</w:t>
      </w:r>
    </w:p>
    <w:p w14:paraId="6463431F">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对技术复杂的货物，甲方应请国家认可的专业检测机构参与初步验收及最终验收，并由其出具质量检测报告，其验收时间以该项目验收方案确定的验收时间为准，验收结果以该项目验收报告结论为准。在验收过程中发现乙方有违约问题，可暂缓资金结算，待违约问题解决后，方可办理资金结算事宜。</w:t>
      </w:r>
    </w:p>
    <w:p w14:paraId="3B1B42D2">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3.验收时乙方必须在现场，验收完毕后作出验收结果报告。</w:t>
      </w:r>
    </w:p>
    <w:p w14:paraId="1D46F502">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4.其他：采购文件中“技术参数与商务需求、投标人响应和承诺的技术参数及性能和国家有关标准”中若另有专项要求，按其规定。</w:t>
      </w:r>
    </w:p>
    <w:p w14:paraId="16F42BA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第七条 违约责任</w:t>
      </w:r>
    </w:p>
    <w:p w14:paraId="6277F106">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1．乙方所提供的货物规格、技术标准、材料等质量不合格的，应在  日内更换，更换不及时的按逾期交货承担违约责任；因质量问题甲方不同意接收的或特殊情况甲方同意接收的，乙方应向甲方支付违约货款额5%违约金并赔偿甲方经济损失。</w:t>
      </w:r>
    </w:p>
    <w:p w14:paraId="124F498D">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2．乙方提供的货物如侵犯了第三方合法权益而引发的任何纠纷或诉讼，均由乙方负责交涉并承担全部责任。</w:t>
      </w:r>
    </w:p>
    <w:p w14:paraId="27BEEBE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3．因包装、运输引起的货物损坏，按质量不合格处理，由此导致乙方逾期交货的，乙方应当按照本条第1款的规定承担违约责任。</w:t>
      </w:r>
    </w:p>
    <w:p w14:paraId="6C33B51E">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4．甲方无故延期接收货物、乙方逾期交货的，每天向对方偿付违约货款额3‰违约金，但违约金累计不得超过违约货款额</w:t>
      </w:r>
      <w:r>
        <w:rPr>
          <w:rFonts w:hint="eastAsia" w:ascii="宋体" w:hAnsi="宋体" w:eastAsia="宋体" w:cs="宋体"/>
          <w:szCs w:val="21"/>
          <w:u w:val="single"/>
        </w:rPr>
        <w:t xml:space="preserve"> 5% </w:t>
      </w:r>
      <w:r>
        <w:rPr>
          <w:rFonts w:hint="eastAsia" w:ascii="宋体" w:hAnsi="宋体" w:eastAsia="宋体" w:cs="宋体"/>
          <w:szCs w:val="21"/>
        </w:rPr>
        <w:t>；超过</w:t>
      </w:r>
      <w:r>
        <w:rPr>
          <w:rFonts w:hint="eastAsia" w:ascii="宋体" w:hAnsi="宋体" w:eastAsia="宋体" w:cs="宋体"/>
          <w:szCs w:val="21"/>
          <w:u w:val="single"/>
        </w:rPr>
        <w:t>30</w:t>
      </w:r>
      <w:r>
        <w:rPr>
          <w:rFonts w:hint="eastAsia" w:ascii="宋体" w:hAnsi="宋体" w:eastAsia="宋体" w:cs="宋体"/>
          <w:szCs w:val="21"/>
        </w:rPr>
        <w:t>天对方有权解除合同，违约方承担因此给对方造成的经济损失并向对方支付合同总金额10%的违约金。甲方延期支付货款的，每天向乙方偿付延期货款额</w:t>
      </w:r>
      <w:r>
        <w:rPr>
          <w:rFonts w:hint="eastAsia" w:ascii="宋体" w:hAnsi="宋体" w:eastAsia="宋体" w:cs="宋体"/>
          <w:szCs w:val="21"/>
          <w:u w:val="single"/>
        </w:rPr>
        <w:t xml:space="preserve"> 0.3‰ </w:t>
      </w:r>
      <w:r>
        <w:rPr>
          <w:rFonts w:hint="eastAsia" w:ascii="宋体" w:hAnsi="宋体" w:eastAsia="宋体" w:cs="宋体"/>
          <w:szCs w:val="21"/>
        </w:rPr>
        <w:t>滞纳金，但滞纳金累计不得超过延期货款额</w:t>
      </w:r>
      <w:r>
        <w:rPr>
          <w:rFonts w:hint="eastAsia" w:ascii="宋体" w:hAnsi="宋体" w:eastAsia="宋体" w:cs="宋体"/>
          <w:szCs w:val="21"/>
          <w:u w:val="single"/>
        </w:rPr>
        <w:t xml:space="preserve"> 5% </w:t>
      </w:r>
      <w:r>
        <w:rPr>
          <w:rFonts w:hint="eastAsia" w:ascii="宋体" w:hAnsi="宋体" w:eastAsia="宋体" w:cs="宋体"/>
          <w:szCs w:val="21"/>
        </w:rPr>
        <w:t>。</w:t>
      </w:r>
    </w:p>
    <w:p w14:paraId="6696D28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5．乙方未按本合同和投标文件中规定的服务承诺提供售后服务的，每发生一次乙方应按照招标文件及投标文件要求向甲方支付违约金。</w:t>
      </w:r>
    </w:p>
    <w:p w14:paraId="266139F5">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6．乙方提供的货物在质量保证期内，因设计、工艺或材料的缺陷和其它质量原因造成的问题，由乙方负责，费用从履约保证金中扣除，不足另补。</w:t>
      </w:r>
    </w:p>
    <w:p w14:paraId="0A1650F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7．本合同中未约定具体违约金额的乙方其它违约行为甲方按合同总金额5%收取违约金并赔偿经济损失。</w:t>
      </w:r>
    </w:p>
    <w:p w14:paraId="2D85D205">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第八条 质量保证及售后服务</w:t>
      </w:r>
    </w:p>
    <w:p w14:paraId="0B3E0537">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1．乙方应按招标文件规定的货物性能、技术要求、质量标准向甲方提供未经使用过的全新产品。不符合要求者，根据实际情况，经双方协商，可按以下办法处理：</w:t>
      </w:r>
    </w:p>
    <w:p w14:paraId="6C5EA6F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（1）更换：由乙方承担所发生的全部费用。</w:t>
      </w:r>
    </w:p>
    <w:p w14:paraId="463F112A">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（2）退货处理：乙方应退还甲方支付的合同款，同时应承担该货物的直接费用（运输、保险、检验、货款利息及银行手续费等）。</w:t>
      </w:r>
    </w:p>
    <w:p w14:paraId="1A65565F">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质保期：（1、2、3、4分标适用）乙方应按照国家有关法律法规和“三包”规定以及招投标文件（采购文件）和本合同所附的《售后服务承诺》，为甲方提供售后服务。质保期自货物验收合格之日起计算，全部产品质保期</w:t>
      </w:r>
      <w:r>
        <w:rPr>
          <w:rFonts w:hint="eastAsia" w:ascii="宋体" w:hAnsi="宋体" w:eastAsia="宋体" w:cs="宋体"/>
          <w:szCs w:val="21"/>
          <w:u w:val="single"/>
        </w:rPr>
        <w:t xml:space="preserve">       </w:t>
      </w:r>
      <w:r>
        <w:rPr>
          <w:rFonts w:hint="eastAsia" w:ascii="宋体" w:hAnsi="宋体" w:eastAsia="宋体" w:cs="宋体"/>
          <w:szCs w:val="21"/>
        </w:rPr>
        <w:t>年。质保期内提供软件升级服务，升级费用包含在投标总价中，软件在质保期满后不升级不影响正常使用。,</w:t>
      </w:r>
    </w:p>
    <w:p w14:paraId="0AB42C1F">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2．售后服务：</w:t>
      </w:r>
    </w:p>
    <w:p w14:paraId="7D72035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2.1乙方应按照国家有关法律法规和“三包”规定以及招投标文件和本合同所附的《服务承诺》，为甲方提供售后服务。</w:t>
      </w:r>
    </w:p>
    <w:p w14:paraId="773E241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2.2 响应时间要求：</w:t>
      </w:r>
    </w:p>
    <w:p w14:paraId="1914101F">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2.2.1质保期内：设备（装备）发生故障时接到通知后</w:t>
      </w:r>
      <w:r>
        <w:rPr>
          <w:rFonts w:hint="eastAsia" w:ascii="宋体" w:hAnsi="宋体" w:eastAsia="宋体" w:cs="宋体"/>
          <w:szCs w:val="21"/>
          <w:u w:val="single"/>
        </w:rPr>
        <w:t xml:space="preserve">  </w:t>
      </w:r>
      <w:r>
        <w:rPr>
          <w:rFonts w:hint="eastAsia" w:ascii="宋体" w:hAnsi="宋体" w:eastAsia="宋体" w:cs="宋体"/>
          <w:szCs w:val="21"/>
        </w:rPr>
        <w:t>小时内响应，</w:t>
      </w:r>
      <w:r>
        <w:rPr>
          <w:rFonts w:hint="eastAsia" w:ascii="宋体" w:hAnsi="宋体" w:eastAsia="宋体" w:cs="宋体"/>
          <w:szCs w:val="21"/>
          <w:u w:val="single"/>
        </w:rPr>
        <w:t xml:space="preserve">  </w:t>
      </w:r>
      <w:r>
        <w:rPr>
          <w:rFonts w:hint="eastAsia" w:ascii="宋体" w:hAnsi="宋体" w:eastAsia="宋体" w:cs="宋体"/>
          <w:szCs w:val="21"/>
        </w:rPr>
        <w:t>小时内到达现场维修，  小时未解决问题，须尽量提供备用机。</w:t>
      </w:r>
    </w:p>
    <w:p w14:paraId="6B4FCD2D">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2.2.2质保期满后，按照质保期内售后服务内容及标准继续提供质保服务，直至采购人确认更换维保单位或设备（装备）报废。提供终身维修、保养服务，提供详细的保养计划，不能因质保期满而出现缓修、拒修等情况，维修所产生费用由乙方和甲方另行结算。维保金额每年不得超过合同额的10%，维保成本超过该数额的一概由乙方自行承担，项目质保维护期满后需签订维护和售后服务合同，具体事项以实际谈判为准。</w:t>
      </w:r>
    </w:p>
    <w:p w14:paraId="3DC2905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2.3提供终身维修、保养服务，提供详细的保养计划。</w:t>
      </w:r>
    </w:p>
    <w:p w14:paraId="74ABEC42">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2.4乙方提供的服务承诺和售后服务及质保期责任等其它具体约定事项。</w:t>
      </w:r>
    </w:p>
    <w:p w14:paraId="38E9A929">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2.5开放接口供其他系统同步数据，及与其他系统接口个性化开发。</w:t>
      </w:r>
    </w:p>
    <w:p w14:paraId="2AB49B9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第九条 付款方式和履约保证金</w:t>
      </w:r>
    </w:p>
    <w:p w14:paraId="5B3E69B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1．当采购数量与实际使用数量不一致时，乙方应根据实际使用量供货，合同的最终结算金额按实际使用量乘以成交单价进行计算，不得超过中标价。</w:t>
      </w:r>
    </w:p>
    <w:p w14:paraId="5CD2E4E6">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2．付款方式</w:t>
      </w:r>
      <w:r>
        <w:rPr>
          <w:rFonts w:hint="eastAsia" w:ascii="宋体" w:hAnsi="宋体" w:eastAsia="宋体" w:cs="宋体"/>
          <w:szCs w:val="21"/>
          <w:u w:val="single"/>
        </w:rPr>
        <w:t>：        。</w:t>
      </w:r>
    </w:p>
    <w:p w14:paraId="224BAC51">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如乙方未按国家要求开具增值税发票或发现乙方提供虚假发票，除须向甲方补开合法发票外，须赔偿甲方发票票面金额</w:t>
      </w:r>
      <w:r>
        <w:rPr>
          <w:rFonts w:hint="eastAsia" w:ascii="Times New Roman" w:hAnsi="Times New Roman" w:eastAsia="宋体" w:cs="Times New Roman"/>
          <w:szCs w:val="24"/>
        </w:rPr>
        <w:t>10%</w:t>
      </w:r>
      <w:r>
        <w:rPr>
          <w:rFonts w:hint="eastAsia" w:ascii="宋体" w:hAnsi="宋体" w:eastAsia="宋体" w:cs="宋体"/>
          <w:szCs w:val="21"/>
        </w:rPr>
        <w:t>的违约金，且甲方有权终止合同，因终止合同而产生的一切损失均由乙方承担，乙方承诺无条件接收并保证不对此提出异议。</w:t>
      </w:r>
    </w:p>
    <w:p w14:paraId="43D7D21B">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3.履约保证金：</w:t>
      </w:r>
    </w:p>
    <w:p w14:paraId="64B045F7">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1.履约保证金金额：</w:t>
      </w:r>
      <w:r>
        <w:rPr>
          <w:rStyle w:val="303"/>
          <w:rFonts w:ascii="宋体" w:hAnsi="宋体"/>
          <w:spacing w:val="-2"/>
          <w:szCs w:val="21"/>
          <w:u w:val="single" w:color="000000"/>
        </w:rPr>
        <w:t xml:space="preserve">           </w:t>
      </w:r>
      <w:r>
        <w:rPr>
          <w:rStyle w:val="303"/>
          <w:rFonts w:hint="eastAsia" w:ascii="宋体" w:hAnsi="宋体"/>
          <w:spacing w:val="-2"/>
          <w:szCs w:val="21"/>
          <w:u w:val="single" w:color="000000"/>
        </w:rPr>
        <w:t>，（按中标金额的5%收取，如乙方为中小型企业的，按中标金额的2%收取）</w:t>
      </w:r>
      <w:r>
        <w:rPr>
          <w:rStyle w:val="303"/>
          <w:rFonts w:ascii="宋体" w:hAnsi="宋体"/>
          <w:spacing w:val="-2"/>
          <w:szCs w:val="21"/>
        </w:rPr>
        <w:t>。</w:t>
      </w:r>
    </w:p>
    <w:p w14:paraId="78497A8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2.履约保证金递交方式：以银行转账、支票、汇票、本票或者金融机构、担保机构出具的保函等非现金方式向采购人提交。</w:t>
      </w:r>
    </w:p>
    <w:p w14:paraId="23A0FEC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3.履约保证金缴纳期限：自中标通知书发出后、合同签订前，将履约保证金缴纳至甲方指定账户。</w:t>
      </w:r>
    </w:p>
    <w:p w14:paraId="2F51C62E">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4.履约保证金退付方式、时间及条件： 本项目合同履约期限满，中标人履行完服务义务且无违约情况下无息退付。由中标人向履约甲方提供《广西壮族自治区政府采购项目合同验收书》（详见桂财采〔2015〕22号），甲方在收到合格材料后10个工作日内办理退还手续（不计利息）。</w:t>
      </w:r>
    </w:p>
    <w:p w14:paraId="41818579">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 xml:space="preserve">5.履约保证金指定账户： </w:t>
      </w:r>
    </w:p>
    <w:p w14:paraId="49B9578D">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开户名称：</w:t>
      </w:r>
      <w:r>
        <w:rPr>
          <w:rStyle w:val="303"/>
          <w:rFonts w:hint="eastAsia" w:ascii="宋体" w:hAnsi="宋体"/>
          <w:spacing w:val="-2"/>
          <w:szCs w:val="24"/>
        </w:rPr>
        <w:t>广西交通职业技术学院</w:t>
      </w:r>
      <w:r>
        <w:rPr>
          <w:rFonts w:hint="eastAsia" w:ascii="宋体" w:hAnsi="宋体" w:eastAsia="宋体" w:cs="宋体"/>
          <w:szCs w:val="21"/>
        </w:rPr>
        <w:t xml:space="preserve">               </w:t>
      </w:r>
    </w:p>
    <w:p w14:paraId="7A6CBA42">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 xml:space="preserve">开户银行：中国建设银行股份有限公司南宁园湖北路支行               </w:t>
      </w:r>
    </w:p>
    <w:p w14:paraId="11CD882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 xml:space="preserve">银行账号：45050160435309888999               </w:t>
      </w:r>
    </w:p>
    <w:p w14:paraId="1A56525B">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第十条 税费</w:t>
      </w:r>
    </w:p>
    <w:p w14:paraId="39CE173D">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本合同执行中相关的一切税费均由乙方负担。</w:t>
      </w:r>
    </w:p>
    <w:p w14:paraId="6FDE07DB">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第十一条 不可抗力事件处理</w:t>
      </w:r>
    </w:p>
    <w:p w14:paraId="6E18A4C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1．在合同有效期内，任何一方因不可抗力事件导致不能履行合同，则合同履行期可延长，其延长期与不可抗力影响期相同。</w:t>
      </w:r>
    </w:p>
    <w:p w14:paraId="03BD6863">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2．不可抗力事件发生后，应立即通知对方，并寄送有关权威机构出具的证明。</w:t>
      </w:r>
    </w:p>
    <w:p w14:paraId="1A4645B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3．不可抗力事件延续一百二十天以上，双方应通过友好协商，确定是否继续履行合同。</w:t>
      </w:r>
    </w:p>
    <w:p w14:paraId="6077D9D9">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第十二条 合同争议解决</w:t>
      </w:r>
    </w:p>
    <w:p w14:paraId="6445FEA7">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1．因货物质量问题发生争议的，应邀请国家认可的质量检测机构对货物质量进行鉴定。货物符合标准的，鉴定费由甲方承担；货物不符合标准的，鉴定费由乙方承担。</w:t>
      </w:r>
    </w:p>
    <w:p w14:paraId="242FF8BF">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2．因履行本合同引起的或与本合同有关的争议，甲乙双方应首先通过友好协商解决，如果协商不能解决，向甲方所在地人民法院提起诉讼，诉讼费用由违约方承担。</w:t>
      </w:r>
    </w:p>
    <w:p w14:paraId="1616ADD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3．诉讼期间，本合同继续履行。</w:t>
      </w:r>
    </w:p>
    <w:p w14:paraId="40FA7DE7">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第十三条 合同生效及其它</w:t>
      </w:r>
    </w:p>
    <w:p w14:paraId="1F07179B">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1．本合同经双方法定代表人或授权代表签字并加盖单位公章后生效。</w:t>
      </w:r>
    </w:p>
    <w:p w14:paraId="7A460FCC">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2．本合同执行中涉及采购资金和采购内容修改或补充的，须签订书面补充协议报财政部门备案后，方可作为主合同不可分割的一部分。</w:t>
      </w:r>
    </w:p>
    <w:p w14:paraId="192684E9">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3．本合同未尽事宜，遵照《民法典》有关条文执行。</w:t>
      </w:r>
    </w:p>
    <w:p w14:paraId="6DD636AD">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第十四条 合同的变更、终止与转让</w:t>
      </w:r>
    </w:p>
    <w:p w14:paraId="14E0E001">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1．本合同一经签订，甲乙双方不得擅自变更、中止或终止。</w:t>
      </w:r>
    </w:p>
    <w:p w14:paraId="4A92159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2．乙方不得擅自转让（无进口资格的供应商委托进口货物除外）其应履行的合同义务。</w:t>
      </w:r>
    </w:p>
    <w:p w14:paraId="408F3240">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第十五条 签订本合同依据</w:t>
      </w:r>
    </w:p>
    <w:p w14:paraId="4F3DF16A">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1．招标文件；</w:t>
      </w:r>
    </w:p>
    <w:p w14:paraId="4D4E4C88">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2．乙方提供的采购投标（或应答)文件；</w:t>
      </w:r>
    </w:p>
    <w:p w14:paraId="3F7CF897">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3．投标声明书；</w:t>
      </w:r>
    </w:p>
    <w:p w14:paraId="25F9DDC3">
      <w:pPr>
        <w:wordWrap w:val="0"/>
        <w:spacing w:after="124" w:afterLines="40" w:line="440" w:lineRule="exact"/>
        <w:ind w:firstLine="420" w:firstLineChars="200"/>
        <w:rPr>
          <w:rFonts w:ascii="宋体" w:hAnsi="宋体" w:eastAsia="宋体" w:cs="宋体"/>
          <w:szCs w:val="21"/>
        </w:rPr>
      </w:pPr>
      <w:r>
        <w:rPr>
          <w:rFonts w:hint="eastAsia" w:ascii="宋体" w:hAnsi="宋体" w:eastAsia="宋体" w:cs="宋体"/>
          <w:szCs w:val="21"/>
        </w:rPr>
        <w:t>4．中标或成交通知书。</w:t>
      </w:r>
    </w:p>
    <w:p w14:paraId="020301C0">
      <w:pPr>
        <w:wordWrap w:val="0"/>
        <w:spacing w:line="440" w:lineRule="exact"/>
        <w:ind w:firstLine="420" w:firstLineChars="200"/>
        <w:rPr>
          <w:rFonts w:ascii="宋体" w:hAnsi="宋体" w:eastAsia="宋体" w:cs="宋体"/>
          <w:szCs w:val="21"/>
        </w:rPr>
      </w:pPr>
      <w:r>
        <w:rPr>
          <w:rFonts w:hint="eastAsia" w:ascii="宋体" w:hAnsi="宋体" w:eastAsia="宋体" w:cs="宋体"/>
          <w:szCs w:val="21"/>
        </w:rPr>
        <w:t>第十六条 本合同一式</w:t>
      </w:r>
      <w:r>
        <w:rPr>
          <w:rFonts w:hint="eastAsia" w:ascii="宋体" w:hAnsi="宋体" w:eastAsia="宋体" w:cs="宋体"/>
          <w:szCs w:val="21"/>
          <w:u w:val="single"/>
        </w:rPr>
        <w:t>六</w:t>
      </w:r>
      <w:r>
        <w:rPr>
          <w:rFonts w:hint="eastAsia" w:ascii="宋体" w:hAnsi="宋体" w:eastAsia="宋体" w:cs="宋体"/>
          <w:szCs w:val="21"/>
        </w:rPr>
        <w:t>份，具有同等法律效力。本合同代理机构一份、甲方三份、乙方两份（可根据需要另增加）。</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270"/>
      </w:tblGrid>
      <w:tr w14:paraId="3C7B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075CAE48">
            <w:pPr>
              <w:wordWrap w:val="0"/>
              <w:spacing w:line="440" w:lineRule="exact"/>
              <w:rPr>
                <w:rFonts w:ascii="宋体" w:hAnsi="宋体" w:eastAsia="宋体" w:cs="宋体"/>
                <w:szCs w:val="21"/>
              </w:rPr>
            </w:pPr>
            <w:r>
              <w:rPr>
                <w:rFonts w:hint="eastAsia" w:ascii="宋体" w:hAnsi="宋体" w:eastAsia="宋体" w:cs="宋体"/>
                <w:szCs w:val="21"/>
              </w:rPr>
              <w:t xml:space="preserve">甲方（章) </w:t>
            </w:r>
          </w:p>
          <w:p w14:paraId="7C9E1B62">
            <w:pPr>
              <w:wordWrap w:val="0"/>
              <w:spacing w:line="440" w:lineRule="exact"/>
              <w:jc w:val="right"/>
              <w:rPr>
                <w:rFonts w:ascii="宋体" w:hAnsi="宋体" w:eastAsia="宋体" w:cs="宋体"/>
                <w:szCs w:val="21"/>
              </w:rPr>
            </w:pPr>
            <w:r>
              <w:rPr>
                <w:rFonts w:hint="eastAsia" w:ascii="宋体" w:hAnsi="宋体" w:eastAsia="宋体" w:cs="宋体"/>
                <w:szCs w:val="21"/>
              </w:rPr>
              <w:t xml:space="preserve"> 年  月   日</w:t>
            </w:r>
          </w:p>
        </w:tc>
        <w:tc>
          <w:tcPr>
            <w:tcW w:w="4270" w:type="dxa"/>
            <w:tcBorders>
              <w:top w:val="single" w:color="auto" w:sz="4" w:space="0"/>
              <w:left w:val="single" w:color="auto" w:sz="4" w:space="0"/>
              <w:bottom w:val="single" w:color="auto" w:sz="4" w:space="0"/>
              <w:right w:val="single" w:color="auto" w:sz="4" w:space="0"/>
            </w:tcBorders>
            <w:vAlign w:val="center"/>
          </w:tcPr>
          <w:p w14:paraId="6E4E117E">
            <w:pPr>
              <w:wordWrap w:val="0"/>
              <w:spacing w:line="440" w:lineRule="exact"/>
              <w:rPr>
                <w:rFonts w:ascii="宋体" w:hAnsi="宋体" w:eastAsia="宋体" w:cs="宋体"/>
                <w:szCs w:val="21"/>
              </w:rPr>
            </w:pPr>
            <w:r>
              <w:rPr>
                <w:rFonts w:hint="eastAsia" w:ascii="宋体" w:hAnsi="宋体" w:eastAsia="宋体" w:cs="宋体"/>
                <w:szCs w:val="21"/>
              </w:rPr>
              <w:t>乙方（章)</w:t>
            </w:r>
          </w:p>
          <w:p w14:paraId="3082E98D">
            <w:pPr>
              <w:wordWrap w:val="0"/>
              <w:spacing w:line="440" w:lineRule="exact"/>
              <w:jc w:val="right"/>
              <w:rPr>
                <w:rFonts w:ascii="宋体" w:hAnsi="宋体" w:eastAsia="宋体" w:cs="宋体"/>
                <w:szCs w:val="21"/>
              </w:rPr>
            </w:pPr>
            <w:r>
              <w:rPr>
                <w:rFonts w:hint="eastAsia" w:ascii="宋体" w:hAnsi="宋体" w:eastAsia="宋体" w:cs="宋体"/>
                <w:szCs w:val="21"/>
              </w:rPr>
              <w:t xml:space="preserve"> 年  月   日</w:t>
            </w:r>
          </w:p>
        </w:tc>
      </w:tr>
      <w:tr w14:paraId="2833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4B954082">
            <w:pPr>
              <w:wordWrap w:val="0"/>
              <w:spacing w:line="440" w:lineRule="exact"/>
              <w:rPr>
                <w:rFonts w:ascii="宋体" w:hAnsi="宋体" w:eastAsia="宋体" w:cs="宋体"/>
                <w:szCs w:val="21"/>
              </w:rPr>
            </w:pPr>
            <w:r>
              <w:rPr>
                <w:rFonts w:hint="eastAsia" w:ascii="宋体" w:hAnsi="宋体" w:eastAsia="宋体" w:cs="宋体"/>
                <w:szCs w:val="21"/>
              </w:rPr>
              <w:t>单位地址：</w:t>
            </w:r>
          </w:p>
        </w:tc>
        <w:tc>
          <w:tcPr>
            <w:tcW w:w="4270" w:type="dxa"/>
            <w:tcBorders>
              <w:top w:val="single" w:color="auto" w:sz="4" w:space="0"/>
              <w:left w:val="single" w:color="auto" w:sz="4" w:space="0"/>
              <w:bottom w:val="single" w:color="auto" w:sz="4" w:space="0"/>
              <w:right w:val="single" w:color="auto" w:sz="4" w:space="0"/>
            </w:tcBorders>
            <w:vAlign w:val="center"/>
          </w:tcPr>
          <w:p w14:paraId="314A4E23">
            <w:pPr>
              <w:wordWrap w:val="0"/>
              <w:spacing w:line="440" w:lineRule="exact"/>
              <w:rPr>
                <w:rFonts w:ascii="宋体" w:hAnsi="宋体" w:eastAsia="宋体" w:cs="宋体"/>
                <w:szCs w:val="21"/>
              </w:rPr>
            </w:pPr>
            <w:r>
              <w:rPr>
                <w:rFonts w:hint="eastAsia" w:ascii="宋体" w:hAnsi="宋体" w:eastAsia="宋体" w:cs="宋体"/>
                <w:szCs w:val="21"/>
              </w:rPr>
              <w:t>单位地址：</w:t>
            </w:r>
          </w:p>
        </w:tc>
      </w:tr>
      <w:tr w14:paraId="037A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5A92B4D5">
            <w:pPr>
              <w:wordWrap w:val="0"/>
              <w:spacing w:line="440" w:lineRule="exact"/>
              <w:rPr>
                <w:rFonts w:ascii="宋体" w:hAnsi="宋体" w:eastAsia="宋体" w:cs="宋体"/>
                <w:szCs w:val="21"/>
              </w:rPr>
            </w:pPr>
            <w:r>
              <w:rPr>
                <w:rFonts w:hint="eastAsia" w:ascii="宋体" w:hAnsi="宋体" w:eastAsia="宋体" w:cs="宋体"/>
                <w:szCs w:val="21"/>
              </w:rPr>
              <w:t>法定代表人：</w:t>
            </w:r>
          </w:p>
        </w:tc>
        <w:tc>
          <w:tcPr>
            <w:tcW w:w="4270" w:type="dxa"/>
            <w:tcBorders>
              <w:top w:val="single" w:color="auto" w:sz="4" w:space="0"/>
              <w:left w:val="single" w:color="auto" w:sz="4" w:space="0"/>
              <w:bottom w:val="single" w:color="auto" w:sz="4" w:space="0"/>
              <w:right w:val="single" w:color="auto" w:sz="4" w:space="0"/>
            </w:tcBorders>
            <w:vAlign w:val="center"/>
          </w:tcPr>
          <w:p w14:paraId="4D0562C7">
            <w:pPr>
              <w:wordWrap w:val="0"/>
              <w:spacing w:line="440" w:lineRule="exact"/>
              <w:rPr>
                <w:rFonts w:ascii="宋体" w:hAnsi="宋体" w:eastAsia="宋体" w:cs="宋体"/>
                <w:szCs w:val="21"/>
              </w:rPr>
            </w:pPr>
            <w:r>
              <w:rPr>
                <w:rFonts w:hint="eastAsia" w:ascii="宋体" w:hAnsi="宋体" w:eastAsia="宋体" w:cs="宋体"/>
                <w:szCs w:val="21"/>
              </w:rPr>
              <w:t>法定代表人：</w:t>
            </w:r>
          </w:p>
        </w:tc>
      </w:tr>
      <w:tr w14:paraId="1D1F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7EA9AC93">
            <w:pPr>
              <w:wordWrap w:val="0"/>
              <w:spacing w:line="440" w:lineRule="exact"/>
              <w:rPr>
                <w:rFonts w:ascii="宋体" w:hAnsi="宋体" w:eastAsia="宋体" w:cs="宋体"/>
                <w:szCs w:val="21"/>
              </w:rPr>
            </w:pPr>
            <w:r>
              <w:rPr>
                <w:rFonts w:hint="eastAsia" w:ascii="宋体" w:hAnsi="宋体" w:eastAsia="宋体" w:cs="宋体"/>
                <w:szCs w:val="21"/>
              </w:rPr>
              <w:t>委托代理人：</w:t>
            </w:r>
          </w:p>
        </w:tc>
        <w:tc>
          <w:tcPr>
            <w:tcW w:w="4270" w:type="dxa"/>
            <w:tcBorders>
              <w:top w:val="single" w:color="auto" w:sz="4" w:space="0"/>
              <w:left w:val="single" w:color="auto" w:sz="4" w:space="0"/>
              <w:bottom w:val="single" w:color="auto" w:sz="4" w:space="0"/>
              <w:right w:val="single" w:color="auto" w:sz="4" w:space="0"/>
            </w:tcBorders>
            <w:vAlign w:val="center"/>
          </w:tcPr>
          <w:p w14:paraId="5A107FA6">
            <w:pPr>
              <w:wordWrap w:val="0"/>
              <w:spacing w:line="440" w:lineRule="exact"/>
              <w:rPr>
                <w:rFonts w:ascii="宋体" w:hAnsi="宋体" w:eastAsia="宋体" w:cs="宋体"/>
                <w:szCs w:val="21"/>
              </w:rPr>
            </w:pPr>
            <w:r>
              <w:rPr>
                <w:rFonts w:hint="eastAsia" w:ascii="宋体" w:hAnsi="宋体" w:eastAsia="宋体" w:cs="宋体"/>
                <w:szCs w:val="21"/>
              </w:rPr>
              <w:t>委托代理人：</w:t>
            </w:r>
          </w:p>
        </w:tc>
      </w:tr>
      <w:tr w14:paraId="6DC2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04E93127">
            <w:pPr>
              <w:wordWrap w:val="0"/>
              <w:spacing w:line="440" w:lineRule="exact"/>
              <w:rPr>
                <w:rFonts w:ascii="宋体" w:hAnsi="宋体" w:eastAsia="宋体" w:cs="宋体"/>
                <w:szCs w:val="21"/>
              </w:rPr>
            </w:pPr>
            <w:r>
              <w:rPr>
                <w:rFonts w:hint="eastAsia" w:ascii="宋体" w:hAnsi="宋体" w:eastAsia="宋体" w:cs="宋体"/>
                <w:szCs w:val="21"/>
              </w:rPr>
              <w:t>电话：</w:t>
            </w:r>
          </w:p>
        </w:tc>
        <w:tc>
          <w:tcPr>
            <w:tcW w:w="4270" w:type="dxa"/>
            <w:tcBorders>
              <w:top w:val="single" w:color="auto" w:sz="4" w:space="0"/>
              <w:left w:val="single" w:color="auto" w:sz="4" w:space="0"/>
              <w:bottom w:val="single" w:color="auto" w:sz="4" w:space="0"/>
              <w:right w:val="single" w:color="auto" w:sz="4" w:space="0"/>
            </w:tcBorders>
            <w:vAlign w:val="center"/>
          </w:tcPr>
          <w:p w14:paraId="3C3D4540">
            <w:pPr>
              <w:wordWrap w:val="0"/>
              <w:spacing w:line="440" w:lineRule="exact"/>
              <w:rPr>
                <w:rFonts w:ascii="宋体" w:hAnsi="宋体" w:eastAsia="宋体" w:cs="宋体"/>
                <w:szCs w:val="21"/>
              </w:rPr>
            </w:pPr>
            <w:r>
              <w:rPr>
                <w:rFonts w:hint="eastAsia" w:ascii="宋体" w:hAnsi="宋体" w:eastAsia="宋体" w:cs="宋体"/>
                <w:szCs w:val="21"/>
              </w:rPr>
              <w:t>电话：</w:t>
            </w:r>
          </w:p>
        </w:tc>
      </w:tr>
      <w:tr w14:paraId="2E98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3B10B378">
            <w:pPr>
              <w:wordWrap w:val="0"/>
              <w:spacing w:line="440" w:lineRule="exact"/>
              <w:rPr>
                <w:rFonts w:ascii="宋体" w:hAnsi="宋体" w:eastAsia="宋体" w:cs="宋体"/>
                <w:szCs w:val="21"/>
              </w:rPr>
            </w:pPr>
            <w:r>
              <w:rPr>
                <w:rFonts w:hint="eastAsia" w:ascii="宋体" w:hAnsi="宋体" w:eastAsia="宋体" w:cs="宋体"/>
                <w:szCs w:val="21"/>
              </w:rPr>
              <w:t>电子邮箱：</w:t>
            </w:r>
          </w:p>
        </w:tc>
        <w:tc>
          <w:tcPr>
            <w:tcW w:w="4270" w:type="dxa"/>
            <w:tcBorders>
              <w:top w:val="single" w:color="auto" w:sz="4" w:space="0"/>
              <w:left w:val="single" w:color="auto" w:sz="4" w:space="0"/>
              <w:bottom w:val="single" w:color="auto" w:sz="4" w:space="0"/>
              <w:right w:val="single" w:color="auto" w:sz="4" w:space="0"/>
            </w:tcBorders>
            <w:vAlign w:val="center"/>
          </w:tcPr>
          <w:p w14:paraId="72DE0A4B">
            <w:pPr>
              <w:wordWrap w:val="0"/>
              <w:spacing w:line="440" w:lineRule="exact"/>
              <w:rPr>
                <w:rFonts w:ascii="宋体" w:hAnsi="宋体" w:eastAsia="宋体" w:cs="宋体"/>
                <w:szCs w:val="21"/>
              </w:rPr>
            </w:pPr>
            <w:r>
              <w:rPr>
                <w:rFonts w:hint="eastAsia" w:ascii="宋体" w:hAnsi="宋体" w:eastAsia="宋体" w:cs="宋体"/>
                <w:szCs w:val="21"/>
              </w:rPr>
              <w:t>电子邮箱：</w:t>
            </w:r>
          </w:p>
        </w:tc>
      </w:tr>
      <w:tr w14:paraId="2E22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678071A7">
            <w:pPr>
              <w:wordWrap w:val="0"/>
              <w:spacing w:line="440" w:lineRule="exact"/>
              <w:rPr>
                <w:rFonts w:ascii="宋体" w:hAnsi="宋体" w:eastAsia="宋体" w:cs="宋体"/>
                <w:szCs w:val="21"/>
              </w:rPr>
            </w:pPr>
            <w:r>
              <w:rPr>
                <w:rFonts w:hint="eastAsia" w:ascii="宋体" w:hAnsi="宋体" w:eastAsia="宋体" w:cs="宋体"/>
                <w:szCs w:val="21"/>
              </w:rPr>
              <w:t>开户银行：</w:t>
            </w:r>
          </w:p>
        </w:tc>
        <w:tc>
          <w:tcPr>
            <w:tcW w:w="4270" w:type="dxa"/>
            <w:tcBorders>
              <w:top w:val="single" w:color="auto" w:sz="4" w:space="0"/>
              <w:left w:val="single" w:color="auto" w:sz="4" w:space="0"/>
              <w:bottom w:val="single" w:color="auto" w:sz="4" w:space="0"/>
              <w:right w:val="single" w:color="auto" w:sz="4" w:space="0"/>
            </w:tcBorders>
            <w:vAlign w:val="center"/>
          </w:tcPr>
          <w:p w14:paraId="7034F5DE">
            <w:pPr>
              <w:wordWrap w:val="0"/>
              <w:spacing w:line="440" w:lineRule="exact"/>
              <w:rPr>
                <w:rFonts w:ascii="宋体" w:hAnsi="宋体" w:eastAsia="宋体" w:cs="宋体"/>
                <w:szCs w:val="21"/>
              </w:rPr>
            </w:pPr>
            <w:r>
              <w:rPr>
                <w:rFonts w:hint="eastAsia" w:ascii="宋体" w:hAnsi="宋体" w:eastAsia="宋体" w:cs="宋体"/>
                <w:szCs w:val="21"/>
              </w:rPr>
              <w:t>开户银行：</w:t>
            </w:r>
          </w:p>
        </w:tc>
      </w:tr>
      <w:tr w14:paraId="2FA8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031FD9EA">
            <w:pPr>
              <w:wordWrap w:val="0"/>
              <w:spacing w:line="440" w:lineRule="exact"/>
              <w:rPr>
                <w:rFonts w:ascii="宋体" w:hAnsi="宋体" w:eastAsia="宋体" w:cs="宋体"/>
                <w:szCs w:val="21"/>
              </w:rPr>
            </w:pPr>
            <w:r>
              <w:rPr>
                <w:rFonts w:hint="eastAsia" w:ascii="宋体" w:hAnsi="宋体" w:eastAsia="宋体" w:cs="宋体"/>
                <w:szCs w:val="21"/>
              </w:rPr>
              <w:t>账号：</w:t>
            </w:r>
          </w:p>
        </w:tc>
        <w:tc>
          <w:tcPr>
            <w:tcW w:w="4270" w:type="dxa"/>
            <w:tcBorders>
              <w:top w:val="single" w:color="auto" w:sz="4" w:space="0"/>
              <w:left w:val="single" w:color="auto" w:sz="4" w:space="0"/>
              <w:bottom w:val="single" w:color="auto" w:sz="4" w:space="0"/>
              <w:right w:val="single" w:color="auto" w:sz="4" w:space="0"/>
            </w:tcBorders>
            <w:vAlign w:val="center"/>
          </w:tcPr>
          <w:p w14:paraId="4E89994B">
            <w:pPr>
              <w:wordWrap w:val="0"/>
              <w:spacing w:line="440" w:lineRule="exact"/>
              <w:rPr>
                <w:rFonts w:ascii="宋体" w:hAnsi="宋体" w:eastAsia="宋体" w:cs="宋体"/>
                <w:szCs w:val="21"/>
              </w:rPr>
            </w:pPr>
            <w:r>
              <w:rPr>
                <w:rFonts w:hint="eastAsia" w:ascii="宋体" w:hAnsi="宋体" w:eastAsia="宋体" w:cs="宋体"/>
                <w:szCs w:val="21"/>
              </w:rPr>
              <w:t>账号：</w:t>
            </w:r>
          </w:p>
        </w:tc>
      </w:tr>
      <w:tr w14:paraId="34A8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82" w:type="dxa"/>
            <w:tcBorders>
              <w:top w:val="single" w:color="auto" w:sz="4" w:space="0"/>
              <w:left w:val="single" w:color="auto" w:sz="4" w:space="0"/>
              <w:bottom w:val="single" w:color="auto" w:sz="4" w:space="0"/>
              <w:right w:val="single" w:color="auto" w:sz="4" w:space="0"/>
            </w:tcBorders>
            <w:vAlign w:val="center"/>
          </w:tcPr>
          <w:p w14:paraId="6BC137B6">
            <w:pPr>
              <w:wordWrap w:val="0"/>
              <w:spacing w:line="440" w:lineRule="exact"/>
              <w:rPr>
                <w:rFonts w:ascii="宋体" w:hAnsi="宋体" w:eastAsia="宋体" w:cs="宋体"/>
                <w:szCs w:val="21"/>
              </w:rPr>
            </w:pPr>
            <w:r>
              <w:rPr>
                <w:rFonts w:hint="eastAsia" w:ascii="宋体" w:hAnsi="宋体" w:eastAsia="宋体" w:cs="宋体"/>
                <w:szCs w:val="21"/>
              </w:rPr>
              <w:t>邮政编码：</w:t>
            </w:r>
          </w:p>
        </w:tc>
        <w:tc>
          <w:tcPr>
            <w:tcW w:w="4270" w:type="dxa"/>
            <w:tcBorders>
              <w:top w:val="single" w:color="auto" w:sz="4" w:space="0"/>
              <w:left w:val="single" w:color="auto" w:sz="4" w:space="0"/>
              <w:bottom w:val="single" w:color="auto" w:sz="4" w:space="0"/>
              <w:right w:val="single" w:color="auto" w:sz="4" w:space="0"/>
            </w:tcBorders>
            <w:vAlign w:val="center"/>
          </w:tcPr>
          <w:p w14:paraId="32319586">
            <w:pPr>
              <w:wordWrap w:val="0"/>
              <w:spacing w:line="440" w:lineRule="exact"/>
              <w:rPr>
                <w:rFonts w:ascii="宋体" w:hAnsi="宋体" w:eastAsia="宋体" w:cs="宋体"/>
                <w:szCs w:val="21"/>
              </w:rPr>
            </w:pPr>
            <w:r>
              <w:rPr>
                <w:rFonts w:hint="eastAsia" w:ascii="宋体" w:hAnsi="宋体" w:eastAsia="宋体" w:cs="宋体"/>
                <w:szCs w:val="21"/>
              </w:rPr>
              <w:t>邮政编码：</w:t>
            </w:r>
          </w:p>
        </w:tc>
      </w:tr>
    </w:tbl>
    <w:p w14:paraId="05499001">
      <w:pPr>
        <w:spacing w:line="560" w:lineRule="exact"/>
        <w:jc w:val="left"/>
        <w:rPr>
          <w:rFonts w:ascii="宋体" w:hAnsi="宋体" w:eastAsia="宋体" w:cs="仿宋_GB2312"/>
          <w:szCs w:val="21"/>
        </w:rPr>
      </w:pPr>
      <w:r>
        <w:rPr>
          <w:rFonts w:ascii="宋体" w:hAnsi="宋体" w:eastAsia="宋体" w:cs="仿宋_GB2312"/>
          <w:szCs w:val="21"/>
        </w:rPr>
        <w:br w:type="page"/>
      </w:r>
      <w:r>
        <w:rPr>
          <w:rFonts w:hint="eastAsia" w:ascii="宋体" w:hAnsi="宋体" w:eastAsia="宋体" w:cs="仿宋_GB2312"/>
          <w:szCs w:val="21"/>
        </w:rPr>
        <w:t>合同附件：</w:t>
      </w:r>
    </w:p>
    <w:p w14:paraId="038A57A0">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1.中标通知书</w:t>
      </w:r>
    </w:p>
    <w:p w14:paraId="63C6D146">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2.投标函</w:t>
      </w:r>
    </w:p>
    <w:p w14:paraId="21228443">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3.开标一览表</w:t>
      </w:r>
    </w:p>
    <w:p w14:paraId="4741E82A">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4.采购需求</w:t>
      </w:r>
    </w:p>
    <w:p w14:paraId="52A9C03D">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5.商务条款偏离表</w:t>
      </w:r>
    </w:p>
    <w:p w14:paraId="39D5D819">
      <w:pPr>
        <w:spacing w:line="360" w:lineRule="auto"/>
        <w:ind w:firstLine="420" w:firstLineChars="200"/>
        <w:rPr>
          <w:rFonts w:ascii="宋体" w:hAnsi="宋体" w:eastAsia="宋体" w:cs="仿宋_GB2312"/>
          <w:szCs w:val="21"/>
        </w:rPr>
      </w:pPr>
      <w:r>
        <w:rPr>
          <w:rFonts w:hint="eastAsia" w:ascii="宋体" w:hAnsi="宋体" w:eastAsia="宋体" w:cs="仿宋_GB2312"/>
          <w:szCs w:val="21"/>
        </w:rPr>
        <w:t>6.技术偏离表</w:t>
      </w:r>
    </w:p>
    <w:p w14:paraId="5B98783F">
      <w:pPr>
        <w:spacing w:line="360" w:lineRule="auto"/>
        <w:ind w:firstLine="420" w:firstLineChars="200"/>
        <w:jc w:val="left"/>
        <w:rPr>
          <w:rFonts w:ascii="宋体" w:hAnsi="宋体" w:eastAsia="宋体" w:cs="Times New Roman"/>
          <w:szCs w:val="21"/>
        </w:rPr>
      </w:pPr>
      <w:r>
        <w:rPr>
          <w:rFonts w:hint="eastAsia" w:ascii="宋体" w:hAnsi="宋体" w:eastAsia="宋体" w:cs="仿宋_GB2312"/>
          <w:szCs w:val="21"/>
        </w:rPr>
        <w:t>7.其他与本合同相关的资料（如有）</w:t>
      </w:r>
    </w:p>
    <w:p w14:paraId="1C487B3B">
      <w:pPr>
        <w:spacing w:line="360" w:lineRule="auto"/>
        <w:ind w:firstLine="420" w:firstLineChars="200"/>
        <w:jc w:val="left"/>
        <w:rPr>
          <w:rFonts w:ascii="宋体" w:hAnsi="宋体" w:eastAsia="宋体" w:cs="Times New Roman"/>
          <w:szCs w:val="21"/>
        </w:rPr>
      </w:pPr>
    </w:p>
    <w:p w14:paraId="12D93733">
      <w:pPr>
        <w:spacing w:after="120"/>
        <w:ind w:firstLine="720"/>
        <w:rPr>
          <w:rFonts w:ascii="宋体" w:hAnsi="宋体" w:eastAsia="宋体" w:cs="仿宋_GB2312"/>
          <w:szCs w:val="24"/>
        </w:rPr>
      </w:pPr>
      <w:r>
        <w:rPr>
          <w:rFonts w:hint="eastAsia" w:ascii="宋体" w:hAnsi="宋体" w:eastAsia="宋体" w:cs="仿宋_GB2312"/>
          <w:b/>
          <w:bCs/>
          <w:sz w:val="36"/>
          <w:szCs w:val="36"/>
        </w:rPr>
        <w:br w:type="page"/>
      </w:r>
      <w:r>
        <w:rPr>
          <w:rFonts w:hint="eastAsia" w:ascii="宋体" w:hAnsi="宋体" w:eastAsia="宋体" w:cs="仿宋_GB2312"/>
          <w:b/>
          <w:bCs/>
          <w:sz w:val="36"/>
          <w:szCs w:val="36"/>
        </w:rPr>
        <w:t>附件1：</w:t>
      </w:r>
    </w:p>
    <w:p w14:paraId="6994FCE0">
      <w:pPr>
        <w:widowControl/>
        <w:shd w:val="clear" w:color="auto" w:fill="FFFFFF"/>
        <w:spacing w:line="560" w:lineRule="exact"/>
        <w:ind w:firstLine="883"/>
        <w:jc w:val="center"/>
        <w:rPr>
          <w:rFonts w:ascii="宋体" w:hAnsi="宋体" w:eastAsia="宋体" w:cs="仿宋_GB2312"/>
          <w:kern w:val="0"/>
          <w:sz w:val="44"/>
          <w:szCs w:val="44"/>
        </w:rPr>
      </w:pPr>
      <w:bookmarkStart w:id="204" w:name="_Toc28499"/>
      <w:r>
        <w:rPr>
          <w:rFonts w:hint="eastAsia" w:ascii="宋体" w:hAnsi="宋体" w:eastAsia="宋体" w:cs="仿宋_GB2312"/>
          <w:kern w:val="0"/>
          <w:sz w:val="44"/>
          <w:szCs w:val="44"/>
        </w:rPr>
        <w:t>广西壮族自治区政府采购项目合同验收书</w:t>
      </w:r>
      <w:bookmarkEnd w:id="204"/>
    </w:p>
    <w:p w14:paraId="014AB541">
      <w:pPr>
        <w:widowControl/>
        <w:shd w:val="clear" w:color="auto" w:fill="FFFFFF"/>
        <w:spacing w:line="560" w:lineRule="exact"/>
        <w:ind w:firstLine="643"/>
        <w:jc w:val="center"/>
        <w:rPr>
          <w:rFonts w:ascii="宋体" w:hAnsi="宋体" w:eastAsia="宋体" w:cs="仿宋_GB2312"/>
          <w:kern w:val="0"/>
          <w:sz w:val="32"/>
          <w:szCs w:val="32"/>
        </w:rPr>
      </w:pPr>
      <w:r>
        <w:rPr>
          <w:rFonts w:hint="eastAsia" w:ascii="宋体" w:hAnsi="宋体" w:eastAsia="宋体" w:cs="仿宋_GB2312"/>
          <w:kern w:val="0"/>
          <w:sz w:val="32"/>
          <w:szCs w:val="32"/>
        </w:rPr>
        <w:t>（格式）</w:t>
      </w:r>
    </w:p>
    <w:p w14:paraId="1D7E27C0">
      <w:pPr>
        <w:widowControl/>
        <w:shd w:val="clear" w:color="auto" w:fill="FFFFFF"/>
        <w:snapToGrid w:val="0"/>
        <w:spacing w:line="320" w:lineRule="atLeast"/>
        <w:ind w:firstLine="482"/>
        <w:jc w:val="left"/>
        <w:rPr>
          <w:rFonts w:ascii="宋体" w:hAnsi="宋体" w:eastAsia="宋体" w:cs="仿宋_GB2312"/>
          <w:kern w:val="0"/>
          <w:szCs w:val="21"/>
        </w:rPr>
      </w:pPr>
      <w:r>
        <w:rPr>
          <w:rFonts w:hint="eastAsia" w:ascii="宋体" w:hAnsi="宋体" w:eastAsia="宋体" w:cs="仿宋_GB2312"/>
          <w:kern w:val="0"/>
          <w:szCs w:val="24"/>
        </w:rPr>
        <w:t>根据政府采购项目（</w:t>
      </w:r>
      <w:r>
        <w:rPr>
          <w:rFonts w:hint="eastAsia" w:ascii="宋体" w:hAnsi="宋体" w:eastAsia="宋体" w:cs="仿宋_GB2312"/>
          <w:kern w:val="0"/>
          <w:szCs w:val="24"/>
          <w:u w:val="single"/>
        </w:rPr>
        <w:t>采购合同编号：</w:t>
      </w:r>
      <w:r>
        <w:rPr>
          <w:rFonts w:hint="eastAsia" w:ascii="宋体" w:hAnsi="宋体" w:eastAsia="宋体" w:cs="仿宋_GB2312"/>
          <w:kern w:val="0"/>
          <w:szCs w:val="24"/>
          <w:u w:val="single"/>
        </w:rPr>
        <w:softHyphen/>
      </w:r>
      <w:r>
        <w:rPr>
          <w:rFonts w:hint="eastAsia" w:ascii="宋体" w:hAnsi="宋体" w:eastAsia="宋体" w:cs="仿宋_GB2312"/>
          <w:kern w:val="0"/>
          <w:szCs w:val="24"/>
          <w:u w:val="single"/>
        </w:rPr>
        <w:t xml:space="preserve"> </w:t>
      </w:r>
      <w:r>
        <w:rPr>
          <w:rFonts w:hint="eastAsia" w:ascii="宋体" w:hAnsi="宋体" w:eastAsia="宋体" w:cs="仿宋_GB2312"/>
          <w:kern w:val="0"/>
          <w:szCs w:val="24"/>
        </w:rPr>
        <w:t>）的约定，我单位对（</w:t>
      </w:r>
      <w:r>
        <w:rPr>
          <w:rFonts w:hint="eastAsia" w:ascii="宋体" w:hAnsi="宋体" w:eastAsia="宋体" w:cs="仿宋_GB2312"/>
          <w:kern w:val="0"/>
          <w:szCs w:val="24"/>
          <w:u w:val="single"/>
        </w:rPr>
        <w:t xml:space="preserve"> 项目名称 </w:t>
      </w:r>
      <w:r>
        <w:rPr>
          <w:rFonts w:hint="eastAsia" w:ascii="宋体" w:hAnsi="宋体" w:eastAsia="宋体" w:cs="仿宋_GB2312"/>
          <w:kern w:val="0"/>
          <w:szCs w:val="24"/>
        </w:rPr>
        <w:t>） 政府采购项目中标（或成交）供应商（</w:t>
      </w:r>
      <w:r>
        <w:rPr>
          <w:rFonts w:hint="eastAsia" w:ascii="宋体" w:hAnsi="宋体" w:eastAsia="宋体" w:cs="仿宋_GB2312"/>
          <w:kern w:val="0"/>
          <w:szCs w:val="24"/>
          <w:u w:val="single"/>
        </w:rPr>
        <w:t xml:space="preserve"> 公司名称 </w:t>
      </w:r>
      <w:r>
        <w:rPr>
          <w:rFonts w:hint="eastAsia" w:ascii="宋体" w:hAnsi="宋体" w:eastAsia="宋体" w:cs="仿宋_GB2312"/>
          <w:kern w:val="0"/>
          <w:szCs w:val="24"/>
        </w:rPr>
        <w:t>） 提供的货物（或工程、服务）进行了验收，验收情况如下：</w:t>
      </w:r>
    </w:p>
    <w:tbl>
      <w:tblPr>
        <w:tblStyle w:val="53"/>
        <w:tblW w:w="0" w:type="auto"/>
        <w:jc w:val="center"/>
        <w:tblLayout w:type="fixed"/>
        <w:tblCellMar>
          <w:top w:w="0" w:type="dxa"/>
          <w:left w:w="0" w:type="dxa"/>
          <w:bottom w:w="0" w:type="dxa"/>
          <w:right w:w="0" w:type="dxa"/>
        </w:tblCellMar>
      </w:tblPr>
      <w:tblGrid>
        <w:gridCol w:w="1486"/>
        <w:gridCol w:w="1766"/>
        <w:gridCol w:w="798"/>
        <w:gridCol w:w="102"/>
        <w:gridCol w:w="2002"/>
        <w:gridCol w:w="178"/>
        <w:gridCol w:w="685"/>
        <w:gridCol w:w="2354"/>
      </w:tblGrid>
      <w:tr w14:paraId="4749DA60">
        <w:tblPrEx>
          <w:tblCellMar>
            <w:top w:w="0" w:type="dxa"/>
            <w:left w:w="0" w:type="dxa"/>
            <w:bottom w:w="0" w:type="dxa"/>
            <w:right w:w="0" w:type="dxa"/>
          </w:tblCellMar>
        </w:tblPrEx>
        <w:trPr>
          <w:trHeight w:val="382" w:hRule="atLeast"/>
          <w:jc w:val="center"/>
        </w:trPr>
        <w:tc>
          <w:tcPr>
            <w:tcW w:w="3252" w:type="dxa"/>
            <w:gridSpan w:val="2"/>
            <w:tcBorders>
              <w:top w:val="single" w:color="auto" w:sz="8" w:space="0"/>
              <w:left w:val="single" w:color="auto" w:sz="8" w:space="0"/>
              <w:bottom w:val="single" w:color="auto" w:sz="8" w:space="0"/>
              <w:right w:val="single" w:color="auto" w:sz="8" w:space="0"/>
            </w:tcBorders>
            <w:vAlign w:val="center"/>
          </w:tcPr>
          <w:p w14:paraId="020D702C">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验收方式：</w:t>
            </w:r>
          </w:p>
        </w:tc>
        <w:tc>
          <w:tcPr>
            <w:tcW w:w="6119" w:type="dxa"/>
            <w:gridSpan w:val="6"/>
            <w:tcBorders>
              <w:top w:val="single" w:color="auto" w:sz="8" w:space="0"/>
              <w:left w:val="nil"/>
              <w:bottom w:val="single" w:color="auto" w:sz="8" w:space="0"/>
              <w:right w:val="single" w:color="auto" w:sz="8" w:space="0"/>
            </w:tcBorders>
            <w:vAlign w:val="center"/>
          </w:tcPr>
          <w:p w14:paraId="1F070C70">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□自行验收 □委托验收</w:t>
            </w:r>
          </w:p>
        </w:tc>
      </w:tr>
      <w:tr w14:paraId="349FE8FC">
        <w:tblPrEx>
          <w:tblCellMar>
            <w:top w:w="0" w:type="dxa"/>
            <w:left w:w="0" w:type="dxa"/>
            <w:bottom w:w="0" w:type="dxa"/>
            <w:right w:w="0" w:type="dxa"/>
          </w:tblCellMar>
        </w:tblPrEx>
        <w:trPr>
          <w:trHeight w:val="622" w:hRule="atLeast"/>
          <w:jc w:val="center"/>
        </w:trPr>
        <w:tc>
          <w:tcPr>
            <w:tcW w:w="1486" w:type="dxa"/>
            <w:tcBorders>
              <w:top w:val="nil"/>
              <w:left w:val="single" w:color="auto" w:sz="8" w:space="0"/>
              <w:bottom w:val="single" w:color="auto" w:sz="8" w:space="0"/>
              <w:right w:val="single" w:color="auto" w:sz="8" w:space="0"/>
            </w:tcBorders>
            <w:vAlign w:val="center"/>
          </w:tcPr>
          <w:p w14:paraId="667568E5">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序号</w:t>
            </w:r>
          </w:p>
        </w:tc>
        <w:tc>
          <w:tcPr>
            <w:tcW w:w="1766" w:type="dxa"/>
            <w:tcBorders>
              <w:top w:val="nil"/>
              <w:left w:val="nil"/>
              <w:bottom w:val="single" w:color="auto" w:sz="8" w:space="0"/>
              <w:right w:val="single" w:color="auto" w:sz="8" w:space="0"/>
            </w:tcBorders>
            <w:vAlign w:val="center"/>
          </w:tcPr>
          <w:p w14:paraId="5521DB2F">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名 称</w:t>
            </w:r>
          </w:p>
        </w:tc>
        <w:tc>
          <w:tcPr>
            <w:tcW w:w="2902" w:type="dxa"/>
            <w:gridSpan w:val="3"/>
            <w:tcBorders>
              <w:top w:val="nil"/>
              <w:left w:val="nil"/>
              <w:bottom w:val="single" w:color="auto" w:sz="8" w:space="0"/>
              <w:right w:val="single" w:color="auto" w:sz="8" w:space="0"/>
            </w:tcBorders>
            <w:vAlign w:val="center"/>
          </w:tcPr>
          <w:p w14:paraId="6D7203F2">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货物型号规格、标准及配置等（或服务内容、标准）</w:t>
            </w:r>
          </w:p>
        </w:tc>
        <w:tc>
          <w:tcPr>
            <w:tcW w:w="863" w:type="dxa"/>
            <w:gridSpan w:val="2"/>
            <w:tcBorders>
              <w:top w:val="nil"/>
              <w:left w:val="nil"/>
              <w:bottom w:val="single" w:color="auto" w:sz="8" w:space="0"/>
              <w:right w:val="single" w:color="auto" w:sz="8" w:space="0"/>
            </w:tcBorders>
            <w:vAlign w:val="center"/>
          </w:tcPr>
          <w:p w14:paraId="359F5CFA">
            <w:pPr>
              <w:widowControl/>
              <w:snapToGrid w:val="0"/>
              <w:spacing w:before="100" w:beforeAutospacing="1" w:after="100" w:afterAutospacing="1" w:line="320" w:lineRule="atLeast"/>
              <w:jc w:val="center"/>
              <w:rPr>
                <w:rFonts w:ascii="宋体" w:hAnsi="宋体" w:eastAsia="宋体" w:cs="仿宋_GB2312"/>
                <w:kern w:val="0"/>
                <w:szCs w:val="24"/>
              </w:rPr>
            </w:pPr>
            <w:r>
              <w:rPr>
                <w:rFonts w:hint="eastAsia" w:ascii="宋体" w:hAnsi="宋体" w:eastAsia="宋体" w:cs="仿宋_GB2312"/>
                <w:kern w:val="0"/>
                <w:szCs w:val="24"/>
              </w:rPr>
              <w:t>数量</w:t>
            </w:r>
          </w:p>
        </w:tc>
        <w:tc>
          <w:tcPr>
            <w:tcW w:w="2354" w:type="dxa"/>
            <w:tcBorders>
              <w:top w:val="nil"/>
              <w:left w:val="nil"/>
              <w:bottom w:val="single" w:color="auto" w:sz="8" w:space="0"/>
              <w:right w:val="single" w:color="auto" w:sz="8" w:space="0"/>
            </w:tcBorders>
            <w:vAlign w:val="center"/>
          </w:tcPr>
          <w:p w14:paraId="226B1B2F">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金 额</w:t>
            </w:r>
          </w:p>
        </w:tc>
      </w:tr>
      <w:tr w14:paraId="7EC8B10B">
        <w:tblPrEx>
          <w:tblCellMar>
            <w:top w:w="0" w:type="dxa"/>
            <w:left w:w="0" w:type="dxa"/>
            <w:bottom w:w="0" w:type="dxa"/>
            <w:right w:w="0" w:type="dxa"/>
          </w:tblCellMar>
        </w:tblPrEx>
        <w:trPr>
          <w:trHeight w:val="487" w:hRule="atLeast"/>
          <w:jc w:val="center"/>
        </w:trPr>
        <w:tc>
          <w:tcPr>
            <w:tcW w:w="1486" w:type="dxa"/>
            <w:tcBorders>
              <w:top w:val="nil"/>
              <w:left w:val="single" w:color="auto" w:sz="8" w:space="0"/>
              <w:bottom w:val="single" w:color="auto" w:sz="8" w:space="0"/>
              <w:right w:val="single" w:color="auto" w:sz="8" w:space="0"/>
            </w:tcBorders>
            <w:vAlign w:val="center"/>
          </w:tcPr>
          <w:p w14:paraId="65403E2A">
            <w:pPr>
              <w:widowControl/>
              <w:spacing w:before="100" w:beforeAutospacing="1" w:after="100" w:afterAutospacing="1" w:line="240" w:lineRule="atLeast"/>
              <w:jc w:val="center"/>
              <w:rPr>
                <w:rFonts w:ascii="宋体" w:hAnsi="宋体" w:eastAsia="宋体" w:cs="仿宋_GB2312"/>
                <w:kern w:val="0"/>
                <w:szCs w:val="24"/>
              </w:rPr>
            </w:pPr>
          </w:p>
        </w:tc>
        <w:tc>
          <w:tcPr>
            <w:tcW w:w="1766" w:type="dxa"/>
            <w:tcBorders>
              <w:top w:val="nil"/>
              <w:left w:val="nil"/>
              <w:bottom w:val="single" w:color="auto" w:sz="8" w:space="0"/>
              <w:right w:val="single" w:color="auto" w:sz="8" w:space="0"/>
            </w:tcBorders>
            <w:vAlign w:val="center"/>
          </w:tcPr>
          <w:p w14:paraId="06111E86">
            <w:pPr>
              <w:widowControl/>
              <w:spacing w:before="100" w:beforeAutospacing="1" w:after="100" w:afterAutospacing="1" w:line="240" w:lineRule="atLeast"/>
              <w:jc w:val="center"/>
              <w:rPr>
                <w:rFonts w:ascii="宋体" w:hAnsi="宋体" w:eastAsia="宋体" w:cs="仿宋_GB2312"/>
                <w:kern w:val="0"/>
                <w:szCs w:val="24"/>
              </w:rPr>
            </w:pPr>
          </w:p>
        </w:tc>
        <w:tc>
          <w:tcPr>
            <w:tcW w:w="2902" w:type="dxa"/>
            <w:gridSpan w:val="3"/>
            <w:tcBorders>
              <w:top w:val="nil"/>
              <w:left w:val="nil"/>
              <w:bottom w:val="single" w:color="auto" w:sz="8" w:space="0"/>
              <w:right w:val="single" w:color="auto" w:sz="8" w:space="0"/>
            </w:tcBorders>
            <w:vAlign w:val="center"/>
          </w:tcPr>
          <w:p w14:paraId="7530032C">
            <w:pPr>
              <w:widowControl/>
              <w:spacing w:before="100" w:beforeAutospacing="1" w:after="100" w:afterAutospacing="1" w:line="240" w:lineRule="atLeast"/>
              <w:jc w:val="center"/>
              <w:rPr>
                <w:rFonts w:ascii="宋体" w:hAnsi="宋体" w:eastAsia="宋体" w:cs="仿宋_GB2312"/>
                <w:kern w:val="0"/>
                <w:szCs w:val="24"/>
              </w:rPr>
            </w:pPr>
          </w:p>
        </w:tc>
        <w:tc>
          <w:tcPr>
            <w:tcW w:w="863" w:type="dxa"/>
            <w:gridSpan w:val="2"/>
            <w:tcBorders>
              <w:top w:val="nil"/>
              <w:left w:val="nil"/>
              <w:bottom w:val="single" w:color="auto" w:sz="8" w:space="0"/>
              <w:right w:val="single" w:color="auto" w:sz="8" w:space="0"/>
            </w:tcBorders>
            <w:vAlign w:val="center"/>
          </w:tcPr>
          <w:p w14:paraId="558FF39A">
            <w:pPr>
              <w:widowControl/>
              <w:spacing w:before="100" w:beforeAutospacing="1" w:after="100" w:afterAutospacing="1" w:line="240" w:lineRule="atLeast"/>
              <w:jc w:val="center"/>
              <w:rPr>
                <w:rFonts w:ascii="宋体" w:hAnsi="宋体" w:eastAsia="宋体" w:cs="仿宋_GB2312"/>
                <w:kern w:val="0"/>
                <w:szCs w:val="24"/>
              </w:rPr>
            </w:pPr>
          </w:p>
        </w:tc>
        <w:tc>
          <w:tcPr>
            <w:tcW w:w="2354" w:type="dxa"/>
            <w:tcBorders>
              <w:top w:val="nil"/>
              <w:left w:val="nil"/>
              <w:bottom w:val="single" w:color="auto" w:sz="8" w:space="0"/>
              <w:right w:val="single" w:color="auto" w:sz="8" w:space="0"/>
            </w:tcBorders>
            <w:vAlign w:val="center"/>
          </w:tcPr>
          <w:p w14:paraId="7C229589">
            <w:pPr>
              <w:widowControl/>
              <w:spacing w:before="100" w:beforeAutospacing="1" w:after="100" w:afterAutospacing="1" w:line="240" w:lineRule="atLeast"/>
              <w:jc w:val="center"/>
              <w:rPr>
                <w:rFonts w:ascii="宋体" w:hAnsi="宋体" w:eastAsia="宋体" w:cs="仿宋_GB2312"/>
                <w:kern w:val="0"/>
                <w:szCs w:val="24"/>
              </w:rPr>
            </w:pPr>
          </w:p>
        </w:tc>
      </w:tr>
      <w:tr w14:paraId="0F1CDD3E">
        <w:tblPrEx>
          <w:tblCellMar>
            <w:top w:w="0" w:type="dxa"/>
            <w:left w:w="0" w:type="dxa"/>
            <w:bottom w:w="0" w:type="dxa"/>
            <w:right w:w="0" w:type="dxa"/>
          </w:tblCellMar>
        </w:tblPrEx>
        <w:trPr>
          <w:trHeight w:val="487" w:hRule="atLeast"/>
          <w:jc w:val="center"/>
        </w:trPr>
        <w:tc>
          <w:tcPr>
            <w:tcW w:w="1486" w:type="dxa"/>
            <w:tcBorders>
              <w:top w:val="nil"/>
              <w:left w:val="single" w:color="auto" w:sz="8" w:space="0"/>
              <w:bottom w:val="single" w:color="auto" w:sz="8" w:space="0"/>
              <w:right w:val="single" w:color="auto" w:sz="8" w:space="0"/>
            </w:tcBorders>
            <w:vAlign w:val="center"/>
          </w:tcPr>
          <w:p w14:paraId="6784A436">
            <w:pPr>
              <w:widowControl/>
              <w:spacing w:before="100" w:beforeAutospacing="1" w:after="100" w:afterAutospacing="1" w:line="240" w:lineRule="atLeast"/>
              <w:jc w:val="center"/>
              <w:rPr>
                <w:rFonts w:ascii="宋体" w:hAnsi="宋体" w:eastAsia="宋体" w:cs="仿宋_GB2312"/>
                <w:kern w:val="0"/>
                <w:szCs w:val="24"/>
              </w:rPr>
            </w:pPr>
          </w:p>
        </w:tc>
        <w:tc>
          <w:tcPr>
            <w:tcW w:w="1766" w:type="dxa"/>
            <w:tcBorders>
              <w:top w:val="nil"/>
              <w:left w:val="nil"/>
              <w:bottom w:val="single" w:color="auto" w:sz="8" w:space="0"/>
              <w:right w:val="single" w:color="auto" w:sz="8" w:space="0"/>
            </w:tcBorders>
            <w:vAlign w:val="center"/>
          </w:tcPr>
          <w:p w14:paraId="09682F61">
            <w:pPr>
              <w:widowControl/>
              <w:spacing w:before="100" w:beforeAutospacing="1" w:after="100" w:afterAutospacing="1" w:line="240" w:lineRule="atLeast"/>
              <w:jc w:val="center"/>
              <w:rPr>
                <w:rFonts w:ascii="宋体" w:hAnsi="宋体" w:eastAsia="宋体" w:cs="仿宋_GB2312"/>
                <w:kern w:val="0"/>
                <w:szCs w:val="24"/>
              </w:rPr>
            </w:pPr>
          </w:p>
        </w:tc>
        <w:tc>
          <w:tcPr>
            <w:tcW w:w="2902" w:type="dxa"/>
            <w:gridSpan w:val="3"/>
            <w:tcBorders>
              <w:top w:val="nil"/>
              <w:left w:val="nil"/>
              <w:bottom w:val="single" w:color="auto" w:sz="8" w:space="0"/>
              <w:right w:val="single" w:color="auto" w:sz="8" w:space="0"/>
            </w:tcBorders>
            <w:vAlign w:val="center"/>
          </w:tcPr>
          <w:p w14:paraId="42586F20">
            <w:pPr>
              <w:widowControl/>
              <w:spacing w:before="100" w:beforeAutospacing="1" w:after="100" w:afterAutospacing="1" w:line="240" w:lineRule="atLeast"/>
              <w:jc w:val="center"/>
              <w:rPr>
                <w:rFonts w:ascii="宋体" w:hAnsi="宋体" w:eastAsia="宋体" w:cs="仿宋_GB2312"/>
                <w:kern w:val="0"/>
                <w:szCs w:val="24"/>
              </w:rPr>
            </w:pPr>
          </w:p>
        </w:tc>
        <w:tc>
          <w:tcPr>
            <w:tcW w:w="863" w:type="dxa"/>
            <w:gridSpan w:val="2"/>
            <w:tcBorders>
              <w:top w:val="nil"/>
              <w:left w:val="nil"/>
              <w:bottom w:val="single" w:color="auto" w:sz="8" w:space="0"/>
              <w:right w:val="single" w:color="auto" w:sz="8" w:space="0"/>
            </w:tcBorders>
            <w:vAlign w:val="center"/>
          </w:tcPr>
          <w:p w14:paraId="423E2D9B">
            <w:pPr>
              <w:widowControl/>
              <w:spacing w:before="100" w:beforeAutospacing="1" w:after="100" w:afterAutospacing="1" w:line="240" w:lineRule="atLeast"/>
              <w:jc w:val="center"/>
              <w:rPr>
                <w:rFonts w:ascii="宋体" w:hAnsi="宋体" w:eastAsia="宋体" w:cs="仿宋_GB2312"/>
                <w:kern w:val="0"/>
                <w:szCs w:val="24"/>
              </w:rPr>
            </w:pPr>
          </w:p>
        </w:tc>
        <w:tc>
          <w:tcPr>
            <w:tcW w:w="2354" w:type="dxa"/>
            <w:tcBorders>
              <w:top w:val="nil"/>
              <w:left w:val="nil"/>
              <w:bottom w:val="single" w:color="auto" w:sz="8" w:space="0"/>
              <w:right w:val="single" w:color="auto" w:sz="8" w:space="0"/>
            </w:tcBorders>
            <w:vAlign w:val="center"/>
          </w:tcPr>
          <w:p w14:paraId="5CCA298B">
            <w:pPr>
              <w:widowControl/>
              <w:spacing w:before="100" w:beforeAutospacing="1" w:after="100" w:afterAutospacing="1" w:line="240" w:lineRule="atLeast"/>
              <w:jc w:val="center"/>
              <w:rPr>
                <w:rFonts w:ascii="宋体" w:hAnsi="宋体" w:eastAsia="宋体" w:cs="仿宋_GB2312"/>
                <w:kern w:val="0"/>
                <w:szCs w:val="24"/>
              </w:rPr>
            </w:pPr>
          </w:p>
        </w:tc>
      </w:tr>
      <w:tr w14:paraId="0F5B5868">
        <w:tblPrEx>
          <w:tblCellMar>
            <w:top w:w="0" w:type="dxa"/>
            <w:left w:w="0" w:type="dxa"/>
            <w:bottom w:w="0" w:type="dxa"/>
            <w:right w:w="0" w:type="dxa"/>
          </w:tblCellMar>
        </w:tblPrEx>
        <w:trPr>
          <w:trHeight w:val="487" w:hRule="atLeast"/>
          <w:jc w:val="center"/>
        </w:trPr>
        <w:tc>
          <w:tcPr>
            <w:tcW w:w="1486" w:type="dxa"/>
            <w:tcBorders>
              <w:top w:val="nil"/>
              <w:left w:val="single" w:color="auto" w:sz="8" w:space="0"/>
              <w:bottom w:val="single" w:color="auto" w:sz="8" w:space="0"/>
              <w:right w:val="single" w:color="auto" w:sz="8" w:space="0"/>
            </w:tcBorders>
            <w:vAlign w:val="center"/>
          </w:tcPr>
          <w:p w14:paraId="23A9DC2F">
            <w:pPr>
              <w:widowControl/>
              <w:spacing w:before="100" w:beforeAutospacing="1" w:after="100" w:afterAutospacing="1" w:line="240" w:lineRule="atLeast"/>
              <w:jc w:val="center"/>
              <w:rPr>
                <w:rFonts w:ascii="宋体" w:hAnsi="宋体" w:eastAsia="宋体" w:cs="仿宋_GB2312"/>
                <w:kern w:val="0"/>
                <w:szCs w:val="24"/>
              </w:rPr>
            </w:pPr>
          </w:p>
        </w:tc>
        <w:tc>
          <w:tcPr>
            <w:tcW w:w="1766" w:type="dxa"/>
            <w:tcBorders>
              <w:top w:val="nil"/>
              <w:left w:val="nil"/>
              <w:bottom w:val="single" w:color="auto" w:sz="8" w:space="0"/>
              <w:right w:val="single" w:color="auto" w:sz="8" w:space="0"/>
            </w:tcBorders>
            <w:vAlign w:val="center"/>
          </w:tcPr>
          <w:p w14:paraId="2EAD70F8">
            <w:pPr>
              <w:widowControl/>
              <w:spacing w:before="100" w:beforeAutospacing="1" w:after="100" w:afterAutospacing="1" w:line="240" w:lineRule="atLeast"/>
              <w:jc w:val="center"/>
              <w:rPr>
                <w:rFonts w:ascii="宋体" w:hAnsi="宋体" w:eastAsia="宋体" w:cs="仿宋_GB2312"/>
                <w:kern w:val="0"/>
                <w:szCs w:val="24"/>
              </w:rPr>
            </w:pPr>
          </w:p>
        </w:tc>
        <w:tc>
          <w:tcPr>
            <w:tcW w:w="2902" w:type="dxa"/>
            <w:gridSpan w:val="3"/>
            <w:tcBorders>
              <w:top w:val="nil"/>
              <w:left w:val="nil"/>
              <w:bottom w:val="single" w:color="auto" w:sz="8" w:space="0"/>
              <w:right w:val="single" w:color="auto" w:sz="8" w:space="0"/>
            </w:tcBorders>
            <w:vAlign w:val="center"/>
          </w:tcPr>
          <w:p w14:paraId="019361D8">
            <w:pPr>
              <w:widowControl/>
              <w:spacing w:before="100" w:beforeAutospacing="1" w:after="100" w:afterAutospacing="1" w:line="240" w:lineRule="atLeast"/>
              <w:jc w:val="center"/>
              <w:rPr>
                <w:rFonts w:ascii="宋体" w:hAnsi="宋体" w:eastAsia="宋体" w:cs="仿宋_GB2312"/>
                <w:kern w:val="0"/>
                <w:szCs w:val="24"/>
              </w:rPr>
            </w:pPr>
          </w:p>
        </w:tc>
        <w:tc>
          <w:tcPr>
            <w:tcW w:w="863" w:type="dxa"/>
            <w:gridSpan w:val="2"/>
            <w:tcBorders>
              <w:top w:val="nil"/>
              <w:left w:val="nil"/>
              <w:bottom w:val="single" w:color="auto" w:sz="8" w:space="0"/>
              <w:right w:val="single" w:color="auto" w:sz="8" w:space="0"/>
            </w:tcBorders>
            <w:vAlign w:val="center"/>
          </w:tcPr>
          <w:p w14:paraId="371EBD02">
            <w:pPr>
              <w:widowControl/>
              <w:spacing w:before="100" w:beforeAutospacing="1" w:after="100" w:afterAutospacing="1" w:line="240" w:lineRule="atLeast"/>
              <w:jc w:val="center"/>
              <w:rPr>
                <w:rFonts w:ascii="宋体" w:hAnsi="宋体" w:eastAsia="宋体" w:cs="仿宋_GB2312"/>
                <w:kern w:val="0"/>
                <w:szCs w:val="24"/>
              </w:rPr>
            </w:pPr>
          </w:p>
        </w:tc>
        <w:tc>
          <w:tcPr>
            <w:tcW w:w="2354" w:type="dxa"/>
            <w:tcBorders>
              <w:top w:val="nil"/>
              <w:left w:val="nil"/>
              <w:bottom w:val="single" w:color="auto" w:sz="8" w:space="0"/>
              <w:right w:val="single" w:color="auto" w:sz="8" w:space="0"/>
            </w:tcBorders>
            <w:vAlign w:val="center"/>
          </w:tcPr>
          <w:p w14:paraId="15D6AC96">
            <w:pPr>
              <w:widowControl/>
              <w:spacing w:before="100" w:beforeAutospacing="1" w:after="100" w:afterAutospacing="1" w:line="240" w:lineRule="atLeast"/>
              <w:jc w:val="center"/>
              <w:rPr>
                <w:rFonts w:ascii="宋体" w:hAnsi="宋体" w:eastAsia="宋体" w:cs="仿宋_GB2312"/>
                <w:kern w:val="0"/>
                <w:szCs w:val="24"/>
              </w:rPr>
            </w:pPr>
          </w:p>
        </w:tc>
      </w:tr>
      <w:tr w14:paraId="75C4AEDB">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vAlign w:val="center"/>
          </w:tcPr>
          <w:p w14:paraId="669D7980">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合 计</w:t>
            </w:r>
          </w:p>
        </w:tc>
        <w:tc>
          <w:tcPr>
            <w:tcW w:w="863" w:type="dxa"/>
            <w:gridSpan w:val="2"/>
            <w:tcBorders>
              <w:top w:val="nil"/>
              <w:left w:val="nil"/>
              <w:bottom w:val="single" w:color="auto" w:sz="8" w:space="0"/>
              <w:right w:val="single" w:color="auto" w:sz="8" w:space="0"/>
            </w:tcBorders>
            <w:vAlign w:val="center"/>
          </w:tcPr>
          <w:p w14:paraId="61AC87C3">
            <w:pPr>
              <w:widowControl/>
              <w:spacing w:before="100" w:beforeAutospacing="1" w:after="100" w:afterAutospacing="1" w:line="240" w:lineRule="atLeast"/>
              <w:jc w:val="center"/>
              <w:rPr>
                <w:rFonts w:ascii="宋体" w:hAnsi="宋体" w:eastAsia="宋体" w:cs="仿宋_GB2312"/>
                <w:kern w:val="0"/>
                <w:szCs w:val="24"/>
              </w:rPr>
            </w:pPr>
          </w:p>
        </w:tc>
        <w:tc>
          <w:tcPr>
            <w:tcW w:w="2354" w:type="dxa"/>
            <w:tcBorders>
              <w:top w:val="nil"/>
              <w:left w:val="nil"/>
              <w:bottom w:val="single" w:color="auto" w:sz="8" w:space="0"/>
              <w:right w:val="single" w:color="auto" w:sz="8" w:space="0"/>
            </w:tcBorders>
            <w:vAlign w:val="center"/>
          </w:tcPr>
          <w:p w14:paraId="0A210B7E">
            <w:pPr>
              <w:widowControl/>
              <w:spacing w:before="100" w:beforeAutospacing="1" w:after="100" w:afterAutospacing="1" w:line="240" w:lineRule="atLeast"/>
              <w:jc w:val="center"/>
              <w:rPr>
                <w:rFonts w:ascii="宋体" w:hAnsi="宋体" w:eastAsia="宋体" w:cs="仿宋_GB2312"/>
                <w:kern w:val="0"/>
                <w:szCs w:val="24"/>
              </w:rPr>
            </w:pPr>
          </w:p>
        </w:tc>
      </w:tr>
      <w:tr w14:paraId="1DF94BA4">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vAlign w:val="center"/>
          </w:tcPr>
          <w:p w14:paraId="32A707F4">
            <w:pPr>
              <w:widowControl/>
              <w:snapToGrid w:val="0"/>
              <w:spacing w:before="100" w:beforeAutospacing="1" w:after="100" w:afterAutospacing="1" w:line="320" w:lineRule="atLeast"/>
              <w:ind w:firstLine="482"/>
              <w:jc w:val="left"/>
              <w:rPr>
                <w:rFonts w:ascii="宋体" w:hAnsi="宋体" w:eastAsia="宋体" w:cs="仿宋_GB2312"/>
                <w:kern w:val="0"/>
                <w:szCs w:val="24"/>
              </w:rPr>
            </w:pPr>
            <w:r>
              <w:rPr>
                <w:rFonts w:hint="eastAsia" w:ascii="宋体" w:hAnsi="宋体" w:eastAsia="宋体" w:cs="仿宋_GB2312"/>
                <w:kern w:val="0"/>
                <w:szCs w:val="24"/>
              </w:rPr>
              <w:t>合计大写金额： 仟 佰 拾 万 仟 佰 拾 元</w:t>
            </w:r>
          </w:p>
        </w:tc>
      </w:tr>
      <w:tr w14:paraId="1A223477">
        <w:tblPrEx>
          <w:tblCellMar>
            <w:top w:w="0" w:type="dxa"/>
            <w:left w:w="0" w:type="dxa"/>
            <w:bottom w:w="0" w:type="dxa"/>
            <w:right w:w="0" w:type="dxa"/>
          </w:tblCellMar>
        </w:tblPrEx>
        <w:trPr>
          <w:trHeight w:val="491" w:hRule="atLeast"/>
          <w:jc w:val="center"/>
        </w:trPr>
        <w:tc>
          <w:tcPr>
            <w:tcW w:w="1486" w:type="dxa"/>
            <w:tcBorders>
              <w:top w:val="nil"/>
              <w:left w:val="single" w:color="auto" w:sz="8" w:space="0"/>
              <w:bottom w:val="single" w:color="auto" w:sz="8" w:space="0"/>
              <w:right w:val="single" w:color="auto" w:sz="8" w:space="0"/>
            </w:tcBorders>
            <w:vAlign w:val="center"/>
          </w:tcPr>
          <w:p w14:paraId="1285A059">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实际供货日期</w:t>
            </w:r>
          </w:p>
        </w:tc>
        <w:tc>
          <w:tcPr>
            <w:tcW w:w="2564" w:type="dxa"/>
            <w:gridSpan w:val="2"/>
            <w:tcBorders>
              <w:top w:val="nil"/>
              <w:left w:val="nil"/>
              <w:bottom w:val="single" w:color="auto" w:sz="8" w:space="0"/>
              <w:right w:val="single" w:color="auto" w:sz="8" w:space="0"/>
            </w:tcBorders>
            <w:vAlign w:val="center"/>
          </w:tcPr>
          <w:p w14:paraId="4B077D59">
            <w:pPr>
              <w:widowControl/>
              <w:spacing w:before="100" w:beforeAutospacing="1" w:after="100" w:afterAutospacing="1" w:line="240" w:lineRule="atLeast"/>
              <w:jc w:val="center"/>
              <w:rPr>
                <w:rFonts w:ascii="宋体" w:hAnsi="宋体" w:eastAsia="宋体" w:cs="仿宋_GB2312"/>
                <w:kern w:val="0"/>
                <w:szCs w:val="24"/>
              </w:rPr>
            </w:pPr>
          </w:p>
        </w:tc>
        <w:tc>
          <w:tcPr>
            <w:tcW w:w="2282" w:type="dxa"/>
            <w:gridSpan w:val="3"/>
            <w:tcBorders>
              <w:top w:val="nil"/>
              <w:left w:val="nil"/>
              <w:bottom w:val="single" w:color="auto" w:sz="8" w:space="0"/>
              <w:right w:val="single" w:color="auto" w:sz="8" w:space="0"/>
            </w:tcBorders>
            <w:vAlign w:val="center"/>
          </w:tcPr>
          <w:p w14:paraId="60795A8F">
            <w:pPr>
              <w:widowControl/>
              <w:snapToGrid w:val="0"/>
              <w:spacing w:before="100" w:beforeAutospacing="1" w:after="100" w:afterAutospacing="1" w:line="320" w:lineRule="atLeast"/>
              <w:ind w:firstLine="482"/>
              <w:jc w:val="center"/>
              <w:rPr>
                <w:rFonts w:ascii="宋体" w:hAnsi="宋体" w:eastAsia="宋体" w:cs="仿宋_GB2312"/>
                <w:kern w:val="0"/>
                <w:szCs w:val="24"/>
              </w:rPr>
            </w:pPr>
            <w:r>
              <w:rPr>
                <w:rFonts w:hint="eastAsia" w:ascii="宋体" w:hAnsi="宋体" w:eastAsia="宋体" w:cs="仿宋_GB2312"/>
                <w:kern w:val="0"/>
                <w:szCs w:val="24"/>
              </w:rPr>
              <w:t>合同交货验收日期</w:t>
            </w:r>
          </w:p>
        </w:tc>
        <w:tc>
          <w:tcPr>
            <w:tcW w:w="3039" w:type="dxa"/>
            <w:gridSpan w:val="2"/>
            <w:tcBorders>
              <w:top w:val="nil"/>
              <w:left w:val="nil"/>
              <w:bottom w:val="single" w:color="auto" w:sz="8" w:space="0"/>
              <w:right w:val="single" w:color="auto" w:sz="8" w:space="0"/>
            </w:tcBorders>
            <w:vAlign w:val="center"/>
          </w:tcPr>
          <w:p w14:paraId="6E194590">
            <w:pPr>
              <w:widowControl/>
              <w:spacing w:before="100" w:beforeAutospacing="1" w:after="100" w:afterAutospacing="1" w:line="240" w:lineRule="atLeast"/>
              <w:jc w:val="center"/>
              <w:rPr>
                <w:rFonts w:ascii="宋体" w:hAnsi="宋体" w:eastAsia="宋体" w:cs="仿宋_GB2312"/>
                <w:kern w:val="0"/>
                <w:szCs w:val="24"/>
              </w:rPr>
            </w:pPr>
          </w:p>
        </w:tc>
      </w:tr>
      <w:tr w14:paraId="7E65511E">
        <w:tblPrEx>
          <w:tblCellMar>
            <w:top w:w="0" w:type="dxa"/>
            <w:left w:w="0" w:type="dxa"/>
            <w:bottom w:w="0" w:type="dxa"/>
            <w:right w:w="0" w:type="dxa"/>
          </w:tblCellMar>
        </w:tblPrEx>
        <w:trPr>
          <w:trHeight w:val="394" w:hRule="atLeast"/>
          <w:jc w:val="center"/>
        </w:trPr>
        <w:tc>
          <w:tcPr>
            <w:tcW w:w="1486" w:type="dxa"/>
            <w:tcBorders>
              <w:top w:val="nil"/>
              <w:left w:val="single" w:color="auto" w:sz="8" w:space="0"/>
              <w:bottom w:val="single" w:color="auto" w:sz="8" w:space="0"/>
              <w:right w:val="single" w:color="auto" w:sz="8" w:space="0"/>
            </w:tcBorders>
            <w:vAlign w:val="center"/>
          </w:tcPr>
          <w:p w14:paraId="608F9EFE">
            <w:pPr>
              <w:widowControl/>
              <w:spacing w:before="100" w:beforeAutospacing="1" w:after="100" w:afterAutospacing="1" w:line="240" w:lineRule="atLeast"/>
              <w:jc w:val="center"/>
              <w:rPr>
                <w:rFonts w:ascii="宋体" w:hAnsi="宋体" w:eastAsia="宋体" w:cs="仿宋_GB2312"/>
                <w:kern w:val="0"/>
                <w:szCs w:val="24"/>
              </w:rPr>
            </w:pPr>
          </w:p>
        </w:tc>
        <w:tc>
          <w:tcPr>
            <w:tcW w:w="2564" w:type="dxa"/>
            <w:gridSpan w:val="2"/>
            <w:tcBorders>
              <w:top w:val="nil"/>
              <w:left w:val="nil"/>
              <w:bottom w:val="single" w:color="auto" w:sz="8" w:space="0"/>
              <w:right w:val="single" w:color="auto" w:sz="8" w:space="0"/>
            </w:tcBorders>
            <w:vAlign w:val="center"/>
          </w:tcPr>
          <w:p w14:paraId="50D7A832">
            <w:pPr>
              <w:widowControl/>
              <w:spacing w:before="100" w:beforeAutospacing="1" w:after="100" w:afterAutospacing="1" w:line="240" w:lineRule="atLeast"/>
              <w:jc w:val="center"/>
              <w:rPr>
                <w:rFonts w:ascii="宋体" w:hAnsi="宋体" w:eastAsia="宋体" w:cs="仿宋_GB2312"/>
                <w:kern w:val="0"/>
                <w:szCs w:val="24"/>
              </w:rPr>
            </w:pPr>
          </w:p>
        </w:tc>
        <w:tc>
          <w:tcPr>
            <w:tcW w:w="2282" w:type="dxa"/>
            <w:gridSpan w:val="3"/>
            <w:tcBorders>
              <w:top w:val="nil"/>
              <w:left w:val="nil"/>
              <w:bottom w:val="single" w:color="auto" w:sz="8" w:space="0"/>
              <w:right w:val="single" w:color="auto" w:sz="8" w:space="0"/>
            </w:tcBorders>
            <w:vAlign w:val="center"/>
          </w:tcPr>
          <w:p w14:paraId="6A6E6CC1">
            <w:pPr>
              <w:widowControl/>
              <w:spacing w:before="100" w:beforeAutospacing="1" w:after="100" w:afterAutospacing="1" w:line="240" w:lineRule="atLeast"/>
              <w:jc w:val="center"/>
              <w:rPr>
                <w:rFonts w:ascii="宋体" w:hAnsi="宋体" w:eastAsia="宋体" w:cs="仿宋_GB2312"/>
                <w:kern w:val="0"/>
                <w:szCs w:val="24"/>
              </w:rPr>
            </w:pPr>
          </w:p>
        </w:tc>
        <w:tc>
          <w:tcPr>
            <w:tcW w:w="3039" w:type="dxa"/>
            <w:gridSpan w:val="2"/>
            <w:tcBorders>
              <w:top w:val="nil"/>
              <w:left w:val="nil"/>
              <w:bottom w:val="single" w:color="auto" w:sz="8" w:space="0"/>
              <w:right w:val="single" w:color="auto" w:sz="8" w:space="0"/>
            </w:tcBorders>
            <w:vAlign w:val="center"/>
          </w:tcPr>
          <w:p w14:paraId="77FB24D0">
            <w:pPr>
              <w:widowControl/>
              <w:spacing w:before="100" w:beforeAutospacing="1" w:after="100" w:afterAutospacing="1" w:line="240" w:lineRule="atLeast"/>
              <w:jc w:val="center"/>
              <w:rPr>
                <w:rFonts w:ascii="宋体" w:hAnsi="宋体" w:eastAsia="宋体" w:cs="仿宋_GB2312"/>
                <w:kern w:val="0"/>
                <w:szCs w:val="24"/>
              </w:rPr>
            </w:pPr>
          </w:p>
        </w:tc>
      </w:tr>
      <w:tr w14:paraId="593CF9B1">
        <w:tblPrEx>
          <w:tblCellMar>
            <w:top w:w="0" w:type="dxa"/>
            <w:left w:w="0" w:type="dxa"/>
            <w:bottom w:w="0" w:type="dxa"/>
            <w:right w:w="0" w:type="dxa"/>
          </w:tblCellMar>
        </w:tblPrEx>
        <w:trPr>
          <w:trHeight w:val="693" w:hRule="atLeast"/>
          <w:jc w:val="center"/>
        </w:trPr>
        <w:tc>
          <w:tcPr>
            <w:tcW w:w="14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342FF1">
            <w:pPr>
              <w:widowControl/>
              <w:snapToGrid w:val="0"/>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验收具体内容</w:t>
            </w:r>
          </w:p>
        </w:tc>
        <w:tc>
          <w:tcPr>
            <w:tcW w:w="7885"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3EA732C7">
            <w:pPr>
              <w:widowControl/>
              <w:snapToGrid w:val="0"/>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应按采购合同、采购文件、投标响应文件及验收方案等进行验收；并核对中标或者中标人在安装调试等方面是否违反合同约定或服务规范要求、提供的质量保证证明材料是否齐全、应有的配件及附件是否达到合同约定等。可附件）</w:t>
            </w:r>
          </w:p>
        </w:tc>
      </w:tr>
      <w:tr w14:paraId="356FC6A9">
        <w:tblPrEx>
          <w:tblCellMar>
            <w:top w:w="0" w:type="dxa"/>
            <w:left w:w="0" w:type="dxa"/>
            <w:bottom w:w="0" w:type="dxa"/>
            <w:right w:w="0" w:type="dxa"/>
          </w:tblCellMar>
        </w:tblPrEx>
        <w:trPr>
          <w:trHeight w:val="927" w:hRule="atLeast"/>
          <w:jc w:val="center"/>
        </w:trPr>
        <w:tc>
          <w:tcPr>
            <w:tcW w:w="1486"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896107">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验收小组意见</w:t>
            </w:r>
          </w:p>
        </w:tc>
        <w:tc>
          <w:tcPr>
            <w:tcW w:w="7885" w:type="dxa"/>
            <w:gridSpan w:val="7"/>
            <w:tcBorders>
              <w:top w:val="nil"/>
              <w:left w:val="nil"/>
              <w:bottom w:val="single" w:color="auto" w:sz="8" w:space="0"/>
              <w:right w:val="single" w:color="auto" w:sz="8" w:space="0"/>
            </w:tcBorders>
            <w:vAlign w:val="center"/>
          </w:tcPr>
          <w:p w14:paraId="5CCE52DD">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验收结论性意见：</w:t>
            </w:r>
          </w:p>
        </w:tc>
      </w:tr>
      <w:tr w14:paraId="3B120EB6">
        <w:tblPrEx>
          <w:tblCellMar>
            <w:top w:w="0" w:type="dxa"/>
            <w:left w:w="0" w:type="dxa"/>
            <w:bottom w:w="0" w:type="dxa"/>
            <w:right w:w="0" w:type="dxa"/>
          </w:tblCellMar>
        </w:tblPrEx>
        <w:trPr>
          <w:trHeight w:val="607" w:hRule="atLeast"/>
          <w:jc w:val="center"/>
        </w:trPr>
        <w:tc>
          <w:tcPr>
            <w:tcW w:w="1486" w:type="dxa"/>
            <w:vMerge w:val="continue"/>
            <w:tcBorders>
              <w:top w:val="nil"/>
              <w:left w:val="single" w:color="auto" w:sz="8" w:space="0"/>
              <w:bottom w:val="single" w:color="auto" w:sz="8" w:space="0"/>
              <w:right w:val="single" w:color="auto" w:sz="8" w:space="0"/>
            </w:tcBorders>
            <w:vAlign w:val="center"/>
          </w:tcPr>
          <w:p w14:paraId="729427E6">
            <w:pPr>
              <w:widowControl/>
              <w:jc w:val="left"/>
              <w:rPr>
                <w:rFonts w:ascii="宋体" w:hAnsi="宋体" w:eastAsia="宋体" w:cs="仿宋_GB2312"/>
                <w:kern w:val="0"/>
                <w:szCs w:val="21"/>
              </w:rPr>
            </w:pPr>
          </w:p>
        </w:tc>
        <w:tc>
          <w:tcPr>
            <w:tcW w:w="7885" w:type="dxa"/>
            <w:gridSpan w:val="7"/>
            <w:tcBorders>
              <w:top w:val="nil"/>
              <w:left w:val="nil"/>
              <w:bottom w:val="single" w:color="auto" w:sz="8" w:space="0"/>
              <w:right w:val="single" w:color="auto" w:sz="8" w:space="0"/>
            </w:tcBorders>
            <w:vAlign w:val="center"/>
          </w:tcPr>
          <w:p w14:paraId="47D39D4C">
            <w:pPr>
              <w:widowControl/>
              <w:spacing w:before="100" w:beforeAutospacing="1" w:after="100" w:afterAutospacing="1" w:line="320" w:lineRule="atLeast"/>
              <w:ind w:firstLine="482"/>
              <w:jc w:val="left"/>
              <w:rPr>
                <w:rFonts w:ascii="宋体" w:hAnsi="宋体" w:eastAsia="宋体" w:cs="仿宋_GB2312"/>
                <w:kern w:val="0"/>
                <w:szCs w:val="24"/>
              </w:rPr>
            </w:pPr>
            <w:r>
              <w:rPr>
                <w:rFonts w:hint="eastAsia" w:ascii="宋体" w:hAnsi="宋体" w:eastAsia="宋体" w:cs="仿宋_GB2312"/>
                <w:kern w:val="0"/>
                <w:szCs w:val="24"/>
              </w:rPr>
              <w:t>有异议的意见和说明理由：</w:t>
            </w:r>
          </w:p>
          <w:p w14:paraId="0FD312DB">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签字：</w:t>
            </w:r>
          </w:p>
        </w:tc>
      </w:tr>
      <w:tr w14:paraId="7ECFCD5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38B2FD">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验收小组成员签字：</w:t>
            </w:r>
          </w:p>
        </w:tc>
      </w:tr>
      <w:tr w14:paraId="0D6B43F6">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EFC4D4">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监督人员或其他相关人员签字：</w:t>
            </w:r>
          </w:p>
          <w:p w14:paraId="4BEB2D22">
            <w:pPr>
              <w:widowControl/>
              <w:spacing w:before="100" w:beforeAutospacing="1" w:after="100" w:afterAutospacing="1" w:line="320" w:lineRule="atLeast"/>
              <w:ind w:firstLine="482"/>
              <w:jc w:val="left"/>
              <w:rPr>
                <w:rFonts w:ascii="宋体" w:hAnsi="宋体" w:eastAsia="宋体" w:cs="仿宋_GB2312"/>
                <w:kern w:val="0"/>
                <w:szCs w:val="24"/>
              </w:rPr>
            </w:pPr>
            <w:r>
              <w:rPr>
                <w:rFonts w:hint="eastAsia" w:ascii="宋体" w:hAnsi="宋体" w:eastAsia="宋体" w:cs="仿宋_GB2312"/>
                <w:kern w:val="0"/>
                <w:szCs w:val="24"/>
              </w:rPr>
              <w:t>或受邀机构的意见（盖章）：</w:t>
            </w:r>
          </w:p>
        </w:tc>
      </w:tr>
      <w:tr w14:paraId="1222B1D8">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tcMar>
              <w:top w:w="0" w:type="dxa"/>
              <w:left w:w="108" w:type="dxa"/>
              <w:bottom w:w="0" w:type="dxa"/>
              <w:right w:w="108" w:type="dxa"/>
            </w:tcMar>
            <w:vAlign w:val="center"/>
          </w:tcPr>
          <w:p w14:paraId="0764A1FD">
            <w:pPr>
              <w:widowControl/>
              <w:spacing w:before="100" w:beforeAutospacing="1" w:after="100" w:afterAutospacing="1" w:line="320" w:lineRule="atLeast"/>
              <w:ind w:firstLine="482"/>
              <w:jc w:val="left"/>
              <w:rPr>
                <w:rFonts w:ascii="宋体" w:hAnsi="宋体" w:eastAsia="宋体" w:cs="仿宋_GB2312"/>
                <w:kern w:val="0"/>
                <w:szCs w:val="24"/>
              </w:rPr>
            </w:pPr>
            <w:r>
              <w:rPr>
                <w:rFonts w:hint="eastAsia" w:ascii="宋体" w:hAnsi="宋体" w:eastAsia="宋体" w:cs="仿宋_GB2312"/>
                <w:kern w:val="0"/>
                <w:szCs w:val="24"/>
              </w:rPr>
              <w:t xml:space="preserve">中标或者成交供应商负责人签字或盖章：      </w:t>
            </w:r>
          </w:p>
          <w:p w14:paraId="04AF01BA">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联系电话： 年 月 日</w:t>
            </w:r>
          </w:p>
        </w:tc>
        <w:tc>
          <w:tcPr>
            <w:tcW w:w="5219" w:type="dxa"/>
            <w:gridSpan w:val="4"/>
            <w:tcBorders>
              <w:top w:val="nil"/>
              <w:left w:val="nil"/>
              <w:bottom w:val="single" w:color="auto" w:sz="8" w:space="0"/>
              <w:right w:val="single" w:color="auto" w:sz="8" w:space="0"/>
            </w:tcBorders>
            <w:vAlign w:val="center"/>
          </w:tcPr>
          <w:p w14:paraId="230F31D7">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采购人或受托机构的意见（盖章）：</w:t>
            </w:r>
          </w:p>
          <w:p w14:paraId="3DD8CAAA">
            <w:pPr>
              <w:widowControl/>
              <w:spacing w:before="100" w:beforeAutospacing="1" w:after="100" w:afterAutospacing="1" w:line="320" w:lineRule="atLeast"/>
              <w:jc w:val="left"/>
              <w:rPr>
                <w:rFonts w:ascii="宋体" w:hAnsi="宋体" w:eastAsia="宋体" w:cs="仿宋_GB2312"/>
                <w:kern w:val="0"/>
                <w:szCs w:val="24"/>
              </w:rPr>
            </w:pPr>
            <w:r>
              <w:rPr>
                <w:rFonts w:hint="eastAsia" w:ascii="宋体" w:hAnsi="宋体" w:eastAsia="宋体" w:cs="仿宋_GB2312"/>
                <w:kern w:val="0"/>
                <w:szCs w:val="24"/>
              </w:rPr>
              <w:t>联系电话： 年 月 日</w:t>
            </w:r>
          </w:p>
        </w:tc>
      </w:tr>
    </w:tbl>
    <w:p w14:paraId="392AD47C">
      <w:pPr>
        <w:snapToGrid w:val="0"/>
        <w:spacing w:before="120" w:after="120"/>
        <w:rPr>
          <w:rFonts w:ascii="宋体" w:hAnsi="宋体" w:eastAsia="宋体" w:cs="仿宋_GB2312"/>
          <w:szCs w:val="20"/>
        </w:rPr>
      </w:pPr>
    </w:p>
    <w:p w14:paraId="6F9FD0BC">
      <w:pPr>
        <w:snapToGrid w:val="0"/>
        <w:spacing w:before="120" w:after="120"/>
        <w:rPr>
          <w:rFonts w:ascii="宋体" w:hAnsi="宋体" w:eastAsia="宋体" w:cs="仿宋_GB2312"/>
          <w:szCs w:val="20"/>
        </w:rPr>
      </w:pPr>
    </w:p>
    <w:p w14:paraId="38D91ADC">
      <w:pPr>
        <w:jc w:val="left"/>
        <w:rPr>
          <w:rFonts w:ascii="宋体" w:hAnsi="宋体" w:eastAsia="宋体" w:cs="仿宋_GB2312"/>
          <w:sz w:val="18"/>
          <w:szCs w:val="18"/>
        </w:rPr>
      </w:pPr>
      <w:r>
        <w:rPr>
          <w:rFonts w:hint="eastAsia" w:ascii="宋体" w:hAnsi="宋体" w:eastAsia="宋体" w:cs="仿宋_GB2312"/>
          <w:szCs w:val="24"/>
        </w:rPr>
        <w:br w:type="page"/>
      </w:r>
      <w:r>
        <w:rPr>
          <w:rFonts w:hint="eastAsia" w:ascii="宋体" w:hAnsi="宋体" w:eastAsia="宋体" w:cs="仿宋_GB2312"/>
          <w:b/>
          <w:bCs/>
          <w:sz w:val="28"/>
          <w:szCs w:val="36"/>
        </w:rPr>
        <w:t>附件2：</w:t>
      </w:r>
    </w:p>
    <w:p w14:paraId="07D0433A">
      <w:pPr>
        <w:ind w:firstLine="643"/>
        <w:jc w:val="center"/>
        <w:rPr>
          <w:rFonts w:ascii="宋体" w:hAnsi="宋体" w:eastAsia="宋体" w:cs="仿宋_GB2312"/>
          <w:sz w:val="32"/>
          <w:szCs w:val="32"/>
        </w:rPr>
      </w:pPr>
      <w:r>
        <w:rPr>
          <w:rFonts w:hint="eastAsia" w:ascii="宋体" w:hAnsi="宋体" w:eastAsia="宋体" w:cs="仿宋_GB2312"/>
          <w:sz w:val="32"/>
          <w:szCs w:val="32"/>
        </w:rPr>
        <w:t>政府采购项目履约保证金退付意见书（参考）</w:t>
      </w:r>
    </w:p>
    <w:p w14:paraId="3120C169">
      <w:pPr>
        <w:ind w:firstLine="723"/>
        <w:jc w:val="center"/>
        <w:rPr>
          <w:rFonts w:ascii="宋体" w:hAnsi="宋体" w:eastAsia="宋体" w:cs="仿宋_GB2312"/>
          <w:sz w:val="36"/>
          <w:szCs w:val="36"/>
        </w:rPr>
      </w:pP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1558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vAlign w:val="center"/>
          </w:tcPr>
          <w:p w14:paraId="623F7B84">
            <w:pPr>
              <w:ind w:firstLine="482"/>
              <w:jc w:val="center"/>
              <w:rPr>
                <w:rFonts w:ascii="宋体" w:hAnsi="宋体" w:eastAsia="宋体" w:cs="仿宋_GB2312"/>
                <w:sz w:val="24"/>
                <w:szCs w:val="24"/>
              </w:rPr>
            </w:pPr>
            <w:r>
              <w:rPr>
                <w:rFonts w:hint="eastAsia" w:ascii="宋体" w:hAnsi="宋体" w:eastAsia="宋体" w:cs="仿宋_GB2312"/>
                <w:sz w:val="24"/>
                <w:szCs w:val="24"/>
              </w:rPr>
              <w:t>供</w:t>
            </w:r>
          </w:p>
          <w:p w14:paraId="30344D13">
            <w:pPr>
              <w:ind w:firstLine="482"/>
              <w:jc w:val="center"/>
              <w:rPr>
                <w:rFonts w:ascii="宋体" w:hAnsi="宋体" w:eastAsia="宋体" w:cs="仿宋_GB2312"/>
                <w:sz w:val="24"/>
                <w:szCs w:val="24"/>
              </w:rPr>
            </w:pPr>
            <w:r>
              <w:rPr>
                <w:rFonts w:hint="eastAsia" w:ascii="宋体" w:hAnsi="宋体" w:eastAsia="宋体" w:cs="仿宋_GB2312"/>
                <w:sz w:val="24"/>
                <w:szCs w:val="24"/>
              </w:rPr>
              <w:t>应</w:t>
            </w:r>
          </w:p>
          <w:p w14:paraId="1FBD25EF">
            <w:pPr>
              <w:ind w:firstLine="482"/>
              <w:jc w:val="center"/>
              <w:rPr>
                <w:rFonts w:ascii="宋体" w:hAnsi="宋体" w:eastAsia="宋体" w:cs="仿宋_GB2312"/>
                <w:sz w:val="24"/>
                <w:szCs w:val="24"/>
              </w:rPr>
            </w:pPr>
            <w:r>
              <w:rPr>
                <w:rFonts w:hint="eastAsia" w:ascii="宋体" w:hAnsi="宋体" w:eastAsia="宋体" w:cs="仿宋_GB2312"/>
                <w:sz w:val="24"/>
                <w:szCs w:val="24"/>
              </w:rPr>
              <w:t>商</w:t>
            </w:r>
          </w:p>
          <w:p w14:paraId="6E684C7C">
            <w:pPr>
              <w:ind w:firstLine="482"/>
              <w:jc w:val="center"/>
              <w:rPr>
                <w:rFonts w:ascii="宋体" w:hAnsi="宋体" w:eastAsia="宋体" w:cs="仿宋_GB2312"/>
                <w:sz w:val="24"/>
                <w:szCs w:val="24"/>
              </w:rPr>
            </w:pPr>
            <w:r>
              <w:rPr>
                <w:rFonts w:hint="eastAsia" w:ascii="宋体" w:hAnsi="宋体" w:eastAsia="宋体" w:cs="仿宋_GB2312"/>
                <w:sz w:val="24"/>
                <w:szCs w:val="24"/>
              </w:rPr>
              <w:t>申</w:t>
            </w:r>
          </w:p>
          <w:p w14:paraId="352B4C80">
            <w:pPr>
              <w:ind w:firstLine="482"/>
              <w:jc w:val="center"/>
              <w:rPr>
                <w:rFonts w:ascii="宋体" w:hAnsi="宋体" w:eastAsia="宋体" w:cs="仿宋_GB2312"/>
                <w:sz w:val="24"/>
                <w:szCs w:val="24"/>
              </w:rPr>
            </w:pPr>
            <w:r>
              <w:rPr>
                <w:rFonts w:hint="eastAsia" w:ascii="宋体" w:hAnsi="宋体" w:eastAsia="宋体" w:cs="仿宋_GB2312"/>
                <w:sz w:val="24"/>
                <w:szCs w:val="24"/>
              </w:rPr>
              <w:t>请</w:t>
            </w:r>
          </w:p>
        </w:tc>
        <w:tc>
          <w:tcPr>
            <w:tcW w:w="8456" w:type="dxa"/>
            <w:vAlign w:val="center"/>
          </w:tcPr>
          <w:p w14:paraId="6D6F01BE">
            <w:pPr>
              <w:ind w:firstLine="482"/>
              <w:rPr>
                <w:rFonts w:ascii="宋体" w:hAnsi="宋体" w:eastAsia="宋体" w:cs="仿宋_GB2312"/>
                <w:sz w:val="24"/>
                <w:szCs w:val="24"/>
              </w:rPr>
            </w:pPr>
            <w:r>
              <w:rPr>
                <w:rFonts w:hint="eastAsia" w:ascii="宋体" w:hAnsi="宋体" w:eastAsia="宋体" w:cs="仿宋_GB2312"/>
                <w:sz w:val="24"/>
                <w:szCs w:val="24"/>
              </w:rPr>
              <w:t>项目编号：</w:t>
            </w:r>
          </w:p>
        </w:tc>
      </w:tr>
      <w:tr w14:paraId="2F8A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vAlign w:val="center"/>
          </w:tcPr>
          <w:p w14:paraId="6646D0E8">
            <w:pPr>
              <w:ind w:firstLine="482"/>
              <w:jc w:val="center"/>
              <w:rPr>
                <w:rFonts w:ascii="宋体" w:hAnsi="宋体" w:eastAsia="宋体" w:cs="仿宋_GB2312"/>
                <w:sz w:val="24"/>
                <w:szCs w:val="24"/>
              </w:rPr>
            </w:pPr>
          </w:p>
        </w:tc>
        <w:tc>
          <w:tcPr>
            <w:tcW w:w="8456" w:type="dxa"/>
            <w:vAlign w:val="center"/>
          </w:tcPr>
          <w:p w14:paraId="7C1C2377">
            <w:pPr>
              <w:ind w:firstLine="482"/>
              <w:rPr>
                <w:rFonts w:ascii="宋体" w:hAnsi="宋体" w:eastAsia="宋体" w:cs="仿宋_GB2312"/>
                <w:sz w:val="24"/>
                <w:szCs w:val="24"/>
              </w:rPr>
            </w:pPr>
            <w:r>
              <w:rPr>
                <w:rFonts w:hint="eastAsia" w:ascii="宋体" w:hAnsi="宋体" w:eastAsia="宋体" w:cs="仿宋_GB2312"/>
                <w:sz w:val="24"/>
                <w:szCs w:val="24"/>
              </w:rPr>
              <w:t>项目名称：</w:t>
            </w:r>
          </w:p>
        </w:tc>
      </w:tr>
      <w:tr w14:paraId="1780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vAlign w:val="center"/>
          </w:tcPr>
          <w:p w14:paraId="4E628C22">
            <w:pPr>
              <w:ind w:firstLine="482"/>
              <w:jc w:val="center"/>
              <w:rPr>
                <w:rFonts w:ascii="宋体" w:hAnsi="宋体" w:eastAsia="宋体" w:cs="仿宋_GB2312"/>
                <w:sz w:val="24"/>
                <w:szCs w:val="24"/>
              </w:rPr>
            </w:pPr>
          </w:p>
        </w:tc>
        <w:tc>
          <w:tcPr>
            <w:tcW w:w="8456" w:type="dxa"/>
          </w:tcPr>
          <w:p w14:paraId="5F1ED912">
            <w:pPr>
              <w:ind w:firstLine="482"/>
              <w:rPr>
                <w:rFonts w:ascii="宋体" w:hAnsi="宋体" w:eastAsia="宋体" w:cs="仿宋_GB2312"/>
                <w:sz w:val="24"/>
                <w:szCs w:val="24"/>
              </w:rPr>
            </w:pPr>
            <w:r>
              <w:rPr>
                <w:rFonts w:hint="eastAsia" w:ascii="宋体" w:hAnsi="宋体" w:eastAsia="宋体" w:cs="仿宋_GB2312"/>
                <w:sz w:val="24"/>
                <w:szCs w:val="24"/>
              </w:rPr>
              <w:t xml:space="preserve">  </w:t>
            </w:r>
          </w:p>
          <w:p w14:paraId="678F3692">
            <w:pPr>
              <w:spacing w:line="400" w:lineRule="exact"/>
              <w:ind w:firstLine="480" w:firstLineChars="200"/>
              <w:rPr>
                <w:rFonts w:ascii="宋体" w:hAnsi="宋体" w:eastAsia="宋体" w:cs="仿宋_GB2312"/>
                <w:sz w:val="24"/>
                <w:szCs w:val="24"/>
              </w:rPr>
            </w:pPr>
            <w:r>
              <w:rPr>
                <w:rFonts w:hint="eastAsia" w:ascii="宋体" w:hAnsi="宋体" w:eastAsia="宋体" w:cs="仿宋_GB2312"/>
                <w:sz w:val="24"/>
                <w:szCs w:val="24"/>
              </w:rPr>
              <w:t>该项目已于</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年</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月</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日验收并交付使用。根据合同规定，该项目的履约保证金期限于</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年</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月</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日已满，请将履约保证金</w:t>
            </w:r>
          </w:p>
          <w:p w14:paraId="08F67A30">
            <w:pPr>
              <w:spacing w:line="400" w:lineRule="exact"/>
              <w:ind w:firstLine="482"/>
              <w:rPr>
                <w:rFonts w:ascii="宋体" w:hAnsi="宋体" w:eastAsia="宋体" w:cs="仿宋_GB2312"/>
                <w:sz w:val="24"/>
                <w:szCs w:val="24"/>
              </w:rPr>
            </w:pP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（大写）￥</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（小写）退付到达以下账户。</w:t>
            </w:r>
          </w:p>
          <w:p w14:paraId="601E820E">
            <w:pPr>
              <w:spacing w:line="400" w:lineRule="exact"/>
              <w:ind w:firstLine="482"/>
              <w:rPr>
                <w:rFonts w:ascii="宋体" w:hAnsi="宋体" w:eastAsia="宋体" w:cs="仿宋_GB2312"/>
                <w:sz w:val="24"/>
                <w:szCs w:val="24"/>
              </w:rPr>
            </w:pPr>
            <w:r>
              <w:rPr>
                <w:rFonts w:hint="eastAsia" w:ascii="宋体" w:hAnsi="宋体" w:eastAsia="宋体" w:cs="仿宋_GB2312"/>
                <w:sz w:val="24"/>
                <w:szCs w:val="24"/>
              </w:rPr>
              <w:t>单位名称：</w:t>
            </w:r>
          </w:p>
          <w:p w14:paraId="66F89767">
            <w:pPr>
              <w:spacing w:line="400" w:lineRule="exact"/>
              <w:ind w:firstLine="482"/>
              <w:rPr>
                <w:rFonts w:ascii="宋体" w:hAnsi="宋体" w:eastAsia="宋体" w:cs="仿宋_GB2312"/>
                <w:sz w:val="24"/>
                <w:szCs w:val="24"/>
              </w:rPr>
            </w:pPr>
            <w:r>
              <w:rPr>
                <w:rFonts w:hint="eastAsia" w:ascii="宋体" w:hAnsi="宋体" w:eastAsia="宋体" w:cs="仿宋_GB2312"/>
                <w:sz w:val="24"/>
                <w:szCs w:val="24"/>
              </w:rPr>
              <w:t>开户银行：</w:t>
            </w:r>
          </w:p>
          <w:p w14:paraId="548E35FF">
            <w:pPr>
              <w:spacing w:line="400" w:lineRule="exact"/>
              <w:ind w:firstLine="482"/>
              <w:rPr>
                <w:rFonts w:ascii="宋体" w:hAnsi="宋体" w:eastAsia="宋体" w:cs="仿宋_GB2312"/>
                <w:sz w:val="24"/>
                <w:szCs w:val="24"/>
              </w:rPr>
            </w:pPr>
            <w:r>
              <w:rPr>
                <w:rFonts w:hint="eastAsia" w:ascii="宋体" w:hAnsi="宋体" w:eastAsia="宋体" w:cs="仿宋_GB2312"/>
                <w:sz w:val="24"/>
                <w:szCs w:val="24"/>
              </w:rPr>
              <w:t>账   号：</w:t>
            </w:r>
          </w:p>
          <w:p w14:paraId="10E8E16C">
            <w:pPr>
              <w:spacing w:line="400" w:lineRule="exact"/>
              <w:ind w:firstLine="482"/>
              <w:rPr>
                <w:rFonts w:ascii="宋体" w:hAnsi="宋体" w:eastAsia="宋体" w:cs="仿宋_GB2312"/>
                <w:sz w:val="24"/>
                <w:szCs w:val="24"/>
              </w:rPr>
            </w:pPr>
            <w:r>
              <w:rPr>
                <w:rFonts w:hint="eastAsia" w:ascii="宋体" w:hAnsi="宋体" w:eastAsia="宋体" w:cs="仿宋_GB2312"/>
                <w:sz w:val="24"/>
                <w:szCs w:val="24"/>
              </w:rPr>
              <w:t>联系人及电话：</w:t>
            </w:r>
          </w:p>
          <w:p w14:paraId="7A2B1B0B">
            <w:pPr>
              <w:spacing w:line="400" w:lineRule="exact"/>
              <w:ind w:firstLine="482"/>
              <w:rPr>
                <w:rFonts w:ascii="宋体" w:hAnsi="宋体" w:eastAsia="宋体" w:cs="仿宋_GB2312"/>
                <w:sz w:val="24"/>
                <w:szCs w:val="24"/>
              </w:rPr>
            </w:pPr>
          </w:p>
          <w:p w14:paraId="065DAE42">
            <w:pPr>
              <w:spacing w:line="520" w:lineRule="exact"/>
              <w:ind w:firstLine="482"/>
              <w:jc w:val="center"/>
              <w:rPr>
                <w:rFonts w:ascii="宋体" w:hAnsi="宋体" w:eastAsia="宋体" w:cs="仿宋_GB2312"/>
                <w:sz w:val="24"/>
                <w:szCs w:val="24"/>
              </w:rPr>
            </w:pPr>
            <w:r>
              <w:rPr>
                <w:rFonts w:hint="eastAsia" w:ascii="宋体" w:hAnsi="宋体" w:eastAsia="宋体" w:cs="仿宋_GB2312"/>
                <w:sz w:val="24"/>
                <w:szCs w:val="24"/>
              </w:rPr>
              <w:t xml:space="preserve">         投标人签章：</w:t>
            </w:r>
          </w:p>
          <w:p w14:paraId="5B6EBEA1">
            <w:pPr>
              <w:spacing w:line="520" w:lineRule="exact"/>
              <w:ind w:firstLine="482"/>
              <w:jc w:val="center"/>
              <w:rPr>
                <w:rFonts w:ascii="宋体" w:hAnsi="宋体" w:eastAsia="宋体" w:cs="仿宋_GB2312"/>
                <w:sz w:val="24"/>
                <w:szCs w:val="24"/>
              </w:rPr>
            </w:pPr>
            <w:r>
              <w:rPr>
                <w:rFonts w:hint="eastAsia" w:ascii="宋体" w:hAnsi="宋体" w:eastAsia="宋体" w:cs="仿宋_GB2312"/>
                <w:sz w:val="24"/>
                <w:szCs w:val="24"/>
              </w:rPr>
              <w:t xml:space="preserve">                           年    月     日</w:t>
            </w:r>
          </w:p>
        </w:tc>
      </w:tr>
      <w:tr w14:paraId="7417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008" w:type="dxa"/>
            <w:vAlign w:val="center"/>
          </w:tcPr>
          <w:p w14:paraId="131D284C">
            <w:pPr>
              <w:ind w:firstLine="482"/>
              <w:jc w:val="center"/>
              <w:rPr>
                <w:rFonts w:ascii="宋体" w:hAnsi="宋体" w:eastAsia="宋体" w:cs="仿宋_GB2312"/>
                <w:sz w:val="24"/>
                <w:szCs w:val="24"/>
              </w:rPr>
            </w:pPr>
            <w:r>
              <w:rPr>
                <w:rFonts w:hint="eastAsia" w:ascii="宋体" w:hAnsi="宋体" w:eastAsia="宋体" w:cs="仿宋_GB2312"/>
                <w:sz w:val="24"/>
                <w:szCs w:val="24"/>
              </w:rPr>
              <w:t>采</w:t>
            </w:r>
          </w:p>
          <w:p w14:paraId="171FD69A">
            <w:pPr>
              <w:ind w:firstLine="482"/>
              <w:jc w:val="center"/>
              <w:rPr>
                <w:rFonts w:ascii="宋体" w:hAnsi="宋体" w:eastAsia="宋体" w:cs="仿宋_GB2312"/>
                <w:sz w:val="24"/>
                <w:szCs w:val="24"/>
              </w:rPr>
            </w:pPr>
            <w:r>
              <w:rPr>
                <w:rFonts w:hint="eastAsia" w:ascii="宋体" w:hAnsi="宋体" w:eastAsia="宋体" w:cs="仿宋_GB2312"/>
                <w:sz w:val="24"/>
                <w:szCs w:val="24"/>
              </w:rPr>
              <w:t>购</w:t>
            </w:r>
          </w:p>
          <w:p w14:paraId="233D5FD8">
            <w:pPr>
              <w:ind w:firstLine="482"/>
              <w:jc w:val="center"/>
              <w:rPr>
                <w:rFonts w:ascii="宋体" w:hAnsi="宋体" w:eastAsia="宋体" w:cs="仿宋_GB2312"/>
                <w:sz w:val="24"/>
                <w:szCs w:val="24"/>
              </w:rPr>
            </w:pPr>
            <w:r>
              <w:rPr>
                <w:rFonts w:hint="eastAsia" w:ascii="宋体" w:hAnsi="宋体" w:eastAsia="宋体" w:cs="仿宋_GB2312"/>
                <w:sz w:val="24"/>
                <w:szCs w:val="24"/>
              </w:rPr>
              <w:t>人</w:t>
            </w:r>
          </w:p>
          <w:p w14:paraId="4700815E">
            <w:pPr>
              <w:ind w:firstLine="482"/>
              <w:jc w:val="center"/>
              <w:rPr>
                <w:rFonts w:ascii="宋体" w:hAnsi="宋体" w:eastAsia="宋体" w:cs="仿宋_GB2312"/>
                <w:sz w:val="24"/>
                <w:szCs w:val="24"/>
              </w:rPr>
            </w:pPr>
            <w:r>
              <w:rPr>
                <w:rFonts w:hint="eastAsia" w:ascii="宋体" w:hAnsi="宋体" w:eastAsia="宋体" w:cs="仿宋_GB2312"/>
                <w:sz w:val="24"/>
                <w:szCs w:val="24"/>
              </w:rPr>
              <w:t>意</w:t>
            </w:r>
          </w:p>
          <w:p w14:paraId="6BC41494">
            <w:pPr>
              <w:ind w:firstLine="482"/>
              <w:jc w:val="center"/>
              <w:rPr>
                <w:rFonts w:ascii="宋体" w:hAnsi="宋体" w:eastAsia="宋体" w:cs="仿宋_GB2312"/>
                <w:sz w:val="24"/>
                <w:szCs w:val="24"/>
              </w:rPr>
            </w:pPr>
            <w:r>
              <w:rPr>
                <w:rFonts w:hint="eastAsia" w:ascii="宋体" w:hAnsi="宋体" w:eastAsia="宋体" w:cs="仿宋_GB2312"/>
                <w:sz w:val="24"/>
                <w:szCs w:val="24"/>
              </w:rPr>
              <w:t>见</w:t>
            </w:r>
          </w:p>
        </w:tc>
        <w:tc>
          <w:tcPr>
            <w:tcW w:w="8456" w:type="dxa"/>
          </w:tcPr>
          <w:p w14:paraId="1380558E">
            <w:pPr>
              <w:ind w:firstLine="482"/>
              <w:rPr>
                <w:rFonts w:ascii="宋体" w:hAnsi="宋体" w:eastAsia="宋体" w:cs="仿宋_GB2312"/>
                <w:sz w:val="24"/>
                <w:szCs w:val="24"/>
              </w:rPr>
            </w:pPr>
          </w:p>
          <w:p w14:paraId="3351EBAF">
            <w:pPr>
              <w:ind w:firstLine="482"/>
              <w:rPr>
                <w:rFonts w:ascii="宋体" w:hAnsi="宋体" w:eastAsia="宋体" w:cs="仿宋_GB2312"/>
                <w:sz w:val="24"/>
                <w:szCs w:val="24"/>
              </w:rPr>
            </w:pPr>
            <w:r>
              <w:rPr>
                <w:rFonts w:hint="eastAsia" w:ascii="宋体" w:hAnsi="宋体" w:eastAsia="宋体" w:cs="仿宋_GB2312"/>
                <w:sz w:val="24"/>
                <w:szCs w:val="24"/>
              </w:rPr>
              <w:t>退付意见：（是否同意退付履约保证金及退付金额）</w:t>
            </w:r>
          </w:p>
          <w:p w14:paraId="798C6E84">
            <w:pPr>
              <w:ind w:firstLine="482"/>
              <w:rPr>
                <w:rFonts w:ascii="宋体" w:hAnsi="宋体" w:eastAsia="宋体" w:cs="仿宋_GB2312"/>
                <w:sz w:val="24"/>
                <w:szCs w:val="24"/>
              </w:rPr>
            </w:pPr>
          </w:p>
          <w:p w14:paraId="3D7011B0">
            <w:pPr>
              <w:ind w:firstLine="482"/>
              <w:rPr>
                <w:rFonts w:ascii="宋体" w:hAnsi="宋体" w:eastAsia="宋体" w:cs="仿宋_GB2312"/>
                <w:sz w:val="24"/>
                <w:szCs w:val="24"/>
              </w:rPr>
            </w:pPr>
          </w:p>
          <w:p w14:paraId="7ED7CE1B">
            <w:pPr>
              <w:ind w:firstLine="482"/>
              <w:rPr>
                <w:rFonts w:ascii="宋体" w:hAnsi="宋体" w:eastAsia="宋体" w:cs="仿宋_GB2312"/>
                <w:sz w:val="24"/>
                <w:szCs w:val="24"/>
              </w:rPr>
            </w:pPr>
          </w:p>
          <w:p w14:paraId="10AE0C39">
            <w:pPr>
              <w:ind w:firstLine="482"/>
              <w:rPr>
                <w:rFonts w:ascii="宋体" w:hAnsi="宋体" w:eastAsia="宋体" w:cs="仿宋_GB2312"/>
                <w:sz w:val="24"/>
                <w:szCs w:val="24"/>
              </w:rPr>
            </w:pPr>
          </w:p>
          <w:p w14:paraId="35ECF849">
            <w:pPr>
              <w:spacing w:line="520" w:lineRule="exact"/>
              <w:ind w:firstLine="482"/>
              <w:rPr>
                <w:rFonts w:ascii="宋体" w:hAnsi="宋体" w:eastAsia="宋体" w:cs="仿宋_GB2312"/>
                <w:sz w:val="24"/>
                <w:szCs w:val="24"/>
              </w:rPr>
            </w:pPr>
            <w:r>
              <w:rPr>
                <w:rFonts w:hint="eastAsia" w:ascii="宋体" w:hAnsi="宋体" w:eastAsia="宋体" w:cs="仿宋_GB2312"/>
                <w:sz w:val="24"/>
                <w:szCs w:val="24"/>
              </w:rPr>
              <w:t>联系人及电话：                         采购人签章</w:t>
            </w:r>
          </w:p>
          <w:p w14:paraId="39361533">
            <w:pPr>
              <w:spacing w:line="520" w:lineRule="exact"/>
              <w:ind w:firstLine="482"/>
              <w:jc w:val="center"/>
              <w:rPr>
                <w:rFonts w:ascii="宋体" w:hAnsi="宋体" w:eastAsia="宋体" w:cs="仿宋_GB2312"/>
                <w:sz w:val="24"/>
                <w:szCs w:val="24"/>
              </w:rPr>
            </w:pPr>
            <w:r>
              <w:rPr>
                <w:rFonts w:hint="eastAsia" w:ascii="宋体" w:hAnsi="宋体" w:eastAsia="宋体" w:cs="仿宋_GB2312"/>
                <w:sz w:val="24"/>
                <w:szCs w:val="24"/>
              </w:rPr>
              <w:t xml:space="preserve">                                        年    月     日</w:t>
            </w:r>
          </w:p>
        </w:tc>
      </w:tr>
      <w:tr w14:paraId="32B5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008" w:type="dxa"/>
            <w:vAlign w:val="center"/>
          </w:tcPr>
          <w:p w14:paraId="74444CFA">
            <w:pPr>
              <w:ind w:firstLine="482"/>
              <w:jc w:val="center"/>
              <w:rPr>
                <w:rFonts w:ascii="宋体" w:hAnsi="宋体" w:eastAsia="宋体" w:cs="仿宋_GB2312"/>
                <w:sz w:val="24"/>
                <w:szCs w:val="24"/>
              </w:rPr>
            </w:pPr>
            <w:r>
              <w:rPr>
                <w:rFonts w:hint="eastAsia" w:ascii="宋体" w:hAnsi="宋体" w:eastAsia="宋体" w:cs="仿宋_GB2312"/>
                <w:sz w:val="24"/>
                <w:szCs w:val="24"/>
              </w:rPr>
              <w:t>备注</w:t>
            </w:r>
          </w:p>
        </w:tc>
        <w:tc>
          <w:tcPr>
            <w:tcW w:w="8456" w:type="dxa"/>
          </w:tcPr>
          <w:p w14:paraId="54109BB9">
            <w:pPr>
              <w:ind w:firstLine="482"/>
              <w:rPr>
                <w:rFonts w:ascii="宋体" w:hAnsi="宋体" w:eastAsia="宋体" w:cs="仿宋_GB2312"/>
                <w:sz w:val="24"/>
                <w:szCs w:val="24"/>
              </w:rPr>
            </w:pPr>
          </w:p>
        </w:tc>
      </w:tr>
    </w:tbl>
    <w:p w14:paraId="4AA5793D">
      <w:pPr>
        <w:spacing w:after="120"/>
        <w:ind w:left="420" w:leftChars="114" w:hanging="181" w:hangingChars="100"/>
        <w:rPr>
          <w:rFonts w:ascii="宋体" w:hAnsi="宋体" w:eastAsia="宋体" w:cs="仿宋_GB2312"/>
          <w:b/>
          <w:bCs/>
          <w:sz w:val="18"/>
          <w:szCs w:val="24"/>
        </w:rPr>
      </w:pPr>
      <w:r>
        <w:rPr>
          <w:rFonts w:hint="eastAsia" w:ascii="宋体" w:hAnsi="宋体" w:eastAsia="宋体" w:cs="仿宋_GB2312"/>
          <w:b/>
          <w:bCs/>
          <w:sz w:val="18"/>
          <w:szCs w:val="24"/>
        </w:rPr>
        <w:t>注：投标人凭经采购人审批的退付意见书到保证金收取单位办理履约保证金退付事宜。</w:t>
      </w:r>
    </w:p>
    <w:p w14:paraId="2AC4818E">
      <w:pPr>
        <w:widowControl/>
        <w:ind w:firstLine="560"/>
        <w:jc w:val="left"/>
        <w:rPr>
          <w:rFonts w:ascii="宋体" w:hAnsi="宋体" w:eastAsia="宋体" w:cs="仿宋_GB2312"/>
          <w:b/>
          <w:sz w:val="28"/>
          <w:szCs w:val="28"/>
        </w:rPr>
      </w:pPr>
      <w:r>
        <w:rPr>
          <w:rFonts w:ascii="宋体" w:hAnsi="宋体" w:eastAsia="宋体" w:cs="仿宋_GB2312"/>
          <w:b/>
          <w:sz w:val="28"/>
          <w:szCs w:val="28"/>
        </w:rPr>
        <w:br w:type="page"/>
      </w:r>
    </w:p>
    <w:p w14:paraId="1C35A6E4">
      <w:pPr>
        <w:keepNext/>
        <w:keepLines/>
        <w:spacing w:before="120" w:after="120" w:line="576" w:lineRule="auto"/>
        <w:ind w:firstLine="880"/>
        <w:jc w:val="center"/>
        <w:outlineLvl w:val="0"/>
        <w:rPr>
          <w:rFonts w:ascii="宋体" w:hAnsi="宋体" w:eastAsia="宋体" w:cs="仿宋_GB2312"/>
          <w:b/>
          <w:bCs/>
          <w:kern w:val="44"/>
          <w:sz w:val="44"/>
          <w:szCs w:val="44"/>
        </w:rPr>
      </w:pPr>
      <w:bookmarkStart w:id="205" w:name="_Toc207203151"/>
      <w:r>
        <w:rPr>
          <w:rFonts w:hint="eastAsia" w:ascii="宋体" w:hAnsi="宋体" w:eastAsia="宋体" w:cs="仿宋_GB2312"/>
          <w:b/>
          <w:bCs/>
          <w:kern w:val="44"/>
          <w:sz w:val="44"/>
          <w:szCs w:val="44"/>
        </w:rPr>
        <w:t>第六章  投标文件格式</w:t>
      </w:r>
      <w:bookmarkEnd w:id="205"/>
    </w:p>
    <w:p w14:paraId="3A2713FA">
      <w:pPr>
        <w:ind w:firstLine="560"/>
        <w:outlineLvl w:val="1"/>
        <w:rPr>
          <w:rFonts w:ascii="宋体" w:hAnsi="宋体" w:eastAsia="宋体" w:cs="仿宋_GB2312"/>
          <w:b/>
          <w:sz w:val="28"/>
          <w:szCs w:val="28"/>
        </w:rPr>
      </w:pPr>
      <w:r>
        <w:rPr>
          <w:rFonts w:hint="eastAsia" w:ascii="宋体" w:hAnsi="宋体" w:eastAsia="宋体" w:cs="仿宋_GB2312"/>
          <w:b/>
          <w:sz w:val="28"/>
          <w:szCs w:val="28"/>
        </w:rPr>
        <w:t>一、报价文件格式</w:t>
      </w:r>
      <w:bookmarkEnd w:id="0"/>
      <w:bookmarkEnd w:id="1"/>
      <w:bookmarkEnd w:id="2"/>
    </w:p>
    <w:p w14:paraId="5C09EFDF"/>
    <w:p w14:paraId="0C4605D1">
      <w:pPr>
        <w:spacing w:line="360" w:lineRule="auto"/>
        <w:ind w:firstLine="600"/>
        <w:jc w:val="left"/>
        <w:outlineLvl w:val="2"/>
        <w:rPr>
          <w:rFonts w:ascii="宋体" w:hAnsi="宋体"/>
          <w:b/>
          <w:sz w:val="30"/>
        </w:rPr>
      </w:pPr>
      <w:r>
        <w:rPr>
          <w:rFonts w:hint="eastAsia" w:ascii="宋体" w:hAnsi="宋体"/>
          <w:b/>
          <w:sz w:val="30"/>
        </w:rPr>
        <w:t xml:space="preserve">1.报价文件封面格式： </w:t>
      </w:r>
    </w:p>
    <w:p w14:paraId="6ABDC1F5">
      <w:pPr>
        <w:snapToGrid w:val="0"/>
        <w:spacing w:before="156" w:beforeLines="50" w:after="50" w:line="360" w:lineRule="auto"/>
        <w:ind w:left="142" w:firstLine="964"/>
        <w:jc w:val="center"/>
        <w:rPr>
          <w:rFonts w:ascii="宋体" w:hAnsi="宋体" w:eastAsia="宋体" w:cs="仿宋_GB2312"/>
          <w:bCs/>
          <w:sz w:val="48"/>
          <w:szCs w:val="48"/>
        </w:rPr>
      </w:pPr>
      <w:r>
        <w:rPr>
          <w:rFonts w:hint="eastAsia" w:ascii="宋体" w:hAnsi="宋体" w:eastAsia="宋体" w:cs="仿宋_GB2312"/>
          <w:bCs/>
          <w:sz w:val="48"/>
          <w:szCs w:val="48"/>
        </w:rPr>
        <w:t>电子投标文件</w:t>
      </w:r>
    </w:p>
    <w:p w14:paraId="7239C39D">
      <w:pPr>
        <w:snapToGrid w:val="0"/>
        <w:spacing w:before="156" w:beforeLines="50" w:after="50" w:line="400" w:lineRule="exact"/>
        <w:ind w:firstLine="482"/>
        <w:rPr>
          <w:rFonts w:ascii="宋体" w:hAnsi="宋体" w:eastAsia="宋体" w:cs="仿宋_GB2312"/>
          <w:bCs/>
          <w:sz w:val="32"/>
          <w:szCs w:val="20"/>
        </w:rPr>
      </w:pPr>
      <w:r>
        <w:rPr>
          <w:rFonts w:hint="eastAsia" w:ascii="宋体" w:hAnsi="宋体" w:eastAsia="宋体" w:cs="仿宋_GB2312"/>
          <w:sz w:val="24"/>
          <w:szCs w:val="24"/>
        </w:rPr>
        <w:t xml:space="preserve">                 </w:t>
      </w:r>
    </w:p>
    <w:p w14:paraId="70DFA130">
      <w:pPr>
        <w:snapToGrid w:val="0"/>
        <w:spacing w:before="156" w:beforeLines="50" w:after="50" w:line="400" w:lineRule="exact"/>
        <w:ind w:firstLine="482"/>
        <w:jc w:val="center"/>
        <w:rPr>
          <w:rFonts w:ascii="宋体" w:hAnsi="宋体" w:eastAsia="宋体" w:cs="仿宋_GB2312"/>
          <w:bCs/>
          <w:sz w:val="24"/>
          <w:szCs w:val="20"/>
        </w:rPr>
      </w:pPr>
    </w:p>
    <w:p w14:paraId="44BDC141">
      <w:pPr>
        <w:snapToGrid w:val="0"/>
        <w:spacing w:before="156" w:beforeLines="50" w:after="50" w:line="400" w:lineRule="exact"/>
        <w:ind w:firstLine="640"/>
        <w:jc w:val="center"/>
        <w:rPr>
          <w:rFonts w:ascii="宋体" w:hAnsi="宋体" w:eastAsia="宋体" w:cs="仿宋_GB2312"/>
          <w:b/>
          <w:bCs/>
          <w:sz w:val="32"/>
          <w:szCs w:val="32"/>
        </w:rPr>
      </w:pPr>
      <w:r>
        <w:rPr>
          <w:rFonts w:hint="eastAsia" w:ascii="宋体" w:hAnsi="宋体" w:eastAsia="宋体" w:cs="仿宋_GB2312"/>
          <w:b/>
          <w:bCs/>
          <w:sz w:val="32"/>
          <w:szCs w:val="32"/>
        </w:rPr>
        <w:t>报价文件</w:t>
      </w:r>
    </w:p>
    <w:p w14:paraId="4CFE5C25">
      <w:pPr>
        <w:snapToGrid w:val="0"/>
        <w:spacing w:before="156" w:beforeLines="50" w:after="50" w:line="400" w:lineRule="exact"/>
        <w:ind w:firstLine="482"/>
        <w:rPr>
          <w:rFonts w:ascii="宋体" w:hAnsi="宋体" w:eastAsia="宋体" w:cs="仿宋_GB2312"/>
          <w:bCs/>
          <w:sz w:val="24"/>
          <w:szCs w:val="20"/>
        </w:rPr>
      </w:pPr>
    </w:p>
    <w:p w14:paraId="50F1086B">
      <w:pPr>
        <w:snapToGrid w:val="0"/>
        <w:spacing w:before="156" w:beforeLines="50" w:after="50" w:line="400" w:lineRule="exact"/>
        <w:ind w:firstLine="482"/>
        <w:rPr>
          <w:rFonts w:ascii="宋体" w:hAnsi="宋体" w:eastAsia="宋体" w:cs="仿宋_GB2312"/>
          <w:bCs/>
          <w:sz w:val="24"/>
          <w:szCs w:val="20"/>
        </w:rPr>
      </w:pPr>
    </w:p>
    <w:p w14:paraId="0175B3E6">
      <w:pPr>
        <w:snapToGrid w:val="0"/>
        <w:spacing w:before="156" w:beforeLines="50" w:after="50" w:line="400" w:lineRule="exact"/>
        <w:ind w:firstLine="482"/>
        <w:rPr>
          <w:rFonts w:ascii="宋体" w:hAnsi="宋体" w:eastAsia="宋体" w:cs="仿宋_GB2312"/>
          <w:bCs/>
          <w:sz w:val="24"/>
          <w:szCs w:val="20"/>
        </w:rPr>
      </w:pPr>
    </w:p>
    <w:p w14:paraId="48995561">
      <w:pPr>
        <w:snapToGrid w:val="0"/>
        <w:spacing w:before="156" w:beforeLines="50" w:after="50" w:line="400" w:lineRule="exact"/>
        <w:ind w:firstLine="482"/>
        <w:rPr>
          <w:rFonts w:ascii="宋体" w:hAnsi="宋体" w:eastAsia="宋体" w:cs="仿宋_GB2312"/>
          <w:bCs/>
          <w:sz w:val="24"/>
          <w:szCs w:val="20"/>
        </w:rPr>
      </w:pPr>
    </w:p>
    <w:p w14:paraId="3EEFD2A8">
      <w:pPr>
        <w:snapToGrid w:val="0"/>
        <w:spacing w:before="156" w:beforeLines="50" w:after="50" w:line="400" w:lineRule="exact"/>
        <w:ind w:firstLine="360" w:firstLineChars="150"/>
        <w:rPr>
          <w:rFonts w:ascii="宋体" w:hAnsi="宋体" w:eastAsia="宋体" w:cs="仿宋_GB2312"/>
          <w:bCs/>
          <w:sz w:val="24"/>
          <w:szCs w:val="24"/>
        </w:rPr>
      </w:pPr>
      <w:r>
        <w:rPr>
          <w:rFonts w:hint="eastAsia" w:ascii="宋体" w:hAnsi="宋体" w:eastAsia="宋体" w:cs="仿宋_GB2312"/>
          <w:bCs/>
          <w:sz w:val="24"/>
          <w:szCs w:val="24"/>
        </w:rPr>
        <w:t xml:space="preserve">项目名称： </w:t>
      </w:r>
    </w:p>
    <w:p w14:paraId="7CFE2FD9">
      <w:pPr>
        <w:snapToGrid w:val="0"/>
        <w:spacing w:before="156" w:beforeLines="50" w:after="50" w:line="400" w:lineRule="exact"/>
        <w:ind w:firstLine="360" w:firstLineChars="150"/>
        <w:rPr>
          <w:rFonts w:ascii="宋体" w:hAnsi="宋体" w:eastAsia="宋体" w:cs="仿宋_GB2312"/>
          <w:bCs/>
          <w:sz w:val="24"/>
          <w:szCs w:val="24"/>
        </w:rPr>
      </w:pPr>
    </w:p>
    <w:p w14:paraId="2193FDAB">
      <w:pPr>
        <w:snapToGrid w:val="0"/>
        <w:spacing w:before="156" w:beforeLines="50" w:after="50" w:line="400" w:lineRule="exact"/>
        <w:ind w:firstLine="360" w:firstLineChars="150"/>
        <w:rPr>
          <w:rFonts w:ascii="宋体" w:hAnsi="宋体" w:eastAsia="宋体" w:cs="仿宋_GB2312"/>
          <w:bCs/>
          <w:sz w:val="24"/>
          <w:szCs w:val="24"/>
        </w:rPr>
      </w:pPr>
      <w:r>
        <w:rPr>
          <w:rFonts w:hint="eastAsia" w:ascii="宋体" w:hAnsi="宋体" w:eastAsia="宋体" w:cs="仿宋_GB2312"/>
          <w:bCs/>
          <w:sz w:val="24"/>
          <w:szCs w:val="24"/>
        </w:rPr>
        <w:t xml:space="preserve">项目编号： </w:t>
      </w:r>
    </w:p>
    <w:p w14:paraId="3ECF8106">
      <w:pPr>
        <w:snapToGrid w:val="0"/>
        <w:spacing w:before="156" w:beforeLines="50" w:after="50" w:line="400" w:lineRule="exact"/>
        <w:ind w:firstLine="360" w:firstLineChars="150"/>
        <w:rPr>
          <w:rFonts w:ascii="宋体" w:hAnsi="宋体" w:eastAsia="宋体" w:cs="仿宋_GB2312"/>
          <w:bCs/>
          <w:sz w:val="24"/>
          <w:szCs w:val="24"/>
        </w:rPr>
      </w:pPr>
    </w:p>
    <w:p w14:paraId="393ABD31">
      <w:pPr>
        <w:snapToGrid w:val="0"/>
        <w:spacing w:before="156" w:beforeLines="50" w:after="50" w:line="400" w:lineRule="exact"/>
        <w:ind w:firstLine="360" w:firstLineChars="150"/>
        <w:rPr>
          <w:rFonts w:ascii="宋体" w:hAnsi="宋体" w:eastAsia="宋体" w:cs="仿宋_GB2312"/>
          <w:bCs/>
          <w:sz w:val="24"/>
          <w:szCs w:val="24"/>
        </w:rPr>
      </w:pPr>
      <w:r>
        <w:rPr>
          <w:rFonts w:hint="eastAsia" w:ascii="宋体" w:hAnsi="宋体" w:eastAsia="宋体" w:cs="仿宋_GB2312"/>
          <w:bCs/>
          <w:sz w:val="24"/>
          <w:szCs w:val="24"/>
        </w:rPr>
        <w:t>所投分标：</w:t>
      </w:r>
    </w:p>
    <w:p w14:paraId="446382F3">
      <w:pPr>
        <w:snapToGrid w:val="0"/>
        <w:spacing w:before="156" w:beforeLines="50" w:after="50" w:line="400" w:lineRule="exact"/>
        <w:ind w:firstLine="360" w:firstLineChars="150"/>
        <w:rPr>
          <w:rFonts w:ascii="宋体" w:hAnsi="宋体" w:eastAsia="宋体" w:cs="仿宋_GB2312"/>
          <w:bCs/>
          <w:sz w:val="24"/>
          <w:szCs w:val="24"/>
        </w:rPr>
      </w:pPr>
    </w:p>
    <w:p w14:paraId="228B6F21">
      <w:pPr>
        <w:snapToGrid w:val="0"/>
        <w:spacing w:before="156" w:beforeLines="50" w:after="50" w:line="400" w:lineRule="exact"/>
        <w:ind w:firstLine="360" w:firstLineChars="150"/>
        <w:rPr>
          <w:rFonts w:ascii="宋体" w:hAnsi="宋体" w:eastAsia="宋体" w:cs="仿宋_GB2312"/>
          <w:bCs/>
          <w:sz w:val="24"/>
          <w:szCs w:val="24"/>
        </w:rPr>
      </w:pPr>
      <w:r>
        <w:rPr>
          <w:rFonts w:hint="eastAsia" w:ascii="宋体" w:hAnsi="宋体" w:eastAsia="宋体" w:cs="仿宋_GB2312"/>
          <w:bCs/>
          <w:sz w:val="24"/>
          <w:szCs w:val="24"/>
        </w:rPr>
        <w:t>投标人名称：</w:t>
      </w:r>
    </w:p>
    <w:p w14:paraId="3ADC2FCA">
      <w:pPr>
        <w:snapToGrid w:val="0"/>
        <w:spacing w:before="156" w:beforeLines="50" w:after="50" w:line="400" w:lineRule="exact"/>
        <w:ind w:firstLine="360" w:firstLineChars="150"/>
        <w:rPr>
          <w:rFonts w:ascii="宋体" w:hAnsi="宋体" w:eastAsia="宋体" w:cs="仿宋_GB2312"/>
          <w:bCs/>
          <w:sz w:val="24"/>
          <w:szCs w:val="24"/>
        </w:rPr>
      </w:pPr>
    </w:p>
    <w:p w14:paraId="300A5963">
      <w:pPr>
        <w:snapToGrid w:val="0"/>
        <w:spacing w:before="156" w:beforeLines="50" w:after="50" w:line="400" w:lineRule="exact"/>
        <w:ind w:firstLine="360" w:firstLineChars="150"/>
        <w:rPr>
          <w:rFonts w:ascii="宋体" w:hAnsi="宋体" w:eastAsia="宋体" w:cs="仿宋_GB2312"/>
          <w:bCs/>
          <w:sz w:val="24"/>
          <w:szCs w:val="24"/>
        </w:rPr>
      </w:pPr>
      <w:r>
        <w:rPr>
          <w:rFonts w:hint="eastAsia" w:ascii="宋体" w:hAnsi="宋体" w:eastAsia="宋体" w:cs="仿宋_GB2312"/>
          <w:bCs/>
          <w:sz w:val="24"/>
          <w:szCs w:val="24"/>
        </w:rPr>
        <w:t>投标人地址：</w:t>
      </w:r>
    </w:p>
    <w:p w14:paraId="7EB71E3D">
      <w:pPr>
        <w:snapToGrid w:val="0"/>
        <w:spacing w:before="50" w:after="50" w:line="400" w:lineRule="exact"/>
        <w:ind w:firstLine="960" w:firstLineChars="400"/>
        <w:rPr>
          <w:rFonts w:ascii="宋体" w:hAnsi="宋体" w:eastAsia="宋体" w:cs="仿宋_GB2312"/>
          <w:bCs/>
          <w:sz w:val="24"/>
          <w:szCs w:val="24"/>
        </w:rPr>
      </w:pPr>
    </w:p>
    <w:p w14:paraId="0C0E3B20">
      <w:pPr>
        <w:snapToGrid w:val="0"/>
        <w:spacing w:before="156" w:beforeLines="50" w:after="50" w:line="400" w:lineRule="exact"/>
        <w:ind w:firstLine="482"/>
        <w:rPr>
          <w:rFonts w:ascii="宋体" w:hAnsi="宋体" w:eastAsia="宋体" w:cs="仿宋_GB2312"/>
          <w:sz w:val="30"/>
          <w:szCs w:val="20"/>
        </w:rPr>
      </w:pPr>
      <w:r>
        <w:rPr>
          <w:rFonts w:hint="eastAsia" w:ascii="宋体" w:hAnsi="宋体" w:eastAsia="宋体" w:cs="仿宋_GB2312"/>
          <w:sz w:val="24"/>
          <w:szCs w:val="24"/>
        </w:rPr>
        <w:t xml:space="preserve">                                   年  月  日</w:t>
      </w:r>
    </w:p>
    <w:p w14:paraId="57009066">
      <w:pPr>
        <w:widowControl/>
        <w:ind w:firstLine="600"/>
        <w:jc w:val="left"/>
        <w:rPr>
          <w:rFonts w:ascii="宋体" w:hAnsi="宋体"/>
          <w:b/>
          <w:sz w:val="30"/>
        </w:rPr>
      </w:pPr>
      <w:r>
        <w:rPr>
          <w:rFonts w:ascii="宋体" w:hAnsi="宋体"/>
          <w:b/>
          <w:sz w:val="30"/>
        </w:rPr>
        <w:br w:type="page"/>
      </w:r>
    </w:p>
    <w:p w14:paraId="34D3A8B8">
      <w:pPr>
        <w:spacing w:line="360" w:lineRule="auto"/>
        <w:ind w:firstLine="600"/>
        <w:jc w:val="left"/>
        <w:outlineLvl w:val="2"/>
        <w:rPr>
          <w:rFonts w:ascii="宋体" w:hAnsi="宋体"/>
          <w:b/>
          <w:sz w:val="30"/>
        </w:rPr>
      </w:pPr>
      <w:r>
        <w:rPr>
          <w:rFonts w:hint="eastAsia" w:ascii="宋体" w:hAnsi="宋体"/>
          <w:b/>
          <w:sz w:val="30"/>
        </w:rPr>
        <w:t>2.报价文件目录</w:t>
      </w:r>
    </w:p>
    <w:p w14:paraId="3B53B836">
      <w:pPr>
        <w:widowControl/>
        <w:jc w:val="left"/>
        <w:rPr>
          <w:rFonts w:ascii="宋体" w:hAnsi="宋体" w:eastAsia="宋体" w:cs="仿宋_GB2312"/>
          <w:szCs w:val="21"/>
        </w:rPr>
      </w:pPr>
      <w:r>
        <w:rPr>
          <w:rFonts w:hint="eastAsia" w:ascii="宋体" w:hAnsi="宋体" w:eastAsia="宋体" w:cs="仿宋_GB2312"/>
          <w:szCs w:val="21"/>
        </w:rPr>
        <w:t>根据招标文件规定及投标人提供的材料自行编写目录。</w:t>
      </w:r>
    </w:p>
    <w:p w14:paraId="3CCF9322">
      <w:pPr>
        <w:widowControl/>
        <w:jc w:val="left"/>
        <w:rPr>
          <w:rFonts w:ascii="宋体" w:hAnsi="宋体" w:eastAsia="宋体" w:cs="仿宋_GB2312"/>
          <w:szCs w:val="21"/>
        </w:rPr>
      </w:pPr>
      <w:r>
        <w:rPr>
          <w:rFonts w:ascii="宋体" w:hAnsi="宋体" w:eastAsia="宋体" w:cs="仿宋_GB2312"/>
          <w:szCs w:val="21"/>
        </w:rPr>
        <w:br w:type="page"/>
      </w:r>
    </w:p>
    <w:p w14:paraId="4B0E7425">
      <w:pPr>
        <w:spacing w:line="360" w:lineRule="auto"/>
        <w:ind w:firstLine="600"/>
        <w:jc w:val="left"/>
        <w:outlineLvl w:val="2"/>
        <w:rPr>
          <w:rFonts w:ascii="宋体" w:hAnsi="宋体"/>
          <w:b/>
          <w:sz w:val="30"/>
        </w:rPr>
      </w:pPr>
      <w:r>
        <w:rPr>
          <w:rFonts w:hint="eastAsia" w:ascii="宋体" w:hAnsi="宋体"/>
          <w:b/>
          <w:sz w:val="30"/>
        </w:rPr>
        <w:t>3.投标函格式：</w:t>
      </w:r>
    </w:p>
    <w:p w14:paraId="18E5AE89">
      <w:pPr>
        <w:snapToGrid w:val="0"/>
        <w:spacing w:before="156" w:beforeLines="50" w:after="50" w:line="360" w:lineRule="auto"/>
        <w:ind w:left="420" w:firstLine="532"/>
        <w:jc w:val="center"/>
        <w:rPr>
          <w:rFonts w:ascii="宋体" w:hAnsi="宋体" w:eastAsia="宋体" w:cs="仿宋_GB2312"/>
          <w:b/>
          <w:bCs/>
          <w:spacing w:val="-17"/>
          <w:sz w:val="30"/>
          <w:szCs w:val="30"/>
        </w:rPr>
      </w:pPr>
      <w:r>
        <w:rPr>
          <w:rFonts w:hint="eastAsia" w:ascii="宋体" w:hAnsi="宋体" w:eastAsia="宋体" w:cs="仿宋_GB2312"/>
          <w:b/>
          <w:bCs/>
          <w:spacing w:val="-17"/>
          <w:sz w:val="30"/>
          <w:szCs w:val="30"/>
        </w:rPr>
        <w:t>投 标 函</w:t>
      </w:r>
    </w:p>
    <w:p w14:paraId="60880E1C">
      <w:pPr>
        <w:snapToGrid w:val="0"/>
        <w:spacing w:line="324" w:lineRule="auto"/>
        <w:rPr>
          <w:rFonts w:ascii="宋体" w:hAnsi="宋体" w:eastAsia="宋体" w:cs="仿宋_GB2312"/>
          <w:szCs w:val="21"/>
        </w:rPr>
      </w:pPr>
      <w:r>
        <w:rPr>
          <w:rFonts w:hint="eastAsia" w:ascii="宋体" w:hAnsi="宋体" w:eastAsia="宋体" w:cs="仿宋_GB2312"/>
          <w:szCs w:val="21"/>
        </w:rPr>
        <w:t>致：</w:t>
      </w:r>
      <w:r>
        <w:rPr>
          <w:rFonts w:hint="eastAsia" w:ascii="宋体" w:hAnsi="宋体" w:eastAsia="宋体" w:cs="仿宋_GB2312"/>
          <w:szCs w:val="21"/>
          <w:u w:val="single"/>
        </w:rPr>
        <w:t>采购人名称</w:t>
      </w:r>
    </w:p>
    <w:p w14:paraId="3D7AB5CF">
      <w:pPr>
        <w:snapToGrid w:val="0"/>
        <w:spacing w:line="324" w:lineRule="auto"/>
        <w:ind w:firstLine="482"/>
        <w:rPr>
          <w:rFonts w:ascii="宋体" w:hAnsi="宋体" w:eastAsia="宋体" w:cs="仿宋_GB2312"/>
          <w:szCs w:val="21"/>
        </w:rPr>
      </w:pPr>
      <w:r>
        <w:rPr>
          <w:rFonts w:hint="eastAsia" w:ascii="宋体" w:hAnsi="宋体" w:eastAsia="宋体" w:cs="仿宋_GB2312"/>
          <w:szCs w:val="21"/>
        </w:rPr>
        <w:t>根据贵方</w:t>
      </w:r>
      <w:r>
        <w:rPr>
          <w:rFonts w:hint="eastAsia" w:ascii="宋体" w:hAnsi="宋体" w:eastAsia="宋体" w:cs="仿宋_GB2312"/>
          <w:szCs w:val="21"/>
          <w:u w:val="single"/>
        </w:rPr>
        <w:t xml:space="preserve">     项目名称  </w:t>
      </w:r>
      <w:r>
        <w:rPr>
          <w:rFonts w:hint="eastAsia" w:ascii="宋体" w:hAnsi="宋体" w:eastAsia="宋体" w:cs="仿宋_GB2312"/>
          <w:szCs w:val="21"/>
        </w:rPr>
        <w:t>（项目编号：</w:t>
      </w:r>
      <w:r>
        <w:rPr>
          <w:rFonts w:hint="eastAsia" w:ascii="宋体" w:hAnsi="宋体" w:eastAsia="宋体" w:cs="仿宋_GB2312"/>
          <w:szCs w:val="21"/>
          <w:u w:val="single"/>
        </w:rPr>
        <w:t xml:space="preserve">             </w:t>
      </w:r>
      <w:r>
        <w:rPr>
          <w:rFonts w:hint="eastAsia" w:ascii="宋体" w:hAnsi="宋体" w:eastAsia="宋体" w:cs="仿宋_GB2312"/>
          <w:szCs w:val="21"/>
        </w:rPr>
        <w:t>）的招标文件，签字代表</w:t>
      </w:r>
      <w:r>
        <w:rPr>
          <w:rFonts w:hint="eastAsia" w:ascii="宋体" w:hAnsi="宋体" w:eastAsia="宋体" w:cs="仿宋_GB2312"/>
          <w:szCs w:val="21"/>
          <w:u w:val="single"/>
        </w:rPr>
        <w:t xml:space="preserve">       </w:t>
      </w:r>
      <w:r>
        <w:rPr>
          <w:rFonts w:hint="eastAsia" w:ascii="宋体" w:hAnsi="宋体" w:eastAsia="宋体" w:cs="仿宋_GB2312"/>
          <w:szCs w:val="21"/>
        </w:rPr>
        <w:t>（姓名）经正式授权并代表投标人</w:t>
      </w:r>
      <w:r>
        <w:rPr>
          <w:rFonts w:hint="eastAsia" w:ascii="宋体" w:hAnsi="宋体" w:eastAsia="宋体" w:cs="仿宋_GB2312"/>
          <w:szCs w:val="21"/>
          <w:u w:val="single"/>
        </w:rPr>
        <w:t xml:space="preserve">              </w:t>
      </w:r>
      <w:r>
        <w:rPr>
          <w:rFonts w:hint="eastAsia" w:ascii="宋体" w:hAnsi="宋体" w:eastAsia="宋体" w:cs="仿宋_GB2312"/>
          <w:szCs w:val="21"/>
        </w:rPr>
        <w:t>（投标人名称）提交投标文件。</w:t>
      </w:r>
    </w:p>
    <w:p w14:paraId="32A2A215">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据此函，我方宣布同意如下：</w:t>
      </w:r>
    </w:p>
    <w:p w14:paraId="6A25FEE3">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1.我方已详细审查全部“招标文件”，包括修改文件（如有的话）以及全部参考资料和有关附件，已经了解我方对于招标文件、采购过程、采购结果有依法进行询问、质疑、投诉的权利及相关渠道和要求。</w:t>
      </w:r>
    </w:p>
    <w:p w14:paraId="778C1894">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2.我方在投标之前已经完全理解并接受招标文件的各项规定和要求，对招标文件的合理性、合法性不再有异议。</w:t>
      </w:r>
    </w:p>
    <w:p w14:paraId="05125048">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3.本投标有效期自投标截止之日起</w:t>
      </w:r>
      <w:r>
        <w:rPr>
          <w:rFonts w:hint="eastAsia" w:ascii="宋体" w:hAnsi="宋体" w:eastAsia="宋体" w:cs="仿宋_GB2312"/>
          <w:szCs w:val="21"/>
          <w:u w:val="single"/>
        </w:rPr>
        <w:t xml:space="preserve">    </w:t>
      </w:r>
      <w:r>
        <w:rPr>
          <w:rFonts w:hint="eastAsia" w:ascii="宋体" w:hAnsi="宋体" w:eastAsia="宋体" w:cs="仿宋_GB2312"/>
          <w:szCs w:val="21"/>
        </w:rPr>
        <w:t>日。</w:t>
      </w:r>
    </w:p>
    <w:p w14:paraId="0400E1DA">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4.如中标，本投标文件至本项目合同履行完毕止均保持有效，我方将按“招标文件”及政府采购法律、法规的规定履行合同责任和义务。</w:t>
      </w:r>
    </w:p>
    <w:p w14:paraId="35B3A41B">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5.我方同意按照贵方要求提供与投标有关的一切数据或者资料。</w:t>
      </w:r>
    </w:p>
    <w:p w14:paraId="722CA0C4">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6.我方向贵方提交的所有投标文件、资料都是准确的和真实的。</w:t>
      </w:r>
    </w:p>
    <w:p w14:paraId="18521B1A">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7.以上事项如有虚假或者隐瞒，我方愿意承担一切后果，并不再寻求任何旨在减轻或者免除法律责任的辩解。</w:t>
      </w:r>
    </w:p>
    <w:p w14:paraId="4A870ADB">
      <w:pPr>
        <w:spacing w:line="324" w:lineRule="auto"/>
        <w:ind w:firstLine="420" w:firstLineChars="200"/>
        <w:rPr>
          <w:rFonts w:ascii="宋体" w:hAnsi="宋体" w:eastAsia="宋体" w:cs="仿宋_GB2312"/>
          <w:szCs w:val="21"/>
        </w:rPr>
      </w:pPr>
      <w:r>
        <w:rPr>
          <w:rFonts w:hint="eastAsia" w:ascii="宋体" w:hAnsi="宋体" w:eastAsia="宋体" w:cs="仿宋_GB2312"/>
          <w:szCs w:val="21"/>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741A0EA1">
      <w:pPr>
        <w:spacing w:line="324" w:lineRule="auto"/>
        <w:ind w:firstLine="420" w:firstLineChars="200"/>
        <w:rPr>
          <w:rFonts w:ascii="宋体" w:hAnsi="宋体" w:eastAsia="宋体" w:cs="仿宋_GB2312"/>
          <w:szCs w:val="21"/>
        </w:rPr>
      </w:pPr>
      <w:r>
        <w:rPr>
          <w:rFonts w:hint="eastAsia" w:ascii="宋体" w:hAnsi="宋体" w:eastAsia="宋体" w:cs="仿宋_GB2312"/>
          <w:szCs w:val="21"/>
        </w:rPr>
        <w:t>□我方本次投标文件</w:t>
      </w:r>
      <w:r>
        <w:rPr>
          <w:rFonts w:hint="eastAsia" w:ascii="宋体" w:hAnsi="宋体" w:eastAsia="宋体" w:cs="仿宋_GB2312"/>
          <w:kern w:val="0"/>
          <w:szCs w:val="21"/>
        </w:rPr>
        <w:t>内容中</w:t>
      </w:r>
      <w:r>
        <w:rPr>
          <w:rFonts w:hint="eastAsia" w:ascii="宋体" w:hAnsi="宋体" w:eastAsia="宋体" w:cs="仿宋_GB2312"/>
          <w:szCs w:val="21"/>
        </w:rPr>
        <w:t>未</w:t>
      </w:r>
      <w:r>
        <w:rPr>
          <w:rFonts w:hint="eastAsia" w:ascii="宋体" w:hAnsi="宋体" w:eastAsia="宋体" w:cs="仿宋_GB2312"/>
          <w:kern w:val="0"/>
          <w:szCs w:val="21"/>
        </w:rPr>
        <w:t>涉及商业秘密；</w:t>
      </w:r>
    </w:p>
    <w:p w14:paraId="1833B4F2">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□我方本次投标文件</w:t>
      </w:r>
      <w:r>
        <w:rPr>
          <w:rFonts w:hint="eastAsia" w:ascii="宋体" w:hAnsi="宋体" w:eastAsia="宋体" w:cs="仿宋_GB2312"/>
          <w:kern w:val="0"/>
          <w:szCs w:val="21"/>
        </w:rPr>
        <w:t>涉及商业秘密的内容有：</w:t>
      </w:r>
      <w:r>
        <w:rPr>
          <w:rFonts w:hint="eastAsia" w:ascii="宋体" w:hAnsi="宋体" w:eastAsia="宋体" w:cs="仿宋_GB2312"/>
          <w:kern w:val="0"/>
          <w:szCs w:val="21"/>
          <w:u w:val="single"/>
        </w:rPr>
        <w:t xml:space="preserve">                         </w:t>
      </w:r>
      <w:r>
        <w:rPr>
          <w:rFonts w:hint="eastAsia" w:ascii="宋体" w:hAnsi="宋体" w:eastAsia="宋体" w:cs="仿宋_GB2312"/>
          <w:kern w:val="0"/>
          <w:szCs w:val="21"/>
        </w:rPr>
        <w:t>；</w:t>
      </w:r>
    </w:p>
    <w:p w14:paraId="6E317236">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9.与本项目有关的一切正式往来信函请寄：</w:t>
      </w:r>
    </w:p>
    <w:p w14:paraId="2C3556E4">
      <w:pPr>
        <w:snapToGrid w:val="0"/>
        <w:spacing w:line="324" w:lineRule="auto"/>
        <w:ind w:firstLine="420" w:firstLineChars="200"/>
        <w:rPr>
          <w:rFonts w:ascii="宋体" w:hAnsi="宋体" w:eastAsia="宋体" w:cs="仿宋_GB2312"/>
          <w:szCs w:val="21"/>
          <w:u w:val="single"/>
        </w:rPr>
      </w:pPr>
      <w:r>
        <w:rPr>
          <w:rFonts w:hint="eastAsia" w:ascii="宋体" w:hAnsi="宋体" w:eastAsia="宋体" w:cs="仿宋_GB2312"/>
          <w:szCs w:val="21"/>
        </w:rPr>
        <w:t>地址：</w:t>
      </w:r>
      <w:r>
        <w:rPr>
          <w:rFonts w:hint="eastAsia" w:ascii="宋体" w:hAnsi="宋体" w:eastAsia="宋体" w:cs="仿宋_GB2312"/>
          <w:szCs w:val="21"/>
          <w:u w:val="single"/>
        </w:rPr>
        <w:t xml:space="preserve">          </w:t>
      </w:r>
      <w:r>
        <w:rPr>
          <w:rFonts w:hint="eastAsia" w:ascii="宋体" w:hAnsi="宋体" w:eastAsia="宋体" w:cs="仿宋_GB2312"/>
          <w:szCs w:val="21"/>
        </w:rPr>
        <w:t>邮编：</w:t>
      </w:r>
      <w:r>
        <w:rPr>
          <w:rFonts w:hint="eastAsia" w:ascii="宋体" w:hAnsi="宋体" w:eastAsia="宋体" w:cs="仿宋_GB2312"/>
          <w:szCs w:val="21"/>
          <w:u w:val="single"/>
        </w:rPr>
        <w:t xml:space="preserve">            </w:t>
      </w:r>
    </w:p>
    <w:p w14:paraId="7F3C629A">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联系人：</w:t>
      </w:r>
      <w:r>
        <w:rPr>
          <w:rFonts w:hint="eastAsia" w:ascii="宋体" w:hAnsi="宋体" w:eastAsia="宋体" w:cs="仿宋_GB2312"/>
          <w:szCs w:val="21"/>
          <w:u w:val="single"/>
        </w:rPr>
        <w:t xml:space="preserve">        </w:t>
      </w:r>
      <w:r>
        <w:rPr>
          <w:rFonts w:hint="eastAsia" w:ascii="宋体" w:hAnsi="宋体" w:eastAsia="宋体" w:cs="仿宋_GB2312"/>
          <w:szCs w:val="21"/>
        </w:rPr>
        <w:t>电话：</w:t>
      </w:r>
      <w:r>
        <w:rPr>
          <w:rFonts w:hint="eastAsia" w:ascii="宋体" w:hAnsi="宋体" w:eastAsia="宋体" w:cs="仿宋_GB2312"/>
          <w:szCs w:val="21"/>
          <w:u w:val="single"/>
        </w:rPr>
        <w:t xml:space="preserve">        </w:t>
      </w:r>
      <w:r>
        <w:rPr>
          <w:rFonts w:hint="eastAsia" w:ascii="宋体" w:hAnsi="宋体" w:eastAsia="宋体" w:cs="仿宋_GB2312"/>
          <w:szCs w:val="21"/>
        </w:rPr>
        <w:t>传真：</w:t>
      </w:r>
      <w:r>
        <w:rPr>
          <w:rFonts w:hint="eastAsia" w:ascii="宋体" w:hAnsi="宋体" w:eastAsia="宋体" w:cs="仿宋_GB2312"/>
          <w:szCs w:val="21"/>
          <w:u w:val="single"/>
        </w:rPr>
        <w:t xml:space="preserve">          </w:t>
      </w:r>
      <w:r>
        <w:rPr>
          <w:rFonts w:hint="eastAsia" w:ascii="宋体" w:hAnsi="宋体" w:eastAsia="宋体" w:cs="仿宋_GB2312"/>
          <w:szCs w:val="21"/>
        </w:rPr>
        <w:t>电子邮箱：</w:t>
      </w:r>
      <w:r>
        <w:rPr>
          <w:rFonts w:hint="eastAsia" w:ascii="宋体" w:hAnsi="宋体" w:eastAsia="宋体" w:cs="仿宋_GB2312"/>
          <w:szCs w:val="21"/>
          <w:u w:val="single"/>
        </w:rPr>
        <w:t xml:space="preserve">         </w:t>
      </w:r>
    </w:p>
    <w:p w14:paraId="5D2FC945">
      <w:pPr>
        <w:snapToGrid w:val="0"/>
        <w:spacing w:line="324" w:lineRule="auto"/>
        <w:ind w:firstLine="420" w:firstLineChars="200"/>
        <w:rPr>
          <w:rFonts w:ascii="宋体" w:hAnsi="宋体" w:eastAsia="宋体" w:cs="仿宋_GB2312"/>
          <w:szCs w:val="21"/>
        </w:rPr>
      </w:pPr>
      <w:r>
        <w:rPr>
          <w:rFonts w:hint="eastAsia" w:ascii="宋体" w:hAnsi="宋体" w:eastAsia="宋体" w:cs="仿宋_GB2312"/>
          <w:szCs w:val="21"/>
        </w:rPr>
        <w:t>投标人名称：</w:t>
      </w:r>
      <w:r>
        <w:rPr>
          <w:rFonts w:hint="eastAsia" w:ascii="宋体" w:hAnsi="宋体" w:eastAsia="宋体" w:cs="仿宋_GB2312"/>
          <w:szCs w:val="21"/>
          <w:u w:val="single"/>
        </w:rPr>
        <w:t xml:space="preserve">                </w:t>
      </w:r>
    </w:p>
    <w:p w14:paraId="7EEE8E0A">
      <w:pPr>
        <w:snapToGrid w:val="0"/>
        <w:spacing w:line="324" w:lineRule="auto"/>
        <w:ind w:firstLine="420" w:firstLineChars="200"/>
        <w:jc w:val="left"/>
        <w:rPr>
          <w:rFonts w:ascii="宋体" w:hAnsi="宋体" w:eastAsia="宋体" w:cs="仿宋_GB2312"/>
          <w:szCs w:val="21"/>
        </w:rPr>
      </w:pPr>
      <w:r>
        <w:rPr>
          <w:rFonts w:hint="eastAsia" w:ascii="宋体" w:hAnsi="宋体" w:eastAsia="宋体" w:cs="仿宋_GB2312"/>
          <w:szCs w:val="21"/>
        </w:rPr>
        <w:t>开户银行：</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银行账号：</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14:paraId="579CF3F0">
      <w:pPr>
        <w:snapToGrid w:val="0"/>
        <w:spacing w:line="324" w:lineRule="auto"/>
        <w:ind w:firstLine="420" w:firstLineChars="200"/>
        <w:jc w:val="left"/>
      </w:pPr>
      <w:r>
        <w:rPr>
          <w:rFonts w:hint="eastAsia" w:ascii="宋体" w:hAnsi="宋体" w:eastAsia="宋体" w:cs="仿宋_GB2312"/>
          <w:szCs w:val="21"/>
        </w:rPr>
        <w:t xml:space="preserve">                </w:t>
      </w:r>
    </w:p>
    <w:p w14:paraId="7583D5CB">
      <w:pPr>
        <w:snapToGrid w:val="0"/>
        <w:spacing w:line="324" w:lineRule="auto"/>
        <w:ind w:firstLine="3045" w:firstLineChars="1450"/>
        <w:jc w:val="left"/>
        <w:rPr>
          <w:rFonts w:ascii="宋体" w:hAnsi="宋体" w:eastAsia="宋体" w:cs="仿宋_GB2312"/>
          <w:szCs w:val="21"/>
        </w:rPr>
      </w:pPr>
      <w:r>
        <w:rPr>
          <w:rFonts w:hint="eastAsia" w:ascii="宋体" w:hAnsi="宋体" w:eastAsia="宋体" w:cs="仿宋_GB2312"/>
          <w:szCs w:val="21"/>
        </w:rPr>
        <w:t>法定代表人或者委托代理人（签字或者电子签名）：</w:t>
      </w:r>
      <w:r>
        <w:rPr>
          <w:rFonts w:hint="eastAsia" w:ascii="宋体" w:hAnsi="宋体" w:eastAsia="宋体" w:cs="仿宋_GB2312"/>
          <w:szCs w:val="21"/>
          <w:u w:val="single"/>
        </w:rPr>
        <w:t xml:space="preserve">          </w:t>
      </w:r>
    </w:p>
    <w:p w14:paraId="139CC17E">
      <w:pPr>
        <w:snapToGrid w:val="0"/>
        <w:spacing w:before="295" w:after="295" w:line="324" w:lineRule="auto"/>
        <w:jc w:val="center"/>
        <w:rPr>
          <w:rFonts w:ascii="宋体" w:hAnsi="宋体" w:eastAsia="宋体" w:cs="仿宋_GB2312"/>
          <w:szCs w:val="20"/>
          <w:u w:val="single"/>
        </w:rPr>
      </w:pPr>
      <w:r>
        <w:rPr>
          <w:rFonts w:hint="eastAsia" w:ascii="宋体" w:hAnsi="宋体" w:eastAsia="宋体" w:cs="仿宋_GB2312"/>
          <w:szCs w:val="20"/>
        </w:rPr>
        <w:t xml:space="preserve">                                     投标人名称（电子签章）：</w:t>
      </w:r>
      <w:r>
        <w:rPr>
          <w:rFonts w:hint="eastAsia" w:ascii="宋体" w:hAnsi="宋体" w:eastAsia="宋体" w:cs="仿宋_GB2312"/>
          <w:szCs w:val="20"/>
          <w:u w:val="single"/>
        </w:rPr>
        <w:t xml:space="preserve">          </w:t>
      </w:r>
    </w:p>
    <w:p w14:paraId="08D01D32">
      <w:pPr>
        <w:snapToGrid w:val="0"/>
        <w:spacing w:before="295" w:after="295" w:line="324" w:lineRule="auto"/>
        <w:rPr>
          <w:rFonts w:ascii="宋体" w:hAnsi="宋体" w:eastAsia="宋体" w:cs="仿宋_GB2312"/>
          <w:szCs w:val="20"/>
        </w:rPr>
      </w:pPr>
      <w:r>
        <w:rPr>
          <w:rFonts w:hint="eastAsia" w:ascii="宋体" w:hAnsi="宋体" w:eastAsia="宋体" w:cs="仿宋_GB2312"/>
          <w:szCs w:val="20"/>
        </w:rPr>
        <w:t xml:space="preserve">                                                </w:t>
      </w:r>
      <w:r>
        <w:rPr>
          <w:rFonts w:hint="eastAsia" w:ascii="宋体" w:hAnsi="宋体" w:eastAsia="宋体" w:cs="仿宋_GB2312"/>
          <w:szCs w:val="20"/>
          <w:u w:val="single"/>
        </w:rPr>
        <w:t xml:space="preserve">      </w:t>
      </w:r>
      <w:r>
        <w:rPr>
          <w:rFonts w:hint="eastAsia" w:ascii="宋体" w:hAnsi="宋体" w:eastAsia="宋体" w:cs="仿宋_GB2312"/>
          <w:szCs w:val="20"/>
        </w:rPr>
        <w:t>年</w:t>
      </w:r>
      <w:r>
        <w:rPr>
          <w:rFonts w:hint="eastAsia" w:ascii="宋体" w:hAnsi="宋体" w:eastAsia="宋体" w:cs="仿宋_GB2312"/>
          <w:szCs w:val="20"/>
          <w:u w:val="single"/>
        </w:rPr>
        <w:t xml:space="preserve">    </w:t>
      </w:r>
      <w:r>
        <w:rPr>
          <w:rFonts w:hint="eastAsia" w:ascii="宋体" w:hAnsi="宋体" w:eastAsia="宋体" w:cs="仿宋_GB2312"/>
          <w:szCs w:val="20"/>
        </w:rPr>
        <w:t>月</w:t>
      </w:r>
      <w:r>
        <w:rPr>
          <w:rFonts w:hint="eastAsia" w:ascii="宋体" w:hAnsi="宋体" w:eastAsia="宋体" w:cs="仿宋_GB2312"/>
          <w:szCs w:val="20"/>
          <w:u w:val="single"/>
        </w:rPr>
        <w:t xml:space="preserve">     </w:t>
      </w:r>
      <w:r>
        <w:rPr>
          <w:rFonts w:hint="eastAsia" w:ascii="宋体" w:hAnsi="宋体" w:eastAsia="宋体" w:cs="仿宋_GB2312"/>
          <w:szCs w:val="20"/>
        </w:rPr>
        <w:t>日</w:t>
      </w:r>
    </w:p>
    <w:p w14:paraId="73B8B28A">
      <w:pPr>
        <w:widowControl/>
        <w:ind w:firstLine="600"/>
        <w:jc w:val="left"/>
        <w:rPr>
          <w:rFonts w:ascii="宋体" w:hAnsi="宋体"/>
          <w:b/>
          <w:sz w:val="30"/>
        </w:rPr>
      </w:pPr>
      <w:r>
        <w:rPr>
          <w:rFonts w:ascii="宋体" w:hAnsi="宋体"/>
          <w:b/>
          <w:sz w:val="30"/>
        </w:rPr>
        <w:br w:type="page"/>
      </w:r>
    </w:p>
    <w:p w14:paraId="6404AAF2">
      <w:pPr>
        <w:spacing w:line="360" w:lineRule="auto"/>
        <w:ind w:firstLine="600"/>
        <w:jc w:val="left"/>
        <w:outlineLvl w:val="2"/>
        <w:rPr>
          <w:rFonts w:ascii="宋体" w:hAnsi="宋体"/>
          <w:b/>
          <w:sz w:val="30"/>
        </w:rPr>
      </w:pPr>
      <w:r>
        <w:rPr>
          <w:rFonts w:hint="eastAsia" w:ascii="宋体" w:hAnsi="宋体"/>
          <w:b/>
          <w:sz w:val="30"/>
        </w:rPr>
        <w:t>4.开标一览表（货物类格式）</w:t>
      </w:r>
    </w:p>
    <w:p w14:paraId="0F6E5658">
      <w:pPr>
        <w:spacing w:line="360" w:lineRule="auto"/>
        <w:ind w:firstLine="600"/>
        <w:jc w:val="center"/>
        <w:rPr>
          <w:sz w:val="24"/>
        </w:rPr>
      </w:pPr>
      <w:r>
        <w:rPr>
          <w:rFonts w:hint="eastAsia" w:ascii="宋体" w:hAnsi="宋体"/>
          <w:b/>
          <w:sz w:val="30"/>
        </w:rPr>
        <w:t>开标一览表（分标1至分标4）</w:t>
      </w:r>
    </w:p>
    <w:p w14:paraId="02465048">
      <w:pPr>
        <w:spacing w:line="360" w:lineRule="auto"/>
        <w:ind w:firstLine="482"/>
        <w:rPr>
          <w:sz w:val="24"/>
        </w:rPr>
      </w:pPr>
      <w:r>
        <w:rPr>
          <w:rFonts w:hint="eastAsia"/>
          <w:sz w:val="24"/>
        </w:rPr>
        <w:t>项目名称：</w:t>
      </w:r>
      <w:r>
        <w:rPr>
          <w:rFonts w:hint="eastAsia"/>
          <w:sz w:val="24"/>
          <w:u w:val="single"/>
        </w:rPr>
        <w:t xml:space="preserve">          </w:t>
      </w:r>
      <w:r>
        <w:rPr>
          <w:rFonts w:hint="eastAsia"/>
          <w:sz w:val="24"/>
        </w:rPr>
        <w:t>项目编号：</w:t>
      </w:r>
      <w:r>
        <w:rPr>
          <w:rFonts w:hint="eastAsia"/>
          <w:sz w:val="24"/>
          <w:u w:val="single"/>
        </w:rPr>
        <w:t xml:space="preserve">             </w:t>
      </w:r>
      <w:r>
        <w:rPr>
          <w:rFonts w:hint="eastAsia"/>
          <w:sz w:val="24"/>
        </w:rPr>
        <w:t xml:space="preserve"> 分标：</w:t>
      </w:r>
      <w:r>
        <w:rPr>
          <w:rFonts w:hint="eastAsia"/>
          <w:sz w:val="24"/>
          <w:u w:val="single"/>
        </w:rPr>
        <w:t xml:space="preserve">                </w:t>
      </w:r>
    </w:p>
    <w:p w14:paraId="0F26C6EF">
      <w:pPr>
        <w:spacing w:line="360" w:lineRule="auto"/>
        <w:ind w:firstLine="482"/>
        <w:rPr>
          <w:sz w:val="24"/>
        </w:rPr>
      </w:pPr>
      <w:r>
        <w:rPr>
          <w:rFonts w:hint="eastAsia"/>
          <w:sz w:val="24"/>
        </w:rPr>
        <w:t>投标人名称：</w:t>
      </w:r>
      <w:r>
        <w:rPr>
          <w:rFonts w:hint="eastAsia"/>
          <w:sz w:val="24"/>
          <w:u w:val="single"/>
        </w:rPr>
        <w:t xml:space="preserve">                           </w:t>
      </w:r>
      <w:r>
        <w:rPr>
          <w:rFonts w:hint="eastAsia"/>
          <w:sz w:val="24"/>
        </w:rPr>
        <w:t xml:space="preserve">     单位：元</w:t>
      </w:r>
    </w:p>
    <w:tbl>
      <w:tblPr>
        <w:tblStyle w:val="53"/>
        <w:tblW w:w="87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1735"/>
        <w:gridCol w:w="1515"/>
        <w:gridCol w:w="1603"/>
        <w:gridCol w:w="851"/>
        <w:gridCol w:w="2318"/>
      </w:tblGrid>
      <w:tr w14:paraId="443697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45121197">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735" w:type="dxa"/>
            <w:tcBorders>
              <w:top w:val="single" w:color="auto" w:sz="4" w:space="0"/>
              <w:left w:val="single" w:color="auto" w:sz="4" w:space="0"/>
              <w:bottom w:val="single" w:color="auto" w:sz="4" w:space="0"/>
              <w:right w:val="single" w:color="auto" w:sz="4" w:space="0"/>
            </w:tcBorders>
            <w:vAlign w:val="center"/>
          </w:tcPr>
          <w:p w14:paraId="74A86BA7">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标的的名称</w:t>
            </w:r>
          </w:p>
        </w:tc>
        <w:tc>
          <w:tcPr>
            <w:tcW w:w="1515" w:type="dxa"/>
            <w:tcBorders>
              <w:top w:val="single" w:color="auto" w:sz="4" w:space="0"/>
              <w:left w:val="single" w:color="auto" w:sz="4" w:space="0"/>
              <w:bottom w:val="single" w:color="auto" w:sz="4" w:space="0"/>
              <w:right w:val="single" w:color="auto" w:sz="4" w:space="0"/>
            </w:tcBorders>
            <w:vAlign w:val="center"/>
          </w:tcPr>
          <w:p w14:paraId="2E5AC2BB">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厂家、品牌、型号</w:t>
            </w:r>
          </w:p>
        </w:tc>
        <w:tc>
          <w:tcPr>
            <w:tcW w:w="1603" w:type="dxa"/>
            <w:tcBorders>
              <w:top w:val="single" w:color="auto" w:sz="4" w:space="0"/>
              <w:left w:val="single" w:color="auto" w:sz="4" w:space="0"/>
              <w:bottom w:val="single" w:color="auto" w:sz="4" w:space="0"/>
              <w:right w:val="single" w:color="auto" w:sz="4" w:space="0"/>
            </w:tcBorders>
            <w:vAlign w:val="center"/>
          </w:tcPr>
          <w:p w14:paraId="2E009373">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数量及单位①</w:t>
            </w:r>
          </w:p>
        </w:tc>
        <w:tc>
          <w:tcPr>
            <w:tcW w:w="851" w:type="dxa"/>
            <w:tcBorders>
              <w:top w:val="single" w:color="auto" w:sz="4" w:space="0"/>
              <w:left w:val="single" w:color="auto" w:sz="4" w:space="0"/>
              <w:bottom w:val="single" w:color="auto" w:sz="4" w:space="0"/>
              <w:right w:val="single" w:color="auto" w:sz="4" w:space="0"/>
            </w:tcBorders>
            <w:vAlign w:val="center"/>
          </w:tcPr>
          <w:p w14:paraId="0BBAAB04">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单价</w:t>
            </w:r>
          </w:p>
          <w:p w14:paraId="4D8137B8">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②</w:t>
            </w:r>
          </w:p>
        </w:tc>
        <w:tc>
          <w:tcPr>
            <w:tcW w:w="2318" w:type="dxa"/>
            <w:tcBorders>
              <w:top w:val="single" w:color="auto" w:sz="4" w:space="0"/>
              <w:left w:val="single" w:color="auto" w:sz="4" w:space="0"/>
              <w:bottom w:val="single" w:color="auto" w:sz="4" w:space="0"/>
              <w:right w:val="single" w:color="auto" w:sz="4" w:space="0"/>
            </w:tcBorders>
            <w:vAlign w:val="center"/>
          </w:tcPr>
          <w:p w14:paraId="4CCEEF0A">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投标报价</w:t>
            </w:r>
          </w:p>
          <w:p w14:paraId="78D29C4D">
            <w:pPr>
              <w:snapToGrid w:val="0"/>
              <w:spacing w:before="50" w:after="50" w:line="240" w:lineRule="auto"/>
              <w:ind w:firstLine="0"/>
              <w:jc w:val="center"/>
              <w:rPr>
                <w:rFonts w:ascii="宋体" w:hAnsi="宋体" w:eastAsia="宋体" w:cs="Times New Roman"/>
                <w:b/>
                <w:sz w:val="24"/>
                <w:szCs w:val="24"/>
              </w:rPr>
            </w:pPr>
            <w:r>
              <w:rPr>
                <w:rFonts w:ascii="宋体" w:hAnsi="宋体" w:eastAsia="宋体" w:cs="Times New Roman"/>
                <w:b/>
                <w:sz w:val="24"/>
                <w:szCs w:val="24"/>
              </w:rPr>
              <w:t>③</w:t>
            </w:r>
            <w:r>
              <w:rPr>
                <w:rFonts w:hint="eastAsia" w:ascii="宋体" w:hAnsi="宋体" w:eastAsia="宋体" w:cs="Times New Roman"/>
                <w:b/>
                <w:sz w:val="24"/>
                <w:szCs w:val="24"/>
              </w:rPr>
              <w:t>=①×②</w:t>
            </w:r>
          </w:p>
        </w:tc>
      </w:tr>
      <w:tr w14:paraId="560BB5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76E44A55">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1</w:t>
            </w:r>
          </w:p>
        </w:tc>
        <w:tc>
          <w:tcPr>
            <w:tcW w:w="1735" w:type="dxa"/>
            <w:tcBorders>
              <w:top w:val="single" w:color="auto" w:sz="4" w:space="0"/>
              <w:left w:val="single" w:color="auto" w:sz="4" w:space="0"/>
              <w:bottom w:val="single" w:color="auto" w:sz="4" w:space="0"/>
              <w:right w:val="single" w:color="auto" w:sz="4" w:space="0"/>
            </w:tcBorders>
            <w:vAlign w:val="center"/>
          </w:tcPr>
          <w:p w14:paraId="11F98523">
            <w:pPr>
              <w:snapToGrid w:val="0"/>
              <w:spacing w:before="50" w:after="50" w:line="240" w:lineRule="auto"/>
              <w:ind w:firstLine="0"/>
              <w:jc w:val="center"/>
              <w:rPr>
                <w:rFonts w:ascii="宋体" w:hAnsi="宋体" w:eastAsia="宋体" w:cs="Times New Roman"/>
                <w:b/>
                <w:sz w:val="24"/>
                <w:szCs w:val="24"/>
              </w:rPr>
            </w:pPr>
          </w:p>
        </w:tc>
        <w:tc>
          <w:tcPr>
            <w:tcW w:w="1515" w:type="dxa"/>
            <w:tcBorders>
              <w:top w:val="single" w:color="auto" w:sz="4" w:space="0"/>
              <w:left w:val="single" w:color="auto" w:sz="4" w:space="0"/>
              <w:bottom w:val="single" w:color="auto" w:sz="4" w:space="0"/>
              <w:right w:val="single" w:color="auto" w:sz="4" w:space="0"/>
            </w:tcBorders>
            <w:vAlign w:val="center"/>
          </w:tcPr>
          <w:p w14:paraId="1F954F40">
            <w:pPr>
              <w:snapToGrid w:val="0"/>
              <w:spacing w:before="50" w:after="50" w:line="240" w:lineRule="auto"/>
              <w:ind w:firstLine="0"/>
              <w:jc w:val="center"/>
              <w:rPr>
                <w:rFonts w:ascii="宋体" w:hAnsi="宋体" w:eastAsia="宋体" w:cs="Times New Roman"/>
                <w:sz w:val="24"/>
                <w:szCs w:val="24"/>
              </w:rPr>
            </w:pPr>
          </w:p>
        </w:tc>
        <w:tc>
          <w:tcPr>
            <w:tcW w:w="1603" w:type="dxa"/>
            <w:tcBorders>
              <w:top w:val="single" w:color="auto" w:sz="4" w:space="0"/>
              <w:left w:val="single" w:color="auto" w:sz="4" w:space="0"/>
              <w:bottom w:val="single" w:color="auto" w:sz="4" w:space="0"/>
              <w:right w:val="single" w:color="auto" w:sz="4" w:space="0"/>
            </w:tcBorders>
            <w:vAlign w:val="center"/>
          </w:tcPr>
          <w:p w14:paraId="7A96506D">
            <w:pPr>
              <w:snapToGrid w:val="0"/>
              <w:spacing w:before="50" w:after="50" w:line="240" w:lineRule="auto"/>
              <w:ind w:firstLine="0"/>
              <w:jc w:val="center"/>
              <w:rPr>
                <w:rFonts w:ascii="宋体" w:hAnsi="宋体" w:eastAsia="宋体" w:cs="Times New Roman"/>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4941B3D">
            <w:pPr>
              <w:snapToGrid w:val="0"/>
              <w:spacing w:before="50" w:after="50" w:line="240" w:lineRule="auto"/>
              <w:ind w:firstLine="0"/>
              <w:jc w:val="center"/>
              <w:rPr>
                <w:rFonts w:ascii="宋体" w:hAnsi="宋体" w:eastAsia="宋体" w:cs="Times New Roman"/>
                <w:sz w:val="24"/>
                <w:szCs w:val="24"/>
              </w:rPr>
            </w:pPr>
          </w:p>
        </w:tc>
        <w:tc>
          <w:tcPr>
            <w:tcW w:w="2318" w:type="dxa"/>
            <w:tcBorders>
              <w:top w:val="single" w:color="auto" w:sz="4" w:space="0"/>
              <w:left w:val="single" w:color="auto" w:sz="4" w:space="0"/>
              <w:bottom w:val="single" w:color="auto" w:sz="4" w:space="0"/>
              <w:right w:val="single" w:color="auto" w:sz="4" w:space="0"/>
            </w:tcBorders>
            <w:vAlign w:val="center"/>
          </w:tcPr>
          <w:p w14:paraId="3D422EE3">
            <w:pPr>
              <w:snapToGrid w:val="0"/>
              <w:spacing w:before="50" w:after="50" w:line="240" w:lineRule="auto"/>
              <w:ind w:firstLine="0"/>
              <w:jc w:val="center"/>
              <w:rPr>
                <w:rFonts w:ascii="宋体" w:hAnsi="宋体" w:eastAsia="宋体" w:cs="Times New Roman"/>
                <w:sz w:val="24"/>
                <w:szCs w:val="24"/>
              </w:rPr>
            </w:pPr>
          </w:p>
        </w:tc>
      </w:tr>
      <w:tr w14:paraId="4A921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79268E9">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2</w:t>
            </w:r>
          </w:p>
        </w:tc>
        <w:tc>
          <w:tcPr>
            <w:tcW w:w="1735" w:type="dxa"/>
            <w:tcBorders>
              <w:top w:val="single" w:color="auto" w:sz="4" w:space="0"/>
              <w:left w:val="single" w:color="auto" w:sz="4" w:space="0"/>
              <w:bottom w:val="single" w:color="auto" w:sz="4" w:space="0"/>
              <w:right w:val="single" w:color="auto" w:sz="4" w:space="0"/>
            </w:tcBorders>
            <w:vAlign w:val="center"/>
          </w:tcPr>
          <w:p w14:paraId="6BC80B3B">
            <w:pPr>
              <w:snapToGrid w:val="0"/>
              <w:spacing w:before="50" w:after="50" w:line="240" w:lineRule="auto"/>
              <w:ind w:firstLine="0"/>
              <w:jc w:val="center"/>
              <w:rPr>
                <w:rFonts w:ascii="宋体" w:hAnsi="宋体" w:eastAsia="宋体" w:cs="Times New Roman"/>
                <w:b/>
                <w:sz w:val="24"/>
                <w:szCs w:val="24"/>
              </w:rPr>
            </w:pPr>
          </w:p>
        </w:tc>
        <w:tc>
          <w:tcPr>
            <w:tcW w:w="1515" w:type="dxa"/>
            <w:tcBorders>
              <w:top w:val="single" w:color="auto" w:sz="4" w:space="0"/>
              <w:left w:val="single" w:color="auto" w:sz="4" w:space="0"/>
              <w:bottom w:val="single" w:color="auto" w:sz="4" w:space="0"/>
              <w:right w:val="single" w:color="auto" w:sz="4" w:space="0"/>
            </w:tcBorders>
            <w:vAlign w:val="center"/>
          </w:tcPr>
          <w:p w14:paraId="47EE4ACF">
            <w:pPr>
              <w:snapToGrid w:val="0"/>
              <w:spacing w:before="50" w:after="50" w:line="240" w:lineRule="auto"/>
              <w:ind w:firstLine="0"/>
              <w:jc w:val="center"/>
              <w:rPr>
                <w:rFonts w:ascii="宋体" w:hAnsi="宋体" w:eastAsia="宋体" w:cs="Times New Roman"/>
                <w:sz w:val="24"/>
                <w:szCs w:val="24"/>
              </w:rPr>
            </w:pPr>
          </w:p>
        </w:tc>
        <w:tc>
          <w:tcPr>
            <w:tcW w:w="1603" w:type="dxa"/>
            <w:tcBorders>
              <w:top w:val="single" w:color="auto" w:sz="4" w:space="0"/>
              <w:left w:val="single" w:color="auto" w:sz="4" w:space="0"/>
              <w:bottom w:val="single" w:color="auto" w:sz="4" w:space="0"/>
              <w:right w:val="single" w:color="auto" w:sz="4" w:space="0"/>
            </w:tcBorders>
            <w:vAlign w:val="center"/>
          </w:tcPr>
          <w:p w14:paraId="62AFF45E">
            <w:pPr>
              <w:snapToGrid w:val="0"/>
              <w:spacing w:before="50" w:after="50" w:line="240" w:lineRule="auto"/>
              <w:ind w:firstLine="0"/>
              <w:jc w:val="center"/>
              <w:rPr>
                <w:rFonts w:ascii="宋体" w:hAnsi="宋体" w:eastAsia="宋体" w:cs="Times New Roman"/>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44238AA0">
            <w:pPr>
              <w:snapToGrid w:val="0"/>
              <w:spacing w:before="50" w:after="50" w:line="240" w:lineRule="auto"/>
              <w:ind w:firstLine="0"/>
              <w:jc w:val="center"/>
              <w:rPr>
                <w:rFonts w:ascii="宋体" w:hAnsi="宋体" w:eastAsia="宋体" w:cs="Times New Roman"/>
                <w:sz w:val="24"/>
                <w:szCs w:val="24"/>
              </w:rPr>
            </w:pPr>
          </w:p>
        </w:tc>
        <w:tc>
          <w:tcPr>
            <w:tcW w:w="2318" w:type="dxa"/>
            <w:tcBorders>
              <w:top w:val="single" w:color="auto" w:sz="4" w:space="0"/>
              <w:left w:val="single" w:color="auto" w:sz="4" w:space="0"/>
              <w:bottom w:val="single" w:color="auto" w:sz="4" w:space="0"/>
              <w:right w:val="single" w:color="auto" w:sz="4" w:space="0"/>
            </w:tcBorders>
            <w:vAlign w:val="center"/>
          </w:tcPr>
          <w:p w14:paraId="492C481C">
            <w:pPr>
              <w:snapToGrid w:val="0"/>
              <w:spacing w:before="50" w:after="50" w:line="240" w:lineRule="auto"/>
              <w:ind w:firstLine="0"/>
              <w:jc w:val="center"/>
              <w:rPr>
                <w:rFonts w:ascii="宋体" w:hAnsi="宋体" w:eastAsia="宋体" w:cs="Times New Roman"/>
                <w:sz w:val="24"/>
                <w:szCs w:val="24"/>
              </w:rPr>
            </w:pPr>
          </w:p>
        </w:tc>
      </w:tr>
      <w:tr w14:paraId="58708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1C97AFA7">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w:t>
            </w:r>
          </w:p>
        </w:tc>
        <w:tc>
          <w:tcPr>
            <w:tcW w:w="1735" w:type="dxa"/>
            <w:tcBorders>
              <w:top w:val="single" w:color="auto" w:sz="4" w:space="0"/>
              <w:left w:val="single" w:color="auto" w:sz="4" w:space="0"/>
              <w:bottom w:val="single" w:color="auto" w:sz="4" w:space="0"/>
              <w:right w:val="single" w:color="auto" w:sz="4" w:space="0"/>
            </w:tcBorders>
            <w:vAlign w:val="center"/>
          </w:tcPr>
          <w:p w14:paraId="33888834">
            <w:pPr>
              <w:snapToGrid w:val="0"/>
              <w:spacing w:before="50" w:after="50" w:line="240" w:lineRule="auto"/>
              <w:ind w:firstLine="0"/>
              <w:jc w:val="center"/>
              <w:rPr>
                <w:rFonts w:ascii="宋体" w:hAnsi="宋体" w:eastAsia="宋体" w:cs="Times New Roman"/>
                <w:b/>
                <w:sz w:val="24"/>
                <w:szCs w:val="24"/>
              </w:rPr>
            </w:pPr>
            <w:r>
              <w:rPr>
                <w:rFonts w:hint="eastAsia" w:ascii="宋体" w:hAnsi="宋体" w:eastAsia="宋体" w:cs="Times New Roman"/>
                <w:b/>
                <w:sz w:val="24"/>
                <w:szCs w:val="24"/>
              </w:rPr>
              <w:t>……</w:t>
            </w:r>
          </w:p>
        </w:tc>
        <w:tc>
          <w:tcPr>
            <w:tcW w:w="1515" w:type="dxa"/>
            <w:tcBorders>
              <w:top w:val="single" w:color="auto" w:sz="4" w:space="0"/>
              <w:left w:val="single" w:color="auto" w:sz="4" w:space="0"/>
              <w:bottom w:val="single" w:color="auto" w:sz="4" w:space="0"/>
              <w:right w:val="single" w:color="auto" w:sz="4" w:space="0"/>
            </w:tcBorders>
            <w:vAlign w:val="center"/>
          </w:tcPr>
          <w:p w14:paraId="393591A4">
            <w:pPr>
              <w:snapToGrid w:val="0"/>
              <w:spacing w:before="50" w:after="50" w:line="240" w:lineRule="auto"/>
              <w:ind w:firstLine="0"/>
              <w:jc w:val="center"/>
              <w:rPr>
                <w:rFonts w:ascii="宋体" w:hAnsi="宋体" w:eastAsia="宋体" w:cs="Times New Roman"/>
                <w:sz w:val="24"/>
                <w:szCs w:val="24"/>
              </w:rPr>
            </w:pPr>
          </w:p>
        </w:tc>
        <w:tc>
          <w:tcPr>
            <w:tcW w:w="1603" w:type="dxa"/>
            <w:tcBorders>
              <w:top w:val="single" w:color="auto" w:sz="4" w:space="0"/>
              <w:left w:val="single" w:color="auto" w:sz="4" w:space="0"/>
              <w:bottom w:val="single" w:color="auto" w:sz="4" w:space="0"/>
              <w:right w:val="single" w:color="auto" w:sz="4" w:space="0"/>
            </w:tcBorders>
            <w:vAlign w:val="center"/>
          </w:tcPr>
          <w:p w14:paraId="636080D8">
            <w:pPr>
              <w:snapToGrid w:val="0"/>
              <w:spacing w:before="50" w:after="50" w:line="240" w:lineRule="auto"/>
              <w:ind w:firstLine="0"/>
              <w:jc w:val="center"/>
              <w:rPr>
                <w:rFonts w:ascii="宋体" w:hAnsi="宋体" w:eastAsia="宋体" w:cs="Times New Roman"/>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1AAA176">
            <w:pPr>
              <w:snapToGrid w:val="0"/>
              <w:spacing w:before="50" w:after="50" w:line="240" w:lineRule="auto"/>
              <w:ind w:firstLine="0"/>
              <w:jc w:val="center"/>
              <w:rPr>
                <w:rFonts w:ascii="宋体" w:hAnsi="宋体" w:eastAsia="宋体" w:cs="Times New Roman"/>
                <w:sz w:val="24"/>
                <w:szCs w:val="24"/>
              </w:rPr>
            </w:pPr>
          </w:p>
        </w:tc>
        <w:tc>
          <w:tcPr>
            <w:tcW w:w="2318" w:type="dxa"/>
            <w:tcBorders>
              <w:top w:val="single" w:color="auto" w:sz="4" w:space="0"/>
              <w:left w:val="single" w:color="auto" w:sz="4" w:space="0"/>
              <w:bottom w:val="single" w:color="auto" w:sz="4" w:space="0"/>
              <w:right w:val="single" w:color="auto" w:sz="4" w:space="0"/>
            </w:tcBorders>
            <w:vAlign w:val="center"/>
          </w:tcPr>
          <w:p w14:paraId="49A39024">
            <w:pPr>
              <w:snapToGrid w:val="0"/>
              <w:spacing w:before="50" w:after="50" w:line="240" w:lineRule="auto"/>
              <w:ind w:firstLine="0"/>
              <w:jc w:val="center"/>
              <w:rPr>
                <w:rFonts w:ascii="宋体" w:hAnsi="宋体" w:eastAsia="宋体" w:cs="Times New Roman"/>
                <w:sz w:val="24"/>
                <w:szCs w:val="24"/>
              </w:rPr>
            </w:pPr>
          </w:p>
        </w:tc>
      </w:tr>
      <w:tr w14:paraId="369A0A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8720" w:type="dxa"/>
            <w:gridSpan w:val="6"/>
            <w:tcBorders>
              <w:top w:val="single" w:color="auto" w:sz="4" w:space="0"/>
              <w:left w:val="single" w:color="auto" w:sz="4" w:space="0"/>
              <w:bottom w:val="single" w:color="auto" w:sz="4" w:space="0"/>
              <w:right w:val="single" w:color="auto" w:sz="4" w:space="0"/>
            </w:tcBorders>
            <w:vAlign w:val="center"/>
          </w:tcPr>
          <w:p w14:paraId="7BDEA94F">
            <w:pPr>
              <w:snapToGrid w:val="0"/>
              <w:spacing w:before="50" w:after="50" w:line="240" w:lineRule="auto"/>
              <w:ind w:firstLine="0"/>
              <w:jc w:val="center"/>
              <w:rPr>
                <w:rFonts w:ascii="宋体" w:hAnsi="宋体" w:eastAsia="宋体" w:cs="Times New Roman"/>
                <w:sz w:val="24"/>
                <w:szCs w:val="24"/>
              </w:rPr>
            </w:pPr>
            <w:r>
              <w:rPr>
                <w:rFonts w:hint="eastAsia" w:ascii="宋体" w:hAnsi="宋体" w:eastAsia="宋体" w:cs="仿宋_GB2312"/>
                <w:sz w:val="24"/>
                <w:szCs w:val="24"/>
              </w:rPr>
              <w:t>合计金额大写：人民币</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w:t>
            </w:r>
            <w:r>
              <w:rPr>
                <w:rFonts w:hint="eastAsia" w:ascii="宋体" w:hAnsi="宋体" w:eastAsia="宋体" w:cs="仿宋_GB2312"/>
                <w:sz w:val="24"/>
                <w:szCs w:val="24"/>
                <w:u w:val="single"/>
              </w:rPr>
              <w:t xml:space="preserve">           </w:t>
            </w:r>
            <w:r>
              <w:rPr>
                <w:rFonts w:hint="eastAsia" w:ascii="宋体" w:hAnsi="宋体" w:eastAsia="宋体" w:cs="仿宋_GB2312"/>
                <w:sz w:val="24"/>
                <w:szCs w:val="24"/>
              </w:rPr>
              <w:t>）</w:t>
            </w:r>
          </w:p>
        </w:tc>
      </w:tr>
    </w:tbl>
    <w:p w14:paraId="4DADBA1B">
      <w:pPr>
        <w:snapToGrid w:val="0"/>
        <w:spacing w:line="360" w:lineRule="auto"/>
        <w:ind w:firstLine="482"/>
        <w:jc w:val="left"/>
        <w:rPr>
          <w:rFonts w:ascii="宋体" w:hAnsi="宋体" w:eastAsia="宋体" w:cs="Times New Roman"/>
          <w:sz w:val="24"/>
          <w:szCs w:val="24"/>
        </w:rPr>
      </w:pPr>
      <w:r>
        <w:rPr>
          <w:rFonts w:hint="eastAsia" w:ascii="宋体" w:hAnsi="宋体" w:eastAsia="宋体" w:cs="Times New Roman"/>
          <w:sz w:val="24"/>
          <w:szCs w:val="24"/>
        </w:rPr>
        <w:t xml:space="preserve">注： </w:t>
      </w:r>
    </w:p>
    <w:p w14:paraId="0BE8CE8F">
      <w:pPr>
        <w:snapToGrid w:val="0"/>
        <w:spacing w:line="360" w:lineRule="auto"/>
        <w:ind w:firstLine="480" w:firstLineChars="200"/>
        <w:jc w:val="left"/>
        <w:rPr>
          <w:rFonts w:ascii="宋体" w:hAnsi="宋体" w:eastAsia="宋体" w:cs="Times New Roman"/>
          <w:b/>
          <w:sz w:val="24"/>
          <w:szCs w:val="24"/>
        </w:rPr>
      </w:pPr>
      <w:r>
        <w:rPr>
          <w:rFonts w:hint="eastAsia" w:ascii="宋体" w:hAnsi="宋体" w:eastAsia="宋体" w:cs="Times New Roman"/>
          <w:bCs/>
          <w:sz w:val="24"/>
          <w:szCs w:val="24"/>
        </w:rPr>
        <w:t>1.</w:t>
      </w:r>
      <w:r>
        <w:rPr>
          <w:rFonts w:hint="eastAsia" w:ascii="宋体" w:hAnsi="宋体" w:eastAsia="宋体" w:cs="Times New Roman"/>
          <w:sz w:val="24"/>
          <w:szCs w:val="24"/>
        </w:rPr>
        <w:t>报价一经涂改，应在涂改处加盖投标人公章</w:t>
      </w:r>
      <w:r>
        <w:rPr>
          <w:rFonts w:hint="eastAsia" w:ascii="宋体" w:hAnsi="宋体" w:eastAsia="宋体" w:cs="仿宋_GB2312"/>
          <w:sz w:val="24"/>
          <w:szCs w:val="24"/>
        </w:rPr>
        <w:t>或者加盖电子签章</w:t>
      </w:r>
      <w:r>
        <w:rPr>
          <w:rFonts w:hint="eastAsia" w:ascii="宋体" w:hAnsi="宋体" w:eastAsia="宋体" w:cs="Times New Roman"/>
          <w:sz w:val="24"/>
          <w:szCs w:val="24"/>
        </w:rPr>
        <w:t>或者由法定代表人或者委托代理人签字（或者电子签名）</w:t>
      </w:r>
      <w:r>
        <w:rPr>
          <w:rFonts w:hint="eastAsia" w:ascii="宋体" w:hAnsi="宋体" w:eastAsia="宋体" w:cs="Times New Roman"/>
          <w:b/>
          <w:sz w:val="24"/>
          <w:szCs w:val="24"/>
        </w:rPr>
        <w:t>，否则其投标作无效标处理。</w:t>
      </w:r>
    </w:p>
    <w:p w14:paraId="12662316">
      <w:pPr>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2.如为联合体投标，“投标人名称”处必须列明联合体各方名称，并标注联合体牵头人名称，</w:t>
      </w:r>
      <w:r>
        <w:rPr>
          <w:rFonts w:hint="eastAsia" w:ascii="宋体" w:hAnsi="宋体" w:eastAsia="宋体" w:cs="Times New Roman"/>
          <w:b/>
          <w:sz w:val="24"/>
          <w:szCs w:val="24"/>
        </w:rPr>
        <w:t>否则其投标作无效标处理。</w:t>
      </w:r>
    </w:p>
    <w:p w14:paraId="28672513">
      <w:pPr>
        <w:snapToGrid w:val="0"/>
        <w:spacing w:line="360" w:lineRule="auto"/>
        <w:ind w:firstLine="456" w:firstLineChars="200"/>
        <w:jc w:val="left"/>
        <w:rPr>
          <w:rFonts w:ascii="宋体" w:hAnsi="宋体" w:eastAsia="宋体" w:cs="Times New Roman"/>
          <w:spacing w:val="-6"/>
          <w:sz w:val="24"/>
          <w:szCs w:val="24"/>
        </w:rPr>
      </w:pPr>
      <w:r>
        <w:rPr>
          <w:rFonts w:ascii="宋体" w:hAnsi="宋体" w:eastAsia="宋体" w:cs="Times New Roman"/>
          <w:spacing w:val="-6"/>
          <w:sz w:val="24"/>
          <w:szCs w:val="24"/>
        </w:rPr>
        <w:t>3</w:t>
      </w:r>
      <w:r>
        <w:rPr>
          <w:rFonts w:hint="eastAsia" w:ascii="宋体" w:hAnsi="宋体" w:eastAsia="宋体" w:cs="Times New Roman"/>
          <w:spacing w:val="-6"/>
          <w:sz w:val="24"/>
          <w:szCs w:val="24"/>
        </w:rPr>
        <w:t>.如为联合体投标，盖章处须加盖联合体牵头人电子签章，</w:t>
      </w:r>
      <w:r>
        <w:rPr>
          <w:rFonts w:hint="eastAsia" w:ascii="宋体" w:hAnsi="宋体" w:eastAsia="宋体" w:cs="Times New Roman"/>
          <w:b/>
          <w:spacing w:val="-6"/>
          <w:sz w:val="24"/>
          <w:szCs w:val="24"/>
        </w:rPr>
        <w:t>否则其投标作无效标处理。</w:t>
      </w:r>
    </w:p>
    <w:p w14:paraId="65C08435">
      <w:pPr>
        <w:snapToGrid w:val="0"/>
        <w:spacing w:line="360" w:lineRule="auto"/>
        <w:ind w:firstLine="480" w:firstLineChars="200"/>
        <w:rPr>
          <w:rFonts w:ascii="宋体" w:hAnsi="宋体" w:eastAsia="宋体" w:cs="Times New Roman"/>
          <w:b/>
          <w:sz w:val="24"/>
          <w:szCs w:val="24"/>
        </w:rPr>
      </w:pPr>
      <w:r>
        <w:rPr>
          <w:rFonts w:ascii="宋体" w:hAnsi="宋体" w:eastAsia="宋体" w:cs="Times New Roman"/>
          <w:sz w:val="24"/>
          <w:szCs w:val="24"/>
        </w:rPr>
        <w:t>4</w:t>
      </w:r>
      <w:r>
        <w:rPr>
          <w:rFonts w:hint="eastAsia" w:ascii="宋体" w:hAnsi="宋体" w:eastAsia="宋体" w:cs="Times New Roman"/>
          <w:sz w:val="24"/>
          <w:szCs w:val="24"/>
        </w:rPr>
        <w:t>.如有多分标，按分标分别提供开标一览表，</w:t>
      </w:r>
      <w:r>
        <w:rPr>
          <w:rFonts w:hint="eastAsia" w:ascii="宋体" w:hAnsi="宋体" w:eastAsia="宋体" w:cs="Times New Roman"/>
          <w:b/>
          <w:sz w:val="24"/>
          <w:szCs w:val="24"/>
        </w:rPr>
        <w:t>否则投标无效。</w:t>
      </w:r>
    </w:p>
    <w:p w14:paraId="72DB54CD">
      <w:pPr>
        <w:spacing w:line="380" w:lineRule="exact"/>
        <w:ind w:firstLine="482"/>
        <w:rPr>
          <w:rFonts w:ascii="Times New Roman" w:hAnsi="Times New Roman" w:eastAsia="宋体" w:cs="Times New Roman"/>
          <w:kern w:val="0"/>
          <w:sz w:val="24"/>
          <w:szCs w:val="24"/>
        </w:rPr>
      </w:pPr>
    </w:p>
    <w:p w14:paraId="58DE8224">
      <w:pPr>
        <w:snapToGrid w:val="0"/>
        <w:spacing w:line="360" w:lineRule="auto"/>
        <w:ind w:left="-2" w:leftChars="-1" w:right="-817" w:rightChars="-389" w:firstLine="482"/>
        <w:rPr>
          <w:rFonts w:ascii="宋体" w:hAnsi="宋体" w:eastAsia="宋体" w:cs="Times New Roman"/>
          <w:sz w:val="24"/>
          <w:szCs w:val="24"/>
        </w:rPr>
      </w:pPr>
      <w:r>
        <w:rPr>
          <w:rFonts w:hint="eastAsia" w:ascii="宋体" w:hAnsi="宋体" w:eastAsia="宋体" w:cs="Times New Roman"/>
          <w:sz w:val="24"/>
          <w:szCs w:val="24"/>
        </w:rPr>
        <w:t xml:space="preserve">                                  法定代表人或者委托代理人（签字或者电子签名）： </w:t>
      </w:r>
    </w:p>
    <w:p w14:paraId="254F8CC4">
      <w:pPr>
        <w:snapToGrid w:val="0"/>
        <w:spacing w:line="360" w:lineRule="auto"/>
        <w:ind w:left="-3" w:leftChars="-15" w:right="-817" w:rightChars="-389" w:hanging="28" w:hangingChars="12"/>
        <w:rPr>
          <w:rFonts w:ascii="宋体" w:hAnsi="宋体" w:eastAsia="宋体" w:cs="Times New Roman"/>
          <w:sz w:val="24"/>
          <w:szCs w:val="24"/>
        </w:rPr>
      </w:pPr>
      <w:r>
        <w:rPr>
          <w:rFonts w:hint="eastAsia" w:ascii="宋体" w:hAnsi="宋体" w:eastAsia="宋体" w:cs="Times New Roman"/>
          <w:sz w:val="24"/>
          <w:szCs w:val="24"/>
        </w:rPr>
        <w:t xml:space="preserve">                                  投标人名称（电子签章）：</w:t>
      </w:r>
    </w:p>
    <w:p w14:paraId="6A7F7130">
      <w:pPr>
        <w:spacing w:line="360" w:lineRule="auto"/>
        <w:ind w:firstLine="482"/>
        <w:rPr>
          <w:rFonts w:ascii="宋体" w:hAnsi="宋体" w:eastAsia="宋体" w:cs="Times New Roman"/>
          <w:sz w:val="24"/>
          <w:szCs w:val="24"/>
        </w:rPr>
      </w:pPr>
      <w:r>
        <w:rPr>
          <w:rFonts w:hint="eastAsia" w:ascii="宋体" w:hAnsi="宋体" w:eastAsia="宋体" w:cs="Times New Roman"/>
          <w:sz w:val="24"/>
          <w:szCs w:val="24"/>
        </w:rPr>
        <w:t xml:space="preserve">                                  日期：    年   月   日</w:t>
      </w:r>
    </w:p>
    <w:p w14:paraId="57C6DEA4">
      <w:pPr>
        <w:widowControl/>
        <w:ind w:firstLine="482"/>
        <w:jc w:val="left"/>
        <w:rPr>
          <w:rFonts w:ascii="宋体" w:hAnsi="宋体" w:eastAsia="宋体" w:cs="Times New Roman"/>
          <w:sz w:val="24"/>
          <w:szCs w:val="24"/>
        </w:rPr>
      </w:pPr>
      <w:r>
        <w:rPr>
          <w:rFonts w:ascii="宋体" w:hAnsi="宋体" w:eastAsia="宋体" w:cs="Times New Roman"/>
          <w:sz w:val="24"/>
          <w:szCs w:val="24"/>
        </w:rPr>
        <w:br w:type="page"/>
      </w:r>
    </w:p>
    <w:p w14:paraId="7EE0D537">
      <w:pPr>
        <w:spacing w:line="360" w:lineRule="auto"/>
        <w:ind w:firstLine="600"/>
        <w:jc w:val="left"/>
        <w:outlineLvl w:val="2"/>
        <w:rPr>
          <w:rFonts w:ascii="宋体" w:hAnsi="宋体"/>
          <w:b/>
          <w:sz w:val="30"/>
        </w:rPr>
      </w:pPr>
      <w:r>
        <w:rPr>
          <w:rFonts w:hint="eastAsia" w:ascii="宋体" w:hAnsi="宋体"/>
          <w:b/>
          <w:sz w:val="30"/>
        </w:rPr>
        <w:t>5.中小企业声明函格式</w:t>
      </w:r>
    </w:p>
    <w:p w14:paraId="33DB5CCB">
      <w:pPr>
        <w:rPr>
          <w:rFonts w:ascii="宋体" w:hAnsi="宋体" w:eastAsia="宋体" w:cs="仿宋_GB2312"/>
          <w:szCs w:val="24"/>
        </w:rPr>
      </w:pPr>
    </w:p>
    <w:p w14:paraId="3073D356">
      <w:pPr>
        <w:ind w:firstLine="883"/>
        <w:jc w:val="center"/>
        <w:rPr>
          <w:rFonts w:ascii="宋体" w:hAnsi="宋体" w:cs="宋体"/>
          <w:sz w:val="44"/>
          <w:szCs w:val="44"/>
        </w:rPr>
      </w:pPr>
      <w:r>
        <w:rPr>
          <w:rFonts w:hint="eastAsia" w:ascii="宋体" w:hAnsi="宋体" w:cs="宋体"/>
          <w:sz w:val="44"/>
          <w:szCs w:val="44"/>
        </w:rPr>
        <w:t>中小企业声明函（货物）</w:t>
      </w:r>
    </w:p>
    <w:p w14:paraId="68349BBE">
      <w:pPr>
        <w:spacing w:before="2" w:line="500" w:lineRule="exact"/>
        <w:ind w:firstLine="540"/>
        <w:rPr>
          <w:rFonts w:ascii="宋体" w:hAnsi="宋体" w:cs="宋体"/>
          <w:b/>
          <w:bCs/>
          <w:sz w:val="27"/>
          <w:szCs w:val="27"/>
        </w:rPr>
      </w:pPr>
    </w:p>
    <w:p w14:paraId="16617EE5">
      <w:pPr>
        <w:pStyle w:val="20"/>
        <w:spacing w:line="360" w:lineRule="auto"/>
        <w:ind w:left="-426" w:leftChars="-203" w:right="142" w:firstLine="420" w:firstLineChars="200"/>
        <w:contextualSpacing/>
        <w:rPr>
          <w:rFonts w:ascii="宋体" w:hAnsi="宋体" w:cs="宋体"/>
          <w:kern w:val="24"/>
        </w:rPr>
      </w:pPr>
      <w:r>
        <w:rPr>
          <w:rFonts w:hint="eastAsia" w:ascii="宋体" w:hAnsi="宋体" w:cs="宋体"/>
          <w:kern w:val="24"/>
        </w:rPr>
        <w:t>本公司（联合体）郑重声明，根据《政府采购促进中小企业发展管理办法》（财库﹝2020﹞46号）的规定，本公司（联合体）参加</w:t>
      </w:r>
      <w:r>
        <w:rPr>
          <w:rFonts w:hint="eastAsia" w:ascii="宋体" w:hAnsi="宋体" w:cs="宋体"/>
          <w:kern w:val="24"/>
          <w:u w:val="single"/>
        </w:rPr>
        <w:t>（单位名称）</w:t>
      </w:r>
      <w:r>
        <w:rPr>
          <w:rFonts w:hint="eastAsia" w:ascii="宋体" w:hAnsi="宋体" w:cs="宋体"/>
          <w:kern w:val="24"/>
        </w:rPr>
        <w:t>的</w:t>
      </w:r>
      <w:r>
        <w:rPr>
          <w:rFonts w:hint="eastAsia" w:ascii="宋体" w:hAnsi="宋体" w:cs="宋体"/>
          <w:kern w:val="24"/>
          <w:u w:val="single"/>
        </w:rPr>
        <w:t>（项目名称）</w:t>
      </w:r>
      <w:r>
        <w:rPr>
          <w:rFonts w:hint="eastAsia" w:ascii="宋体" w:hAnsi="宋体" w:cs="宋体"/>
          <w:kern w:val="24"/>
        </w:rPr>
        <w:t>采购活动，提供的货物全部由符合政策要求的中小企业制造。相关企业（含联合体中的中小企业、签订分包意向协议的中小企业）的具体情况如下：</w:t>
      </w:r>
    </w:p>
    <w:p w14:paraId="3DC0D1F3">
      <w:pPr>
        <w:tabs>
          <w:tab w:val="left" w:pos="1384"/>
          <w:tab w:val="left" w:pos="4562"/>
          <w:tab w:val="left" w:pos="6803"/>
        </w:tabs>
        <w:spacing w:line="360" w:lineRule="auto"/>
        <w:ind w:left="-426" w:right="-58" w:firstLine="482"/>
        <w:contextualSpacing/>
        <w:rPr>
          <w:rFonts w:ascii="宋体" w:hAnsi="宋体" w:cs="宋体"/>
          <w:kern w:val="24"/>
          <w:sz w:val="24"/>
        </w:rPr>
      </w:pPr>
      <w:r>
        <w:rPr>
          <w:rFonts w:hint="eastAsia" w:ascii="宋体" w:hAnsi="宋体" w:cs="宋体"/>
          <w:kern w:val="24"/>
          <w:sz w:val="24"/>
        </w:rPr>
        <w:t>1.</w:t>
      </w:r>
      <w:r>
        <w:rPr>
          <w:rFonts w:hint="eastAsia" w:ascii="宋体" w:hAnsi="宋体" w:cs="宋体"/>
          <w:kern w:val="24"/>
          <w:sz w:val="24"/>
          <w:u w:val="single"/>
        </w:rPr>
        <w:t>（标的名称）</w:t>
      </w:r>
      <w:r>
        <w:rPr>
          <w:rFonts w:hint="eastAsia" w:ascii="宋体" w:hAnsi="宋体" w:cs="宋体"/>
          <w:kern w:val="24"/>
          <w:sz w:val="24"/>
        </w:rPr>
        <w:t>，属于</w:t>
      </w:r>
      <w:r>
        <w:rPr>
          <w:rFonts w:hint="eastAsia" w:ascii="宋体" w:hAnsi="宋体" w:cs="宋体"/>
          <w:kern w:val="24"/>
          <w:sz w:val="24"/>
          <w:u w:val="single"/>
        </w:rPr>
        <w:t>（采购文件中明确的所属行业）</w:t>
      </w:r>
      <w:r>
        <w:rPr>
          <w:rFonts w:hint="eastAsia" w:ascii="宋体" w:hAnsi="宋体" w:cs="宋体"/>
          <w:kern w:val="24"/>
          <w:sz w:val="24"/>
        </w:rPr>
        <w:t>行业；制造商为</w:t>
      </w:r>
      <w:r>
        <w:rPr>
          <w:rFonts w:hint="eastAsia" w:ascii="宋体" w:hAnsi="宋体" w:cs="宋体"/>
          <w:kern w:val="24"/>
          <w:sz w:val="24"/>
          <w:u w:val="single"/>
        </w:rPr>
        <w:t>（企业名称）</w:t>
      </w:r>
      <w:r>
        <w:rPr>
          <w:rFonts w:hint="eastAsia" w:ascii="宋体" w:hAnsi="宋体" w:cs="宋体"/>
          <w:kern w:val="24"/>
          <w:sz w:val="24"/>
        </w:rPr>
        <w:t>，从业人员</w:t>
      </w:r>
      <w:r>
        <w:rPr>
          <w:rFonts w:hint="eastAsia" w:ascii="宋体" w:hAnsi="宋体" w:cs="宋体"/>
          <w:kern w:val="24"/>
          <w:sz w:val="24"/>
          <w:u w:val="single"/>
        </w:rPr>
        <w:t xml:space="preserve">      </w:t>
      </w:r>
      <w:r>
        <w:rPr>
          <w:rFonts w:hint="eastAsia" w:ascii="宋体" w:hAnsi="宋体" w:cs="宋体"/>
          <w:kern w:val="24"/>
          <w:sz w:val="24"/>
        </w:rPr>
        <w:t>人，营业收入为</w:t>
      </w:r>
      <w:r>
        <w:rPr>
          <w:rFonts w:hint="eastAsia" w:ascii="宋体" w:hAnsi="宋体" w:cs="宋体"/>
          <w:kern w:val="24"/>
          <w:sz w:val="24"/>
          <w:u w:val="single"/>
        </w:rPr>
        <w:t xml:space="preserve">      </w:t>
      </w:r>
      <w:r>
        <w:rPr>
          <w:rFonts w:hint="eastAsia" w:ascii="宋体" w:hAnsi="宋体" w:cs="宋体"/>
          <w:kern w:val="24"/>
          <w:sz w:val="24"/>
        </w:rPr>
        <w:t>万元，资产总额为</w:t>
      </w:r>
      <w:r>
        <w:rPr>
          <w:rFonts w:hint="eastAsia" w:ascii="宋体" w:hAnsi="宋体" w:cs="宋体"/>
          <w:kern w:val="24"/>
          <w:sz w:val="24"/>
          <w:u w:val="single"/>
        </w:rPr>
        <w:t xml:space="preserve">      </w:t>
      </w:r>
      <w:r>
        <w:rPr>
          <w:rFonts w:hint="eastAsia" w:ascii="宋体" w:hAnsi="宋体" w:cs="宋体"/>
          <w:kern w:val="24"/>
          <w:sz w:val="24"/>
        </w:rPr>
        <w:t>万元，属于</w:t>
      </w:r>
      <w:r>
        <w:rPr>
          <w:rFonts w:hint="eastAsia" w:ascii="宋体" w:hAnsi="宋体" w:cs="宋体"/>
          <w:kern w:val="24"/>
          <w:sz w:val="24"/>
          <w:u w:val="single"/>
        </w:rPr>
        <w:t>（中型企业、小型企业、微型企业）</w:t>
      </w:r>
      <w:r>
        <w:rPr>
          <w:rFonts w:hint="eastAsia" w:ascii="宋体" w:hAnsi="宋体" w:cs="宋体"/>
          <w:kern w:val="24"/>
          <w:sz w:val="24"/>
        </w:rPr>
        <w:t>；</w:t>
      </w:r>
    </w:p>
    <w:p w14:paraId="5851D388">
      <w:pPr>
        <w:tabs>
          <w:tab w:val="left" w:pos="1065"/>
          <w:tab w:val="left" w:pos="6477"/>
        </w:tabs>
        <w:spacing w:line="360" w:lineRule="auto"/>
        <w:ind w:left="-426" w:right="-58" w:firstLine="482"/>
        <w:contextualSpacing/>
        <w:rPr>
          <w:rFonts w:ascii="宋体" w:hAnsi="宋体" w:cs="宋体"/>
          <w:kern w:val="24"/>
          <w:sz w:val="24"/>
        </w:rPr>
      </w:pPr>
      <w:r>
        <w:rPr>
          <w:rFonts w:hint="eastAsia" w:ascii="宋体" w:hAnsi="宋体" w:cs="宋体"/>
          <w:kern w:val="24"/>
          <w:sz w:val="24"/>
        </w:rPr>
        <w:t>2.</w:t>
      </w:r>
      <w:r>
        <w:rPr>
          <w:rFonts w:hint="eastAsia" w:ascii="宋体" w:hAnsi="宋体" w:cs="宋体"/>
          <w:kern w:val="24"/>
          <w:sz w:val="24"/>
          <w:u w:val="single"/>
        </w:rPr>
        <w:t>（标的名称）</w:t>
      </w:r>
      <w:r>
        <w:rPr>
          <w:rFonts w:hint="eastAsia" w:ascii="宋体" w:hAnsi="宋体" w:cs="宋体"/>
          <w:kern w:val="24"/>
          <w:sz w:val="24"/>
        </w:rPr>
        <w:t>，属于</w:t>
      </w:r>
      <w:r>
        <w:rPr>
          <w:rFonts w:hint="eastAsia" w:ascii="宋体" w:hAnsi="宋体" w:cs="宋体"/>
          <w:kern w:val="24"/>
          <w:sz w:val="24"/>
          <w:u w:val="single"/>
        </w:rPr>
        <w:t>（采购文件中明确的所属行业）</w:t>
      </w:r>
      <w:r>
        <w:rPr>
          <w:rFonts w:hint="eastAsia" w:ascii="宋体" w:hAnsi="宋体" w:cs="宋体"/>
          <w:kern w:val="24"/>
          <w:sz w:val="24"/>
        </w:rPr>
        <w:t>行业；制造商为</w:t>
      </w:r>
      <w:r>
        <w:rPr>
          <w:rFonts w:hint="eastAsia" w:ascii="宋体" w:hAnsi="宋体" w:cs="宋体"/>
          <w:kern w:val="24"/>
          <w:sz w:val="24"/>
          <w:u w:val="single"/>
        </w:rPr>
        <w:t>（企业名称）</w:t>
      </w:r>
      <w:r>
        <w:rPr>
          <w:rFonts w:hint="eastAsia" w:ascii="宋体" w:hAnsi="宋体" w:cs="宋体"/>
          <w:kern w:val="24"/>
          <w:sz w:val="24"/>
        </w:rPr>
        <w:t>，从业人员</w:t>
      </w:r>
      <w:r>
        <w:rPr>
          <w:rFonts w:hint="eastAsia" w:ascii="宋体" w:hAnsi="宋体" w:cs="宋体"/>
          <w:kern w:val="24"/>
          <w:sz w:val="24"/>
          <w:u w:val="single"/>
        </w:rPr>
        <w:t xml:space="preserve">      </w:t>
      </w:r>
      <w:r>
        <w:rPr>
          <w:rFonts w:hint="eastAsia" w:ascii="宋体" w:hAnsi="宋体" w:cs="宋体"/>
          <w:kern w:val="24"/>
          <w:sz w:val="24"/>
        </w:rPr>
        <w:t>人，营业收入为</w:t>
      </w:r>
      <w:r>
        <w:rPr>
          <w:rFonts w:hint="eastAsia" w:ascii="宋体" w:hAnsi="宋体" w:cs="宋体"/>
          <w:kern w:val="24"/>
          <w:sz w:val="24"/>
          <w:u w:val="single"/>
        </w:rPr>
        <w:t xml:space="preserve">      </w:t>
      </w:r>
      <w:r>
        <w:rPr>
          <w:rFonts w:hint="eastAsia" w:ascii="宋体" w:hAnsi="宋体" w:cs="宋体"/>
          <w:kern w:val="24"/>
          <w:sz w:val="24"/>
        </w:rPr>
        <w:t>万元，资产总额为</w:t>
      </w:r>
      <w:r>
        <w:rPr>
          <w:rFonts w:hint="eastAsia" w:ascii="宋体" w:hAnsi="宋体" w:cs="宋体"/>
          <w:kern w:val="24"/>
          <w:sz w:val="24"/>
          <w:u w:val="single"/>
        </w:rPr>
        <w:t xml:space="preserve">      </w:t>
      </w:r>
      <w:r>
        <w:rPr>
          <w:rFonts w:hint="eastAsia" w:ascii="宋体" w:hAnsi="宋体" w:cs="宋体"/>
          <w:kern w:val="24"/>
          <w:sz w:val="24"/>
        </w:rPr>
        <w:t>万元，属于</w:t>
      </w:r>
      <w:r>
        <w:rPr>
          <w:rFonts w:hint="eastAsia" w:ascii="宋体" w:hAnsi="宋体" w:cs="宋体"/>
          <w:kern w:val="24"/>
          <w:sz w:val="24"/>
          <w:u w:val="single"/>
        </w:rPr>
        <w:t>（中型企业、小型企业、微型企业）</w:t>
      </w:r>
      <w:r>
        <w:rPr>
          <w:rFonts w:hint="eastAsia" w:ascii="宋体" w:hAnsi="宋体" w:cs="宋体"/>
          <w:kern w:val="24"/>
          <w:sz w:val="24"/>
        </w:rPr>
        <w:t>；</w:t>
      </w:r>
    </w:p>
    <w:p w14:paraId="7F3708BA">
      <w:pPr>
        <w:pStyle w:val="20"/>
        <w:spacing w:line="360" w:lineRule="auto"/>
        <w:ind w:left="142" w:right="142"/>
        <w:contextualSpacing/>
        <w:rPr>
          <w:rFonts w:ascii="宋体" w:hAnsi="宋体" w:cs="宋体"/>
          <w:kern w:val="24"/>
        </w:rPr>
      </w:pPr>
      <w:r>
        <w:rPr>
          <w:rFonts w:hint="eastAsia" w:ascii="宋体" w:hAnsi="宋体" w:cs="宋体"/>
          <w:kern w:val="24"/>
        </w:rPr>
        <w:t xml:space="preserve">…… </w:t>
      </w:r>
    </w:p>
    <w:p w14:paraId="03A1740C">
      <w:pPr>
        <w:pStyle w:val="20"/>
        <w:spacing w:line="360" w:lineRule="auto"/>
        <w:ind w:left="-405" w:leftChars="-193" w:right="142" w:firstLine="396" w:firstLineChars="189"/>
        <w:contextualSpacing/>
        <w:rPr>
          <w:rFonts w:ascii="宋体" w:hAnsi="宋体" w:cs="宋体"/>
          <w:kern w:val="24"/>
        </w:rPr>
      </w:pPr>
      <w:r>
        <w:rPr>
          <w:rFonts w:hint="eastAsia" w:ascii="宋体" w:hAnsi="宋体" w:cs="宋体"/>
          <w:kern w:val="24"/>
        </w:rPr>
        <w:t>以上企业，不属于大企业的分支机构，不存在控股股东为大企业的情形，也不存在与大企业的负责人为同一人的情形。</w:t>
      </w:r>
    </w:p>
    <w:p w14:paraId="3CB12ED7">
      <w:pPr>
        <w:pStyle w:val="20"/>
        <w:spacing w:line="360" w:lineRule="auto"/>
        <w:ind w:left="-426" w:right="142" w:firstLine="482"/>
        <w:contextualSpacing/>
        <w:rPr>
          <w:rFonts w:ascii="宋体" w:hAnsi="宋体" w:cs="宋体"/>
          <w:kern w:val="24"/>
        </w:rPr>
      </w:pPr>
      <w:r>
        <w:rPr>
          <w:rFonts w:hint="eastAsia" w:ascii="宋体" w:hAnsi="宋体" w:cs="宋体"/>
          <w:kern w:val="24"/>
        </w:rPr>
        <w:t>本企业对上述声明内容的真实性负责。如有虚假，将依法承担相应责任。</w:t>
      </w:r>
    </w:p>
    <w:p w14:paraId="015306A3">
      <w:pPr>
        <w:pStyle w:val="20"/>
        <w:spacing w:line="360" w:lineRule="auto"/>
        <w:ind w:left="3960" w:right="1808"/>
        <w:contextualSpacing/>
        <w:rPr>
          <w:rFonts w:ascii="宋体" w:hAnsi="宋体" w:cs="宋体"/>
          <w:kern w:val="24"/>
        </w:rPr>
      </w:pPr>
    </w:p>
    <w:p w14:paraId="6C22FE0F">
      <w:pPr>
        <w:pStyle w:val="20"/>
        <w:spacing w:line="360" w:lineRule="auto"/>
        <w:ind w:left="3960" w:right="1808"/>
        <w:contextualSpacing/>
        <w:rPr>
          <w:rFonts w:ascii="宋体" w:hAnsi="宋体" w:cs="宋体"/>
          <w:kern w:val="24"/>
        </w:rPr>
      </w:pPr>
      <w:r>
        <w:rPr>
          <w:rFonts w:hint="eastAsia" w:ascii="宋体" w:hAnsi="宋体" w:cs="宋体"/>
          <w:kern w:val="24"/>
        </w:rPr>
        <w:t>企业名称（公章）：</w:t>
      </w:r>
      <w:r>
        <w:rPr>
          <w:rFonts w:hint="eastAsia" w:ascii="宋体" w:hAnsi="宋体" w:cs="宋体"/>
          <w:kern w:val="24"/>
          <w:u w:val="single"/>
        </w:rPr>
        <w:t xml:space="preserve"> </w:t>
      </w:r>
      <w:r>
        <w:rPr>
          <w:rFonts w:ascii="宋体" w:hAnsi="宋体" w:cs="宋体"/>
          <w:kern w:val="24"/>
          <w:u w:val="single"/>
        </w:rPr>
        <w:t xml:space="preserve">         </w:t>
      </w:r>
      <w:r>
        <w:rPr>
          <w:rFonts w:hint="eastAsia" w:ascii="宋体" w:hAnsi="宋体" w:cs="宋体"/>
          <w:kern w:val="24"/>
        </w:rPr>
        <w:t xml:space="preserve"> </w:t>
      </w:r>
    </w:p>
    <w:p w14:paraId="3892978E">
      <w:pPr>
        <w:pStyle w:val="20"/>
        <w:spacing w:line="360" w:lineRule="auto"/>
        <w:ind w:right="1808" w:firstLine="4000" w:firstLineChars="1600"/>
        <w:contextualSpacing/>
        <w:rPr>
          <w:rFonts w:ascii="宋体" w:hAnsi="宋体" w:cs="宋体"/>
          <w:kern w:val="24"/>
        </w:rPr>
      </w:pPr>
      <w:r>
        <w:rPr>
          <w:rFonts w:hint="eastAsia" w:ascii="宋体" w:hAnsi="宋体" w:cs="宋体"/>
          <w:spacing w:val="20"/>
        </w:rPr>
        <w:t>日 期：</w:t>
      </w:r>
      <w:r>
        <w:rPr>
          <w:rFonts w:hint="eastAsia" w:ascii="宋体" w:hAnsi="宋体" w:cs="宋体"/>
          <w:spacing w:val="20"/>
          <w:u w:val="single"/>
        </w:rPr>
        <w:t xml:space="preserve"> </w:t>
      </w:r>
      <w:r>
        <w:rPr>
          <w:rFonts w:ascii="宋体" w:hAnsi="宋体" w:cs="宋体"/>
          <w:spacing w:val="20"/>
          <w:u w:val="single"/>
        </w:rPr>
        <w:t xml:space="preserve">  </w:t>
      </w:r>
      <w:r>
        <w:rPr>
          <w:rFonts w:hint="eastAsia" w:ascii="宋体" w:hAnsi="宋体" w:cs="宋体"/>
          <w:spacing w:val="20"/>
          <w:u w:val="single"/>
        </w:rPr>
        <w:t xml:space="preserve">  </w:t>
      </w:r>
      <w:r>
        <w:rPr>
          <w:rFonts w:hint="eastAsia" w:ascii="宋体" w:hAnsi="宋体" w:cs="宋体"/>
          <w:spacing w:val="20"/>
        </w:rPr>
        <w:t>年</w:t>
      </w:r>
      <w:r>
        <w:rPr>
          <w:rFonts w:hint="eastAsia" w:ascii="宋体" w:hAnsi="宋体" w:cs="宋体"/>
          <w:spacing w:val="20"/>
          <w:u w:val="single"/>
        </w:rPr>
        <w:t xml:space="preserve">  </w:t>
      </w:r>
      <w:r>
        <w:rPr>
          <w:rFonts w:hint="eastAsia" w:ascii="宋体" w:hAnsi="宋体" w:cs="宋体"/>
          <w:spacing w:val="20"/>
        </w:rPr>
        <w:t>月</w:t>
      </w:r>
      <w:r>
        <w:rPr>
          <w:rFonts w:hint="eastAsia" w:ascii="宋体" w:hAnsi="宋体" w:cs="宋体"/>
          <w:spacing w:val="20"/>
          <w:u w:val="single"/>
        </w:rPr>
        <w:t xml:space="preserve">  </w:t>
      </w:r>
      <w:r>
        <w:rPr>
          <w:rFonts w:hint="eastAsia" w:ascii="宋体" w:hAnsi="宋体" w:cs="宋体"/>
          <w:spacing w:val="20"/>
        </w:rPr>
        <w:t>日</w:t>
      </w:r>
    </w:p>
    <w:p w14:paraId="583E01CD">
      <w:pPr>
        <w:pStyle w:val="20"/>
        <w:spacing w:line="360" w:lineRule="auto"/>
        <w:ind w:left="3960" w:right="1808"/>
        <w:contextualSpacing/>
        <w:rPr>
          <w:rFonts w:ascii="宋体" w:hAnsi="宋体" w:cs="宋体"/>
          <w:kern w:val="24"/>
        </w:rPr>
      </w:pPr>
    </w:p>
    <w:p w14:paraId="16F66DCE">
      <w:pPr>
        <w:pStyle w:val="20"/>
        <w:spacing w:line="360" w:lineRule="auto"/>
        <w:ind w:left="-426" w:right="142" w:firstLine="480"/>
        <w:contextualSpacing/>
        <w:rPr>
          <w:rFonts w:ascii="楷体" w:hAnsi="楷体" w:eastAsia="楷体" w:cs="宋体"/>
          <w:b/>
          <w:kern w:val="24"/>
        </w:rPr>
      </w:pPr>
      <w:r>
        <w:rPr>
          <w:rFonts w:hint="eastAsia" w:ascii="楷体" w:hAnsi="楷体" w:eastAsia="楷体" w:cs="宋体"/>
          <w:b/>
          <w:kern w:val="24"/>
        </w:rPr>
        <w:t>注：</w:t>
      </w:r>
    </w:p>
    <w:p w14:paraId="3044127A">
      <w:pPr>
        <w:pStyle w:val="20"/>
        <w:spacing w:line="360" w:lineRule="auto"/>
        <w:ind w:left="-426" w:right="142" w:firstLine="482"/>
        <w:contextualSpacing/>
        <w:rPr>
          <w:rFonts w:ascii="楷体" w:hAnsi="楷体" w:eastAsia="楷体" w:cs="宋体"/>
          <w:kern w:val="24"/>
        </w:rPr>
      </w:pPr>
      <w:r>
        <w:rPr>
          <w:rFonts w:hint="eastAsia" w:ascii="楷体" w:hAnsi="楷体" w:eastAsia="楷体" w:cs="宋体"/>
          <w:kern w:val="24"/>
        </w:rPr>
        <w:t>享受《政府采购促进中小企业发展管理办法》（财库〔</w:t>
      </w:r>
      <w:r>
        <w:rPr>
          <w:rFonts w:ascii="楷体" w:hAnsi="楷体" w:eastAsia="楷体" w:cs="宋体"/>
          <w:kern w:val="24"/>
        </w:rPr>
        <w:t>2020〕46号）规定的中小企业扶持政策的，采购人、采购代理机构应当随中标结果公开中标供应商的《中小企业声明函》。从业人员、营业收入、资产总额填报上一年度数据，无上</w:t>
      </w:r>
      <w:r>
        <w:rPr>
          <w:rFonts w:hint="eastAsia" w:ascii="楷体" w:hAnsi="楷体" w:eastAsia="楷体" w:cs="宋体"/>
          <w:kern w:val="24"/>
        </w:rPr>
        <w:t>一年度数据的新成立企业可不填报。</w:t>
      </w:r>
    </w:p>
    <w:p w14:paraId="315590B0">
      <w:pPr>
        <w:spacing w:line="360" w:lineRule="auto"/>
        <w:jc w:val="left"/>
        <w:outlineLvl w:val="2"/>
        <w:rPr>
          <w:rFonts w:ascii="宋体" w:hAnsi="宋体" w:eastAsia="宋体" w:cs="仿宋_GB2312"/>
          <w:b/>
          <w:sz w:val="24"/>
          <w:szCs w:val="24"/>
        </w:rPr>
      </w:pPr>
      <w:r>
        <w:rPr>
          <w:rFonts w:hint="eastAsia" w:ascii="宋体" w:hAnsi="宋体" w:eastAsia="宋体" w:cs="仿宋_GB2312"/>
          <w:szCs w:val="24"/>
        </w:rPr>
        <w:br w:type="page"/>
      </w:r>
      <w:r>
        <w:rPr>
          <w:rFonts w:hint="eastAsia" w:ascii="宋体" w:hAnsi="宋体"/>
          <w:b/>
          <w:sz w:val="30"/>
        </w:rPr>
        <w:t>6.残疾人福利性单位声明函格式</w:t>
      </w:r>
    </w:p>
    <w:p w14:paraId="0F8FD915">
      <w:pPr>
        <w:spacing w:line="588" w:lineRule="exact"/>
        <w:ind w:firstLine="664"/>
        <w:jc w:val="center"/>
        <w:rPr>
          <w:rFonts w:ascii="宋体" w:hAnsi="宋体" w:eastAsia="宋体" w:cs="仿宋_GB2312"/>
          <w:b/>
          <w:spacing w:val="6"/>
          <w:sz w:val="32"/>
          <w:szCs w:val="32"/>
        </w:rPr>
      </w:pPr>
    </w:p>
    <w:p w14:paraId="0E8AD2CF">
      <w:pPr>
        <w:spacing w:line="588" w:lineRule="exact"/>
        <w:ind w:firstLine="624"/>
        <w:jc w:val="center"/>
        <w:rPr>
          <w:rFonts w:ascii="宋体" w:hAnsi="宋体" w:eastAsia="宋体" w:cs="仿宋_GB2312"/>
          <w:b/>
          <w:bCs/>
          <w:spacing w:val="6"/>
          <w:sz w:val="30"/>
          <w:szCs w:val="30"/>
        </w:rPr>
      </w:pPr>
      <w:r>
        <w:rPr>
          <w:rFonts w:hint="eastAsia" w:ascii="宋体" w:hAnsi="宋体" w:eastAsia="宋体" w:cs="仿宋_GB2312"/>
          <w:b/>
          <w:bCs/>
          <w:spacing w:val="6"/>
          <w:sz w:val="30"/>
          <w:szCs w:val="30"/>
        </w:rPr>
        <w:t>残疾人福利性单位声明函</w:t>
      </w:r>
    </w:p>
    <w:p w14:paraId="48140FC6">
      <w:pPr>
        <w:spacing w:line="588" w:lineRule="exact"/>
        <w:ind w:firstLine="624"/>
        <w:rPr>
          <w:rFonts w:ascii="宋体" w:hAnsi="宋体" w:eastAsia="宋体" w:cs="仿宋_GB2312"/>
          <w:b/>
          <w:spacing w:val="6"/>
          <w:sz w:val="30"/>
          <w:szCs w:val="30"/>
        </w:rPr>
      </w:pPr>
    </w:p>
    <w:p w14:paraId="666036F1">
      <w:pPr>
        <w:spacing w:line="360" w:lineRule="auto"/>
        <w:ind w:firstLine="444" w:firstLineChars="200"/>
        <w:rPr>
          <w:rFonts w:ascii="宋体" w:hAnsi="宋体" w:eastAsia="宋体" w:cs="仿宋_GB2312"/>
          <w:spacing w:val="6"/>
          <w:szCs w:val="21"/>
        </w:rPr>
      </w:pPr>
      <w:r>
        <w:rPr>
          <w:rFonts w:hint="eastAsia" w:ascii="宋体" w:hAnsi="宋体" w:eastAsia="宋体" w:cs="仿宋_GB2312"/>
          <w:spacing w:val="6"/>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仿宋_GB2312"/>
          <w:spacing w:val="6"/>
          <w:szCs w:val="21"/>
          <w:u w:val="single"/>
        </w:rPr>
        <w:t xml:space="preserve">             </w:t>
      </w:r>
      <w:r>
        <w:rPr>
          <w:rFonts w:hint="eastAsia" w:ascii="宋体" w:hAnsi="宋体" w:eastAsia="宋体" w:cs="仿宋_GB2312"/>
          <w:spacing w:val="6"/>
          <w:szCs w:val="21"/>
        </w:rPr>
        <w:t>单位的</w:t>
      </w:r>
      <w:r>
        <w:rPr>
          <w:rFonts w:hint="eastAsia" w:ascii="宋体" w:hAnsi="宋体" w:eastAsia="宋体" w:cs="仿宋_GB2312"/>
          <w:spacing w:val="6"/>
          <w:szCs w:val="21"/>
          <w:u w:val="single"/>
        </w:rPr>
        <w:t xml:space="preserve">             </w:t>
      </w:r>
      <w:r>
        <w:rPr>
          <w:rFonts w:hint="eastAsia" w:ascii="宋体" w:hAnsi="宋体" w:eastAsia="宋体" w:cs="仿宋_GB2312"/>
          <w:spacing w:val="6"/>
          <w:szCs w:val="21"/>
        </w:rPr>
        <w:t>项目采购活动提供本单位制造的货物（由本单位承担工程/提供服务），或者提供其他残</w:t>
      </w:r>
      <w:r>
        <w:rPr>
          <w:rFonts w:hint="eastAsia" w:ascii="宋体" w:hAnsi="宋体" w:eastAsia="宋体" w:cs="仿宋_GB2312"/>
          <w:spacing w:val="-6"/>
          <w:szCs w:val="21"/>
        </w:rPr>
        <w:t>疾人福利性单位制造的货物（不包括使用非残疾人福利性单位注册商标的货物）。</w:t>
      </w:r>
    </w:p>
    <w:p w14:paraId="322A381D">
      <w:pPr>
        <w:spacing w:line="360" w:lineRule="auto"/>
        <w:ind w:firstLine="444" w:firstLineChars="200"/>
        <w:rPr>
          <w:rFonts w:ascii="宋体" w:hAnsi="宋体" w:eastAsia="宋体" w:cs="仿宋_GB2312"/>
          <w:spacing w:val="6"/>
          <w:szCs w:val="21"/>
        </w:rPr>
      </w:pPr>
      <w:r>
        <w:rPr>
          <w:rFonts w:hint="eastAsia" w:ascii="宋体" w:hAnsi="宋体" w:eastAsia="宋体" w:cs="仿宋_GB2312"/>
          <w:spacing w:val="6"/>
          <w:szCs w:val="21"/>
        </w:rPr>
        <w:t>本单位对上述声明的真实性负责。如有虚假，将依法承担相应责任。</w:t>
      </w:r>
    </w:p>
    <w:p w14:paraId="445A69C5">
      <w:pPr>
        <w:spacing w:line="360" w:lineRule="auto"/>
        <w:ind w:firstLine="444" w:firstLineChars="200"/>
        <w:rPr>
          <w:rFonts w:ascii="宋体" w:hAnsi="宋体" w:eastAsia="宋体" w:cs="仿宋_GB2312"/>
          <w:spacing w:val="6"/>
          <w:szCs w:val="21"/>
        </w:rPr>
      </w:pPr>
    </w:p>
    <w:p w14:paraId="50905F7D">
      <w:pPr>
        <w:spacing w:line="360" w:lineRule="auto"/>
        <w:ind w:firstLine="444" w:firstLineChars="200"/>
        <w:rPr>
          <w:rFonts w:ascii="宋体" w:hAnsi="宋体" w:eastAsia="宋体" w:cs="仿宋_GB2312"/>
          <w:spacing w:val="6"/>
          <w:szCs w:val="21"/>
        </w:rPr>
      </w:pPr>
    </w:p>
    <w:p w14:paraId="7E092656">
      <w:pPr>
        <w:tabs>
          <w:tab w:val="left" w:pos="4860"/>
        </w:tabs>
        <w:spacing w:line="360" w:lineRule="auto"/>
        <w:ind w:right="1560" w:firstLine="444" w:firstLineChars="200"/>
        <w:contextualSpacing/>
        <w:jc w:val="center"/>
        <w:rPr>
          <w:rFonts w:ascii="宋体" w:hAnsi="宋体" w:eastAsia="宋体" w:cs="仿宋_GB2312"/>
          <w:spacing w:val="6"/>
          <w:szCs w:val="21"/>
        </w:rPr>
      </w:pPr>
      <w:r>
        <w:rPr>
          <w:rFonts w:hint="eastAsia" w:ascii="宋体" w:hAnsi="宋体" w:eastAsia="宋体" w:cs="仿宋_GB2312"/>
          <w:spacing w:val="6"/>
          <w:szCs w:val="21"/>
        </w:rPr>
        <w:t>单位名称（电子签章）：</w:t>
      </w:r>
    </w:p>
    <w:p w14:paraId="5EC591A0">
      <w:pPr>
        <w:tabs>
          <w:tab w:val="left" w:pos="4860"/>
        </w:tabs>
        <w:spacing w:line="360" w:lineRule="auto"/>
        <w:ind w:right="1560" w:firstLine="444" w:firstLineChars="200"/>
        <w:contextualSpacing/>
        <w:jc w:val="center"/>
        <w:rPr>
          <w:rFonts w:ascii="宋体" w:hAnsi="宋体" w:eastAsia="宋体" w:cs="仿宋_GB2312"/>
          <w:spacing w:val="6"/>
          <w:szCs w:val="21"/>
        </w:rPr>
      </w:pPr>
      <w:r>
        <w:rPr>
          <w:rFonts w:hint="eastAsia" w:ascii="宋体" w:hAnsi="宋体" w:eastAsia="宋体" w:cs="仿宋_GB2312"/>
          <w:spacing w:val="6"/>
          <w:szCs w:val="21"/>
        </w:rPr>
        <w:t>日  期：</w:t>
      </w:r>
    </w:p>
    <w:p w14:paraId="5EFA3ADF">
      <w:pPr>
        <w:spacing w:line="360" w:lineRule="auto"/>
        <w:rPr>
          <w:rFonts w:ascii="宋体" w:hAnsi="宋体" w:eastAsia="宋体" w:cs="仿宋_GB2312"/>
          <w:szCs w:val="21"/>
        </w:rPr>
      </w:pPr>
    </w:p>
    <w:p w14:paraId="24517411">
      <w:pPr>
        <w:spacing w:line="360" w:lineRule="auto"/>
        <w:rPr>
          <w:rFonts w:ascii="宋体" w:hAnsi="宋体" w:eastAsia="宋体" w:cs="仿宋_GB2312"/>
          <w:szCs w:val="21"/>
        </w:rPr>
      </w:pPr>
    </w:p>
    <w:p w14:paraId="2F3E5111">
      <w:pPr>
        <w:spacing w:line="360" w:lineRule="auto"/>
        <w:rPr>
          <w:rFonts w:ascii="宋体" w:hAnsi="宋体" w:eastAsia="宋体" w:cs="仿宋_GB2312"/>
          <w:szCs w:val="21"/>
        </w:rPr>
      </w:pPr>
    </w:p>
    <w:p w14:paraId="75228C47">
      <w:pPr>
        <w:spacing w:line="360" w:lineRule="auto"/>
        <w:rPr>
          <w:rFonts w:ascii="宋体" w:hAnsi="宋体" w:eastAsia="宋体" w:cs="仿宋_GB2312"/>
          <w:szCs w:val="21"/>
        </w:rPr>
      </w:pPr>
      <w:r>
        <w:rPr>
          <w:rFonts w:hint="eastAsia" w:ascii="宋体" w:hAnsi="宋体" w:eastAsia="宋体" w:cs="仿宋_GB2312"/>
          <w:szCs w:val="21"/>
        </w:rPr>
        <w:t>注：请根据自己的真实情况出具《残疾人福利性单位声明函》。依法享受中小企业优惠政策的，采购人或者采购代理机构在公告中标结果时，同时公告其《残疾人福利性单位声明函》，接受社会监督。</w:t>
      </w:r>
    </w:p>
    <w:p w14:paraId="433239E2">
      <w:pPr>
        <w:ind w:firstLine="3990" w:firstLineChars="1900"/>
        <w:rPr>
          <w:rFonts w:ascii="宋体" w:hAnsi="宋体" w:eastAsia="宋体" w:cs="仿宋_GB2312"/>
          <w:szCs w:val="21"/>
        </w:rPr>
      </w:pPr>
    </w:p>
    <w:p w14:paraId="1F1A0506">
      <w:pPr>
        <w:spacing w:line="360" w:lineRule="auto"/>
        <w:rPr>
          <w:rFonts w:ascii="宋体" w:hAnsi="宋体" w:eastAsia="宋体" w:cs="仿宋_GB2312"/>
          <w:szCs w:val="21"/>
        </w:rPr>
      </w:pPr>
    </w:p>
    <w:p w14:paraId="1E282BD9">
      <w:pPr>
        <w:rPr>
          <w:rFonts w:ascii="宋体" w:hAnsi="宋体" w:eastAsia="宋体" w:cs="仿宋_GB2312"/>
          <w:szCs w:val="21"/>
        </w:rPr>
      </w:pPr>
    </w:p>
    <w:p w14:paraId="2E52D3C6">
      <w:pPr>
        <w:spacing w:line="360" w:lineRule="auto"/>
        <w:rPr>
          <w:rFonts w:ascii="宋体" w:hAnsi="宋体" w:eastAsia="宋体" w:cs="仿宋_GB2312"/>
          <w:szCs w:val="24"/>
        </w:rPr>
      </w:pPr>
    </w:p>
    <w:p w14:paraId="1C30063C">
      <w:pPr>
        <w:spacing w:line="360" w:lineRule="auto"/>
        <w:rPr>
          <w:rFonts w:ascii="宋体" w:hAnsi="宋体" w:eastAsia="宋体" w:cs="仿宋_GB2312"/>
          <w:szCs w:val="24"/>
        </w:rPr>
      </w:pPr>
    </w:p>
    <w:p w14:paraId="5BED9950">
      <w:pPr>
        <w:ind w:firstLine="482"/>
        <w:rPr>
          <w:rFonts w:ascii="宋体" w:hAnsi="宋体" w:eastAsia="宋体" w:cs="仿宋_GB2312"/>
          <w:sz w:val="24"/>
          <w:szCs w:val="24"/>
        </w:rPr>
      </w:pPr>
    </w:p>
    <w:p w14:paraId="7728C6DC">
      <w:pPr>
        <w:keepNext/>
        <w:keepLines/>
        <w:spacing w:before="260" w:after="260" w:line="413" w:lineRule="auto"/>
        <w:ind w:firstLine="643" w:firstLineChars="200"/>
        <w:textAlignment w:val="center"/>
        <w:outlineLvl w:val="1"/>
        <w:rPr>
          <w:rFonts w:ascii="宋体" w:hAnsi="宋体" w:eastAsia="宋体" w:cs="仿宋_GB2312"/>
          <w:b/>
          <w:bCs/>
          <w:sz w:val="32"/>
          <w:szCs w:val="32"/>
        </w:rPr>
      </w:pPr>
      <w:r>
        <w:rPr>
          <w:rFonts w:hint="eastAsia" w:ascii="宋体" w:hAnsi="宋体" w:eastAsia="宋体" w:cs="仿宋_GB2312"/>
          <w:b/>
          <w:bCs/>
          <w:sz w:val="32"/>
          <w:szCs w:val="32"/>
        </w:rPr>
        <w:br w:type="page"/>
      </w:r>
      <w:bookmarkStart w:id="206" w:name="_Toc4631"/>
      <w:bookmarkStart w:id="207" w:name="_Toc560"/>
      <w:r>
        <w:rPr>
          <w:rFonts w:hint="eastAsia" w:ascii="宋体" w:hAnsi="宋体" w:eastAsia="宋体" w:cs="仿宋_GB2312"/>
          <w:b/>
          <w:bCs/>
          <w:sz w:val="32"/>
          <w:szCs w:val="32"/>
        </w:rPr>
        <w:t>二、资格证明文件格式</w:t>
      </w:r>
      <w:bookmarkEnd w:id="206"/>
      <w:bookmarkEnd w:id="207"/>
    </w:p>
    <w:p w14:paraId="6AAB9283">
      <w:pPr>
        <w:spacing w:line="360" w:lineRule="auto"/>
        <w:ind w:firstLine="600"/>
        <w:jc w:val="left"/>
        <w:outlineLvl w:val="2"/>
        <w:rPr>
          <w:rFonts w:ascii="宋体" w:hAnsi="宋体"/>
          <w:b/>
          <w:sz w:val="30"/>
        </w:rPr>
      </w:pPr>
      <w:r>
        <w:rPr>
          <w:rFonts w:hint="eastAsia" w:ascii="宋体" w:hAnsi="宋体"/>
          <w:b/>
          <w:sz w:val="30"/>
        </w:rPr>
        <w:t>1.资格证明文件封面格式：</w:t>
      </w:r>
    </w:p>
    <w:p w14:paraId="5DBA9D62">
      <w:pPr>
        <w:snapToGrid w:val="0"/>
        <w:spacing w:before="156" w:beforeLines="50" w:after="50"/>
        <w:ind w:firstLine="964"/>
        <w:jc w:val="center"/>
        <w:rPr>
          <w:rFonts w:ascii="宋体" w:hAnsi="宋体" w:eastAsia="宋体" w:cs="仿宋_GB2312"/>
          <w:bCs/>
          <w:sz w:val="48"/>
          <w:szCs w:val="48"/>
        </w:rPr>
      </w:pPr>
    </w:p>
    <w:p w14:paraId="2069FCEF">
      <w:pPr>
        <w:snapToGrid w:val="0"/>
        <w:spacing w:before="156" w:beforeLines="50" w:after="50"/>
        <w:ind w:firstLine="964"/>
        <w:jc w:val="center"/>
        <w:rPr>
          <w:rFonts w:ascii="宋体" w:hAnsi="宋体" w:eastAsia="宋体" w:cs="仿宋_GB2312"/>
          <w:bCs/>
          <w:sz w:val="48"/>
          <w:szCs w:val="48"/>
        </w:rPr>
      </w:pPr>
    </w:p>
    <w:p w14:paraId="526A6114">
      <w:pPr>
        <w:snapToGrid w:val="0"/>
        <w:spacing w:before="156" w:beforeLines="50" w:after="50"/>
        <w:ind w:firstLine="964"/>
        <w:jc w:val="center"/>
        <w:rPr>
          <w:rFonts w:ascii="宋体" w:hAnsi="宋体" w:eastAsia="宋体" w:cs="仿宋_GB2312"/>
          <w:bCs/>
          <w:sz w:val="48"/>
          <w:szCs w:val="48"/>
        </w:rPr>
      </w:pPr>
      <w:r>
        <w:rPr>
          <w:rFonts w:hint="eastAsia" w:ascii="宋体" w:hAnsi="宋体" w:eastAsia="宋体" w:cs="仿宋_GB2312"/>
          <w:bCs/>
          <w:sz w:val="48"/>
          <w:szCs w:val="48"/>
        </w:rPr>
        <w:t>电子投标文件</w:t>
      </w:r>
    </w:p>
    <w:p w14:paraId="5526261C">
      <w:pPr>
        <w:snapToGrid w:val="0"/>
        <w:spacing w:before="156" w:beforeLines="50" w:after="50"/>
        <w:ind w:firstLine="482"/>
        <w:rPr>
          <w:rFonts w:ascii="宋体" w:hAnsi="宋体" w:eastAsia="宋体" w:cs="仿宋_GB2312"/>
          <w:sz w:val="24"/>
          <w:szCs w:val="20"/>
        </w:rPr>
      </w:pPr>
      <w:r>
        <w:rPr>
          <w:rFonts w:hint="eastAsia" w:ascii="宋体" w:hAnsi="宋体" w:eastAsia="宋体" w:cs="仿宋_GB2312"/>
          <w:sz w:val="24"/>
          <w:szCs w:val="24"/>
        </w:rPr>
        <w:t xml:space="preserve">                 </w:t>
      </w:r>
    </w:p>
    <w:p w14:paraId="190427E2">
      <w:pPr>
        <w:snapToGrid w:val="0"/>
        <w:spacing w:before="156" w:beforeLines="50" w:after="50"/>
        <w:ind w:firstLine="640"/>
        <w:jc w:val="center"/>
        <w:rPr>
          <w:rFonts w:ascii="宋体" w:hAnsi="宋体" w:eastAsia="宋体" w:cs="仿宋_GB2312"/>
          <w:b/>
          <w:sz w:val="24"/>
          <w:szCs w:val="20"/>
        </w:rPr>
      </w:pPr>
      <w:r>
        <w:rPr>
          <w:rFonts w:hint="eastAsia" w:ascii="宋体" w:hAnsi="宋体" w:eastAsia="宋体" w:cs="仿宋_GB2312"/>
          <w:b/>
          <w:sz w:val="32"/>
          <w:szCs w:val="32"/>
        </w:rPr>
        <w:t>资格证明文件</w:t>
      </w:r>
    </w:p>
    <w:p w14:paraId="5E9AB59A">
      <w:pPr>
        <w:snapToGrid w:val="0"/>
        <w:spacing w:before="156" w:beforeLines="50" w:after="50"/>
        <w:ind w:firstLine="482"/>
        <w:rPr>
          <w:rFonts w:ascii="宋体" w:hAnsi="宋体" w:eastAsia="宋体" w:cs="仿宋_GB2312"/>
          <w:bCs/>
          <w:sz w:val="24"/>
          <w:szCs w:val="20"/>
        </w:rPr>
      </w:pPr>
    </w:p>
    <w:p w14:paraId="513FD9E2">
      <w:pPr>
        <w:snapToGrid w:val="0"/>
        <w:spacing w:before="156" w:beforeLines="50" w:after="50"/>
        <w:ind w:firstLine="482"/>
        <w:rPr>
          <w:rFonts w:ascii="宋体" w:hAnsi="宋体" w:eastAsia="宋体" w:cs="仿宋_GB2312"/>
          <w:bCs/>
          <w:sz w:val="24"/>
          <w:szCs w:val="20"/>
        </w:rPr>
      </w:pPr>
    </w:p>
    <w:p w14:paraId="0FBF1E5A">
      <w:pPr>
        <w:snapToGrid w:val="0"/>
        <w:spacing w:before="156" w:beforeLines="50" w:after="50"/>
        <w:ind w:firstLine="482"/>
        <w:rPr>
          <w:rFonts w:ascii="宋体" w:hAnsi="宋体" w:eastAsia="宋体" w:cs="仿宋_GB2312"/>
          <w:bCs/>
          <w:sz w:val="24"/>
          <w:szCs w:val="20"/>
        </w:rPr>
      </w:pPr>
    </w:p>
    <w:p w14:paraId="42ADE8A1">
      <w:pPr>
        <w:snapToGrid w:val="0"/>
        <w:spacing w:before="156" w:beforeLines="50" w:after="50"/>
        <w:ind w:firstLine="482"/>
        <w:rPr>
          <w:rFonts w:ascii="宋体" w:hAnsi="宋体" w:eastAsia="宋体" w:cs="仿宋_GB2312"/>
          <w:bCs/>
          <w:sz w:val="24"/>
          <w:szCs w:val="20"/>
        </w:rPr>
      </w:pPr>
    </w:p>
    <w:p w14:paraId="17514B24">
      <w:pPr>
        <w:snapToGrid w:val="0"/>
        <w:spacing w:before="156" w:beforeLines="50" w:after="50"/>
        <w:ind w:firstLine="482"/>
        <w:rPr>
          <w:rFonts w:ascii="宋体" w:hAnsi="宋体" w:eastAsia="宋体" w:cs="仿宋_GB2312"/>
          <w:bCs/>
          <w:sz w:val="24"/>
          <w:szCs w:val="20"/>
        </w:rPr>
      </w:pPr>
    </w:p>
    <w:p w14:paraId="1CE3F926">
      <w:pPr>
        <w:snapToGrid w:val="0"/>
        <w:spacing w:before="156" w:beforeLines="50" w:after="50"/>
        <w:ind w:firstLine="482"/>
        <w:rPr>
          <w:rFonts w:ascii="宋体" w:hAnsi="宋体" w:eastAsia="宋体" w:cs="仿宋_GB2312"/>
          <w:bCs/>
          <w:sz w:val="24"/>
          <w:szCs w:val="20"/>
        </w:rPr>
      </w:pPr>
    </w:p>
    <w:p w14:paraId="38C4305C">
      <w:pPr>
        <w:snapToGrid w:val="0"/>
        <w:spacing w:before="156" w:beforeLines="50" w:after="50"/>
        <w:ind w:firstLine="482"/>
        <w:rPr>
          <w:rFonts w:ascii="宋体" w:hAnsi="宋体" w:eastAsia="宋体" w:cs="仿宋_GB2312"/>
          <w:bCs/>
          <w:sz w:val="24"/>
          <w:szCs w:val="20"/>
        </w:rPr>
      </w:pPr>
    </w:p>
    <w:p w14:paraId="7F90941F">
      <w:pPr>
        <w:snapToGrid w:val="0"/>
        <w:spacing w:before="156" w:beforeLines="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项目名称：</w:t>
      </w:r>
    </w:p>
    <w:p w14:paraId="79175D1E">
      <w:pPr>
        <w:snapToGrid w:val="0"/>
        <w:spacing w:before="156" w:beforeLines="50" w:after="50"/>
        <w:ind w:firstLine="540" w:firstLineChars="225"/>
        <w:rPr>
          <w:rFonts w:ascii="宋体" w:hAnsi="宋体" w:eastAsia="宋体" w:cs="仿宋_GB2312"/>
          <w:bCs/>
          <w:sz w:val="24"/>
          <w:szCs w:val="20"/>
        </w:rPr>
      </w:pPr>
    </w:p>
    <w:p w14:paraId="598BBBAB">
      <w:pPr>
        <w:snapToGrid w:val="0"/>
        <w:spacing w:before="156" w:beforeLines="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项目编号：</w:t>
      </w:r>
    </w:p>
    <w:p w14:paraId="6AF599A7">
      <w:pPr>
        <w:snapToGrid w:val="0"/>
        <w:spacing w:before="156" w:beforeLines="50" w:after="50"/>
        <w:ind w:firstLine="540" w:firstLineChars="225"/>
        <w:rPr>
          <w:rFonts w:ascii="宋体" w:hAnsi="宋体" w:eastAsia="宋体" w:cs="仿宋_GB2312"/>
          <w:bCs/>
          <w:sz w:val="24"/>
          <w:szCs w:val="20"/>
        </w:rPr>
      </w:pPr>
    </w:p>
    <w:p w14:paraId="7733B911">
      <w:pPr>
        <w:snapToGrid w:val="0"/>
        <w:spacing w:before="156" w:beforeLines="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所投分标：</w:t>
      </w:r>
    </w:p>
    <w:p w14:paraId="62CB6744">
      <w:pPr>
        <w:snapToGrid w:val="0"/>
        <w:spacing w:before="50" w:after="50"/>
        <w:ind w:firstLine="540" w:firstLineChars="225"/>
        <w:rPr>
          <w:rFonts w:ascii="宋体" w:hAnsi="宋体" w:eastAsia="宋体" w:cs="仿宋_GB2312"/>
          <w:bCs/>
          <w:sz w:val="24"/>
          <w:szCs w:val="24"/>
        </w:rPr>
      </w:pPr>
    </w:p>
    <w:p w14:paraId="45762D74">
      <w:pPr>
        <w:snapToGrid w:val="0"/>
        <w:spacing w:before="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投标人名称：</w:t>
      </w:r>
    </w:p>
    <w:p w14:paraId="7B5A220A">
      <w:pPr>
        <w:snapToGrid w:val="0"/>
        <w:spacing w:before="50" w:after="50"/>
        <w:ind w:firstLine="540" w:firstLineChars="225"/>
        <w:rPr>
          <w:rFonts w:ascii="宋体" w:hAnsi="宋体" w:eastAsia="宋体" w:cs="仿宋_GB2312"/>
          <w:bCs/>
          <w:sz w:val="24"/>
          <w:szCs w:val="24"/>
        </w:rPr>
      </w:pPr>
    </w:p>
    <w:p w14:paraId="2EF0B674">
      <w:pPr>
        <w:snapToGrid w:val="0"/>
        <w:spacing w:before="50" w:after="50"/>
        <w:ind w:firstLine="960" w:firstLineChars="400"/>
        <w:rPr>
          <w:rFonts w:ascii="宋体" w:hAnsi="宋体" w:eastAsia="宋体" w:cs="仿宋_GB2312"/>
          <w:bCs/>
          <w:sz w:val="24"/>
          <w:szCs w:val="24"/>
        </w:rPr>
      </w:pPr>
    </w:p>
    <w:p w14:paraId="0F89DB7B">
      <w:pPr>
        <w:snapToGrid w:val="0"/>
        <w:spacing w:before="156" w:beforeLines="50" w:after="50"/>
        <w:ind w:firstLine="482"/>
        <w:jc w:val="center"/>
        <w:rPr>
          <w:rFonts w:ascii="宋体" w:hAnsi="宋体" w:eastAsia="宋体" w:cs="仿宋_GB2312"/>
          <w:sz w:val="24"/>
          <w:szCs w:val="24"/>
        </w:rPr>
      </w:pPr>
      <w:r>
        <w:rPr>
          <w:rFonts w:hint="eastAsia" w:ascii="宋体" w:hAnsi="宋体" w:eastAsia="宋体" w:cs="仿宋_GB2312"/>
          <w:sz w:val="24"/>
          <w:szCs w:val="24"/>
        </w:rPr>
        <w:t>年  月  日</w:t>
      </w:r>
    </w:p>
    <w:p w14:paraId="6E92319C">
      <w:pPr>
        <w:snapToGrid w:val="0"/>
        <w:spacing w:before="156" w:beforeLines="50" w:after="50"/>
        <w:ind w:firstLine="482"/>
        <w:rPr>
          <w:rFonts w:ascii="宋体" w:hAnsi="宋体" w:eastAsia="宋体" w:cs="仿宋_GB2312"/>
          <w:sz w:val="24"/>
          <w:szCs w:val="20"/>
        </w:rPr>
      </w:pPr>
      <w:r>
        <w:rPr>
          <w:rFonts w:hint="eastAsia" w:ascii="宋体" w:hAnsi="宋体" w:eastAsia="宋体" w:cs="仿宋_GB2312"/>
          <w:sz w:val="24"/>
          <w:szCs w:val="20"/>
        </w:rPr>
        <w:t xml:space="preserve"> </w:t>
      </w:r>
    </w:p>
    <w:p w14:paraId="40E0AE9A">
      <w:pPr>
        <w:snapToGrid w:val="0"/>
        <w:spacing w:before="156" w:beforeLines="50" w:after="50"/>
        <w:ind w:firstLine="482"/>
        <w:rPr>
          <w:rFonts w:ascii="宋体" w:hAnsi="宋体" w:eastAsia="宋体" w:cs="仿宋_GB2312"/>
          <w:sz w:val="24"/>
          <w:szCs w:val="20"/>
        </w:rPr>
      </w:pPr>
    </w:p>
    <w:p w14:paraId="6565C376">
      <w:pPr>
        <w:spacing w:line="360" w:lineRule="auto"/>
        <w:ind w:firstLine="480"/>
        <w:jc w:val="left"/>
        <w:outlineLvl w:val="2"/>
        <w:rPr>
          <w:rFonts w:ascii="宋体" w:hAnsi="宋体" w:eastAsia="宋体" w:cs="仿宋_GB2312"/>
          <w:sz w:val="24"/>
          <w:szCs w:val="20"/>
        </w:rPr>
      </w:pPr>
      <w:r>
        <w:rPr>
          <w:rFonts w:hint="eastAsia" w:ascii="宋体" w:hAnsi="宋体" w:eastAsia="宋体" w:cs="仿宋_GB2312"/>
          <w:b/>
          <w:bCs/>
          <w:sz w:val="24"/>
          <w:szCs w:val="24"/>
        </w:rPr>
        <w:br w:type="page"/>
      </w:r>
      <w:r>
        <w:rPr>
          <w:rFonts w:hint="eastAsia" w:ascii="宋体" w:hAnsi="宋体"/>
          <w:b/>
          <w:sz w:val="30"/>
        </w:rPr>
        <w:t>2.资格证明文件目录</w:t>
      </w:r>
    </w:p>
    <w:p w14:paraId="44980434">
      <w:pPr>
        <w:snapToGrid w:val="0"/>
        <w:spacing w:line="360" w:lineRule="auto"/>
        <w:ind w:firstLine="420" w:firstLineChars="200"/>
        <w:jc w:val="left"/>
        <w:rPr>
          <w:rFonts w:ascii="宋体" w:hAnsi="宋体" w:eastAsia="宋体" w:cs="仿宋_GB2312"/>
          <w:szCs w:val="21"/>
        </w:rPr>
      </w:pPr>
      <w:r>
        <w:rPr>
          <w:rFonts w:hint="eastAsia" w:ascii="宋体" w:hAnsi="宋体" w:eastAsia="宋体" w:cs="仿宋_GB2312"/>
          <w:szCs w:val="21"/>
        </w:rPr>
        <w:t>根据招标文件规定及投标人提供的材料自行编写目录。</w:t>
      </w:r>
    </w:p>
    <w:p w14:paraId="332200DD">
      <w:pPr>
        <w:snapToGrid w:val="0"/>
        <w:spacing w:before="50" w:after="156" w:afterLines="50"/>
        <w:ind w:firstLine="482"/>
        <w:jc w:val="left"/>
        <w:rPr>
          <w:rFonts w:ascii="宋体" w:hAnsi="宋体" w:eastAsia="宋体" w:cs="仿宋_GB2312"/>
          <w:sz w:val="24"/>
          <w:szCs w:val="24"/>
        </w:rPr>
      </w:pPr>
    </w:p>
    <w:p w14:paraId="07030442">
      <w:pPr>
        <w:snapToGrid w:val="0"/>
        <w:spacing w:before="50" w:after="156" w:afterLines="50"/>
        <w:ind w:firstLine="482"/>
        <w:jc w:val="left"/>
        <w:rPr>
          <w:rFonts w:ascii="宋体" w:hAnsi="宋体" w:eastAsia="宋体" w:cs="仿宋_GB2312"/>
          <w:sz w:val="24"/>
          <w:szCs w:val="24"/>
        </w:rPr>
      </w:pPr>
    </w:p>
    <w:p w14:paraId="15E47850">
      <w:pPr>
        <w:widowControl/>
        <w:ind w:firstLine="480"/>
        <w:jc w:val="left"/>
        <w:rPr>
          <w:rFonts w:ascii="宋体" w:hAnsi="宋体" w:eastAsia="宋体" w:cs="仿宋_GB2312"/>
          <w:b/>
          <w:sz w:val="24"/>
          <w:szCs w:val="24"/>
        </w:rPr>
      </w:pPr>
      <w:r>
        <w:rPr>
          <w:rFonts w:hint="eastAsia" w:ascii="宋体" w:hAnsi="宋体" w:eastAsia="宋体" w:cs="仿宋_GB2312"/>
          <w:b/>
          <w:sz w:val="24"/>
          <w:szCs w:val="24"/>
        </w:rPr>
        <w:br w:type="page"/>
      </w:r>
    </w:p>
    <w:p w14:paraId="5F47DF43">
      <w:pPr>
        <w:spacing w:line="360" w:lineRule="auto"/>
        <w:ind w:firstLine="600"/>
        <w:jc w:val="left"/>
        <w:outlineLvl w:val="2"/>
        <w:rPr>
          <w:rFonts w:ascii="宋体" w:hAnsi="宋体"/>
          <w:b/>
          <w:sz w:val="30"/>
        </w:rPr>
      </w:pPr>
      <w:r>
        <w:rPr>
          <w:rFonts w:hint="eastAsia" w:ascii="宋体" w:hAnsi="宋体"/>
          <w:b/>
          <w:sz w:val="30"/>
        </w:rPr>
        <w:t>3.投标人为法人或者其他组织的，提供营业执照等证明文件（如营业执照或者事业单位法人证书或者执业许可证或者登记证书等），投标人为自然人的，提供身份证复印件；</w:t>
      </w:r>
    </w:p>
    <w:p w14:paraId="17614AF4">
      <w:pPr>
        <w:widowControl/>
        <w:ind w:firstLine="600"/>
        <w:jc w:val="left"/>
        <w:rPr>
          <w:rFonts w:ascii="宋体" w:hAnsi="宋体"/>
          <w:b/>
          <w:sz w:val="30"/>
        </w:rPr>
      </w:pPr>
    </w:p>
    <w:p w14:paraId="377FF050">
      <w:pPr>
        <w:widowControl/>
        <w:ind w:firstLine="600"/>
        <w:jc w:val="left"/>
        <w:rPr>
          <w:rFonts w:ascii="宋体" w:hAnsi="宋体"/>
          <w:b/>
          <w:sz w:val="30"/>
        </w:rPr>
      </w:pPr>
      <w:r>
        <w:rPr>
          <w:rFonts w:ascii="宋体" w:hAnsi="宋体"/>
          <w:b/>
          <w:sz w:val="30"/>
        </w:rPr>
        <w:br w:type="page"/>
      </w:r>
    </w:p>
    <w:p w14:paraId="78AD1F34">
      <w:pPr>
        <w:spacing w:line="360" w:lineRule="auto"/>
        <w:ind w:firstLine="600"/>
        <w:jc w:val="left"/>
        <w:outlineLvl w:val="2"/>
        <w:rPr>
          <w:rFonts w:ascii="宋体" w:hAnsi="宋体"/>
          <w:b/>
          <w:sz w:val="30"/>
        </w:rPr>
      </w:pPr>
      <w:r>
        <w:rPr>
          <w:rFonts w:hint="eastAsia" w:ascii="宋体" w:hAnsi="宋体"/>
          <w:b/>
          <w:sz w:val="30"/>
        </w:rPr>
        <w:t>4.投标人依法缴纳税收的相关材料[2025年8月至2025年10月内任意1个月的依法缴纳税收的证明材料的凭据复印件；依法免税的投标人，必须提供相应文件证明其依法免税。投标人成立不足1个月的，无需提供依法缴纳税收相应证明文件]；</w:t>
      </w:r>
    </w:p>
    <w:p w14:paraId="61824EC5">
      <w:pPr>
        <w:widowControl/>
        <w:ind w:firstLine="600"/>
        <w:jc w:val="left"/>
        <w:rPr>
          <w:rFonts w:ascii="宋体" w:hAnsi="宋体"/>
          <w:b/>
          <w:sz w:val="30"/>
        </w:rPr>
      </w:pPr>
    </w:p>
    <w:p w14:paraId="2931818C">
      <w:pPr>
        <w:widowControl/>
        <w:ind w:firstLine="600"/>
        <w:jc w:val="left"/>
        <w:rPr>
          <w:rFonts w:ascii="宋体" w:hAnsi="宋体"/>
          <w:b/>
          <w:sz w:val="30"/>
        </w:rPr>
      </w:pPr>
      <w:r>
        <w:rPr>
          <w:rFonts w:ascii="宋体" w:hAnsi="宋体"/>
          <w:b/>
          <w:sz w:val="30"/>
        </w:rPr>
        <w:br w:type="page"/>
      </w:r>
    </w:p>
    <w:p w14:paraId="74121F63">
      <w:pPr>
        <w:spacing w:line="360" w:lineRule="auto"/>
        <w:ind w:firstLine="600"/>
        <w:jc w:val="left"/>
        <w:outlineLvl w:val="2"/>
        <w:rPr>
          <w:rFonts w:ascii="宋体" w:hAnsi="宋体"/>
          <w:b/>
          <w:sz w:val="30"/>
        </w:rPr>
      </w:pPr>
      <w:r>
        <w:rPr>
          <w:rFonts w:hint="eastAsia" w:ascii="宋体" w:hAnsi="宋体"/>
          <w:b/>
          <w:sz w:val="30"/>
        </w:rPr>
        <w:t>5.投标人依法缴纳社会保障资金的相关材料[2025年8月至2025年10月内任意1个月的依法缴纳社会保障资金的缴费凭证（专用收据或者社会保险缴纳清单或者社保部门的证明）复印件；依法不需要缴纳社会保障资金的投标人，必须提供相应文件证明不需要缴纳社会保障资金。投标人成立不足1个月的，无需提供依法缴纳社会保障资金的相应证明文件]；</w:t>
      </w:r>
    </w:p>
    <w:p w14:paraId="01EFA898">
      <w:pPr>
        <w:widowControl/>
        <w:ind w:firstLine="600"/>
        <w:jc w:val="left"/>
        <w:rPr>
          <w:rFonts w:ascii="宋体" w:hAnsi="宋体"/>
          <w:b/>
          <w:sz w:val="30"/>
        </w:rPr>
      </w:pPr>
    </w:p>
    <w:p w14:paraId="0F4B7338">
      <w:pPr>
        <w:widowControl/>
        <w:ind w:firstLine="600"/>
        <w:jc w:val="left"/>
        <w:rPr>
          <w:rFonts w:ascii="宋体" w:hAnsi="宋体"/>
          <w:b/>
          <w:sz w:val="30"/>
        </w:rPr>
      </w:pPr>
      <w:r>
        <w:rPr>
          <w:rFonts w:ascii="宋体" w:hAnsi="宋体"/>
          <w:b/>
          <w:sz w:val="30"/>
        </w:rPr>
        <w:br w:type="page"/>
      </w:r>
    </w:p>
    <w:p w14:paraId="058BB32C">
      <w:pPr>
        <w:widowControl/>
        <w:ind w:firstLine="600"/>
        <w:jc w:val="left"/>
        <w:rPr>
          <w:rFonts w:ascii="宋体" w:hAnsi="宋体"/>
          <w:b/>
          <w:sz w:val="30"/>
        </w:rPr>
      </w:pPr>
      <w:r>
        <w:rPr>
          <w:rFonts w:hint="eastAsia" w:ascii="宋体" w:hAnsi="宋体"/>
          <w:b/>
          <w:sz w:val="30"/>
        </w:rPr>
        <w:t>四、投标人财务状况报告[2024年度财务报表复印件，或者银行出具的资信证明，或者中国人民银行征信中心出具的信用报告（企业投标的提供企业信用报告，自然人投标的提供个人信用报告，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ascii="宋体" w:hAnsi="宋体"/>
          <w:b/>
          <w:sz w:val="30"/>
        </w:rPr>
        <w:t xml:space="preserve"> </w:t>
      </w:r>
    </w:p>
    <w:p w14:paraId="4E1FB134">
      <w:pPr>
        <w:widowControl/>
        <w:ind w:firstLine="600"/>
        <w:jc w:val="left"/>
        <w:rPr>
          <w:rFonts w:ascii="宋体" w:hAnsi="宋体"/>
          <w:b/>
          <w:sz w:val="30"/>
        </w:rPr>
      </w:pPr>
      <w:r>
        <w:rPr>
          <w:rFonts w:ascii="宋体" w:hAnsi="宋体"/>
          <w:b/>
          <w:sz w:val="30"/>
        </w:rPr>
        <w:br w:type="page"/>
      </w:r>
    </w:p>
    <w:p w14:paraId="0CB00667">
      <w:pPr>
        <w:spacing w:line="360" w:lineRule="auto"/>
        <w:ind w:firstLine="600"/>
        <w:jc w:val="left"/>
        <w:outlineLvl w:val="2"/>
        <w:rPr>
          <w:rFonts w:ascii="宋体" w:hAnsi="宋体"/>
          <w:b/>
          <w:sz w:val="30"/>
        </w:rPr>
      </w:pPr>
      <w:r>
        <w:rPr>
          <w:rFonts w:hint="eastAsia" w:ascii="宋体" w:hAnsi="宋体"/>
          <w:b/>
          <w:sz w:val="30"/>
        </w:rPr>
        <w:t>6.投标人直接控股股东信息表</w:t>
      </w:r>
    </w:p>
    <w:p w14:paraId="7B54C0B7">
      <w:pPr>
        <w:snapToGrid w:val="0"/>
        <w:spacing w:before="50" w:after="156" w:afterLines="50"/>
        <w:ind w:firstLine="560"/>
        <w:jc w:val="center"/>
        <w:rPr>
          <w:rFonts w:ascii="宋体" w:hAnsi="宋体" w:eastAsia="宋体" w:cs="Times New Roman"/>
          <w:b/>
          <w:sz w:val="28"/>
          <w:szCs w:val="28"/>
        </w:rPr>
      </w:pPr>
    </w:p>
    <w:p w14:paraId="4F9AB58D">
      <w:pPr>
        <w:snapToGrid w:val="0"/>
        <w:spacing w:before="50" w:after="156" w:afterLines="50" w:line="360" w:lineRule="auto"/>
        <w:ind w:firstLine="640"/>
        <w:jc w:val="center"/>
        <w:rPr>
          <w:rFonts w:ascii="宋体" w:hAnsi="宋体" w:eastAsia="宋体" w:cs="Times New Roman"/>
          <w:b/>
          <w:sz w:val="32"/>
          <w:szCs w:val="32"/>
        </w:rPr>
      </w:pPr>
      <w:r>
        <w:rPr>
          <w:rFonts w:hint="eastAsia" w:ascii="宋体" w:hAnsi="宋体" w:eastAsia="宋体" w:cs="Times New Roman"/>
          <w:b/>
          <w:sz w:val="32"/>
          <w:szCs w:val="32"/>
        </w:rPr>
        <w:t>投标人直接控股股东信息表</w:t>
      </w:r>
    </w:p>
    <w:tbl>
      <w:tblPr>
        <w:tblStyle w:val="53"/>
        <w:tblW w:w="0" w:type="auto"/>
        <w:tblInd w:w="0" w:type="dxa"/>
        <w:shd w:val="clear" w:color="auto" w:fill="FBFBFB"/>
        <w:tblLayout w:type="fixed"/>
        <w:tblCellMar>
          <w:top w:w="0" w:type="dxa"/>
          <w:left w:w="0" w:type="dxa"/>
          <w:bottom w:w="0" w:type="dxa"/>
          <w:right w:w="0" w:type="dxa"/>
        </w:tblCellMar>
      </w:tblPr>
      <w:tblGrid>
        <w:gridCol w:w="828"/>
        <w:gridCol w:w="2271"/>
        <w:gridCol w:w="1900"/>
        <w:gridCol w:w="3059"/>
        <w:gridCol w:w="972"/>
      </w:tblGrid>
      <w:tr w14:paraId="45E6425C">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1E84E39">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227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54E8425">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直接控股股东名称</w:t>
            </w:r>
          </w:p>
        </w:tc>
        <w:tc>
          <w:tcPr>
            <w:tcW w:w="19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2051F1">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出资比例(%)</w:t>
            </w:r>
          </w:p>
        </w:tc>
        <w:tc>
          <w:tcPr>
            <w:tcW w:w="30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6AE9387">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身份证号码或者统一社会信用代码</w:t>
            </w:r>
          </w:p>
        </w:tc>
        <w:tc>
          <w:tcPr>
            <w:tcW w:w="97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0EB196">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备注</w:t>
            </w:r>
          </w:p>
        </w:tc>
      </w:tr>
      <w:tr w14:paraId="35CD8E9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297CDA">
            <w:pPr>
              <w:spacing w:line="360" w:lineRule="auto"/>
              <w:ind w:firstLine="0"/>
              <w:rPr>
                <w:rFonts w:ascii="宋体" w:hAnsi="宋体" w:eastAsia="宋体" w:cs="宋体"/>
                <w:kern w:val="0"/>
                <w:sz w:val="24"/>
                <w:szCs w:val="24"/>
              </w:rPr>
            </w:pPr>
            <w:r>
              <w:rPr>
                <w:rFonts w:hint="eastAsia" w:ascii="宋体" w:hAnsi="宋体" w:eastAsia="宋体" w:cs="宋体"/>
                <w:kern w:val="0"/>
                <w:sz w:val="24"/>
                <w:szCs w:val="24"/>
              </w:rPr>
              <w:t>1</w:t>
            </w:r>
          </w:p>
        </w:tc>
        <w:tc>
          <w:tcPr>
            <w:tcW w:w="227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06F3FA">
            <w:pPr>
              <w:spacing w:line="360" w:lineRule="auto"/>
              <w:ind w:firstLine="0"/>
              <w:jc w:val="center"/>
              <w:rPr>
                <w:rFonts w:ascii="宋体" w:hAnsi="宋体" w:eastAsia="宋体" w:cs="宋体"/>
                <w:kern w:val="0"/>
                <w:sz w:val="24"/>
                <w:szCs w:val="24"/>
              </w:rPr>
            </w:pPr>
          </w:p>
        </w:tc>
        <w:tc>
          <w:tcPr>
            <w:tcW w:w="19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A8A059">
            <w:pPr>
              <w:spacing w:line="360" w:lineRule="auto"/>
              <w:ind w:firstLine="0"/>
              <w:jc w:val="center"/>
              <w:rPr>
                <w:rFonts w:ascii="宋体" w:hAnsi="宋体" w:eastAsia="宋体" w:cs="宋体"/>
                <w:kern w:val="0"/>
                <w:sz w:val="24"/>
                <w:szCs w:val="24"/>
              </w:rPr>
            </w:pPr>
          </w:p>
        </w:tc>
        <w:tc>
          <w:tcPr>
            <w:tcW w:w="30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346543">
            <w:pPr>
              <w:spacing w:line="360" w:lineRule="auto"/>
              <w:ind w:firstLine="0"/>
              <w:jc w:val="center"/>
              <w:rPr>
                <w:rFonts w:ascii="宋体" w:hAnsi="宋体" w:eastAsia="宋体" w:cs="宋体"/>
                <w:kern w:val="0"/>
                <w:sz w:val="24"/>
                <w:szCs w:val="24"/>
              </w:rPr>
            </w:pPr>
          </w:p>
        </w:tc>
        <w:tc>
          <w:tcPr>
            <w:tcW w:w="9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676E42">
            <w:pPr>
              <w:spacing w:line="360" w:lineRule="auto"/>
              <w:ind w:firstLine="0"/>
              <w:jc w:val="center"/>
              <w:rPr>
                <w:rFonts w:ascii="宋体" w:hAnsi="宋体" w:eastAsia="宋体" w:cs="宋体"/>
                <w:kern w:val="0"/>
                <w:sz w:val="24"/>
                <w:szCs w:val="24"/>
              </w:rPr>
            </w:pPr>
          </w:p>
        </w:tc>
      </w:tr>
      <w:tr w14:paraId="2DFD35D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259D74">
            <w:pPr>
              <w:spacing w:line="360" w:lineRule="auto"/>
              <w:ind w:firstLine="0"/>
              <w:rPr>
                <w:rFonts w:ascii="宋体" w:hAnsi="宋体" w:eastAsia="宋体" w:cs="宋体"/>
                <w:kern w:val="0"/>
                <w:sz w:val="24"/>
                <w:szCs w:val="24"/>
              </w:rPr>
            </w:pPr>
            <w:r>
              <w:rPr>
                <w:rFonts w:hint="eastAsia" w:ascii="宋体" w:hAnsi="宋体" w:eastAsia="宋体" w:cs="宋体"/>
                <w:kern w:val="0"/>
                <w:sz w:val="24"/>
                <w:szCs w:val="24"/>
              </w:rPr>
              <w:t>2</w:t>
            </w:r>
          </w:p>
        </w:tc>
        <w:tc>
          <w:tcPr>
            <w:tcW w:w="227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7F2CC6">
            <w:pPr>
              <w:spacing w:line="360" w:lineRule="auto"/>
              <w:ind w:firstLine="0"/>
              <w:jc w:val="center"/>
              <w:rPr>
                <w:rFonts w:ascii="宋体" w:hAnsi="宋体" w:eastAsia="宋体" w:cs="宋体"/>
                <w:kern w:val="0"/>
                <w:sz w:val="24"/>
                <w:szCs w:val="24"/>
              </w:rPr>
            </w:pPr>
          </w:p>
        </w:tc>
        <w:tc>
          <w:tcPr>
            <w:tcW w:w="19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BAA475">
            <w:pPr>
              <w:spacing w:line="360" w:lineRule="auto"/>
              <w:ind w:firstLine="0"/>
              <w:jc w:val="center"/>
              <w:rPr>
                <w:rFonts w:ascii="宋体" w:hAnsi="宋体" w:eastAsia="宋体" w:cs="宋体"/>
                <w:kern w:val="0"/>
                <w:sz w:val="24"/>
                <w:szCs w:val="24"/>
              </w:rPr>
            </w:pPr>
          </w:p>
        </w:tc>
        <w:tc>
          <w:tcPr>
            <w:tcW w:w="30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EE7A11">
            <w:pPr>
              <w:spacing w:line="360" w:lineRule="auto"/>
              <w:ind w:firstLine="0"/>
              <w:jc w:val="center"/>
              <w:rPr>
                <w:rFonts w:ascii="宋体" w:hAnsi="宋体" w:eastAsia="宋体" w:cs="宋体"/>
                <w:kern w:val="0"/>
                <w:sz w:val="24"/>
                <w:szCs w:val="24"/>
              </w:rPr>
            </w:pPr>
          </w:p>
        </w:tc>
        <w:tc>
          <w:tcPr>
            <w:tcW w:w="9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C2E3D4">
            <w:pPr>
              <w:spacing w:line="360" w:lineRule="auto"/>
              <w:ind w:firstLine="0"/>
              <w:jc w:val="center"/>
              <w:rPr>
                <w:rFonts w:ascii="宋体" w:hAnsi="宋体" w:eastAsia="宋体" w:cs="宋体"/>
                <w:kern w:val="0"/>
                <w:sz w:val="24"/>
                <w:szCs w:val="24"/>
              </w:rPr>
            </w:pPr>
          </w:p>
        </w:tc>
      </w:tr>
      <w:tr w14:paraId="130687BA">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863112">
            <w:pPr>
              <w:spacing w:line="360" w:lineRule="auto"/>
              <w:ind w:firstLine="0"/>
              <w:rPr>
                <w:rFonts w:ascii="宋体" w:hAnsi="宋体" w:eastAsia="宋体" w:cs="宋体"/>
                <w:kern w:val="0"/>
                <w:sz w:val="24"/>
                <w:szCs w:val="24"/>
              </w:rPr>
            </w:pPr>
            <w:r>
              <w:rPr>
                <w:rFonts w:hint="eastAsia" w:ascii="宋体" w:hAnsi="宋体" w:eastAsia="宋体" w:cs="宋体"/>
                <w:kern w:val="0"/>
                <w:sz w:val="24"/>
                <w:szCs w:val="24"/>
              </w:rPr>
              <w:t>3</w:t>
            </w:r>
          </w:p>
        </w:tc>
        <w:tc>
          <w:tcPr>
            <w:tcW w:w="227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0BE8B2">
            <w:pPr>
              <w:spacing w:line="360" w:lineRule="auto"/>
              <w:ind w:firstLine="0"/>
              <w:jc w:val="center"/>
              <w:rPr>
                <w:rFonts w:ascii="宋体" w:hAnsi="宋体" w:eastAsia="宋体" w:cs="宋体"/>
                <w:kern w:val="0"/>
                <w:sz w:val="24"/>
                <w:szCs w:val="24"/>
              </w:rPr>
            </w:pPr>
          </w:p>
        </w:tc>
        <w:tc>
          <w:tcPr>
            <w:tcW w:w="19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019E07">
            <w:pPr>
              <w:spacing w:line="360" w:lineRule="auto"/>
              <w:ind w:firstLine="0"/>
              <w:jc w:val="center"/>
              <w:rPr>
                <w:rFonts w:ascii="宋体" w:hAnsi="宋体" w:eastAsia="宋体" w:cs="宋体"/>
                <w:kern w:val="0"/>
                <w:sz w:val="24"/>
                <w:szCs w:val="24"/>
              </w:rPr>
            </w:pPr>
          </w:p>
        </w:tc>
        <w:tc>
          <w:tcPr>
            <w:tcW w:w="30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4FA54F">
            <w:pPr>
              <w:spacing w:line="360" w:lineRule="auto"/>
              <w:ind w:firstLine="0"/>
              <w:jc w:val="center"/>
              <w:rPr>
                <w:rFonts w:ascii="宋体" w:hAnsi="宋体" w:eastAsia="宋体" w:cs="宋体"/>
                <w:kern w:val="0"/>
                <w:sz w:val="24"/>
                <w:szCs w:val="24"/>
              </w:rPr>
            </w:pPr>
          </w:p>
        </w:tc>
        <w:tc>
          <w:tcPr>
            <w:tcW w:w="9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137788">
            <w:pPr>
              <w:spacing w:line="360" w:lineRule="auto"/>
              <w:ind w:firstLine="0"/>
              <w:jc w:val="center"/>
              <w:rPr>
                <w:rFonts w:ascii="宋体" w:hAnsi="宋体" w:eastAsia="宋体" w:cs="宋体"/>
                <w:kern w:val="0"/>
                <w:sz w:val="24"/>
                <w:szCs w:val="24"/>
              </w:rPr>
            </w:pPr>
          </w:p>
        </w:tc>
      </w:tr>
      <w:tr w14:paraId="0BCF9C9D">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69AC35">
            <w:pPr>
              <w:spacing w:line="360" w:lineRule="auto"/>
              <w:ind w:firstLine="0"/>
              <w:rPr>
                <w:rFonts w:ascii="宋体" w:hAnsi="宋体" w:eastAsia="宋体" w:cs="宋体"/>
                <w:kern w:val="0"/>
                <w:sz w:val="24"/>
                <w:szCs w:val="24"/>
              </w:rPr>
            </w:pPr>
            <w:r>
              <w:rPr>
                <w:rFonts w:hint="eastAsia" w:ascii="宋体" w:hAnsi="宋体" w:eastAsia="宋体" w:cs="宋体"/>
                <w:kern w:val="0"/>
                <w:sz w:val="24"/>
                <w:szCs w:val="24"/>
              </w:rPr>
              <w:t>……</w:t>
            </w:r>
          </w:p>
        </w:tc>
        <w:tc>
          <w:tcPr>
            <w:tcW w:w="227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BE5D0B">
            <w:pPr>
              <w:spacing w:line="360" w:lineRule="auto"/>
              <w:ind w:firstLine="0"/>
              <w:jc w:val="center"/>
              <w:rPr>
                <w:rFonts w:ascii="宋体" w:hAnsi="宋体" w:eastAsia="宋体" w:cs="宋体"/>
                <w:kern w:val="0"/>
                <w:sz w:val="24"/>
                <w:szCs w:val="24"/>
              </w:rPr>
            </w:pPr>
          </w:p>
        </w:tc>
        <w:tc>
          <w:tcPr>
            <w:tcW w:w="19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239428">
            <w:pPr>
              <w:spacing w:line="360" w:lineRule="auto"/>
              <w:ind w:firstLine="0"/>
              <w:jc w:val="center"/>
              <w:rPr>
                <w:rFonts w:ascii="宋体" w:hAnsi="宋体" w:eastAsia="宋体" w:cs="宋体"/>
                <w:kern w:val="0"/>
                <w:sz w:val="24"/>
                <w:szCs w:val="24"/>
              </w:rPr>
            </w:pPr>
          </w:p>
        </w:tc>
        <w:tc>
          <w:tcPr>
            <w:tcW w:w="30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399E18">
            <w:pPr>
              <w:spacing w:line="360" w:lineRule="auto"/>
              <w:ind w:firstLine="0"/>
              <w:jc w:val="center"/>
              <w:rPr>
                <w:rFonts w:ascii="宋体" w:hAnsi="宋体" w:eastAsia="宋体" w:cs="宋体"/>
                <w:kern w:val="0"/>
                <w:sz w:val="24"/>
                <w:szCs w:val="24"/>
              </w:rPr>
            </w:pPr>
          </w:p>
        </w:tc>
        <w:tc>
          <w:tcPr>
            <w:tcW w:w="97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49A4CE">
            <w:pPr>
              <w:spacing w:line="360" w:lineRule="auto"/>
              <w:ind w:firstLine="0"/>
              <w:jc w:val="center"/>
              <w:rPr>
                <w:rFonts w:ascii="宋体" w:hAnsi="宋体" w:eastAsia="宋体" w:cs="宋体"/>
                <w:kern w:val="0"/>
                <w:sz w:val="24"/>
                <w:szCs w:val="24"/>
              </w:rPr>
            </w:pPr>
          </w:p>
        </w:tc>
      </w:tr>
    </w:tbl>
    <w:p w14:paraId="33F591AD">
      <w:pPr>
        <w:snapToGrid w:val="0"/>
        <w:spacing w:line="360" w:lineRule="auto"/>
        <w:ind w:firstLine="482"/>
        <w:jc w:val="left"/>
        <w:rPr>
          <w:rFonts w:ascii="宋体" w:hAnsi="宋体" w:eastAsia="宋体" w:cs="Times New Roman"/>
          <w:sz w:val="24"/>
          <w:szCs w:val="24"/>
        </w:rPr>
      </w:pPr>
      <w:r>
        <w:rPr>
          <w:rFonts w:hint="eastAsia" w:ascii="宋体" w:hAnsi="宋体" w:eastAsia="宋体" w:cs="Times New Roman"/>
          <w:sz w:val="24"/>
          <w:szCs w:val="24"/>
        </w:rPr>
        <w:t>注：</w:t>
      </w:r>
    </w:p>
    <w:p w14:paraId="4552C6BC">
      <w:pPr>
        <w:snapToGrid w:val="0"/>
        <w:spacing w:line="360" w:lineRule="auto"/>
        <w:ind w:firstLine="482"/>
        <w:jc w:val="left"/>
        <w:rPr>
          <w:rFonts w:ascii="宋体" w:hAnsi="宋体" w:eastAsia="宋体" w:cs="Times New Roman"/>
          <w:sz w:val="24"/>
          <w:szCs w:val="24"/>
        </w:rPr>
      </w:pPr>
      <w:r>
        <w:rPr>
          <w:rFonts w:hint="eastAsia" w:ascii="宋体" w:hAnsi="宋体" w:eastAsia="宋体" w:cs="Times New Roman"/>
          <w:sz w:val="24"/>
          <w:szCs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4B84280">
      <w:pPr>
        <w:snapToGrid w:val="0"/>
        <w:spacing w:line="360" w:lineRule="auto"/>
        <w:ind w:firstLine="482"/>
        <w:jc w:val="left"/>
        <w:rPr>
          <w:rFonts w:ascii="宋体" w:hAnsi="宋体" w:eastAsia="宋体" w:cs="Times New Roman"/>
          <w:sz w:val="24"/>
          <w:szCs w:val="24"/>
        </w:rPr>
      </w:pPr>
      <w:r>
        <w:rPr>
          <w:rFonts w:hint="eastAsia" w:ascii="宋体" w:hAnsi="宋体" w:eastAsia="宋体" w:cs="Times New Roman"/>
          <w:sz w:val="24"/>
          <w:szCs w:val="24"/>
        </w:rPr>
        <w:t>2.本表所指的控股关系仅限于直接控股关系，不包括间接的控股关系。公司实际控制人与公司之间的关系不属于本表所指的直接控股关系。</w:t>
      </w:r>
    </w:p>
    <w:p w14:paraId="0BA0FC1E">
      <w:pPr>
        <w:snapToGrid w:val="0"/>
        <w:spacing w:line="360" w:lineRule="auto"/>
        <w:ind w:firstLine="482"/>
        <w:jc w:val="left"/>
        <w:rPr>
          <w:rFonts w:ascii="宋体" w:hAnsi="宋体" w:eastAsia="宋体" w:cs="Times New Roman"/>
          <w:sz w:val="24"/>
          <w:szCs w:val="24"/>
        </w:rPr>
      </w:pPr>
      <w:r>
        <w:rPr>
          <w:rFonts w:hint="eastAsia" w:ascii="宋体" w:hAnsi="宋体" w:eastAsia="宋体" w:cs="Times New Roman"/>
          <w:sz w:val="24"/>
          <w:szCs w:val="24"/>
        </w:rPr>
        <w:t>3.供应商不存在直接控股股东的，则在“</w:t>
      </w:r>
      <w:r>
        <w:rPr>
          <w:rFonts w:hint="eastAsia" w:ascii="宋体" w:hAnsi="宋体" w:eastAsia="宋体" w:cs="宋体"/>
          <w:b/>
          <w:bCs/>
          <w:kern w:val="0"/>
          <w:sz w:val="24"/>
          <w:szCs w:val="24"/>
        </w:rPr>
        <w:t>直接控股股东名称</w:t>
      </w:r>
      <w:r>
        <w:rPr>
          <w:rFonts w:hint="eastAsia" w:ascii="宋体" w:hAnsi="宋体" w:eastAsia="宋体" w:cs="Times New Roman"/>
          <w:sz w:val="24"/>
          <w:szCs w:val="24"/>
        </w:rPr>
        <w:t>”中填“无”。</w:t>
      </w:r>
    </w:p>
    <w:p w14:paraId="339BCA38">
      <w:pPr>
        <w:snapToGrid w:val="0"/>
        <w:spacing w:line="360" w:lineRule="auto"/>
        <w:ind w:firstLine="482"/>
        <w:jc w:val="left"/>
        <w:rPr>
          <w:rFonts w:ascii="宋体" w:hAnsi="宋体" w:eastAsia="宋体" w:cs="Times New Roman"/>
          <w:sz w:val="24"/>
          <w:szCs w:val="24"/>
        </w:rPr>
      </w:pPr>
    </w:p>
    <w:p w14:paraId="43B6132F">
      <w:pPr>
        <w:snapToGrid w:val="0"/>
        <w:spacing w:line="360" w:lineRule="auto"/>
        <w:ind w:firstLine="482"/>
        <w:jc w:val="left"/>
        <w:rPr>
          <w:rFonts w:ascii="宋体" w:hAnsi="宋体" w:eastAsia="宋体" w:cs="Times New Roman"/>
          <w:sz w:val="24"/>
          <w:szCs w:val="24"/>
        </w:rPr>
      </w:pPr>
    </w:p>
    <w:p w14:paraId="7B01DE9D">
      <w:pPr>
        <w:snapToGrid w:val="0"/>
        <w:spacing w:line="360" w:lineRule="auto"/>
        <w:ind w:firstLine="482"/>
        <w:jc w:val="left"/>
        <w:rPr>
          <w:rFonts w:ascii="宋体" w:hAnsi="宋体" w:eastAsia="宋体" w:cs="Times New Roman"/>
          <w:sz w:val="24"/>
          <w:szCs w:val="24"/>
        </w:rPr>
      </w:pPr>
    </w:p>
    <w:p w14:paraId="41DD5AE2">
      <w:pPr>
        <w:snapToGrid w:val="0"/>
        <w:spacing w:line="360" w:lineRule="auto"/>
        <w:ind w:left="-2" w:leftChars="-1" w:right="-817" w:rightChars="-389" w:firstLine="482"/>
        <w:rPr>
          <w:rFonts w:ascii="宋体" w:hAnsi="宋体" w:eastAsia="宋体" w:cs="Times New Roman"/>
          <w:sz w:val="24"/>
          <w:szCs w:val="24"/>
        </w:rPr>
      </w:pPr>
      <w:r>
        <w:rPr>
          <w:rFonts w:hint="eastAsia" w:ascii="宋体" w:hAnsi="宋体" w:eastAsia="宋体" w:cs="Times New Roman"/>
          <w:sz w:val="24"/>
          <w:szCs w:val="24"/>
        </w:rPr>
        <w:t xml:space="preserve">             法定代表人或者委托代理人（签字或者电子签名）：</w:t>
      </w:r>
    </w:p>
    <w:p w14:paraId="597F94CB">
      <w:pPr>
        <w:snapToGrid w:val="0"/>
        <w:spacing w:line="360" w:lineRule="auto"/>
        <w:ind w:left="-3" w:leftChars="-15" w:right="-817" w:rightChars="-389" w:hanging="28" w:hangingChars="12"/>
        <w:rPr>
          <w:rFonts w:ascii="宋体" w:hAnsi="宋体" w:eastAsia="宋体" w:cs="Times New Roman"/>
          <w:sz w:val="24"/>
          <w:szCs w:val="24"/>
        </w:rPr>
      </w:pPr>
      <w:r>
        <w:rPr>
          <w:rFonts w:hint="eastAsia" w:ascii="宋体" w:hAnsi="宋体" w:eastAsia="宋体" w:cs="Times New Roman"/>
          <w:sz w:val="24"/>
          <w:szCs w:val="24"/>
        </w:rPr>
        <w:t xml:space="preserve">                                    投标人名称（电子签章）：</w:t>
      </w:r>
    </w:p>
    <w:p w14:paraId="49282270">
      <w:pPr>
        <w:snapToGrid w:val="0"/>
        <w:spacing w:line="360" w:lineRule="auto"/>
        <w:ind w:firstLine="482"/>
        <w:jc w:val="left"/>
        <w:rPr>
          <w:rFonts w:ascii="宋体" w:hAnsi="宋体" w:eastAsia="宋体" w:cs="Times New Roman"/>
          <w:szCs w:val="21"/>
        </w:rPr>
      </w:pPr>
      <w:r>
        <w:rPr>
          <w:rFonts w:hint="eastAsia" w:ascii="宋体" w:hAnsi="宋体" w:eastAsia="宋体" w:cs="Times New Roman"/>
          <w:sz w:val="24"/>
          <w:szCs w:val="24"/>
        </w:rPr>
        <w:t xml:space="preserve">                                    日期：    年   月   日</w:t>
      </w:r>
    </w:p>
    <w:p w14:paraId="6731F024">
      <w:pPr>
        <w:snapToGrid w:val="0"/>
        <w:ind w:firstLine="560"/>
        <w:jc w:val="center"/>
        <w:rPr>
          <w:rFonts w:ascii="宋体" w:hAnsi="宋体" w:eastAsia="宋体" w:cs="Times New Roman"/>
          <w:b/>
          <w:sz w:val="28"/>
          <w:szCs w:val="28"/>
        </w:rPr>
      </w:pPr>
    </w:p>
    <w:p w14:paraId="48CA5A3A">
      <w:pPr>
        <w:spacing w:line="360" w:lineRule="auto"/>
        <w:ind w:firstLine="640"/>
        <w:jc w:val="left"/>
        <w:outlineLvl w:val="2"/>
        <w:rPr>
          <w:rFonts w:ascii="宋体" w:hAnsi="宋体" w:eastAsia="宋体" w:cs="Times New Roman"/>
          <w:b/>
          <w:sz w:val="32"/>
          <w:szCs w:val="32"/>
        </w:rPr>
      </w:pPr>
      <w:r>
        <w:rPr>
          <w:rFonts w:ascii="宋体" w:hAnsi="宋体" w:eastAsia="宋体" w:cs="Times New Roman"/>
          <w:b/>
          <w:sz w:val="32"/>
          <w:szCs w:val="32"/>
        </w:rPr>
        <w:br w:type="page"/>
      </w:r>
      <w:r>
        <w:rPr>
          <w:rFonts w:hint="eastAsia" w:ascii="宋体" w:hAnsi="宋体"/>
          <w:b/>
          <w:sz w:val="30"/>
        </w:rPr>
        <w:t>7.投标人直接管理关系信息表</w:t>
      </w:r>
    </w:p>
    <w:p w14:paraId="21292D38">
      <w:pPr>
        <w:snapToGrid w:val="0"/>
        <w:spacing w:line="360" w:lineRule="auto"/>
        <w:ind w:firstLine="640"/>
        <w:jc w:val="center"/>
        <w:rPr>
          <w:rFonts w:ascii="宋体" w:hAnsi="宋体" w:eastAsia="宋体" w:cs="Times New Roman"/>
          <w:b/>
          <w:sz w:val="32"/>
          <w:szCs w:val="32"/>
        </w:rPr>
      </w:pPr>
    </w:p>
    <w:p w14:paraId="628CE95A">
      <w:pPr>
        <w:snapToGrid w:val="0"/>
        <w:spacing w:line="360" w:lineRule="auto"/>
        <w:ind w:firstLine="640"/>
        <w:jc w:val="center"/>
        <w:rPr>
          <w:rFonts w:ascii="宋体" w:hAnsi="宋体" w:eastAsia="宋体" w:cs="Times New Roman"/>
          <w:sz w:val="32"/>
          <w:szCs w:val="32"/>
        </w:rPr>
      </w:pPr>
      <w:r>
        <w:rPr>
          <w:rFonts w:hint="eastAsia" w:ascii="宋体" w:hAnsi="宋体" w:eastAsia="宋体" w:cs="Times New Roman"/>
          <w:b/>
          <w:sz w:val="32"/>
          <w:szCs w:val="32"/>
        </w:rPr>
        <w:t>投标人直接管理关系信息表</w:t>
      </w:r>
    </w:p>
    <w:tbl>
      <w:tblPr>
        <w:tblStyle w:val="53"/>
        <w:tblW w:w="0" w:type="auto"/>
        <w:tblInd w:w="0" w:type="dxa"/>
        <w:shd w:val="clear" w:color="auto" w:fill="FBFBFB"/>
        <w:tblLayout w:type="fixed"/>
        <w:tblCellMar>
          <w:top w:w="0" w:type="dxa"/>
          <w:left w:w="0" w:type="dxa"/>
          <w:bottom w:w="0" w:type="dxa"/>
          <w:right w:w="0" w:type="dxa"/>
        </w:tblCellMar>
      </w:tblPr>
      <w:tblGrid>
        <w:gridCol w:w="1005"/>
        <w:gridCol w:w="2659"/>
        <w:gridCol w:w="3924"/>
        <w:gridCol w:w="1355"/>
      </w:tblGrid>
      <w:tr w14:paraId="530C76F0">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091B6F3">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885C0B0">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622212">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统一社会信用代码</w:t>
            </w:r>
          </w:p>
        </w:tc>
        <w:tc>
          <w:tcPr>
            <w:tcW w:w="13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CC2F4C4">
            <w:pPr>
              <w:spacing w:line="360" w:lineRule="auto"/>
              <w:ind w:firstLine="0"/>
              <w:jc w:val="center"/>
              <w:rPr>
                <w:rFonts w:ascii="宋体" w:hAnsi="宋体" w:eastAsia="宋体" w:cs="宋体"/>
                <w:b/>
                <w:bCs/>
                <w:kern w:val="0"/>
                <w:sz w:val="24"/>
                <w:szCs w:val="24"/>
              </w:rPr>
            </w:pPr>
            <w:r>
              <w:rPr>
                <w:rFonts w:hint="eastAsia" w:ascii="宋体" w:hAnsi="宋体" w:eastAsia="宋体" w:cs="宋体"/>
                <w:b/>
                <w:bCs/>
                <w:kern w:val="0"/>
                <w:sz w:val="24"/>
                <w:szCs w:val="24"/>
              </w:rPr>
              <w:t>备注</w:t>
            </w:r>
          </w:p>
        </w:tc>
      </w:tr>
      <w:tr w14:paraId="19A740B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8F1E5A">
            <w:pPr>
              <w:spacing w:line="360" w:lineRule="auto"/>
              <w:ind w:firstLine="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6235A7">
            <w:pPr>
              <w:spacing w:line="360" w:lineRule="auto"/>
              <w:ind w:firstLine="0"/>
              <w:jc w:val="center"/>
              <w:rPr>
                <w:rFonts w:ascii="宋体" w:hAnsi="宋体" w:eastAsia="宋体" w:cs="宋体"/>
                <w:kern w:val="0"/>
                <w:sz w:val="24"/>
                <w:szCs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C3DF2F">
            <w:pPr>
              <w:spacing w:line="360" w:lineRule="auto"/>
              <w:ind w:firstLine="0"/>
              <w:jc w:val="center"/>
              <w:rPr>
                <w:rFonts w:ascii="宋体" w:hAnsi="宋体" w:eastAsia="宋体" w:cs="宋体"/>
                <w:kern w:val="0"/>
                <w:sz w:val="24"/>
                <w:szCs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B37280">
            <w:pPr>
              <w:spacing w:line="360" w:lineRule="auto"/>
              <w:ind w:firstLine="0"/>
              <w:jc w:val="center"/>
              <w:rPr>
                <w:rFonts w:ascii="宋体" w:hAnsi="宋体" w:eastAsia="宋体" w:cs="宋体"/>
                <w:kern w:val="0"/>
                <w:sz w:val="24"/>
                <w:szCs w:val="24"/>
              </w:rPr>
            </w:pPr>
          </w:p>
        </w:tc>
      </w:tr>
      <w:tr w14:paraId="21FD8AC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0151A4">
            <w:pPr>
              <w:spacing w:line="360" w:lineRule="auto"/>
              <w:ind w:firstLine="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1BD537">
            <w:pPr>
              <w:spacing w:line="360" w:lineRule="auto"/>
              <w:ind w:firstLine="0"/>
              <w:jc w:val="center"/>
              <w:rPr>
                <w:rFonts w:ascii="宋体" w:hAnsi="宋体" w:eastAsia="宋体" w:cs="宋体"/>
                <w:kern w:val="0"/>
                <w:sz w:val="24"/>
                <w:szCs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67099A">
            <w:pPr>
              <w:spacing w:line="360" w:lineRule="auto"/>
              <w:ind w:firstLine="0"/>
              <w:jc w:val="center"/>
              <w:rPr>
                <w:rFonts w:ascii="宋体" w:hAnsi="宋体" w:eastAsia="宋体" w:cs="宋体"/>
                <w:kern w:val="0"/>
                <w:sz w:val="24"/>
                <w:szCs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722F47">
            <w:pPr>
              <w:spacing w:line="360" w:lineRule="auto"/>
              <w:ind w:firstLine="0"/>
              <w:jc w:val="center"/>
              <w:rPr>
                <w:rFonts w:ascii="宋体" w:hAnsi="宋体" w:eastAsia="宋体" w:cs="宋体"/>
                <w:kern w:val="0"/>
                <w:sz w:val="24"/>
                <w:szCs w:val="24"/>
              </w:rPr>
            </w:pPr>
          </w:p>
        </w:tc>
      </w:tr>
      <w:tr w14:paraId="02DAD47D">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DA5AD8">
            <w:pPr>
              <w:spacing w:line="360" w:lineRule="auto"/>
              <w:ind w:firstLine="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5A14DF">
            <w:pPr>
              <w:spacing w:line="360" w:lineRule="auto"/>
              <w:ind w:firstLine="0"/>
              <w:jc w:val="center"/>
              <w:rPr>
                <w:rFonts w:ascii="宋体" w:hAnsi="宋体" w:eastAsia="宋体" w:cs="宋体"/>
                <w:kern w:val="0"/>
                <w:sz w:val="24"/>
                <w:szCs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45E922">
            <w:pPr>
              <w:spacing w:line="360" w:lineRule="auto"/>
              <w:ind w:firstLine="0"/>
              <w:jc w:val="center"/>
              <w:rPr>
                <w:rFonts w:ascii="宋体" w:hAnsi="宋体" w:eastAsia="宋体" w:cs="宋体"/>
                <w:kern w:val="0"/>
                <w:sz w:val="24"/>
                <w:szCs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97D4C6">
            <w:pPr>
              <w:spacing w:line="360" w:lineRule="auto"/>
              <w:ind w:firstLine="0"/>
              <w:jc w:val="center"/>
              <w:rPr>
                <w:rFonts w:ascii="宋体" w:hAnsi="宋体" w:eastAsia="宋体" w:cs="宋体"/>
                <w:kern w:val="0"/>
                <w:sz w:val="24"/>
                <w:szCs w:val="24"/>
              </w:rPr>
            </w:pPr>
          </w:p>
        </w:tc>
      </w:tr>
      <w:tr w14:paraId="23E1C42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A98D9B">
            <w:pPr>
              <w:spacing w:line="360" w:lineRule="auto"/>
              <w:ind w:firstLine="0"/>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5D130B">
            <w:pPr>
              <w:spacing w:line="360" w:lineRule="auto"/>
              <w:ind w:firstLine="0"/>
              <w:jc w:val="center"/>
              <w:rPr>
                <w:rFonts w:ascii="宋体" w:hAnsi="宋体" w:eastAsia="宋体" w:cs="宋体"/>
                <w:kern w:val="0"/>
                <w:sz w:val="24"/>
                <w:szCs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63E4A4">
            <w:pPr>
              <w:spacing w:line="360" w:lineRule="auto"/>
              <w:ind w:firstLine="0"/>
              <w:jc w:val="center"/>
              <w:rPr>
                <w:rFonts w:ascii="宋体" w:hAnsi="宋体" w:eastAsia="宋体" w:cs="宋体"/>
                <w:kern w:val="0"/>
                <w:sz w:val="24"/>
                <w:szCs w:val="24"/>
              </w:rPr>
            </w:pPr>
          </w:p>
        </w:tc>
        <w:tc>
          <w:tcPr>
            <w:tcW w:w="13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CE5944">
            <w:pPr>
              <w:spacing w:line="360" w:lineRule="auto"/>
              <w:ind w:firstLine="0"/>
              <w:jc w:val="center"/>
              <w:rPr>
                <w:rFonts w:ascii="宋体" w:hAnsi="宋体" w:eastAsia="宋体" w:cs="宋体"/>
                <w:kern w:val="0"/>
                <w:sz w:val="24"/>
                <w:szCs w:val="24"/>
              </w:rPr>
            </w:pPr>
          </w:p>
        </w:tc>
      </w:tr>
    </w:tbl>
    <w:p w14:paraId="7710635E">
      <w:pPr>
        <w:snapToGrid w:val="0"/>
        <w:spacing w:line="360" w:lineRule="auto"/>
        <w:ind w:firstLine="482"/>
        <w:jc w:val="left"/>
        <w:rPr>
          <w:rFonts w:ascii="宋体" w:hAnsi="宋体" w:eastAsia="宋体" w:cs="Times New Roman"/>
          <w:sz w:val="24"/>
          <w:szCs w:val="24"/>
        </w:rPr>
      </w:pPr>
      <w:r>
        <w:rPr>
          <w:rFonts w:hint="eastAsia" w:ascii="宋体" w:hAnsi="宋体" w:eastAsia="宋体" w:cs="Times New Roman"/>
          <w:sz w:val="24"/>
          <w:szCs w:val="24"/>
        </w:rPr>
        <w:t>注：</w:t>
      </w:r>
    </w:p>
    <w:p w14:paraId="22A90950">
      <w:pPr>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1.管理关系：是指不具有出资持股关系的其他单位之间存在的管理与被管理关系，如一些上下级关系的事业单位和团体组织。</w:t>
      </w:r>
    </w:p>
    <w:p w14:paraId="3F9F5DA0">
      <w:pPr>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2.</w:t>
      </w:r>
      <w:r>
        <w:rPr>
          <w:rFonts w:hint="eastAsia" w:ascii="宋体" w:hAnsi="宋体" w:eastAsia="宋体" w:cs="Times New Roman"/>
          <w:spacing w:val="-6"/>
          <w:sz w:val="24"/>
          <w:szCs w:val="24"/>
        </w:rPr>
        <w:t>本表所指的管理关系仅限于直接管理关系，不包括间接的管理关系。</w:t>
      </w:r>
    </w:p>
    <w:p w14:paraId="780A055E">
      <w:pPr>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3.供应商不存在直接管理关系的，则在“</w:t>
      </w:r>
      <w:r>
        <w:rPr>
          <w:rFonts w:hint="eastAsia" w:ascii="宋体" w:hAnsi="宋体" w:eastAsia="宋体" w:cs="宋体"/>
          <w:b/>
          <w:bCs/>
          <w:kern w:val="0"/>
          <w:sz w:val="24"/>
          <w:szCs w:val="24"/>
        </w:rPr>
        <w:t>直接管理关系单位名称</w:t>
      </w:r>
      <w:r>
        <w:rPr>
          <w:rFonts w:hint="eastAsia" w:ascii="宋体" w:hAnsi="宋体" w:eastAsia="宋体" w:cs="Times New Roman"/>
          <w:sz w:val="24"/>
          <w:szCs w:val="24"/>
        </w:rPr>
        <w:t>”中填“无”。</w:t>
      </w:r>
    </w:p>
    <w:p w14:paraId="6D5DE385">
      <w:pPr>
        <w:snapToGrid w:val="0"/>
        <w:spacing w:line="360" w:lineRule="auto"/>
        <w:ind w:firstLine="482"/>
        <w:jc w:val="left"/>
        <w:rPr>
          <w:rFonts w:ascii="宋体" w:hAnsi="宋体" w:eastAsia="宋体" w:cs="Times New Roman"/>
          <w:sz w:val="24"/>
          <w:szCs w:val="24"/>
        </w:rPr>
      </w:pPr>
    </w:p>
    <w:p w14:paraId="56DB6960">
      <w:pPr>
        <w:snapToGrid w:val="0"/>
        <w:spacing w:line="360" w:lineRule="auto"/>
        <w:ind w:firstLine="482"/>
        <w:jc w:val="left"/>
        <w:rPr>
          <w:rFonts w:ascii="宋体" w:hAnsi="宋体" w:eastAsia="宋体" w:cs="Times New Roman"/>
          <w:sz w:val="24"/>
          <w:szCs w:val="24"/>
        </w:rPr>
      </w:pPr>
    </w:p>
    <w:p w14:paraId="218A8B91">
      <w:pPr>
        <w:snapToGrid w:val="0"/>
        <w:spacing w:line="360" w:lineRule="auto"/>
        <w:ind w:firstLine="482"/>
        <w:jc w:val="left"/>
        <w:rPr>
          <w:rFonts w:ascii="宋体" w:hAnsi="宋体" w:eastAsia="宋体" w:cs="Times New Roman"/>
          <w:sz w:val="24"/>
          <w:szCs w:val="24"/>
        </w:rPr>
      </w:pPr>
    </w:p>
    <w:p w14:paraId="40D8C5EB">
      <w:pPr>
        <w:snapToGrid w:val="0"/>
        <w:spacing w:line="360" w:lineRule="auto"/>
        <w:ind w:firstLine="482"/>
        <w:jc w:val="left"/>
        <w:rPr>
          <w:rFonts w:ascii="Times New Roman" w:hAnsi="Times New Roman" w:eastAsia="宋体" w:cs="Times New Roman"/>
          <w:sz w:val="24"/>
          <w:szCs w:val="24"/>
        </w:rPr>
      </w:pPr>
    </w:p>
    <w:p w14:paraId="186FCEEF">
      <w:pPr>
        <w:snapToGrid w:val="0"/>
        <w:spacing w:line="360" w:lineRule="auto"/>
        <w:ind w:left="-2" w:leftChars="-1" w:right="-817" w:rightChars="-389" w:firstLine="482"/>
        <w:rPr>
          <w:rFonts w:ascii="宋体" w:hAnsi="宋体" w:eastAsia="宋体" w:cs="Times New Roman"/>
          <w:sz w:val="24"/>
          <w:szCs w:val="24"/>
        </w:rPr>
      </w:pPr>
      <w:r>
        <w:rPr>
          <w:rFonts w:hint="eastAsia" w:ascii="宋体" w:hAnsi="宋体" w:eastAsia="宋体" w:cs="Times New Roman"/>
          <w:sz w:val="24"/>
          <w:szCs w:val="24"/>
        </w:rPr>
        <w:t xml:space="preserve">            法定代表人或者委托代理人（签字或者电子签名）：</w:t>
      </w:r>
    </w:p>
    <w:p w14:paraId="61E15F42">
      <w:pPr>
        <w:snapToGrid w:val="0"/>
        <w:spacing w:line="360" w:lineRule="auto"/>
        <w:ind w:left="-3" w:leftChars="-15" w:right="-817" w:rightChars="-389" w:hanging="28" w:hangingChars="12"/>
        <w:rPr>
          <w:rFonts w:ascii="宋体" w:hAnsi="宋体" w:eastAsia="宋体" w:cs="Times New Roman"/>
          <w:sz w:val="24"/>
          <w:szCs w:val="24"/>
        </w:rPr>
      </w:pPr>
      <w:r>
        <w:rPr>
          <w:rFonts w:hint="eastAsia" w:ascii="宋体" w:hAnsi="宋体" w:eastAsia="宋体" w:cs="Times New Roman"/>
          <w:sz w:val="24"/>
          <w:szCs w:val="24"/>
        </w:rPr>
        <w:t xml:space="preserve">                                  投标人名称（电子签章）：</w:t>
      </w:r>
    </w:p>
    <w:p w14:paraId="37865858">
      <w:pPr>
        <w:snapToGrid w:val="0"/>
        <w:spacing w:line="360" w:lineRule="auto"/>
        <w:ind w:right="480" w:firstLine="240" w:firstLineChars="100"/>
        <w:jc w:val="left"/>
        <w:rPr>
          <w:rFonts w:ascii="宋体" w:hAnsi="宋体" w:eastAsia="宋体" w:cs="Times New Roman"/>
          <w:szCs w:val="21"/>
        </w:rPr>
      </w:pPr>
      <w:r>
        <w:rPr>
          <w:rFonts w:hint="eastAsia" w:ascii="宋体" w:hAnsi="宋体" w:eastAsia="宋体" w:cs="Times New Roman"/>
          <w:sz w:val="24"/>
          <w:szCs w:val="24"/>
        </w:rPr>
        <w:t xml:space="preserve">                                日期：    年   月   日</w:t>
      </w:r>
    </w:p>
    <w:p w14:paraId="52A0FBC3">
      <w:pPr>
        <w:snapToGrid w:val="0"/>
        <w:spacing w:before="156" w:beforeLines="50" w:after="50"/>
        <w:jc w:val="left"/>
        <w:rPr>
          <w:rFonts w:ascii="宋体" w:hAnsi="宋体" w:eastAsia="宋体" w:cs="仿宋_GB2312"/>
          <w:szCs w:val="21"/>
        </w:rPr>
      </w:pPr>
    </w:p>
    <w:p w14:paraId="4E909CA2">
      <w:pPr>
        <w:snapToGrid w:val="0"/>
        <w:ind w:firstLine="560"/>
        <w:jc w:val="center"/>
        <w:rPr>
          <w:rFonts w:ascii="宋体" w:hAnsi="宋体" w:eastAsia="宋体" w:cs="仿宋_GB2312"/>
          <w:b/>
          <w:sz w:val="28"/>
          <w:szCs w:val="28"/>
        </w:rPr>
      </w:pPr>
    </w:p>
    <w:p w14:paraId="0F451292">
      <w:pPr>
        <w:spacing w:line="360" w:lineRule="auto"/>
        <w:ind w:firstLine="640"/>
        <w:jc w:val="left"/>
        <w:outlineLvl w:val="2"/>
        <w:rPr>
          <w:rFonts w:ascii="宋体" w:hAnsi="宋体" w:eastAsia="宋体" w:cs="仿宋_GB2312"/>
          <w:szCs w:val="20"/>
        </w:rPr>
      </w:pPr>
      <w:r>
        <w:rPr>
          <w:rFonts w:hint="eastAsia" w:ascii="宋体" w:hAnsi="宋体" w:eastAsia="宋体" w:cs="仿宋_GB2312"/>
          <w:b/>
          <w:sz w:val="32"/>
          <w:szCs w:val="32"/>
        </w:rPr>
        <w:br w:type="page"/>
      </w:r>
      <w:r>
        <w:rPr>
          <w:rFonts w:hint="eastAsia" w:ascii="宋体" w:hAnsi="宋体"/>
          <w:b/>
          <w:sz w:val="30"/>
        </w:rPr>
        <w:t>8.投标声明</w:t>
      </w:r>
    </w:p>
    <w:p w14:paraId="42D51ECD">
      <w:pPr>
        <w:snapToGrid w:val="0"/>
        <w:spacing w:before="50" w:after="156" w:afterLines="50"/>
        <w:jc w:val="left"/>
        <w:rPr>
          <w:rFonts w:ascii="宋体" w:hAnsi="宋体" w:eastAsia="宋体" w:cs="仿宋_GB2312"/>
          <w:szCs w:val="24"/>
        </w:rPr>
      </w:pPr>
    </w:p>
    <w:p w14:paraId="44D51C20">
      <w:pPr>
        <w:snapToGrid w:val="0"/>
        <w:spacing w:before="156" w:beforeLines="50" w:after="50"/>
        <w:ind w:left="420" w:firstLine="532"/>
        <w:jc w:val="center"/>
        <w:rPr>
          <w:rFonts w:ascii="宋体" w:hAnsi="宋体" w:eastAsia="宋体" w:cs="仿宋_GB2312"/>
          <w:b/>
          <w:bCs/>
          <w:spacing w:val="-17"/>
          <w:sz w:val="30"/>
          <w:szCs w:val="30"/>
        </w:rPr>
      </w:pPr>
      <w:r>
        <w:rPr>
          <w:rFonts w:hint="eastAsia" w:ascii="宋体" w:hAnsi="宋体" w:eastAsia="宋体" w:cs="仿宋_GB2312"/>
          <w:b/>
          <w:bCs/>
          <w:spacing w:val="-17"/>
          <w:sz w:val="30"/>
          <w:szCs w:val="30"/>
        </w:rPr>
        <w:t>投标声明</w:t>
      </w:r>
    </w:p>
    <w:p w14:paraId="20238F8A">
      <w:pPr>
        <w:spacing w:line="440" w:lineRule="exact"/>
        <w:contextualSpacing/>
        <w:jc w:val="left"/>
        <w:rPr>
          <w:rFonts w:ascii="宋体" w:hAnsi="宋体" w:eastAsia="宋体" w:cs="仿宋_GB2312"/>
          <w:szCs w:val="21"/>
        </w:rPr>
      </w:pPr>
      <w:r>
        <w:rPr>
          <w:rFonts w:hint="eastAsia" w:ascii="宋体" w:hAnsi="宋体" w:eastAsia="宋体" w:cs="仿宋_GB2312"/>
          <w:szCs w:val="21"/>
        </w:rPr>
        <w:t>（采购人名称）：</w:t>
      </w:r>
    </w:p>
    <w:p w14:paraId="0C2FC207">
      <w:pPr>
        <w:spacing w:line="440" w:lineRule="exact"/>
        <w:ind w:firstLine="457" w:firstLineChars="218"/>
        <w:contextualSpacing/>
        <w:jc w:val="left"/>
        <w:rPr>
          <w:rFonts w:ascii="宋体" w:hAnsi="宋体" w:eastAsia="宋体" w:cs="仿宋_GB2312"/>
          <w:szCs w:val="21"/>
        </w:rPr>
      </w:pPr>
      <w:r>
        <w:rPr>
          <w:rFonts w:hint="eastAsia" w:ascii="宋体" w:hAnsi="宋体" w:eastAsia="宋体" w:cs="仿宋_GB2312"/>
          <w:szCs w:val="21"/>
        </w:rPr>
        <w:t>我方参加贵单位组织</w:t>
      </w:r>
      <w:r>
        <w:rPr>
          <w:rFonts w:hint="eastAsia" w:ascii="宋体" w:hAnsi="宋体" w:eastAsia="宋体" w:cs="仿宋_GB2312"/>
          <w:szCs w:val="21"/>
          <w:u w:val="single"/>
        </w:rPr>
        <w:t xml:space="preserve">             </w:t>
      </w:r>
      <w:r>
        <w:rPr>
          <w:rFonts w:hint="eastAsia" w:ascii="宋体" w:hAnsi="宋体" w:eastAsia="宋体" w:cs="仿宋_GB2312"/>
          <w:szCs w:val="21"/>
        </w:rPr>
        <w:t>项目（项目编号：</w:t>
      </w:r>
      <w:r>
        <w:rPr>
          <w:rFonts w:hint="eastAsia" w:ascii="宋体" w:hAnsi="宋体" w:eastAsia="宋体" w:cs="仿宋_GB2312"/>
          <w:szCs w:val="21"/>
          <w:u w:val="single"/>
        </w:rPr>
        <w:t xml:space="preserve">       </w:t>
      </w:r>
      <w:r>
        <w:rPr>
          <w:rFonts w:hint="eastAsia" w:ascii="宋体" w:hAnsi="宋体" w:eastAsia="宋体" w:cs="仿宋_GB2312"/>
          <w:szCs w:val="21"/>
        </w:rPr>
        <w:t>）的政府采购活动。我方在此郑重声明：</w:t>
      </w:r>
    </w:p>
    <w:p w14:paraId="35C213CB">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1AC8519">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2.我方不是为本次采购项目提供整体设计、规范编制或者项目管理、监理、检测等服务的供应商。</w:t>
      </w:r>
    </w:p>
    <w:p w14:paraId="2F0902E5">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3.我方承诺符合《中华人民共和国政府采购法》第二十二条规定：</w:t>
      </w:r>
    </w:p>
    <w:p w14:paraId="60342DAF">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（一）具有独立承担民事责任的能力；</w:t>
      </w:r>
    </w:p>
    <w:p w14:paraId="6696420D">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（二）具有良好的商业信誉和健全的财务会计制度；</w:t>
      </w:r>
    </w:p>
    <w:p w14:paraId="4498578F">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（三）具有履行合同所必需的设备和专业技术能力；</w:t>
      </w:r>
    </w:p>
    <w:p w14:paraId="14172A45">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（四）有依法缴纳税收和社会保障资金的良好记录；</w:t>
      </w:r>
    </w:p>
    <w:p w14:paraId="208A6292">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（五）参加政府采购活动前三年内，在经营活动中没有重大违法记录；</w:t>
      </w:r>
    </w:p>
    <w:p w14:paraId="6CA3E6DB">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（六）法律、行政法规规定的其他条件。</w:t>
      </w:r>
    </w:p>
    <w:p w14:paraId="42CDC812">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4.以上事项如有虚假或者隐瞒，我方愿意承担一切后果，并不再寻求任何旨在减轻或者免除法律责任的辩解。</w:t>
      </w:r>
    </w:p>
    <w:p w14:paraId="03885E35">
      <w:pPr>
        <w:spacing w:line="440" w:lineRule="exact"/>
        <w:contextualSpacing/>
        <w:jc w:val="left"/>
        <w:rPr>
          <w:rFonts w:ascii="宋体" w:hAnsi="宋体" w:eastAsia="宋体" w:cs="仿宋_GB2312"/>
          <w:szCs w:val="21"/>
        </w:rPr>
      </w:pPr>
      <w:r>
        <w:rPr>
          <w:rFonts w:hint="eastAsia" w:ascii="宋体" w:hAnsi="宋体" w:eastAsia="宋体" w:cs="仿宋_GB2312"/>
          <w:szCs w:val="21"/>
        </w:rPr>
        <w:t xml:space="preserve">    特此承诺。</w:t>
      </w:r>
    </w:p>
    <w:p w14:paraId="1E07629E">
      <w:pPr>
        <w:snapToGrid w:val="0"/>
        <w:spacing w:before="50" w:after="50" w:line="440" w:lineRule="exact"/>
        <w:ind w:firstLine="930" w:firstLineChars="441"/>
        <w:rPr>
          <w:rFonts w:ascii="宋体" w:hAnsi="宋体" w:eastAsia="宋体" w:cs="仿宋_GB2312"/>
          <w:spacing w:val="20"/>
          <w:szCs w:val="21"/>
          <w:u w:val="single"/>
        </w:rPr>
      </w:pPr>
      <w:r>
        <w:rPr>
          <w:rFonts w:hint="eastAsia" w:ascii="宋体" w:hAnsi="宋体" w:eastAsia="宋体" w:cs="仿宋_GB2312"/>
          <w:b/>
          <w:szCs w:val="21"/>
        </w:rPr>
        <w:t xml:space="preserve">                 </w:t>
      </w:r>
      <w:r>
        <w:rPr>
          <w:rFonts w:hint="eastAsia" w:ascii="宋体" w:hAnsi="宋体" w:eastAsia="宋体" w:cs="仿宋_GB2312"/>
          <w:szCs w:val="21"/>
        </w:rPr>
        <w:t>法定代表人</w:t>
      </w:r>
      <w:r>
        <w:rPr>
          <w:rFonts w:hint="eastAsia" w:ascii="宋体" w:hAnsi="宋体" w:eastAsia="宋体" w:cs="仿宋_GB2312"/>
          <w:spacing w:val="20"/>
          <w:szCs w:val="21"/>
        </w:rPr>
        <w:t>（签字或者电子签名）：</w:t>
      </w:r>
      <w:r>
        <w:rPr>
          <w:rFonts w:hint="eastAsia" w:ascii="宋体" w:hAnsi="宋体" w:eastAsia="宋体" w:cs="仿宋_GB2312"/>
          <w:spacing w:val="20"/>
          <w:szCs w:val="21"/>
          <w:u w:val="single"/>
        </w:rPr>
        <w:t xml:space="preserve">        </w:t>
      </w:r>
    </w:p>
    <w:p w14:paraId="2EFDFA2E">
      <w:pPr>
        <w:spacing w:line="440" w:lineRule="exact"/>
        <w:contextualSpacing/>
        <w:jc w:val="left"/>
        <w:rPr>
          <w:rFonts w:ascii="宋体" w:hAnsi="宋体" w:eastAsia="宋体" w:cs="仿宋_GB2312"/>
          <w:szCs w:val="21"/>
        </w:rPr>
      </w:pPr>
      <w:r>
        <w:rPr>
          <w:rFonts w:hint="eastAsia" w:ascii="宋体" w:hAnsi="宋体" w:eastAsia="宋体" w:cs="仿宋_GB2312"/>
          <w:szCs w:val="21"/>
        </w:rPr>
        <w:t xml:space="preserve">                             投标人名称（电子签章）：</w:t>
      </w:r>
      <w:r>
        <w:rPr>
          <w:rFonts w:hint="eastAsia" w:ascii="宋体" w:hAnsi="宋体" w:eastAsia="宋体" w:cs="仿宋_GB2312"/>
          <w:szCs w:val="21"/>
          <w:u w:val="single"/>
        </w:rPr>
        <w:t xml:space="preserve">                 </w:t>
      </w:r>
    </w:p>
    <w:p w14:paraId="14EBFF1C">
      <w:pPr>
        <w:spacing w:line="440" w:lineRule="exact"/>
        <w:contextualSpacing/>
        <w:jc w:val="left"/>
        <w:rPr>
          <w:rFonts w:ascii="宋体" w:hAnsi="宋体" w:eastAsia="宋体" w:cs="仿宋_GB2312"/>
          <w:szCs w:val="21"/>
        </w:rPr>
      </w:pPr>
      <w:r>
        <w:rPr>
          <w:rFonts w:hint="eastAsia" w:ascii="宋体" w:hAnsi="宋体" w:eastAsia="宋体" w:cs="仿宋_GB2312"/>
          <w:szCs w:val="21"/>
        </w:rPr>
        <w:t xml:space="preserve">                                                  年    月    日</w:t>
      </w:r>
    </w:p>
    <w:p w14:paraId="3AF5E970">
      <w:pPr>
        <w:spacing w:line="440" w:lineRule="exact"/>
        <w:ind w:firstLine="480"/>
        <w:contextualSpacing/>
        <w:rPr>
          <w:rFonts w:ascii="宋体" w:hAnsi="宋体" w:eastAsia="宋体" w:cs="仿宋_GB2312"/>
          <w:b/>
          <w:szCs w:val="21"/>
        </w:rPr>
      </w:pPr>
      <w:r>
        <w:rPr>
          <w:rFonts w:hint="eastAsia" w:ascii="宋体" w:hAnsi="宋体" w:eastAsia="宋体" w:cs="仿宋_GB2312"/>
          <w:b/>
          <w:szCs w:val="21"/>
        </w:rPr>
        <w:t>注：如为联合体投标，盖章处须加盖联合体牵头人电子签章并由联合体牵头人法定代表人分别签字或者盖章或者电子签名，否则投标无效。</w:t>
      </w:r>
    </w:p>
    <w:p w14:paraId="3DDB8373">
      <w:pPr>
        <w:widowControl/>
        <w:ind w:firstLine="560"/>
        <w:jc w:val="left"/>
        <w:rPr>
          <w:rFonts w:ascii="宋体" w:hAnsi="宋体" w:eastAsia="宋体" w:cs="仿宋_GB2312"/>
          <w:b/>
          <w:sz w:val="28"/>
          <w:szCs w:val="28"/>
        </w:rPr>
      </w:pPr>
      <w:r>
        <w:rPr>
          <w:rFonts w:ascii="宋体" w:hAnsi="宋体" w:eastAsia="宋体" w:cs="仿宋_GB2312"/>
          <w:b/>
          <w:sz w:val="28"/>
          <w:szCs w:val="28"/>
        </w:rPr>
        <w:br w:type="page"/>
      </w:r>
    </w:p>
    <w:p w14:paraId="09EF0D7B">
      <w:pPr>
        <w:spacing w:line="360" w:lineRule="auto"/>
        <w:ind w:firstLine="600"/>
        <w:jc w:val="left"/>
        <w:outlineLvl w:val="2"/>
        <w:rPr>
          <w:rFonts w:ascii="宋体" w:hAnsi="宋体"/>
          <w:b/>
          <w:sz w:val="30"/>
        </w:rPr>
      </w:pPr>
      <w:r>
        <w:rPr>
          <w:rFonts w:hint="eastAsia" w:ascii="宋体" w:hAnsi="宋体"/>
          <w:b/>
          <w:sz w:val="30"/>
        </w:rPr>
        <w:t>9.除招标文件规定必须提供以外，投标人认为需要提供的其他证明材料。（如有请提供）</w:t>
      </w:r>
    </w:p>
    <w:p w14:paraId="491898A9">
      <w:pPr>
        <w:keepNext/>
        <w:keepLines/>
        <w:spacing w:before="260" w:after="260" w:line="413" w:lineRule="auto"/>
        <w:ind w:firstLine="422" w:firstLineChars="200"/>
        <w:textAlignment w:val="center"/>
        <w:outlineLvl w:val="1"/>
        <w:rPr>
          <w:rFonts w:ascii="宋体" w:hAnsi="宋体" w:eastAsia="宋体" w:cs="仿宋_GB2312"/>
          <w:b/>
          <w:bCs/>
          <w:sz w:val="28"/>
          <w:szCs w:val="28"/>
        </w:rPr>
      </w:pPr>
      <w:r>
        <w:rPr>
          <w:rFonts w:hint="eastAsia" w:ascii="宋体" w:hAnsi="宋体" w:eastAsia="宋体" w:cs="仿宋_GB2312"/>
          <w:b/>
          <w:szCs w:val="24"/>
        </w:rPr>
        <w:br w:type="page"/>
      </w:r>
      <w:bookmarkStart w:id="208" w:name="_Toc19686838"/>
      <w:bookmarkStart w:id="209" w:name="_Toc18017"/>
      <w:bookmarkStart w:id="210" w:name="_Toc7619"/>
      <w:r>
        <w:rPr>
          <w:rFonts w:hint="eastAsia" w:ascii="宋体" w:hAnsi="宋体" w:eastAsia="宋体" w:cs="仿宋_GB2312"/>
          <w:b/>
          <w:bCs/>
          <w:sz w:val="32"/>
          <w:szCs w:val="32"/>
        </w:rPr>
        <w:t>三、商务及技术文件格式</w:t>
      </w:r>
      <w:bookmarkEnd w:id="208"/>
      <w:bookmarkEnd w:id="209"/>
      <w:bookmarkEnd w:id="210"/>
    </w:p>
    <w:p w14:paraId="6F06697E">
      <w:pPr>
        <w:spacing w:line="360" w:lineRule="auto"/>
        <w:ind w:firstLine="600"/>
        <w:jc w:val="left"/>
        <w:outlineLvl w:val="2"/>
        <w:rPr>
          <w:rFonts w:ascii="宋体" w:hAnsi="宋体"/>
          <w:b/>
          <w:sz w:val="30"/>
        </w:rPr>
      </w:pPr>
      <w:r>
        <w:rPr>
          <w:rFonts w:hint="eastAsia" w:ascii="宋体" w:hAnsi="宋体"/>
          <w:b/>
          <w:sz w:val="30"/>
        </w:rPr>
        <w:t xml:space="preserve">1.商务及技术文件封面格式： </w:t>
      </w:r>
    </w:p>
    <w:p w14:paraId="27844009">
      <w:pPr>
        <w:snapToGrid w:val="0"/>
        <w:spacing w:before="156" w:beforeLines="50" w:after="50"/>
        <w:ind w:firstLine="964"/>
        <w:jc w:val="center"/>
        <w:rPr>
          <w:rFonts w:ascii="宋体" w:hAnsi="宋体" w:eastAsia="宋体" w:cs="仿宋_GB2312"/>
          <w:bCs/>
          <w:sz w:val="48"/>
          <w:szCs w:val="48"/>
        </w:rPr>
      </w:pPr>
    </w:p>
    <w:p w14:paraId="3D597D39">
      <w:pPr>
        <w:snapToGrid w:val="0"/>
        <w:spacing w:before="156" w:beforeLines="50" w:after="50"/>
        <w:ind w:firstLine="964"/>
        <w:jc w:val="center"/>
        <w:rPr>
          <w:rFonts w:ascii="宋体" w:hAnsi="宋体" w:eastAsia="宋体" w:cs="仿宋_GB2312"/>
          <w:bCs/>
          <w:sz w:val="48"/>
          <w:szCs w:val="48"/>
        </w:rPr>
      </w:pPr>
    </w:p>
    <w:p w14:paraId="3B134135">
      <w:pPr>
        <w:snapToGrid w:val="0"/>
        <w:spacing w:before="156" w:beforeLines="50" w:after="50"/>
        <w:ind w:firstLine="964"/>
        <w:jc w:val="center"/>
        <w:rPr>
          <w:rFonts w:ascii="宋体" w:hAnsi="宋体" w:eastAsia="宋体" w:cs="仿宋_GB2312"/>
          <w:sz w:val="24"/>
          <w:szCs w:val="24"/>
        </w:rPr>
      </w:pPr>
      <w:r>
        <w:rPr>
          <w:rFonts w:hint="eastAsia" w:ascii="宋体" w:hAnsi="宋体" w:eastAsia="宋体" w:cs="仿宋_GB2312"/>
          <w:bCs/>
          <w:sz w:val="48"/>
          <w:szCs w:val="48"/>
        </w:rPr>
        <w:t>电子投标文件</w:t>
      </w:r>
    </w:p>
    <w:p w14:paraId="384999BA">
      <w:pPr>
        <w:snapToGrid w:val="0"/>
        <w:spacing w:before="156" w:beforeLines="50" w:after="50"/>
        <w:ind w:firstLine="482"/>
        <w:rPr>
          <w:rFonts w:ascii="宋体" w:hAnsi="宋体" w:eastAsia="宋体" w:cs="仿宋_GB2312"/>
          <w:sz w:val="24"/>
          <w:szCs w:val="24"/>
        </w:rPr>
      </w:pPr>
      <w:r>
        <w:rPr>
          <w:rFonts w:hint="eastAsia" w:ascii="宋体" w:hAnsi="宋体" w:eastAsia="宋体" w:cs="仿宋_GB2312"/>
          <w:sz w:val="24"/>
          <w:szCs w:val="24"/>
        </w:rPr>
        <w:t xml:space="preserve">                </w:t>
      </w:r>
    </w:p>
    <w:p w14:paraId="63FB6067">
      <w:pPr>
        <w:ind w:firstLine="482"/>
        <w:rPr>
          <w:rFonts w:ascii="宋体" w:hAnsi="宋体" w:eastAsia="宋体" w:cs="仿宋_GB2312"/>
          <w:sz w:val="24"/>
          <w:szCs w:val="24"/>
        </w:rPr>
      </w:pPr>
    </w:p>
    <w:p w14:paraId="5581D488">
      <w:pPr>
        <w:rPr>
          <w:rFonts w:ascii="宋体" w:hAnsi="宋体" w:eastAsia="宋体" w:cs="仿宋_GB2312"/>
          <w:szCs w:val="24"/>
        </w:rPr>
      </w:pPr>
    </w:p>
    <w:p w14:paraId="07C6FCE9">
      <w:pPr>
        <w:snapToGrid w:val="0"/>
        <w:spacing w:before="156" w:beforeLines="50" w:after="50"/>
        <w:ind w:firstLine="640"/>
        <w:jc w:val="center"/>
        <w:rPr>
          <w:rFonts w:ascii="宋体" w:hAnsi="宋体" w:eastAsia="宋体" w:cs="仿宋_GB2312"/>
          <w:b/>
          <w:sz w:val="32"/>
          <w:szCs w:val="32"/>
        </w:rPr>
      </w:pPr>
      <w:r>
        <w:rPr>
          <w:rFonts w:hint="eastAsia" w:ascii="宋体" w:hAnsi="宋体" w:eastAsia="宋体" w:cs="仿宋_GB2312"/>
          <w:b/>
          <w:sz w:val="32"/>
          <w:szCs w:val="32"/>
        </w:rPr>
        <w:t>商务及技术文件</w:t>
      </w:r>
    </w:p>
    <w:p w14:paraId="015EF2B8">
      <w:pPr>
        <w:ind w:firstLine="640"/>
        <w:rPr>
          <w:rFonts w:ascii="宋体" w:hAnsi="宋体" w:eastAsia="宋体" w:cs="仿宋_GB2312"/>
          <w:b/>
          <w:sz w:val="32"/>
          <w:szCs w:val="32"/>
        </w:rPr>
      </w:pPr>
    </w:p>
    <w:p w14:paraId="4C878877">
      <w:pPr>
        <w:rPr>
          <w:rFonts w:ascii="宋体" w:hAnsi="宋体" w:eastAsia="宋体" w:cs="仿宋_GB2312"/>
          <w:szCs w:val="24"/>
        </w:rPr>
      </w:pPr>
    </w:p>
    <w:p w14:paraId="2646D703">
      <w:pPr>
        <w:snapToGrid w:val="0"/>
        <w:spacing w:before="156" w:beforeLines="50" w:after="50"/>
        <w:ind w:firstLine="482"/>
        <w:rPr>
          <w:rFonts w:ascii="宋体" w:hAnsi="宋体" w:eastAsia="宋体" w:cs="仿宋_GB2312"/>
          <w:bCs/>
          <w:sz w:val="24"/>
          <w:szCs w:val="20"/>
        </w:rPr>
      </w:pPr>
    </w:p>
    <w:p w14:paraId="73D2AC31">
      <w:pPr>
        <w:snapToGrid w:val="0"/>
        <w:spacing w:before="156" w:beforeLines="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项目名称：</w:t>
      </w:r>
    </w:p>
    <w:p w14:paraId="014B16BD">
      <w:pPr>
        <w:snapToGrid w:val="0"/>
        <w:spacing w:before="156" w:beforeLines="50" w:after="50"/>
        <w:ind w:firstLine="540" w:firstLineChars="225"/>
        <w:rPr>
          <w:rFonts w:ascii="宋体" w:hAnsi="宋体" w:eastAsia="宋体" w:cs="仿宋_GB2312"/>
          <w:bCs/>
          <w:sz w:val="24"/>
          <w:szCs w:val="20"/>
        </w:rPr>
      </w:pPr>
    </w:p>
    <w:p w14:paraId="030BBCCC">
      <w:pPr>
        <w:snapToGrid w:val="0"/>
        <w:spacing w:before="156" w:beforeLines="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项目编号：</w:t>
      </w:r>
    </w:p>
    <w:p w14:paraId="2E1EAED3">
      <w:pPr>
        <w:snapToGrid w:val="0"/>
        <w:spacing w:before="156" w:beforeLines="50" w:after="50"/>
        <w:ind w:firstLine="540" w:firstLineChars="225"/>
        <w:rPr>
          <w:rFonts w:ascii="宋体" w:hAnsi="宋体" w:eastAsia="宋体" w:cs="仿宋_GB2312"/>
          <w:bCs/>
          <w:sz w:val="24"/>
          <w:szCs w:val="20"/>
        </w:rPr>
      </w:pPr>
      <w:r>
        <w:rPr>
          <w:rFonts w:hint="eastAsia" w:ascii="宋体" w:hAnsi="宋体" w:eastAsia="宋体" w:cs="仿宋_GB2312"/>
          <w:bCs/>
          <w:sz w:val="24"/>
          <w:szCs w:val="24"/>
        </w:rPr>
        <w:t xml:space="preserve"> </w:t>
      </w:r>
    </w:p>
    <w:p w14:paraId="14A2553A">
      <w:pPr>
        <w:snapToGrid w:val="0"/>
        <w:spacing w:before="156" w:beforeLines="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所投分标：</w:t>
      </w:r>
    </w:p>
    <w:p w14:paraId="732AA0F4">
      <w:pPr>
        <w:snapToGrid w:val="0"/>
        <w:spacing w:before="156" w:beforeLines="50" w:after="50"/>
        <w:ind w:firstLine="540" w:firstLineChars="225"/>
        <w:rPr>
          <w:rFonts w:ascii="宋体" w:hAnsi="宋体" w:eastAsia="宋体" w:cs="仿宋_GB2312"/>
          <w:bCs/>
          <w:sz w:val="24"/>
          <w:szCs w:val="20"/>
        </w:rPr>
      </w:pPr>
    </w:p>
    <w:p w14:paraId="18EF6B6D">
      <w:pPr>
        <w:snapToGrid w:val="0"/>
        <w:spacing w:before="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投标人名称：</w:t>
      </w:r>
    </w:p>
    <w:p w14:paraId="521A93FC">
      <w:pPr>
        <w:snapToGrid w:val="0"/>
        <w:spacing w:before="50" w:after="50"/>
        <w:ind w:firstLine="540" w:firstLineChars="225"/>
        <w:rPr>
          <w:rFonts w:ascii="宋体" w:hAnsi="宋体" w:eastAsia="宋体" w:cs="仿宋_GB2312"/>
          <w:bCs/>
          <w:sz w:val="24"/>
          <w:szCs w:val="24"/>
        </w:rPr>
      </w:pPr>
    </w:p>
    <w:p w14:paraId="593E981F">
      <w:pPr>
        <w:snapToGrid w:val="0"/>
        <w:spacing w:before="50" w:after="50"/>
        <w:ind w:firstLine="540" w:firstLineChars="225"/>
        <w:rPr>
          <w:rFonts w:ascii="宋体" w:hAnsi="宋体" w:eastAsia="宋体" w:cs="仿宋_GB2312"/>
          <w:bCs/>
          <w:sz w:val="24"/>
          <w:szCs w:val="24"/>
        </w:rPr>
      </w:pPr>
      <w:r>
        <w:rPr>
          <w:rFonts w:hint="eastAsia" w:ascii="宋体" w:hAnsi="宋体" w:eastAsia="宋体" w:cs="仿宋_GB2312"/>
          <w:bCs/>
          <w:sz w:val="24"/>
          <w:szCs w:val="24"/>
        </w:rPr>
        <w:t>投标人地址：</w:t>
      </w:r>
    </w:p>
    <w:p w14:paraId="0A143558">
      <w:pPr>
        <w:snapToGrid w:val="0"/>
        <w:spacing w:before="50" w:after="50"/>
        <w:ind w:firstLine="960" w:firstLineChars="400"/>
        <w:rPr>
          <w:rFonts w:ascii="宋体" w:hAnsi="宋体" w:eastAsia="宋体" w:cs="仿宋_GB2312"/>
          <w:bCs/>
          <w:sz w:val="24"/>
          <w:szCs w:val="24"/>
        </w:rPr>
      </w:pPr>
    </w:p>
    <w:p w14:paraId="6BF20D0E">
      <w:pPr>
        <w:snapToGrid w:val="0"/>
        <w:spacing w:before="156" w:beforeLines="50" w:after="50"/>
        <w:ind w:firstLine="482"/>
        <w:rPr>
          <w:rFonts w:ascii="宋体" w:hAnsi="宋体" w:eastAsia="宋体" w:cs="仿宋_GB2312"/>
          <w:sz w:val="24"/>
          <w:szCs w:val="24"/>
        </w:rPr>
      </w:pPr>
      <w:r>
        <w:rPr>
          <w:rFonts w:hint="eastAsia" w:ascii="宋体" w:hAnsi="宋体" w:eastAsia="宋体" w:cs="仿宋_GB2312"/>
          <w:sz w:val="24"/>
          <w:szCs w:val="24"/>
        </w:rPr>
        <w:t xml:space="preserve">                        年  月  日</w:t>
      </w:r>
    </w:p>
    <w:p w14:paraId="4A82D383">
      <w:pPr>
        <w:snapToGrid w:val="0"/>
        <w:spacing w:before="156" w:beforeLines="50" w:after="50"/>
        <w:ind w:firstLine="482"/>
        <w:rPr>
          <w:rFonts w:ascii="宋体" w:hAnsi="宋体" w:eastAsia="宋体" w:cs="仿宋_GB2312"/>
          <w:sz w:val="24"/>
          <w:szCs w:val="20"/>
        </w:rPr>
      </w:pPr>
      <w:r>
        <w:rPr>
          <w:rFonts w:hint="eastAsia" w:ascii="宋体" w:hAnsi="宋体" w:eastAsia="宋体" w:cs="仿宋_GB2312"/>
          <w:sz w:val="24"/>
          <w:szCs w:val="20"/>
        </w:rPr>
        <w:t xml:space="preserve"> </w:t>
      </w:r>
    </w:p>
    <w:p w14:paraId="1E0B4418">
      <w:pPr>
        <w:spacing w:line="360" w:lineRule="auto"/>
        <w:ind w:firstLine="482"/>
        <w:jc w:val="left"/>
        <w:outlineLvl w:val="2"/>
        <w:rPr>
          <w:rFonts w:ascii="宋体" w:hAnsi="宋体" w:eastAsia="宋体" w:cs="仿宋_GB2312"/>
          <w:sz w:val="24"/>
          <w:szCs w:val="20"/>
        </w:rPr>
      </w:pPr>
      <w:r>
        <w:rPr>
          <w:rFonts w:hint="eastAsia" w:ascii="宋体" w:hAnsi="宋体" w:eastAsia="宋体" w:cs="仿宋_GB2312"/>
          <w:sz w:val="24"/>
          <w:szCs w:val="20"/>
        </w:rPr>
        <w:br w:type="page"/>
      </w:r>
      <w:r>
        <w:rPr>
          <w:rFonts w:hint="eastAsia" w:ascii="宋体" w:hAnsi="宋体"/>
          <w:b/>
          <w:sz w:val="30"/>
        </w:rPr>
        <w:t>2.商务及技术文件目录</w:t>
      </w:r>
    </w:p>
    <w:p w14:paraId="1672CC81">
      <w:pPr>
        <w:snapToGrid w:val="0"/>
        <w:spacing w:line="360" w:lineRule="auto"/>
        <w:ind w:firstLine="420" w:firstLineChars="200"/>
        <w:jc w:val="left"/>
        <w:rPr>
          <w:rFonts w:ascii="宋体" w:hAnsi="宋体" w:eastAsia="宋体" w:cs="仿宋_GB2312"/>
          <w:szCs w:val="21"/>
        </w:rPr>
      </w:pPr>
      <w:r>
        <w:rPr>
          <w:rFonts w:hint="eastAsia" w:ascii="宋体" w:hAnsi="宋体" w:eastAsia="宋体" w:cs="仿宋_GB2312"/>
          <w:szCs w:val="21"/>
        </w:rPr>
        <w:t>根据招标文件规定及投标人提供的材料自行编写目录。</w:t>
      </w:r>
    </w:p>
    <w:p w14:paraId="7BF06D2D">
      <w:pPr>
        <w:snapToGrid w:val="0"/>
        <w:spacing w:before="50" w:after="156" w:afterLines="50" w:line="360" w:lineRule="auto"/>
        <w:ind w:firstLine="480"/>
        <w:jc w:val="center"/>
        <w:rPr>
          <w:rFonts w:ascii="宋体" w:hAnsi="宋体" w:eastAsia="宋体" w:cs="仿宋_GB2312"/>
          <w:b/>
          <w:bCs/>
          <w:sz w:val="24"/>
          <w:szCs w:val="24"/>
        </w:rPr>
      </w:pPr>
    </w:p>
    <w:p w14:paraId="33366A2C">
      <w:pPr>
        <w:snapToGrid w:val="0"/>
        <w:spacing w:before="50" w:after="156" w:afterLines="50"/>
        <w:jc w:val="left"/>
        <w:rPr>
          <w:rFonts w:ascii="宋体" w:hAnsi="宋体" w:eastAsia="宋体" w:cs="仿宋_GB2312"/>
          <w:szCs w:val="24"/>
        </w:rPr>
      </w:pPr>
    </w:p>
    <w:p w14:paraId="0A1ED83E">
      <w:pPr>
        <w:spacing w:line="360" w:lineRule="auto"/>
        <w:ind w:firstLine="480"/>
        <w:jc w:val="left"/>
        <w:outlineLvl w:val="2"/>
        <w:rPr>
          <w:rFonts w:ascii="宋体" w:hAnsi="宋体" w:eastAsia="宋体" w:cs="仿宋_GB2312"/>
          <w:b/>
          <w:sz w:val="24"/>
          <w:szCs w:val="24"/>
        </w:rPr>
      </w:pPr>
      <w:r>
        <w:rPr>
          <w:rFonts w:hint="eastAsia" w:ascii="宋体" w:hAnsi="宋体" w:eastAsia="宋体" w:cs="仿宋_GB2312"/>
          <w:b/>
          <w:sz w:val="24"/>
          <w:szCs w:val="24"/>
        </w:rPr>
        <w:br w:type="page"/>
      </w:r>
      <w:r>
        <w:rPr>
          <w:rFonts w:hint="eastAsia" w:ascii="宋体" w:hAnsi="宋体"/>
          <w:b/>
          <w:sz w:val="30"/>
        </w:rPr>
        <w:t>3.无串通投标行为的承诺函</w:t>
      </w:r>
    </w:p>
    <w:p w14:paraId="61D87B1B">
      <w:pPr>
        <w:snapToGrid w:val="0"/>
        <w:spacing w:before="156" w:beforeLines="50" w:after="50"/>
        <w:ind w:firstLine="480"/>
        <w:jc w:val="left"/>
        <w:rPr>
          <w:rFonts w:ascii="宋体" w:hAnsi="宋体" w:eastAsia="宋体" w:cs="仿宋_GB2312"/>
          <w:b/>
          <w:sz w:val="24"/>
          <w:szCs w:val="24"/>
        </w:rPr>
      </w:pPr>
    </w:p>
    <w:p w14:paraId="7021D6C3">
      <w:pPr>
        <w:snapToGrid w:val="0"/>
        <w:spacing w:before="156" w:beforeLines="50" w:after="50"/>
        <w:ind w:firstLine="600"/>
        <w:jc w:val="center"/>
        <w:rPr>
          <w:rFonts w:ascii="宋体" w:hAnsi="宋体" w:eastAsia="宋体" w:cs="仿宋_GB2312"/>
          <w:b/>
          <w:sz w:val="30"/>
          <w:szCs w:val="30"/>
        </w:rPr>
      </w:pPr>
      <w:r>
        <w:rPr>
          <w:rFonts w:hint="eastAsia" w:ascii="宋体" w:hAnsi="宋体" w:eastAsia="宋体" w:cs="仿宋_GB2312"/>
          <w:b/>
          <w:sz w:val="30"/>
          <w:szCs w:val="30"/>
        </w:rPr>
        <w:t>无串通投标行为的承诺函</w:t>
      </w:r>
    </w:p>
    <w:p w14:paraId="18081B27">
      <w:pPr>
        <w:spacing w:line="440" w:lineRule="exact"/>
        <w:ind w:firstLine="480"/>
        <w:contextualSpacing/>
        <w:jc w:val="left"/>
        <w:rPr>
          <w:rFonts w:ascii="宋体" w:hAnsi="宋体" w:eastAsia="宋体" w:cs="仿宋_GB2312"/>
          <w:b/>
          <w:szCs w:val="21"/>
        </w:rPr>
      </w:pPr>
      <w:r>
        <w:rPr>
          <w:rFonts w:hint="eastAsia" w:ascii="宋体" w:hAnsi="宋体" w:eastAsia="宋体" w:cs="仿宋_GB2312"/>
          <w:b/>
          <w:szCs w:val="21"/>
        </w:rPr>
        <w:t>一、我方承诺无下列相互串通投标的情形：</w:t>
      </w:r>
    </w:p>
    <w:p w14:paraId="59F41B2F">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1.不同投标人的投标文件由同一单位或者个人编制；</w:t>
      </w:r>
    </w:p>
    <w:p w14:paraId="29608197">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2.不同投标人委托同一单位或者个人办理投标事宜；</w:t>
      </w:r>
    </w:p>
    <w:p w14:paraId="5605993E">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3.不同的投标人的投标文件载明的项目管理员为同一个人；</w:t>
      </w:r>
    </w:p>
    <w:p w14:paraId="5CCC45F6">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4.不同投标人的投标文件异常一致或者投标报价呈规律性差异；</w:t>
      </w:r>
    </w:p>
    <w:p w14:paraId="7D3CAF66">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5.不同投标人的投标文件相互混装；</w:t>
      </w:r>
    </w:p>
    <w:p w14:paraId="1390453D">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6.不同投标人的投标保证金从同一单位或者个人账户转出。</w:t>
      </w:r>
    </w:p>
    <w:p w14:paraId="6B11CA0A">
      <w:pPr>
        <w:spacing w:line="440" w:lineRule="exact"/>
        <w:ind w:firstLine="480"/>
        <w:contextualSpacing/>
        <w:jc w:val="left"/>
        <w:rPr>
          <w:rFonts w:ascii="宋体" w:hAnsi="宋体" w:eastAsia="宋体" w:cs="仿宋_GB2312"/>
          <w:szCs w:val="21"/>
        </w:rPr>
      </w:pPr>
      <w:r>
        <w:rPr>
          <w:rFonts w:hint="eastAsia" w:ascii="宋体" w:hAnsi="宋体" w:eastAsia="宋体" w:cs="仿宋_GB2312"/>
          <w:b/>
          <w:szCs w:val="21"/>
        </w:rPr>
        <w:t>二、我方承诺无下列恶意串通的情形：</w:t>
      </w:r>
    </w:p>
    <w:p w14:paraId="3569E2F8">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1.投标人直接或者间接从采购人或者采购代理机构处获得其他投标人的相关信息并修改其投标文件或者响应文件；</w:t>
      </w:r>
    </w:p>
    <w:p w14:paraId="2203C439">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2.投标人按照采购人或者采购代理机构的授意撤换、修改投标文件或者响应文件；</w:t>
      </w:r>
    </w:p>
    <w:p w14:paraId="70DABBA0">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3.投标人之间协商报价、技术方案等投标文件或者响应文件的实质性内容；</w:t>
      </w:r>
    </w:p>
    <w:p w14:paraId="5AF9E00D">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4.属于同一集团、协会、商会等组织成员的投标人按照该组织要求协同参加政府采购活动；</w:t>
      </w:r>
    </w:p>
    <w:p w14:paraId="6D738D0C">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5.投标人之间事先约定一致抬高或者压低投标报价，或者在招标项目中事先约定轮流以高价位或者低价位中标，或者事先约定由某一特定投标人中标，然后再参加投标；</w:t>
      </w:r>
    </w:p>
    <w:p w14:paraId="20D864D3">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6.投标人之间商定部分投标人放弃参加政府采购活动或者放弃中标；</w:t>
      </w:r>
    </w:p>
    <w:p w14:paraId="79F62188">
      <w:pPr>
        <w:spacing w:line="440" w:lineRule="exact"/>
        <w:ind w:firstLine="411" w:firstLineChars="196"/>
        <w:contextualSpacing/>
        <w:jc w:val="left"/>
        <w:rPr>
          <w:rFonts w:ascii="宋体" w:hAnsi="宋体" w:eastAsia="宋体" w:cs="仿宋_GB2312"/>
          <w:szCs w:val="21"/>
        </w:rPr>
      </w:pPr>
      <w:r>
        <w:rPr>
          <w:rFonts w:hint="eastAsia" w:ascii="宋体" w:hAnsi="宋体" w:eastAsia="宋体" w:cs="仿宋_GB2312"/>
          <w:szCs w:val="21"/>
        </w:rPr>
        <w:t>7.投标人与采购人或者采购代理机构之间、投标人相互之间，为谋求特定投标人中标或者排斥其他投标人的其他串通行为。</w:t>
      </w:r>
    </w:p>
    <w:p w14:paraId="540DFF61">
      <w:pPr>
        <w:spacing w:line="440" w:lineRule="exact"/>
        <w:ind w:firstLine="413" w:firstLineChars="196"/>
        <w:contextualSpacing/>
        <w:jc w:val="left"/>
        <w:rPr>
          <w:rFonts w:ascii="宋体" w:hAnsi="宋体" w:eastAsia="宋体" w:cs="仿宋_GB2312"/>
          <w:b/>
          <w:szCs w:val="21"/>
        </w:rPr>
      </w:pPr>
      <w:r>
        <w:rPr>
          <w:rFonts w:hint="eastAsia" w:ascii="宋体" w:hAnsi="宋体" w:eastAsia="宋体" w:cs="仿宋_GB2312"/>
          <w:b/>
          <w:szCs w:val="21"/>
        </w:rPr>
        <w:t>以上情形一经核查属实，我方愿意承担一切后果，并不再寻求任何旨在减轻或者免除法律责任的辩解。</w:t>
      </w:r>
    </w:p>
    <w:p w14:paraId="1DF82A29">
      <w:pPr>
        <w:spacing w:line="440" w:lineRule="exact"/>
        <w:ind w:firstLine="840" w:firstLineChars="400"/>
        <w:rPr>
          <w:rFonts w:ascii="宋体" w:hAnsi="宋体" w:eastAsia="宋体" w:cs="仿宋_GB2312"/>
          <w:szCs w:val="20"/>
        </w:rPr>
      </w:pPr>
      <w:r>
        <w:rPr>
          <w:rFonts w:hint="eastAsia" w:ascii="宋体" w:hAnsi="宋体" w:eastAsia="宋体" w:cs="仿宋_GB2312"/>
          <w:szCs w:val="20"/>
        </w:rPr>
        <w:t xml:space="preserve"> </w:t>
      </w:r>
    </w:p>
    <w:p w14:paraId="277D4040">
      <w:pPr>
        <w:spacing w:line="440" w:lineRule="exact"/>
        <w:contextualSpacing/>
        <w:jc w:val="center"/>
        <w:rPr>
          <w:rFonts w:ascii="宋体" w:hAnsi="宋体" w:eastAsia="宋体" w:cs="仿宋_GB2312"/>
          <w:szCs w:val="20"/>
        </w:rPr>
      </w:pPr>
      <w:r>
        <w:rPr>
          <w:rFonts w:hint="eastAsia" w:ascii="宋体" w:hAnsi="宋体" w:eastAsia="宋体" w:cs="仿宋_GB2312"/>
          <w:szCs w:val="20"/>
        </w:rPr>
        <w:t xml:space="preserve">                                    投标人名称（电子签章）:</w:t>
      </w:r>
      <w:r>
        <w:rPr>
          <w:rFonts w:hint="eastAsia" w:ascii="宋体" w:hAnsi="宋体" w:eastAsia="宋体" w:cs="仿宋_GB2312"/>
          <w:spacing w:val="20"/>
          <w:szCs w:val="20"/>
          <w:u w:val="single"/>
        </w:rPr>
        <w:t xml:space="preserve">            </w:t>
      </w:r>
      <w:r>
        <w:rPr>
          <w:rFonts w:hint="eastAsia" w:ascii="宋体" w:hAnsi="宋体" w:eastAsia="宋体" w:cs="仿宋_GB2312"/>
          <w:spacing w:val="20"/>
          <w:szCs w:val="20"/>
        </w:rPr>
        <w:t xml:space="preserve"> </w:t>
      </w:r>
    </w:p>
    <w:p w14:paraId="1485E6B9">
      <w:pPr>
        <w:spacing w:line="440" w:lineRule="exact"/>
        <w:contextualSpacing/>
        <w:jc w:val="right"/>
        <w:rPr>
          <w:rFonts w:ascii="宋体" w:hAnsi="宋体" w:eastAsia="宋体" w:cs="仿宋_GB2312"/>
          <w:szCs w:val="20"/>
        </w:rPr>
      </w:pPr>
      <w:r>
        <w:rPr>
          <w:rFonts w:hint="eastAsia" w:ascii="宋体" w:hAnsi="宋体" w:eastAsia="宋体" w:cs="仿宋_GB2312"/>
          <w:szCs w:val="20"/>
        </w:rPr>
        <w:t xml:space="preserve">                                                </w:t>
      </w:r>
      <w:r>
        <w:rPr>
          <w:rFonts w:hint="eastAsia" w:ascii="宋体" w:hAnsi="宋体" w:eastAsia="宋体" w:cs="仿宋_GB2312"/>
          <w:szCs w:val="20"/>
          <w:u w:val="single"/>
        </w:rPr>
        <w:t xml:space="preserve">      </w:t>
      </w:r>
      <w:r>
        <w:rPr>
          <w:rFonts w:hint="eastAsia" w:ascii="宋体" w:hAnsi="宋体" w:eastAsia="宋体" w:cs="仿宋_GB2312"/>
          <w:szCs w:val="20"/>
        </w:rPr>
        <w:t>年</w:t>
      </w:r>
      <w:r>
        <w:rPr>
          <w:rFonts w:hint="eastAsia" w:ascii="宋体" w:hAnsi="宋体" w:eastAsia="宋体" w:cs="仿宋_GB2312"/>
          <w:szCs w:val="20"/>
          <w:u w:val="single"/>
        </w:rPr>
        <w:t xml:space="preserve">    </w:t>
      </w:r>
      <w:r>
        <w:rPr>
          <w:rFonts w:hint="eastAsia" w:ascii="宋体" w:hAnsi="宋体" w:eastAsia="宋体" w:cs="仿宋_GB2312"/>
          <w:szCs w:val="20"/>
        </w:rPr>
        <w:t>月</w:t>
      </w:r>
      <w:r>
        <w:rPr>
          <w:rFonts w:hint="eastAsia" w:ascii="宋体" w:hAnsi="宋体" w:eastAsia="宋体" w:cs="仿宋_GB2312"/>
          <w:szCs w:val="20"/>
          <w:u w:val="single"/>
        </w:rPr>
        <w:t xml:space="preserve">     </w:t>
      </w:r>
      <w:r>
        <w:rPr>
          <w:rFonts w:hint="eastAsia" w:ascii="宋体" w:hAnsi="宋体" w:eastAsia="宋体" w:cs="仿宋_GB2312"/>
          <w:szCs w:val="20"/>
        </w:rPr>
        <w:t>日</w:t>
      </w:r>
    </w:p>
    <w:p w14:paraId="279EAD85">
      <w:pPr>
        <w:spacing w:line="360" w:lineRule="auto"/>
        <w:ind w:firstLine="480"/>
        <w:jc w:val="left"/>
        <w:outlineLvl w:val="2"/>
        <w:rPr>
          <w:rFonts w:ascii="宋体" w:hAnsi="宋体" w:eastAsia="宋体" w:cs="仿宋_GB2312"/>
          <w:b/>
          <w:sz w:val="24"/>
          <w:szCs w:val="24"/>
        </w:rPr>
      </w:pPr>
      <w:r>
        <w:rPr>
          <w:rFonts w:hint="eastAsia" w:ascii="宋体" w:hAnsi="宋体" w:eastAsia="宋体" w:cs="仿宋_GB2312"/>
          <w:b/>
          <w:sz w:val="24"/>
          <w:szCs w:val="24"/>
        </w:rPr>
        <w:br w:type="page"/>
      </w:r>
      <w:r>
        <w:rPr>
          <w:rFonts w:hint="eastAsia" w:ascii="宋体" w:hAnsi="宋体"/>
          <w:b/>
          <w:sz w:val="30"/>
        </w:rPr>
        <w:t>4.投标保证金提交凭证；</w:t>
      </w:r>
      <w:r>
        <w:rPr>
          <w:rFonts w:hint="eastAsia" w:ascii="宋体" w:hAnsi="宋体" w:eastAsia="宋体" w:cs="仿宋_GB2312"/>
          <w:b/>
          <w:sz w:val="24"/>
          <w:szCs w:val="24"/>
        </w:rPr>
        <w:t xml:space="preserve"> </w:t>
      </w:r>
    </w:p>
    <w:p w14:paraId="52A23361">
      <w:pPr>
        <w:widowControl/>
        <w:ind w:firstLine="480"/>
        <w:jc w:val="left"/>
        <w:rPr>
          <w:rFonts w:ascii="宋体" w:hAnsi="宋体" w:eastAsia="宋体" w:cs="仿宋_GB2312"/>
          <w:b/>
          <w:sz w:val="24"/>
          <w:szCs w:val="24"/>
        </w:rPr>
      </w:pPr>
    </w:p>
    <w:p w14:paraId="1A31F189">
      <w:pPr>
        <w:widowControl/>
        <w:ind w:firstLine="480"/>
        <w:jc w:val="left"/>
        <w:rPr>
          <w:rFonts w:ascii="宋体" w:hAnsi="宋体" w:eastAsia="宋体" w:cs="仿宋_GB2312"/>
          <w:b/>
          <w:sz w:val="24"/>
          <w:szCs w:val="24"/>
        </w:rPr>
      </w:pPr>
      <w:r>
        <w:rPr>
          <w:rFonts w:ascii="宋体" w:hAnsi="宋体" w:eastAsia="宋体" w:cs="仿宋_GB2312"/>
          <w:b/>
          <w:sz w:val="24"/>
          <w:szCs w:val="24"/>
        </w:rPr>
        <w:br w:type="page"/>
      </w:r>
    </w:p>
    <w:p w14:paraId="31025C70">
      <w:pPr>
        <w:spacing w:line="360" w:lineRule="auto"/>
        <w:ind w:firstLine="600"/>
        <w:jc w:val="left"/>
        <w:outlineLvl w:val="2"/>
        <w:rPr>
          <w:rFonts w:ascii="宋体" w:hAnsi="宋体" w:eastAsia="宋体" w:cs="仿宋_GB2312"/>
          <w:b/>
          <w:sz w:val="24"/>
          <w:szCs w:val="20"/>
        </w:rPr>
      </w:pPr>
      <w:r>
        <w:rPr>
          <w:rFonts w:hint="eastAsia" w:ascii="宋体" w:hAnsi="宋体"/>
          <w:b/>
          <w:sz w:val="30"/>
        </w:rPr>
        <w:t>5.法定代表人身份证明</w:t>
      </w:r>
    </w:p>
    <w:p w14:paraId="207FDEDC">
      <w:pPr>
        <w:spacing w:before="312" w:beforeLines="100" w:after="156" w:afterLines="50"/>
        <w:ind w:left="540" w:firstLine="640"/>
        <w:jc w:val="center"/>
        <w:rPr>
          <w:rFonts w:ascii="宋体" w:hAnsi="宋体" w:eastAsia="宋体" w:cs="仿宋_GB2312"/>
          <w:b/>
          <w:sz w:val="32"/>
          <w:szCs w:val="32"/>
        </w:rPr>
      </w:pPr>
    </w:p>
    <w:p w14:paraId="0A9179F7">
      <w:pPr>
        <w:spacing w:before="312" w:beforeLines="100" w:after="156" w:afterLines="50"/>
        <w:ind w:left="540" w:firstLine="600"/>
        <w:jc w:val="center"/>
        <w:rPr>
          <w:rFonts w:ascii="宋体" w:hAnsi="宋体" w:eastAsia="宋体" w:cs="仿宋_GB2312"/>
          <w:b/>
          <w:bCs/>
          <w:sz w:val="30"/>
          <w:szCs w:val="30"/>
        </w:rPr>
      </w:pPr>
      <w:r>
        <w:rPr>
          <w:rFonts w:hint="eastAsia" w:ascii="宋体" w:hAnsi="宋体" w:eastAsia="宋体" w:cs="仿宋_GB2312"/>
          <w:b/>
          <w:bCs/>
          <w:sz w:val="30"/>
          <w:szCs w:val="30"/>
        </w:rPr>
        <w:t>法定代表人身份证明</w:t>
      </w:r>
    </w:p>
    <w:p w14:paraId="5C591748">
      <w:pPr>
        <w:spacing w:line="500" w:lineRule="exact"/>
        <w:ind w:left="540"/>
        <w:rPr>
          <w:rFonts w:ascii="宋体" w:hAnsi="宋体" w:eastAsia="宋体" w:cs="仿宋_GB2312"/>
          <w:szCs w:val="21"/>
        </w:rPr>
      </w:pPr>
      <w:r>
        <w:rPr>
          <w:rFonts w:hint="eastAsia" w:ascii="宋体" w:hAnsi="宋体" w:eastAsia="宋体" w:cs="仿宋_GB2312"/>
          <w:szCs w:val="21"/>
        </w:rPr>
        <w:t>投 标 人：</w:t>
      </w:r>
      <w:r>
        <w:rPr>
          <w:rFonts w:hint="eastAsia" w:ascii="宋体" w:hAnsi="宋体" w:eastAsia="宋体" w:cs="仿宋_GB2312"/>
          <w:szCs w:val="21"/>
          <w:u w:val="single"/>
        </w:rPr>
        <w:t xml:space="preserve">                                                        </w:t>
      </w:r>
    </w:p>
    <w:p w14:paraId="2CCC4E44">
      <w:pPr>
        <w:spacing w:line="500" w:lineRule="exact"/>
        <w:ind w:left="540"/>
        <w:rPr>
          <w:rFonts w:ascii="宋体" w:hAnsi="宋体" w:eastAsia="宋体" w:cs="仿宋_GB2312"/>
          <w:szCs w:val="21"/>
        </w:rPr>
      </w:pPr>
      <w:r>
        <w:rPr>
          <w:rFonts w:hint="eastAsia" w:ascii="宋体" w:hAnsi="宋体" w:eastAsia="宋体" w:cs="仿宋_GB2312"/>
          <w:szCs w:val="21"/>
        </w:rPr>
        <w:t>地    址：</w:t>
      </w:r>
      <w:r>
        <w:rPr>
          <w:rFonts w:hint="eastAsia" w:ascii="宋体" w:hAnsi="宋体" w:eastAsia="宋体" w:cs="仿宋_GB2312"/>
          <w:szCs w:val="21"/>
          <w:u w:val="single"/>
        </w:rPr>
        <w:t xml:space="preserve">                                                        </w:t>
      </w:r>
    </w:p>
    <w:p w14:paraId="6C03A1C2">
      <w:pPr>
        <w:spacing w:line="500" w:lineRule="exact"/>
        <w:ind w:left="540"/>
        <w:rPr>
          <w:rFonts w:ascii="宋体" w:hAnsi="宋体" w:eastAsia="宋体" w:cs="仿宋_GB2312"/>
          <w:szCs w:val="21"/>
        </w:rPr>
      </w:pPr>
      <w:r>
        <w:rPr>
          <w:rFonts w:hint="eastAsia" w:ascii="宋体" w:hAnsi="宋体" w:eastAsia="宋体" w:cs="仿宋_GB2312"/>
          <w:szCs w:val="21"/>
        </w:rPr>
        <w:t>姓    名：</w:t>
      </w:r>
      <w:r>
        <w:rPr>
          <w:rFonts w:hint="eastAsia" w:ascii="宋体" w:hAnsi="宋体" w:eastAsia="宋体" w:cs="仿宋_GB2312"/>
          <w:szCs w:val="21"/>
          <w:u w:val="single"/>
        </w:rPr>
        <w:t xml:space="preserve">                          </w:t>
      </w:r>
      <w:r>
        <w:rPr>
          <w:rFonts w:hint="eastAsia" w:ascii="宋体" w:hAnsi="宋体" w:eastAsia="宋体" w:cs="仿宋_GB2312"/>
          <w:szCs w:val="21"/>
        </w:rPr>
        <w:t>性      别：</w:t>
      </w:r>
      <w:r>
        <w:rPr>
          <w:rFonts w:hint="eastAsia" w:ascii="宋体" w:hAnsi="宋体" w:eastAsia="宋体" w:cs="仿宋_GB2312"/>
          <w:szCs w:val="21"/>
          <w:u w:val="single"/>
        </w:rPr>
        <w:t xml:space="preserve">                </w:t>
      </w:r>
    </w:p>
    <w:p w14:paraId="42C0F6EB">
      <w:pPr>
        <w:spacing w:line="500" w:lineRule="exact"/>
        <w:ind w:left="540"/>
        <w:rPr>
          <w:rFonts w:ascii="宋体" w:hAnsi="宋体" w:eastAsia="宋体" w:cs="仿宋_GB2312"/>
          <w:szCs w:val="21"/>
          <w:u w:val="single"/>
        </w:rPr>
      </w:pPr>
      <w:r>
        <w:rPr>
          <w:rFonts w:hint="eastAsia" w:ascii="宋体" w:hAnsi="宋体" w:eastAsia="宋体" w:cs="仿宋_GB2312"/>
          <w:szCs w:val="21"/>
        </w:rPr>
        <w:t>年    龄：</w:t>
      </w:r>
      <w:r>
        <w:rPr>
          <w:rFonts w:hint="eastAsia" w:ascii="宋体" w:hAnsi="宋体" w:eastAsia="宋体" w:cs="仿宋_GB2312"/>
          <w:szCs w:val="21"/>
          <w:u w:val="single"/>
        </w:rPr>
        <w:t xml:space="preserve">                          </w:t>
      </w:r>
      <w:r>
        <w:rPr>
          <w:rFonts w:hint="eastAsia" w:ascii="宋体" w:hAnsi="宋体" w:eastAsia="宋体" w:cs="仿宋_GB2312"/>
          <w:szCs w:val="21"/>
        </w:rPr>
        <w:t>职      务：</w:t>
      </w:r>
      <w:r>
        <w:rPr>
          <w:rFonts w:hint="eastAsia" w:ascii="宋体" w:hAnsi="宋体" w:eastAsia="宋体" w:cs="仿宋_GB2312"/>
          <w:szCs w:val="21"/>
          <w:u w:val="single"/>
        </w:rPr>
        <w:t xml:space="preserve">                </w:t>
      </w:r>
    </w:p>
    <w:p w14:paraId="43F3CC4A">
      <w:pPr>
        <w:spacing w:line="500" w:lineRule="exact"/>
        <w:ind w:left="540"/>
        <w:rPr>
          <w:rFonts w:ascii="宋体" w:hAnsi="宋体" w:eastAsia="宋体" w:cs="仿宋_GB2312"/>
          <w:szCs w:val="21"/>
        </w:rPr>
      </w:pPr>
      <w:r>
        <w:rPr>
          <w:rFonts w:hint="eastAsia" w:ascii="宋体" w:hAnsi="宋体" w:eastAsia="宋体" w:cs="仿宋_GB2312"/>
          <w:szCs w:val="21"/>
        </w:rPr>
        <w:t>身份证号码：</w:t>
      </w:r>
      <w:r>
        <w:rPr>
          <w:rFonts w:hint="eastAsia" w:ascii="宋体" w:hAnsi="宋体" w:eastAsia="宋体" w:cs="仿宋_GB2312"/>
          <w:szCs w:val="21"/>
          <w:u w:val="single"/>
        </w:rPr>
        <w:t xml:space="preserve">                                 </w:t>
      </w:r>
    </w:p>
    <w:p w14:paraId="367061D5">
      <w:pPr>
        <w:spacing w:line="500" w:lineRule="exact"/>
        <w:ind w:left="540"/>
        <w:rPr>
          <w:rFonts w:ascii="宋体" w:hAnsi="宋体" w:eastAsia="宋体" w:cs="仿宋_GB2312"/>
          <w:szCs w:val="21"/>
        </w:rPr>
      </w:pPr>
      <w:r>
        <w:rPr>
          <w:rFonts w:hint="eastAsia" w:ascii="宋体" w:hAnsi="宋体" w:eastAsia="宋体" w:cs="仿宋_GB2312"/>
          <w:szCs w:val="21"/>
        </w:rPr>
        <w:t>系</w:t>
      </w:r>
      <w:r>
        <w:rPr>
          <w:rFonts w:hint="eastAsia" w:ascii="宋体" w:hAnsi="宋体" w:eastAsia="宋体" w:cs="仿宋_GB2312"/>
          <w:szCs w:val="21"/>
          <w:u w:val="single"/>
        </w:rPr>
        <w:t xml:space="preserve">            （投标人名称）              </w:t>
      </w:r>
      <w:r>
        <w:rPr>
          <w:rFonts w:hint="eastAsia" w:ascii="宋体" w:hAnsi="宋体" w:eastAsia="宋体" w:cs="仿宋_GB2312"/>
          <w:szCs w:val="21"/>
        </w:rPr>
        <w:t>的法定代表人。</w:t>
      </w:r>
    </w:p>
    <w:p w14:paraId="7C73E272">
      <w:pPr>
        <w:spacing w:line="500" w:lineRule="exact"/>
        <w:ind w:left="540"/>
        <w:rPr>
          <w:rFonts w:ascii="宋体" w:hAnsi="宋体" w:eastAsia="宋体" w:cs="仿宋_GB2312"/>
          <w:szCs w:val="21"/>
        </w:rPr>
      </w:pPr>
      <w:r>
        <w:rPr>
          <w:rFonts w:hint="eastAsia" w:ascii="宋体" w:hAnsi="宋体" w:eastAsia="宋体" w:cs="仿宋_GB2312"/>
          <w:szCs w:val="21"/>
        </w:rPr>
        <w:t>特此证明。</w:t>
      </w:r>
    </w:p>
    <w:p w14:paraId="71F621CA">
      <w:pPr>
        <w:spacing w:line="500" w:lineRule="exact"/>
        <w:ind w:left="540"/>
        <w:rPr>
          <w:rFonts w:ascii="宋体" w:hAnsi="宋体" w:eastAsia="宋体" w:cs="仿宋_GB2312"/>
          <w:szCs w:val="21"/>
        </w:rPr>
      </w:pPr>
    </w:p>
    <w:p w14:paraId="1D3967A2">
      <w:pPr>
        <w:spacing w:line="500" w:lineRule="exact"/>
        <w:ind w:left="540"/>
        <w:rPr>
          <w:rFonts w:ascii="宋体" w:hAnsi="宋体" w:eastAsia="宋体" w:cs="仿宋_GB2312"/>
          <w:szCs w:val="21"/>
        </w:rPr>
      </w:pPr>
    </w:p>
    <w:p w14:paraId="794090C3">
      <w:pPr>
        <w:spacing w:line="500" w:lineRule="exact"/>
        <w:ind w:left="540"/>
        <w:rPr>
          <w:rFonts w:ascii="宋体" w:hAnsi="宋体" w:eastAsia="宋体" w:cs="仿宋_GB2312"/>
          <w:szCs w:val="21"/>
        </w:rPr>
      </w:pPr>
      <w:r>
        <w:rPr>
          <w:rFonts w:hint="eastAsia" w:ascii="宋体" w:hAnsi="宋体" w:eastAsia="宋体" w:cs="仿宋_GB2312"/>
          <w:szCs w:val="21"/>
        </w:rPr>
        <w:t>附件：法定代表人有效身份证正反面复印件</w:t>
      </w:r>
    </w:p>
    <w:p w14:paraId="3093A310">
      <w:pPr>
        <w:spacing w:line="500" w:lineRule="exact"/>
        <w:ind w:left="540"/>
        <w:rPr>
          <w:rFonts w:ascii="宋体" w:hAnsi="宋体" w:eastAsia="宋体" w:cs="仿宋_GB2312"/>
          <w:szCs w:val="21"/>
        </w:rPr>
      </w:pPr>
    </w:p>
    <w:p w14:paraId="41632E6B">
      <w:pPr>
        <w:spacing w:line="500" w:lineRule="exact"/>
        <w:ind w:right="420" w:firstLine="4620" w:firstLineChars="2200"/>
        <w:rPr>
          <w:rFonts w:ascii="宋体" w:hAnsi="宋体" w:eastAsia="宋体" w:cs="仿宋_GB2312"/>
          <w:szCs w:val="21"/>
        </w:rPr>
      </w:pPr>
      <w:r>
        <w:rPr>
          <w:rFonts w:hint="eastAsia" w:ascii="宋体" w:hAnsi="宋体" w:eastAsia="宋体" w:cs="仿宋_GB2312"/>
          <w:szCs w:val="21"/>
        </w:rPr>
        <w:t>投标人名称（电子签章）:</w:t>
      </w:r>
      <w:r>
        <w:rPr>
          <w:rFonts w:hint="eastAsia" w:ascii="宋体" w:hAnsi="宋体" w:eastAsia="宋体" w:cs="仿宋_GB2312"/>
          <w:spacing w:val="20"/>
          <w:szCs w:val="21"/>
          <w:u w:val="single"/>
        </w:rPr>
        <w:t xml:space="preserve">            </w:t>
      </w:r>
      <w:r>
        <w:rPr>
          <w:rFonts w:hint="eastAsia" w:ascii="宋体" w:hAnsi="宋体" w:eastAsia="宋体" w:cs="仿宋_GB2312"/>
          <w:spacing w:val="20"/>
          <w:szCs w:val="21"/>
        </w:rPr>
        <w:t xml:space="preserve"> </w:t>
      </w:r>
    </w:p>
    <w:p w14:paraId="59A056C4">
      <w:pPr>
        <w:snapToGrid w:val="0"/>
        <w:spacing w:before="156" w:beforeLines="50" w:after="50"/>
        <w:ind w:left="540" w:right="420"/>
        <w:jc w:val="right"/>
        <w:rPr>
          <w:rFonts w:ascii="宋体" w:hAnsi="宋体" w:eastAsia="宋体" w:cs="仿宋_GB2312"/>
          <w:szCs w:val="21"/>
        </w:rPr>
      </w:pP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14:paraId="47DB0BB2">
      <w:pPr>
        <w:snapToGrid w:val="0"/>
        <w:spacing w:before="156" w:beforeLines="50" w:after="50"/>
        <w:ind w:firstLine="480"/>
        <w:jc w:val="center"/>
        <w:rPr>
          <w:rFonts w:ascii="宋体" w:hAnsi="宋体" w:eastAsia="宋体" w:cs="仿宋_GB2312"/>
          <w:b/>
          <w:szCs w:val="21"/>
        </w:rPr>
      </w:pPr>
    </w:p>
    <w:p w14:paraId="20791408">
      <w:pPr>
        <w:snapToGrid w:val="0"/>
        <w:spacing w:before="156" w:beforeLines="50" w:after="50"/>
        <w:jc w:val="left"/>
        <w:rPr>
          <w:rFonts w:ascii="宋体" w:hAnsi="宋体" w:eastAsia="宋体" w:cs="仿宋_GB2312"/>
          <w:b/>
          <w:szCs w:val="21"/>
        </w:rPr>
      </w:pPr>
      <w:r>
        <w:rPr>
          <w:rFonts w:hint="eastAsia" w:ascii="宋体" w:hAnsi="宋体" w:eastAsia="宋体" w:cs="仿宋_GB2312"/>
          <w:szCs w:val="21"/>
        </w:rPr>
        <w:t>注：自然人投标的无需提供。</w:t>
      </w:r>
    </w:p>
    <w:p w14:paraId="38EA3CC2">
      <w:pPr>
        <w:spacing w:line="360" w:lineRule="auto"/>
        <w:ind w:firstLine="480"/>
        <w:jc w:val="left"/>
        <w:outlineLvl w:val="2"/>
        <w:rPr>
          <w:rFonts w:ascii="宋体" w:hAnsi="宋体" w:eastAsia="宋体" w:cs="仿宋_GB2312"/>
          <w:b/>
          <w:sz w:val="24"/>
          <w:szCs w:val="20"/>
        </w:rPr>
      </w:pPr>
      <w:r>
        <w:rPr>
          <w:rFonts w:hint="eastAsia" w:ascii="宋体" w:hAnsi="宋体" w:eastAsia="宋体" w:cs="仿宋_GB2312"/>
          <w:b/>
          <w:sz w:val="24"/>
          <w:szCs w:val="24"/>
        </w:rPr>
        <w:br w:type="page"/>
      </w:r>
      <w:r>
        <w:rPr>
          <w:rFonts w:hint="eastAsia" w:ascii="宋体" w:hAnsi="宋体"/>
          <w:b/>
          <w:sz w:val="30"/>
        </w:rPr>
        <w:t>6.授权委托书格式</w:t>
      </w:r>
    </w:p>
    <w:p w14:paraId="0D5B16D8">
      <w:pPr>
        <w:snapToGrid w:val="0"/>
        <w:spacing w:before="156" w:beforeLines="50" w:after="50"/>
        <w:ind w:firstLine="600"/>
        <w:jc w:val="center"/>
        <w:rPr>
          <w:rFonts w:ascii="宋体" w:hAnsi="宋体" w:eastAsia="宋体" w:cs="仿宋_GB2312"/>
          <w:b/>
          <w:bCs/>
          <w:sz w:val="30"/>
          <w:szCs w:val="30"/>
        </w:rPr>
      </w:pPr>
      <w:r>
        <w:rPr>
          <w:rFonts w:hint="eastAsia" w:ascii="宋体" w:hAnsi="宋体" w:eastAsia="宋体" w:cs="仿宋_GB2312"/>
          <w:b/>
          <w:bCs/>
          <w:sz w:val="30"/>
          <w:szCs w:val="30"/>
        </w:rPr>
        <w:t>授权委托书</w:t>
      </w:r>
    </w:p>
    <w:p w14:paraId="68BBE9E8">
      <w:pPr>
        <w:snapToGrid w:val="0"/>
        <w:spacing w:before="156" w:beforeLines="50" w:after="50"/>
        <w:ind w:firstLine="640"/>
        <w:jc w:val="center"/>
        <w:rPr>
          <w:rFonts w:ascii="宋体" w:hAnsi="宋体" w:eastAsia="宋体" w:cs="仿宋_GB2312"/>
          <w:b/>
          <w:sz w:val="32"/>
          <w:szCs w:val="32"/>
        </w:rPr>
      </w:pPr>
      <w:r>
        <w:rPr>
          <w:rFonts w:hint="eastAsia" w:ascii="宋体" w:hAnsi="宋体" w:eastAsia="宋体" w:cs="仿宋_GB2312"/>
          <w:b/>
          <w:sz w:val="32"/>
          <w:szCs w:val="32"/>
        </w:rPr>
        <w:t>（非联合体投标格式）</w:t>
      </w:r>
    </w:p>
    <w:p w14:paraId="445462B7">
      <w:pPr>
        <w:snapToGrid w:val="0"/>
        <w:spacing w:before="156" w:beforeLines="50" w:after="50"/>
        <w:ind w:firstLine="640"/>
        <w:jc w:val="center"/>
        <w:rPr>
          <w:rFonts w:ascii="宋体" w:hAnsi="宋体" w:eastAsia="宋体" w:cs="仿宋_GB2312"/>
          <w:b/>
          <w:sz w:val="24"/>
          <w:szCs w:val="24"/>
        </w:rPr>
      </w:pPr>
      <w:r>
        <w:rPr>
          <w:rFonts w:hint="eastAsia" w:ascii="宋体" w:hAnsi="宋体" w:eastAsia="宋体" w:cs="仿宋_GB2312"/>
          <w:b/>
          <w:sz w:val="32"/>
          <w:szCs w:val="32"/>
        </w:rPr>
        <w:t>（如有委托时）</w:t>
      </w:r>
    </w:p>
    <w:p w14:paraId="57B1D800">
      <w:pPr>
        <w:spacing w:line="440" w:lineRule="exact"/>
        <w:contextualSpacing/>
        <w:rPr>
          <w:rFonts w:ascii="宋体" w:hAnsi="宋体" w:eastAsia="宋体" w:cs="仿宋_GB2312"/>
          <w:b/>
          <w:bCs/>
          <w:szCs w:val="21"/>
        </w:rPr>
      </w:pPr>
      <w:r>
        <w:rPr>
          <w:rFonts w:hint="eastAsia" w:ascii="宋体" w:hAnsi="宋体" w:eastAsia="宋体" w:cs="仿宋_GB2312"/>
          <w:bCs/>
          <w:szCs w:val="21"/>
        </w:rPr>
        <w:t>致：</w:t>
      </w:r>
      <w:r>
        <w:rPr>
          <w:rFonts w:hint="eastAsia" w:ascii="宋体" w:hAnsi="宋体" w:eastAsia="宋体" w:cs="仿宋_GB2312"/>
          <w:szCs w:val="21"/>
          <w:u w:val="single"/>
        </w:rPr>
        <w:t>采购人名称</w:t>
      </w:r>
    </w:p>
    <w:p w14:paraId="72691B4C">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我</w:t>
      </w:r>
      <w:r>
        <w:rPr>
          <w:rFonts w:hint="eastAsia" w:ascii="宋体" w:hAnsi="宋体" w:eastAsia="宋体" w:cs="仿宋_GB2312"/>
          <w:szCs w:val="21"/>
          <w:u w:val="single"/>
        </w:rPr>
        <w:t xml:space="preserve">       </w:t>
      </w:r>
      <w:r>
        <w:rPr>
          <w:rFonts w:hint="eastAsia" w:ascii="宋体" w:hAnsi="宋体" w:eastAsia="宋体" w:cs="仿宋_GB2312"/>
          <w:szCs w:val="21"/>
        </w:rPr>
        <w:t>（姓名）系</w:t>
      </w:r>
      <w:r>
        <w:rPr>
          <w:rFonts w:hint="eastAsia" w:ascii="宋体" w:hAnsi="宋体" w:eastAsia="宋体" w:cs="仿宋_GB2312"/>
          <w:szCs w:val="21"/>
          <w:u w:val="single"/>
        </w:rPr>
        <w:t xml:space="preserve">      </w:t>
      </w:r>
      <w:r>
        <w:rPr>
          <w:rFonts w:hint="eastAsia" w:ascii="宋体" w:hAnsi="宋体" w:eastAsia="宋体" w:cs="仿宋_GB2312"/>
          <w:szCs w:val="21"/>
        </w:rPr>
        <w:t>（投标人名称）的法定代表人，现授权委托</w:t>
      </w:r>
      <w:r>
        <w:rPr>
          <w:rFonts w:hint="eastAsia" w:ascii="宋体" w:hAnsi="宋体" w:eastAsia="宋体" w:cs="仿宋_GB2312"/>
          <w:szCs w:val="21"/>
          <w:u w:val="single"/>
        </w:rPr>
        <w:t xml:space="preserve">              （姓名）</w:t>
      </w:r>
      <w:r>
        <w:rPr>
          <w:rFonts w:hint="eastAsia" w:ascii="宋体" w:hAnsi="宋体" w:eastAsia="宋体" w:cs="仿宋_GB2312"/>
          <w:szCs w:val="21"/>
        </w:rPr>
        <w:t>以我方的名义参加</w:t>
      </w:r>
      <w:r>
        <w:rPr>
          <w:rFonts w:hint="eastAsia" w:ascii="宋体" w:hAnsi="宋体" w:eastAsia="宋体" w:cs="仿宋_GB2312"/>
          <w:szCs w:val="21"/>
          <w:u w:val="single"/>
        </w:rPr>
        <w:t xml:space="preserve">              </w:t>
      </w:r>
      <w:r>
        <w:rPr>
          <w:rFonts w:hint="eastAsia" w:ascii="宋体" w:hAnsi="宋体" w:eastAsia="宋体" w:cs="仿宋_GB2312"/>
          <w:szCs w:val="21"/>
        </w:rPr>
        <w:t>项目的投标活动，并代表我方全权办理针对上述项目的所有采购程序和环节的具体事务和签署相关文件。</w:t>
      </w:r>
    </w:p>
    <w:p w14:paraId="33557FE9">
      <w:pPr>
        <w:spacing w:line="440" w:lineRule="exact"/>
        <w:ind w:firstLine="420" w:firstLineChars="200"/>
        <w:contextualSpacing/>
        <w:rPr>
          <w:rFonts w:ascii="宋体" w:hAnsi="宋体" w:eastAsia="宋体" w:cs="仿宋_GB2312"/>
          <w:szCs w:val="21"/>
        </w:rPr>
      </w:pPr>
      <w:r>
        <w:rPr>
          <w:rFonts w:hint="eastAsia" w:ascii="宋体" w:hAnsi="宋体" w:eastAsia="宋体" w:cs="仿宋_GB2312"/>
          <w:szCs w:val="21"/>
        </w:rPr>
        <w:t>我方对委托代理人的签字或者电子签名事项负全部责任。</w:t>
      </w:r>
    </w:p>
    <w:p w14:paraId="18836275">
      <w:pPr>
        <w:spacing w:line="440" w:lineRule="exact"/>
        <w:ind w:firstLine="482"/>
        <w:contextualSpacing/>
        <w:rPr>
          <w:rFonts w:ascii="宋体" w:hAnsi="宋体" w:eastAsia="宋体" w:cs="仿宋_GB2312"/>
          <w:szCs w:val="21"/>
        </w:rPr>
      </w:pPr>
      <w:r>
        <w:rPr>
          <w:rFonts w:hint="eastAsia" w:ascii="宋体" w:hAnsi="宋体" w:eastAsia="宋体" w:cs="仿宋_GB2312"/>
          <w:szCs w:val="21"/>
          <w:u w:val="single"/>
        </w:rPr>
        <w:t>本授权书自签署之日起生效，在撤销授权的书面通知以前，本授权书一直有效。委托代理人在授权书有效期内签署的所有文件不因授权的撤销而失效。</w:t>
      </w:r>
    </w:p>
    <w:p w14:paraId="3C74537C">
      <w:pPr>
        <w:spacing w:line="440" w:lineRule="exact"/>
        <w:ind w:firstLine="482"/>
        <w:contextualSpacing/>
        <w:rPr>
          <w:rFonts w:ascii="宋体" w:hAnsi="宋体" w:eastAsia="宋体" w:cs="仿宋_GB2312"/>
          <w:szCs w:val="21"/>
        </w:rPr>
      </w:pPr>
      <w:r>
        <w:rPr>
          <w:rFonts w:hint="eastAsia" w:ascii="宋体" w:hAnsi="宋体" w:eastAsia="宋体" w:cs="仿宋_GB2312"/>
          <w:szCs w:val="21"/>
        </w:rPr>
        <w:t>委托代理人无转委托权，特此委托。</w:t>
      </w:r>
    </w:p>
    <w:p w14:paraId="4FF07149">
      <w:pPr>
        <w:spacing w:line="440" w:lineRule="exact"/>
        <w:ind w:firstLine="482"/>
        <w:contextualSpacing/>
        <w:rPr>
          <w:rFonts w:ascii="宋体" w:hAnsi="宋体" w:eastAsia="宋体" w:cs="仿宋_GB2312"/>
          <w:szCs w:val="21"/>
        </w:rPr>
      </w:pPr>
      <w:r>
        <w:rPr>
          <w:rFonts w:hint="eastAsia" w:ascii="宋体" w:hAnsi="宋体" w:eastAsia="宋体" w:cs="仿宋_GB2312"/>
          <w:szCs w:val="21"/>
        </w:rPr>
        <w:t>附：法定代表人身份证明及委托代理人有效身份证正反面复印件</w:t>
      </w:r>
    </w:p>
    <w:p w14:paraId="614D4955">
      <w:pPr>
        <w:spacing w:line="440" w:lineRule="exact"/>
        <w:contextualSpacing/>
        <w:rPr>
          <w:rFonts w:ascii="宋体" w:hAnsi="宋体" w:eastAsia="宋体" w:cs="仿宋_GB2312"/>
          <w:szCs w:val="21"/>
        </w:rPr>
      </w:pPr>
    </w:p>
    <w:p w14:paraId="45F260E6">
      <w:pPr>
        <w:spacing w:line="440" w:lineRule="exact"/>
        <w:contextualSpacing/>
        <w:rPr>
          <w:rFonts w:ascii="宋体" w:hAnsi="宋体" w:eastAsia="宋体" w:cs="仿宋_GB2312"/>
          <w:szCs w:val="21"/>
        </w:rPr>
      </w:pPr>
      <w:r>
        <w:rPr>
          <w:rFonts w:hint="eastAsia" w:ascii="宋体" w:hAnsi="宋体" w:eastAsia="宋体" w:cs="仿宋_GB2312"/>
          <w:szCs w:val="21"/>
        </w:rPr>
        <w:t>委托代理人（签字或者电子签名）：</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14:paraId="60A5A7E3">
      <w:pPr>
        <w:spacing w:line="440" w:lineRule="exact"/>
        <w:contextualSpacing/>
        <w:rPr>
          <w:rFonts w:ascii="宋体" w:hAnsi="宋体" w:eastAsia="宋体" w:cs="仿宋_GB2312"/>
          <w:szCs w:val="21"/>
          <w:u w:val="single"/>
        </w:rPr>
      </w:pPr>
      <w:r>
        <w:rPr>
          <w:rFonts w:hint="eastAsia" w:ascii="宋体" w:hAnsi="宋体" w:eastAsia="宋体" w:cs="仿宋_GB2312"/>
          <w:szCs w:val="21"/>
        </w:rPr>
        <w:t>委托代理人身份证号码：</w:t>
      </w:r>
      <w:r>
        <w:rPr>
          <w:rFonts w:hint="eastAsia" w:ascii="宋体" w:hAnsi="宋体" w:eastAsia="宋体" w:cs="仿宋_GB2312"/>
          <w:szCs w:val="21"/>
          <w:u w:val="single"/>
        </w:rPr>
        <w:t xml:space="preserve">                             </w:t>
      </w:r>
    </w:p>
    <w:p w14:paraId="785E73AA">
      <w:pPr>
        <w:spacing w:line="440" w:lineRule="exact"/>
        <w:contextualSpacing/>
        <w:rPr>
          <w:rFonts w:ascii="宋体" w:hAnsi="宋体" w:eastAsia="宋体" w:cs="仿宋_GB2312"/>
          <w:szCs w:val="21"/>
          <w:u w:val="single"/>
        </w:rPr>
      </w:pPr>
      <w:r>
        <w:rPr>
          <w:rFonts w:hint="eastAsia" w:ascii="宋体" w:hAnsi="宋体" w:eastAsia="宋体" w:cs="仿宋_GB2312"/>
          <w:szCs w:val="21"/>
        </w:rPr>
        <w:t>法定代表人（签字或者盖章或者电子签名）：</w:t>
      </w:r>
      <w:r>
        <w:rPr>
          <w:rFonts w:hint="eastAsia" w:ascii="宋体" w:hAnsi="宋体" w:eastAsia="宋体" w:cs="仿宋_GB2312"/>
          <w:szCs w:val="21"/>
          <w:u w:val="single"/>
        </w:rPr>
        <w:t xml:space="preserve">              </w:t>
      </w:r>
    </w:p>
    <w:p w14:paraId="1FCD169D">
      <w:pPr>
        <w:spacing w:line="440" w:lineRule="exact"/>
        <w:contextualSpacing/>
        <w:rPr>
          <w:rFonts w:ascii="宋体" w:hAnsi="宋体" w:eastAsia="宋体" w:cs="仿宋_GB2312"/>
          <w:szCs w:val="21"/>
        </w:rPr>
      </w:pPr>
      <w:r>
        <w:rPr>
          <w:rFonts w:hint="eastAsia" w:ascii="宋体" w:hAnsi="宋体" w:eastAsia="宋体" w:cs="仿宋_GB2312"/>
          <w:szCs w:val="21"/>
        </w:rPr>
        <w:t xml:space="preserve"> </w:t>
      </w:r>
    </w:p>
    <w:p w14:paraId="370E54A3">
      <w:pPr>
        <w:spacing w:line="440" w:lineRule="exact"/>
        <w:contextualSpacing/>
        <w:jc w:val="center"/>
        <w:rPr>
          <w:rFonts w:ascii="宋体" w:hAnsi="宋体" w:eastAsia="宋体" w:cs="仿宋_GB2312"/>
          <w:szCs w:val="21"/>
        </w:rPr>
      </w:pPr>
      <w:r>
        <w:rPr>
          <w:rFonts w:hint="eastAsia" w:ascii="宋体" w:hAnsi="宋体" w:eastAsia="宋体" w:cs="仿宋_GB2312"/>
          <w:szCs w:val="21"/>
        </w:rPr>
        <w:t xml:space="preserve">                               投标人名称（电子签章）：</w:t>
      </w:r>
      <w:r>
        <w:rPr>
          <w:rFonts w:hint="eastAsia" w:ascii="宋体" w:hAnsi="宋体" w:eastAsia="宋体" w:cs="仿宋_GB2312"/>
          <w:spacing w:val="20"/>
          <w:szCs w:val="21"/>
          <w:u w:val="single"/>
        </w:rPr>
        <w:t xml:space="preserve">            </w:t>
      </w:r>
      <w:r>
        <w:rPr>
          <w:rFonts w:hint="eastAsia" w:ascii="宋体" w:hAnsi="宋体" w:eastAsia="宋体" w:cs="仿宋_GB2312"/>
          <w:spacing w:val="20"/>
          <w:szCs w:val="21"/>
        </w:rPr>
        <w:t xml:space="preserve"> </w:t>
      </w:r>
    </w:p>
    <w:p w14:paraId="315F72E4">
      <w:pPr>
        <w:snapToGrid w:val="0"/>
        <w:spacing w:before="156" w:beforeLines="50" w:after="50"/>
        <w:ind w:left="540" w:right="420"/>
        <w:jc w:val="right"/>
        <w:rPr>
          <w:rFonts w:ascii="宋体" w:hAnsi="宋体" w:eastAsia="宋体" w:cs="仿宋_GB2312"/>
          <w:szCs w:val="21"/>
        </w:rPr>
      </w:pPr>
      <w:r>
        <w:rPr>
          <w:rFonts w:hint="eastAsia" w:ascii="宋体" w:hAnsi="宋体" w:eastAsia="宋体" w:cs="仿宋_GB2312"/>
          <w:szCs w:val="21"/>
        </w:rPr>
        <w:t xml:space="preserve">                                            </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14:paraId="50EDFD87">
      <w:pPr>
        <w:spacing w:line="440" w:lineRule="exact"/>
        <w:contextualSpacing/>
        <w:jc w:val="center"/>
        <w:rPr>
          <w:rFonts w:ascii="宋体" w:hAnsi="宋体" w:eastAsia="宋体" w:cs="仿宋_GB2312"/>
          <w:szCs w:val="21"/>
        </w:rPr>
      </w:pPr>
    </w:p>
    <w:p w14:paraId="10B479DC">
      <w:pPr>
        <w:spacing w:line="440" w:lineRule="exact"/>
        <w:contextualSpacing/>
        <w:rPr>
          <w:rFonts w:ascii="宋体" w:hAnsi="宋体" w:eastAsia="宋体" w:cs="仿宋_GB2312"/>
          <w:szCs w:val="21"/>
        </w:rPr>
      </w:pPr>
      <w:r>
        <w:rPr>
          <w:rFonts w:hint="eastAsia" w:ascii="宋体" w:hAnsi="宋体" w:eastAsia="宋体" w:cs="仿宋_GB2312"/>
          <w:szCs w:val="21"/>
        </w:rPr>
        <w:t>注：1.</w:t>
      </w:r>
      <w:bookmarkStart w:id="211" w:name="_Hlk65851555"/>
      <w:bookmarkStart w:id="212" w:name="_Hlk65851620"/>
      <w:r>
        <w:rPr>
          <w:rFonts w:hint="eastAsia" w:ascii="宋体" w:hAnsi="宋体" w:eastAsia="宋体" w:cs="仿宋_GB2312"/>
          <w:szCs w:val="21"/>
        </w:rPr>
        <w:t>法定代表人必须在授权委托书上签字或者盖章或者电子签名，</w:t>
      </w:r>
      <w:bookmarkEnd w:id="211"/>
      <w:r>
        <w:rPr>
          <w:rFonts w:hint="eastAsia" w:ascii="宋体" w:hAnsi="宋体" w:eastAsia="宋体" w:cs="仿宋_GB2312"/>
          <w:szCs w:val="21"/>
        </w:rPr>
        <w:t>委托代理人必须在授权委托书上签字或者电子签名，</w:t>
      </w:r>
      <w:r>
        <w:rPr>
          <w:rFonts w:hint="eastAsia" w:ascii="宋体" w:hAnsi="宋体" w:eastAsia="宋体" w:cs="仿宋_GB2312"/>
          <w:b/>
          <w:bCs/>
          <w:szCs w:val="21"/>
        </w:rPr>
        <w:t>否则按无效投标处理</w:t>
      </w:r>
      <w:r>
        <w:rPr>
          <w:rFonts w:hint="eastAsia" w:ascii="宋体" w:hAnsi="宋体" w:eastAsia="宋体" w:cs="仿宋_GB2312"/>
          <w:szCs w:val="21"/>
        </w:rPr>
        <w:t>；</w:t>
      </w:r>
      <w:bookmarkEnd w:id="212"/>
    </w:p>
    <w:p w14:paraId="2CF4826D">
      <w:pPr>
        <w:spacing w:line="440" w:lineRule="exact"/>
        <w:ind w:firstLine="420" w:firstLineChars="200"/>
        <w:contextualSpacing/>
        <w:jc w:val="left"/>
        <w:rPr>
          <w:rFonts w:ascii="宋体" w:hAnsi="宋体" w:eastAsia="宋体" w:cs="仿宋_GB2312"/>
          <w:szCs w:val="21"/>
        </w:rPr>
      </w:pPr>
      <w:r>
        <w:rPr>
          <w:rFonts w:hint="eastAsia" w:ascii="宋体" w:hAnsi="宋体" w:eastAsia="宋体" w:cs="仿宋_GB2312"/>
          <w:szCs w:val="21"/>
        </w:rPr>
        <w:t>2.法人、其他组织投标时“我方”是指“我单位”，自然人投标时“我方”是指“本人”。</w:t>
      </w:r>
    </w:p>
    <w:p w14:paraId="48098E6C">
      <w:pPr>
        <w:snapToGrid w:val="0"/>
        <w:spacing w:before="156" w:beforeLines="50" w:after="50"/>
        <w:ind w:firstLine="566" w:firstLineChars="236"/>
        <w:jc w:val="center"/>
        <w:rPr>
          <w:rFonts w:ascii="宋体" w:hAnsi="宋体" w:eastAsia="宋体" w:cs="仿宋_GB2312"/>
          <w:b/>
          <w:sz w:val="30"/>
          <w:szCs w:val="30"/>
        </w:rPr>
      </w:pPr>
      <w:r>
        <w:rPr>
          <w:rFonts w:hint="eastAsia" w:ascii="宋体" w:hAnsi="宋体" w:eastAsia="宋体" w:cs="仿宋_GB2312"/>
          <w:sz w:val="24"/>
          <w:szCs w:val="24"/>
        </w:rPr>
        <w:br w:type="page"/>
      </w:r>
      <w:r>
        <w:rPr>
          <w:rFonts w:hint="eastAsia" w:ascii="宋体" w:hAnsi="宋体" w:eastAsia="宋体" w:cs="仿宋_GB2312"/>
          <w:b/>
          <w:sz w:val="30"/>
          <w:szCs w:val="30"/>
        </w:rPr>
        <w:t>授权委托书</w:t>
      </w:r>
    </w:p>
    <w:p w14:paraId="7CC4BFEB">
      <w:pPr>
        <w:snapToGrid w:val="0"/>
        <w:spacing w:before="156" w:beforeLines="50" w:after="50"/>
        <w:ind w:firstLine="758" w:firstLineChars="236"/>
        <w:jc w:val="center"/>
        <w:rPr>
          <w:rFonts w:ascii="宋体" w:hAnsi="宋体" w:eastAsia="宋体" w:cs="仿宋_GB2312"/>
          <w:b/>
          <w:bCs/>
          <w:sz w:val="32"/>
          <w:szCs w:val="32"/>
        </w:rPr>
      </w:pPr>
      <w:r>
        <w:rPr>
          <w:rFonts w:hint="eastAsia" w:ascii="宋体" w:hAnsi="宋体" w:eastAsia="宋体" w:cs="仿宋_GB2312"/>
          <w:b/>
          <w:bCs/>
          <w:sz w:val="32"/>
          <w:szCs w:val="32"/>
        </w:rPr>
        <w:t>（联合体投标格式）</w:t>
      </w:r>
    </w:p>
    <w:p w14:paraId="62E016A3">
      <w:pPr>
        <w:snapToGrid w:val="0"/>
        <w:spacing w:before="156" w:beforeLines="50" w:after="50"/>
        <w:ind w:firstLine="758" w:firstLineChars="236"/>
        <w:jc w:val="center"/>
        <w:rPr>
          <w:rFonts w:ascii="宋体" w:hAnsi="宋体" w:eastAsia="宋体" w:cs="仿宋_GB2312"/>
          <w:sz w:val="24"/>
          <w:szCs w:val="24"/>
        </w:rPr>
      </w:pPr>
      <w:r>
        <w:rPr>
          <w:rFonts w:hint="eastAsia" w:ascii="宋体" w:hAnsi="宋体" w:eastAsia="宋体" w:cs="仿宋_GB2312"/>
          <w:b/>
          <w:bCs/>
          <w:sz w:val="32"/>
          <w:szCs w:val="32"/>
        </w:rPr>
        <w:t>（如有委托时）</w:t>
      </w:r>
    </w:p>
    <w:p w14:paraId="733ECB50">
      <w:pPr>
        <w:spacing w:line="440" w:lineRule="exact"/>
        <w:contextualSpacing/>
        <w:jc w:val="left"/>
        <w:rPr>
          <w:rFonts w:ascii="宋体" w:hAnsi="宋体" w:eastAsia="宋体" w:cs="仿宋_GB2312"/>
          <w:szCs w:val="21"/>
        </w:rPr>
      </w:pPr>
      <w:r>
        <w:rPr>
          <w:rFonts w:hint="eastAsia" w:ascii="宋体" w:hAnsi="宋体" w:eastAsia="宋体" w:cs="仿宋_GB2312"/>
          <w:bCs/>
          <w:szCs w:val="21"/>
        </w:rPr>
        <w:t>致：</w:t>
      </w:r>
      <w:r>
        <w:rPr>
          <w:rFonts w:hint="eastAsia" w:ascii="宋体" w:hAnsi="宋体" w:eastAsia="宋体" w:cs="仿宋_GB2312"/>
          <w:szCs w:val="21"/>
          <w:u w:val="single"/>
        </w:rPr>
        <w:t>采购人名称</w:t>
      </w:r>
    </w:p>
    <w:p w14:paraId="5BAE7377">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 xml:space="preserve">根据 </w:t>
      </w:r>
      <w:r>
        <w:rPr>
          <w:rFonts w:hint="eastAsia" w:ascii="宋体" w:hAnsi="宋体" w:eastAsia="宋体" w:cs="仿宋_GB2312"/>
          <w:szCs w:val="21"/>
          <w:u w:val="single"/>
        </w:rPr>
        <w:t xml:space="preserve"> （牵头人名称）</w:t>
      </w:r>
      <w:r>
        <w:rPr>
          <w:rFonts w:hint="eastAsia" w:ascii="宋体" w:hAnsi="宋体" w:eastAsia="宋体" w:cs="仿宋_GB2312"/>
          <w:szCs w:val="21"/>
        </w:rPr>
        <w:t>与</w:t>
      </w:r>
      <w:r>
        <w:rPr>
          <w:rFonts w:hint="eastAsia" w:ascii="宋体" w:hAnsi="宋体" w:eastAsia="宋体" w:cs="仿宋_GB2312"/>
          <w:szCs w:val="21"/>
          <w:u w:val="single"/>
        </w:rPr>
        <w:t>（联合体其他成员名称）</w:t>
      </w:r>
      <w:r>
        <w:rPr>
          <w:rFonts w:hint="eastAsia" w:ascii="宋体" w:hAnsi="宋体" w:eastAsia="宋体" w:cs="仿宋_GB2312"/>
          <w:szCs w:val="21"/>
        </w:rPr>
        <w:t>签订的《联合体投标协议书》的内容，</w:t>
      </w:r>
      <w:r>
        <w:rPr>
          <w:rFonts w:hint="eastAsia" w:ascii="宋体" w:hAnsi="宋体" w:eastAsia="宋体" w:cs="仿宋_GB2312"/>
          <w:szCs w:val="21"/>
          <w:u w:val="single"/>
        </w:rPr>
        <w:t>（牵头人名称）</w:t>
      </w:r>
      <w:r>
        <w:rPr>
          <w:rFonts w:hint="eastAsia" w:ascii="宋体" w:hAnsi="宋体" w:eastAsia="宋体" w:cs="仿宋_GB2312"/>
          <w:szCs w:val="21"/>
        </w:rPr>
        <w:t>的法定代表人</w:t>
      </w:r>
      <w:r>
        <w:rPr>
          <w:rFonts w:hint="eastAsia" w:ascii="宋体" w:hAnsi="宋体" w:eastAsia="宋体" w:cs="仿宋_GB2312"/>
          <w:szCs w:val="21"/>
          <w:u w:val="single"/>
        </w:rPr>
        <w:t>（姓名）</w:t>
      </w:r>
      <w:r>
        <w:rPr>
          <w:rFonts w:hint="eastAsia" w:ascii="宋体" w:hAnsi="宋体" w:eastAsia="宋体" w:cs="仿宋_GB2312"/>
          <w:szCs w:val="21"/>
        </w:rPr>
        <w:t>现授权委托</w:t>
      </w:r>
      <w:r>
        <w:rPr>
          <w:rFonts w:hint="eastAsia" w:ascii="宋体" w:hAnsi="宋体" w:eastAsia="宋体" w:cs="仿宋_GB2312"/>
          <w:szCs w:val="21"/>
          <w:u w:val="single"/>
        </w:rPr>
        <w:t xml:space="preserve">          （姓名）</w:t>
      </w:r>
      <w:r>
        <w:rPr>
          <w:rFonts w:hint="eastAsia" w:ascii="宋体" w:hAnsi="宋体" w:eastAsia="宋体" w:cs="仿宋_GB2312"/>
          <w:szCs w:val="21"/>
        </w:rPr>
        <w:t>以我方的名义参加</w:t>
      </w:r>
      <w:r>
        <w:rPr>
          <w:rFonts w:hint="eastAsia" w:ascii="宋体" w:hAnsi="宋体" w:eastAsia="宋体" w:cs="仿宋_GB2312"/>
          <w:szCs w:val="21"/>
          <w:u w:val="single"/>
        </w:rPr>
        <w:t xml:space="preserve">              </w:t>
      </w:r>
      <w:r>
        <w:rPr>
          <w:rFonts w:hint="eastAsia" w:ascii="宋体" w:hAnsi="宋体" w:eastAsia="宋体" w:cs="仿宋_GB2312"/>
          <w:szCs w:val="21"/>
        </w:rPr>
        <w:t>项目的投标活动，并代表我方全权办理针对上述项目的所有采购程序和环节的具体事务和签署相关文件。</w:t>
      </w:r>
    </w:p>
    <w:p w14:paraId="50339E2E">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我方对委托代理人的签字或者电子签名事项负全部责任。</w:t>
      </w:r>
    </w:p>
    <w:p w14:paraId="18E0530A">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本授权书自签署之日起生效，在撤销授权的书面通知以前，本授权书一直有效。委托代理人在授权书有效期内签署的所有文件不因授权的撤销而失效。</w:t>
      </w:r>
    </w:p>
    <w:p w14:paraId="1E26E3FD">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委托代理人无转委托权，特此委托。</w:t>
      </w:r>
    </w:p>
    <w:p w14:paraId="4F9160FF">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附：牵头人法定代表人身份证明及委托代理人有效身份证正反面复印件</w:t>
      </w:r>
    </w:p>
    <w:p w14:paraId="5B25B240">
      <w:pPr>
        <w:spacing w:line="440" w:lineRule="exact"/>
        <w:ind w:firstLine="495" w:firstLineChars="236"/>
        <w:contextualSpacing/>
        <w:rPr>
          <w:rFonts w:ascii="宋体" w:hAnsi="宋体" w:eastAsia="宋体" w:cs="仿宋_GB2312"/>
          <w:szCs w:val="21"/>
        </w:rPr>
      </w:pPr>
    </w:p>
    <w:p w14:paraId="36EAD333">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牵头人法定代表人（签字或者盖章或者电子签名）：</w:t>
      </w:r>
      <w:r>
        <w:rPr>
          <w:rFonts w:hint="eastAsia" w:ascii="宋体" w:hAnsi="宋体" w:eastAsia="宋体" w:cs="仿宋_GB2312"/>
          <w:spacing w:val="20"/>
          <w:szCs w:val="21"/>
          <w:u w:val="single"/>
        </w:rPr>
        <w:t xml:space="preserve">            </w:t>
      </w:r>
      <w:r>
        <w:rPr>
          <w:rFonts w:hint="eastAsia" w:ascii="宋体" w:hAnsi="宋体" w:eastAsia="宋体" w:cs="仿宋_GB2312"/>
          <w:spacing w:val="20"/>
          <w:szCs w:val="21"/>
        </w:rPr>
        <w:t xml:space="preserve"> </w:t>
      </w:r>
    </w:p>
    <w:p w14:paraId="6A2C6322">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牵头人（电子签章）：</w:t>
      </w:r>
      <w:r>
        <w:rPr>
          <w:rFonts w:hint="eastAsia" w:ascii="宋体" w:hAnsi="宋体" w:eastAsia="宋体" w:cs="仿宋_GB2312"/>
          <w:spacing w:val="20"/>
          <w:szCs w:val="21"/>
          <w:u w:val="single"/>
        </w:rPr>
        <w:t xml:space="preserve">            </w:t>
      </w:r>
      <w:r>
        <w:rPr>
          <w:rFonts w:hint="eastAsia" w:ascii="宋体" w:hAnsi="宋体" w:eastAsia="宋体" w:cs="仿宋_GB2312"/>
          <w:spacing w:val="20"/>
          <w:szCs w:val="21"/>
        </w:rPr>
        <w:t xml:space="preserve"> </w:t>
      </w:r>
    </w:p>
    <w:p w14:paraId="6AF33851">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日期：    年   月   日</w:t>
      </w:r>
    </w:p>
    <w:p w14:paraId="6D1D3711">
      <w:pPr>
        <w:spacing w:line="440" w:lineRule="exact"/>
        <w:ind w:firstLine="495" w:firstLineChars="236"/>
        <w:contextualSpacing/>
        <w:rPr>
          <w:rFonts w:ascii="宋体" w:hAnsi="宋体" w:eastAsia="宋体" w:cs="仿宋_GB2312"/>
          <w:szCs w:val="21"/>
        </w:rPr>
      </w:pPr>
    </w:p>
    <w:p w14:paraId="6763CD4F">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被授权人（签字或者电子签名）：</w:t>
      </w:r>
      <w:r>
        <w:rPr>
          <w:rFonts w:hint="eastAsia" w:ascii="宋体" w:hAnsi="宋体" w:eastAsia="宋体" w:cs="仿宋_GB2312"/>
          <w:spacing w:val="20"/>
          <w:szCs w:val="21"/>
          <w:u w:val="single"/>
        </w:rPr>
        <w:t xml:space="preserve">            </w:t>
      </w:r>
      <w:r>
        <w:rPr>
          <w:rFonts w:hint="eastAsia" w:ascii="宋体" w:hAnsi="宋体" w:eastAsia="宋体" w:cs="仿宋_GB2312"/>
          <w:spacing w:val="20"/>
          <w:szCs w:val="21"/>
        </w:rPr>
        <w:t xml:space="preserve"> </w:t>
      </w:r>
    </w:p>
    <w:p w14:paraId="40CF6C17">
      <w:pPr>
        <w:spacing w:line="440" w:lineRule="exact"/>
        <w:ind w:firstLine="495" w:firstLineChars="236"/>
        <w:contextualSpacing/>
        <w:rPr>
          <w:rFonts w:ascii="宋体" w:hAnsi="宋体" w:eastAsia="宋体" w:cs="仿宋_GB2312"/>
          <w:szCs w:val="21"/>
        </w:rPr>
      </w:pPr>
      <w:r>
        <w:rPr>
          <w:rFonts w:hint="eastAsia" w:ascii="宋体" w:hAnsi="宋体" w:eastAsia="宋体" w:cs="仿宋_GB2312"/>
          <w:szCs w:val="21"/>
        </w:rPr>
        <w:t>日期：    年   月   日</w:t>
      </w:r>
    </w:p>
    <w:p w14:paraId="6614B5DC">
      <w:pPr>
        <w:spacing w:line="440" w:lineRule="exact"/>
        <w:contextualSpacing/>
        <w:rPr>
          <w:rFonts w:ascii="宋体" w:hAnsi="宋体" w:eastAsia="宋体" w:cs="仿宋_GB2312"/>
          <w:szCs w:val="21"/>
        </w:rPr>
      </w:pPr>
      <w:r>
        <w:rPr>
          <w:rFonts w:hint="eastAsia" w:ascii="宋体" w:hAnsi="宋体" w:eastAsia="宋体" w:cs="仿宋_GB2312"/>
          <w:szCs w:val="21"/>
        </w:rPr>
        <w:t>注：1.法定代表人必须在授权委托书上签字或者盖章或者电子签名，委托代理人必须在授权委托书上签字或者电子签名，</w:t>
      </w:r>
      <w:r>
        <w:rPr>
          <w:rFonts w:hint="eastAsia" w:ascii="宋体" w:hAnsi="宋体" w:eastAsia="宋体" w:cs="仿宋_GB2312"/>
          <w:b/>
          <w:bCs/>
          <w:szCs w:val="21"/>
        </w:rPr>
        <w:t>否则按无效投标处理</w:t>
      </w:r>
      <w:r>
        <w:rPr>
          <w:rFonts w:hint="eastAsia" w:ascii="宋体" w:hAnsi="宋体" w:eastAsia="宋体" w:cs="仿宋_GB2312"/>
          <w:szCs w:val="21"/>
        </w:rPr>
        <w:t>；</w:t>
      </w:r>
    </w:p>
    <w:p w14:paraId="2A17770E">
      <w:pPr>
        <w:spacing w:line="360" w:lineRule="auto"/>
        <w:rPr>
          <w:rFonts w:ascii="宋体" w:hAnsi="宋体" w:eastAsia="宋体" w:cs="仿宋_GB2312"/>
          <w:szCs w:val="21"/>
        </w:rPr>
      </w:pPr>
      <w:r>
        <w:rPr>
          <w:rFonts w:hint="eastAsia" w:ascii="宋体" w:hAnsi="宋体" w:eastAsia="宋体" w:cs="仿宋_GB2312"/>
          <w:szCs w:val="21"/>
        </w:rPr>
        <w:t>2.法人、其他组织投标时“我方”是指“我单位”，自然人投标时“我方”是指“本人”。</w:t>
      </w:r>
    </w:p>
    <w:p w14:paraId="527B37BD">
      <w:pPr>
        <w:widowControl/>
        <w:jc w:val="left"/>
        <w:rPr>
          <w:rFonts w:ascii="宋体" w:hAnsi="宋体" w:eastAsia="宋体" w:cs="仿宋_GB2312"/>
          <w:szCs w:val="21"/>
        </w:rPr>
      </w:pPr>
      <w:r>
        <w:rPr>
          <w:rFonts w:ascii="宋体" w:hAnsi="宋体" w:eastAsia="宋体" w:cs="仿宋_GB2312"/>
          <w:szCs w:val="21"/>
        </w:rPr>
        <w:br w:type="page"/>
      </w:r>
    </w:p>
    <w:p w14:paraId="4482D163">
      <w:pPr>
        <w:spacing w:line="360" w:lineRule="auto"/>
        <w:ind w:firstLine="600"/>
        <w:jc w:val="left"/>
        <w:outlineLvl w:val="2"/>
        <w:rPr>
          <w:rFonts w:ascii="宋体" w:hAnsi="宋体"/>
          <w:b/>
          <w:sz w:val="30"/>
        </w:rPr>
      </w:pPr>
      <w:r>
        <w:rPr>
          <w:rFonts w:hint="eastAsia" w:ascii="宋体" w:hAnsi="宋体"/>
          <w:b/>
          <w:sz w:val="30"/>
        </w:rPr>
        <w:t>7.商务要求偏离表格式（注：按项目需求表具体项目修改）</w:t>
      </w:r>
    </w:p>
    <w:p w14:paraId="590E522A">
      <w:pPr>
        <w:spacing w:line="360" w:lineRule="auto"/>
        <w:ind w:firstLine="482"/>
        <w:rPr>
          <w:rFonts w:ascii="宋体" w:hAnsi="宋体" w:eastAsia="宋体" w:cs="仿宋_GB2312"/>
          <w:sz w:val="24"/>
          <w:szCs w:val="24"/>
          <w:u w:val="single"/>
        </w:rPr>
      </w:pPr>
      <w:r>
        <w:rPr>
          <w:rFonts w:hint="eastAsia" w:ascii="宋体" w:hAnsi="宋体" w:eastAsia="宋体" w:cs="仿宋_GB2312"/>
          <w:sz w:val="24"/>
          <w:szCs w:val="24"/>
        </w:rPr>
        <w:t>所投分标：</w:t>
      </w:r>
      <w:r>
        <w:rPr>
          <w:rFonts w:hint="eastAsia" w:ascii="宋体" w:hAnsi="宋体" w:eastAsia="宋体" w:cs="仿宋_GB2312"/>
          <w:sz w:val="24"/>
          <w:szCs w:val="24"/>
          <w:u w:val="single"/>
        </w:rPr>
        <w:t xml:space="preserve">              </w:t>
      </w:r>
    </w:p>
    <w:tbl>
      <w:tblPr>
        <w:tblStyle w:val="53"/>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8"/>
        <w:gridCol w:w="3700"/>
        <w:gridCol w:w="2734"/>
        <w:gridCol w:w="1449"/>
      </w:tblGrid>
      <w:tr w14:paraId="5724A8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58" w:type="dxa"/>
            <w:tcBorders>
              <w:top w:val="single" w:color="auto" w:sz="4" w:space="0"/>
              <w:left w:val="single" w:color="auto" w:sz="4" w:space="0"/>
              <w:bottom w:val="single" w:color="auto" w:sz="4" w:space="0"/>
              <w:right w:val="single" w:color="auto" w:sz="4" w:space="0"/>
            </w:tcBorders>
          </w:tcPr>
          <w:p w14:paraId="7BE6D0D9">
            <w:pPr>
              <w:snapToGrid w:val="0"/>
              <w:spacing w:before="156" w:beforeLines="50" w:line="440" w:lineRule="exact"/>
              <w:jc w:val="center"/>
              <w:rPr>
                <w:rFonts w:ascii="宋体" w:hAnsi="宋体" w:eastAsia="宋体" w:cs="仿宋_GB2312"/>
                <w:szCs w:val="21"/>
              </w:rPr>
            </w:pPr>
            <w:r>
              <w:rPr>
                <w:rFonts w:hint="eastAsia" w:ascii="宋体" w:hAnsi="宋体" w:eastAsia="宋体" w:cs="仿宋_GB2312"/>
                <w:szCs w:val="21"/>
              </w:rPr>
              <w:t>项号</w:t>
            </w:r>
          </w:p>
        </w:tc>
        <w:tc>
          <w:tcPr>
            <w:tcW w:w="3700" w:type="dxa"/>
            <w:tcBorders>
              <w:top w:val="single" w:color="auto" w:sz="4" w:space="0"/>
              <w:left w:val="single" w:color="auto" w:sz="4" w:space="0"/>
              <w:bottom w:val="single" w:color="auto" w:sz="4" w:space="0"/>
              <w:right w:val="single" w:color="auto" w:sz="4" w:space="0"/>
            </w:tcBorders>
            <w:vAlign w:val="center"/>
          </w:tcPr>
          <w:p w14:paraId="1A387DBC">
            <w:pPr>
              <w:spacing w:line="340" w:lineRule="exact"/>
              <w:jc w:val="center"/>
              <w:rPr>
                <w:rFonts w:ascii="宋体" w:hAnsi="宋体" w:eastAsia="宋体" w:cs="仿宋_GB2312"/>
                <w:szCs w:val="21"/>
              </w:rPr>
            </w:pPr>
            <w:r>
              <w:rPr>
                <w:rFonts w:hint="eastAsia" w:ascii="宋体" w:hAnsi="宋体" w:eastAsia="宋体" w:cs="仿宋"/>
                <w:szCs w:val="21"/>
              </w:rPr>
              <w:t>招标文件的商务要求</w:t>
            </w:r>
          </w:p>
        </w:tc>
        <w:tc>
          <w:tcPr>
            <w:tcW w:w="2734" w:type="dxa"/>
            <w:tcBorders>
              <w:top w:val="single" w:color="auto" w:sz="4" w:space="0"/>
              <w:left w:val="single" w:color="auto" w:sz="4" w:space="0"/>
              <w:bottom w:val="single" w:color="auto" w:sz="4" w:space="0"/>
              <w:right w:val="single" w:color="auto" w:sz="4" w:space="0"/>
            </w:tcBorders>
            <w:vAlign w:val="center"/>
          </w:tcPr>
          <w:p w14:paraId="743ECF99">
            <w:pPr>
              <w:spacing w:line="340" w:lineRule="exact"/>
              <w:jc w:val="center"/>
              <w:rPr>
                <w:rFonts w:ascii="宋体" w:hAnsi="宋体" w:eastAsia="宋体" w:cs="仿宋_GB2312"/>
                <w:szCs w:val="21"/>
              </w:rPr>
            </w:pPr>
            <w:r>
              <w:rPr>
                <w:rFonts w:hint="eastAsia" w:ascii="宋体" w:hAnsi="宋体" w:eastAsia="宋体" w:cs="仿宋"/>
                <w:szCs w:val="21"/>
              </w:rPr>
              <w:t>投标文件的承诺</w:t>
            </w:r>
          </w:p>
        </w:tc>
        <w:tc>
          <w:tcPr>
            <w:tcW w:w="1449" w:type="dxa"/>
            <w:tcBorders>
              <w:top w:val="single" w:color="auto" w:sz="4" w:space="0"/>
              <w:left w:val="single" w:color="auto" w:sz="4" w:space="0"/>
              <w:bottom w:val="single" w:color="auto" w:sz="4" w:space="0"/>
              <w:right w:val="single" w:color="auto" w:sz="4" w:space="0"/>
            </w:tcBorders>
          </w:tcPr>
          <w:p w14:paraId="5E8BD363">
            <w:pPr>
              <w:snapToGrid w:val="0"/>
              <w:spacing w:before="156" w:beforeLines="50" w:line="440" w:lineRule="exact"/>
              <w:jc w:val="center"/>
              <w:rPr>
                <w:rFonts w:ascii="宋体" w:hAnsi="宋体" w:eastAsia="宋体" w:cs="仿宋_GB2312"/>
                <w:szCs w:val="21"/>
              </w:rPr>
            </w:pPr>
            <w:r>
              <w:rPr>
                <w:rFonts w:hint="eastAsia" w:ascii="宋体" w:hAnsi="宋体" w:eastAsia="宋体" w:cs="仿宋_GB2312"/>
                <w:szCs w:val="21"/>
              </w:rPr>
              <w:t>偏离说明</w:t>
            </w:r>
          </w:p>
        </w:tc>
      </w:tr>
      <w:tr w14:paraId="6E76F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758" w:type="dxa"/>
            <w:tcBorders>
              <w:top w:val="single" w:color="auto" w:sz="4" w:space="0"/>
              <w:left w:val="single" w:color="auto" w:sz="4" w:space="0"/>
              <w:bottom w:val="single" w:color="auto" w:sz="4" w:space="0"/>
              <w:right w:val="single" w:color="auto" w:sz="4" w:space="0"/>
            </w:tcBorders>
            <w:vAlign w:val="center"/>
          </w:tcPr>
          <w:p w14:paraId="22C90055">
            <w:pPr>
              <w:spacing w:line="440" w:lineRule="exact"/>
              <w:jc w:val="center"/>
              <w:rPr>
                <w:rFonts w:ascii="宋体" w:hAnsi="宋体" w:eastAsia="宋体" w:cs="仿宋_GB2312"/>
                <w:szCs w:val="21"/>
              </w:rPr>
            </w:pPr>
          </w:p>
        </w:tc>
        <w:tc>
          <w:tcPr>
            <w:tcW w:w="3700" w:type="dxa"/>
            <w:tcBorders>
              <w:top w:val="single" w:color="auto" w:sz="4" w:space="0"/>
              <w:left w:val="single" w:color="auto" w:sz="4" w:space="0"/>
              <w:bottom w:val="single" w:color="auto" w:sz="4" w:space="0"/>
              <w:right w:val="single" w:color="auto" w:sz="4" w:space="0"/>
            </w:tcBorders>
            <w:vAlign w:val="center"/>
          </w:tcPr>
          <w:p w14:paraId="7C404D98">
            <w:pPr>
              <w:spacing w:line="440" w:lineRule="exact"/>
              <w:jc w:val="left"/>
              <w:rPr>
                <w:rFonts w:ascii="宋体" w:hAnsi="宋体" w:eastAsia="宋体" w:cs="仿宋_GB2312"/>
                <w:szCs w:val="21"/>
              </w:rPr>
            </w:pPr>
          </w:p>
        </w:tc>
        <w:tc>
          <w:tcPr>
            <w:tcW w:w="2734" w:type="dxa"/>
            <w:tcBorders>
              <w:top w:val="single" w:color="auto" w:sz="4" w:space="0"/>
              <w:left w:val="single" w:color="auto" w:sz="4" w:space="0"/>
              <w:bottom w:val="single" w:color="auto" w:sz="4" w:space="0"/>
              <w:right w:val="single" w:color="auto" w:sz="4" w:space="0"/>
            </w:tcBorders>
          </w:tcPr>
          <w:p w14:paraId="07E008E9">
            <w:pPr>
              <w:snapToGrid w:val="0"/>
              <w:spacing w:before="156" w:beforeLines="50" w:line="440" w:lineRule="exact"/>
              <w:jc w:val="center"/>
              <w:rPr>
                <w:rFonts w:ascii="宋体" w:hAnsi="宋体" w:eastAsia="宋体" w:cs="仿宋_GB2312"/>
                <w:szCs w:val="21"/>
              </w:rPr>
            </w:pPr>
          </w:p>
        </w:tc>
        <w:tc>
          <w:tcPr>
            <w:tcW w:w="1449" w:type="dxa"/>
            <w:tcBorders>
              <w:top w:val="single" w:color="auto" w:sz="4" w:space="0"/>
              <w:left w:val="single" w:color="auto" w:sz="4" w:space="0"/>
              <w:bottom w:val="single" w:color="auto" w:sz="4" w:space="0"/>
              <w:right w:val="single" w:color="auto" w:sz="4" w:space="0"/>
            </w:tcBorders>
          </w:tcPr>
          <w:p w14:paraId="56645146">
            <w:pPr>
              <w:snapToGrid w:val="0"/>
              <w:spacing w:before="156" w:beforeLines="50" w:line="440" w:lineRule="exact"/>
              <w:jc w:val="center"/>
              <w:rPr>
                <w:rFonts w:ascii="宋体" w:hAnsi="宋体" w:eastAsia="宋体" w:cs="仿宋_GB2312"/>
                <w:szCs w:val="21"/>
              </w:rPr>
            </w:pPr>
          </w:p>
        </w:tc>
      </w:tr>
      <w:tr w14:paraId="4B4688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758" w:type="dxa"/>
            <w:tcBorders>
              <w:top w:val="single" w:color="auto" w:sz="4" w:space="0"/>
              <w:left w:val="single" w:color="auto" w:sz="4" w:space="0"/>
              <w:bottom w:val="single" w:color="auto" w:sz="4" w:space="0"/>
              <w:right w:val="single" w:color="auto" w:sz="4" w:space="0"/>
            </w:tcBorders>
            <w:vAlign w:val="center"/>
          </w:tcPr>
          <w:p w14:paraId="366E7B88">
            <w:pPr>
              <w:spacing w:line="440" w:lineRule="exact"/>
              <w:jc w:val="center"/>
              <w:rPr>
                <w:rFonts w:ascii="宋体" w:hAnsi="宋体" w:eastAsia="宋体" w:cs="仿宋_GB2312"/>
                <w:szCs w:val="21"/>
              </w:rPr>
            </w:pPr>
          </w:p>
        </w:tc>
        <w:tc>
          <w:tcPr>
            <w:tcW w:w="3700" w:type="dxa"/>
            <w:tcBorders>
              <w:top w:val="single" w:color="auto" w:sz="4" w:space="0"/>
              <w:left w:val="single" w:color="auto" w:sz="4" w:space="0"/>
              <w:bottom w:val="single" w:color="auto" w:sz="4" w:space="0"/>
              <w:right w:val="single" w:color="auto" w:sz="4" w:space="0"/>
            </w:tcBorders>
            <w:vAlign w:val="center"/>
          </w:tcPr>
          <w:p w14:paraId="7DF88C6A">
            <w:pPr>
              <w:spacing w:line="440" w:lineRule="exact"/>
              <w:jc w:val="left"/>
              <w:rPr>
                <w:rFonts w:ascii="宋体" w:hAnsi="宋体" w:eastAsia="宋体" w:cs="仿宋_GB2312"/>
                <w:szCs w:val="21"/>
              </w:rPr>
            </w:pPr>
          </w:p>
        </w:tc>
        <w:tc>
          <w:tcPr>
            <w:tcW w:w="2734" w:type="dxa"/>
            <w:tcBorders>
              <w:top w:val="single" w:color="auto" w:sz="4" w:space="0"/>
              <w:left w:val="single" w:color="auto" w:sz="4" w:space="0"/>
              <w:bottom w:val="single" w:color="auto" w:sz="4" w:space="0"/>
              <w:right w:val="single" w:color="auto" w:sz="4" w:space="0"/>
            </w:tcBorders>
          </w:tcPr>
          <w:p w14:paraId="284519CE">
            <w:pPr>
              <w:snapToGrid w:val="0"/>
              <w:spacing w:before="156" w:beforeLines="50" w:line="440" w:lineRule="exact"/>
              <w:ind w:left="43"/>
              <w:jc w:val="center"/>
              <w:rPr>
                <w:rFonts w:ascii="宋体" w:hAnsi="宋体" w:eastAsia="宋体" w:cs="仿宋_GB2312"/>
                <w:szCs w:val="21"/>
              </w:rPr>
            </w:pPr>
          </w:p>
        </w:tc>
        <w:tc>
          <w:tcPr>
            <w:tcW w:w="1449" w:type="dxa"/>
            <w:tcBorders>
              <w:top w:val="single" w:color="auto" w:sz="4" w:space="0"/>
              <w:left w:val="single" w:color="auto" w:sz="4" w:space="0"/>
              <w:bottom w:val="single" w:color="auto" w:sz="4" w:space="0"/>
              <w:right w:val="single" w:color="auto" w:sz="4" w:space="0"/>
            </w:tcBorders>
          </w:tcPr>
          <w:p w14:paraId="104D9BAD">
            <w:pPr>
              <w:snapToGrid w:val="0"/>
              <w:spacing w:before="156" w:beforeLines="50" w:line="440" w:lineRule="exact"/>
              <w:ind w:left="43"/>
              <w:jc w:val="center"/>
              <w:rPr>
                <w:rFonts w:ascii="宋体" w:hAnsi="宋体" w:eastAsia="宋体" w:cs="仿宋_GB2312"/>
                <w:szCs w:val="21"/>
              </w:rPr>
            </w:pPr>
          </w:p>
        </w:tc>
      </w:tr>
      <w:tr w14:paraId="30CDC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tcPr>
          <w:p w14:paraId="0E30CF1B">
            <w:pPr>
              <w:snapToGrid w:val="0"/>
              <w:spacing w:before="156" w:beforeLines="50" w:line="440" w:lineRule="exact"/>
              <w:jc w:val="center"/>
              <w:rPr>
                <w:rFonts w:ascii="宋体" w:hAnsi="宋体" w:eastAsia="宋体" w:cs="仿宋_GB2312"/>
                <w:szCs w:val="21"/>
              </w:rPr>
            </w:pPr>
            <w:r>
              <w:rPr>
                <w:rFonts w:hint="eastAsia" w:ascii="宋体" w:hAnsi="宋体" w:eastAsia="宋体" w:cs="仿宋_GB2312"/>
                <w:szCs w:val="21"/>
              </w:rPr>
              <w:t>…</w:t>
            </w:r>
          </w:p>
        </w:tc>
        <w:tc>
          <w:tcPr>
            <w:tcW w:w="3700" w:type="dxa"/>
            <w:tcBorders>
              <w:top w:val="single" w:color="auto" w:sz="4" w:space="0"/>
              <w:left w:val="single" w:color="auto" w:sz="4" w:space="0"/>
              <w:bottom w:val="single" w:color="auto" w:sz="4" w:space="0"/>
              <w:right w:val="single" w:color="auto" w:sz="4" w:space="0"/>
            </w:tcBorders>
          </w:tcPr>
          <w:p w14:paraId="343871E7">
            <w:pPr>
              <w:snapToGrid w:val="0"/>
              <w:spacing w:before="156" w:beforeLines="50" w:line="440" w:lineRule="exact"/>
              <w:jc w:val="center"/>
              <w:rPr>
                <w:rFonts w:ascii="宋体" w:hAnsi="宋体" w:eastAsia="宋体" w:cs="仿宋_GB2312"/>
                <w:szCs w:val="21"/>
              </w:rPr>
            </w:pPr>
          </w:p>
        </w:tc>
        <w:tc>
          <w:tcPr>
            <w:tcW w:w="2734" w:type="dxa"/>
            <w:tcBorders>
              <w:top w:val="single" w:color="auto" w:sz="4" w:space="0"/>
              <w:left w:val="single" w:color="auto" w:sz="4" w:space="0"/>
              <w:bottom w:val="single" w:color="auto" w:sz="4" w:space="0"/>
              <w:right w:val="single" w:color="auto" w:sz="4" w:space="0"/>
            </w:tcBorders>
          </w:tcPr>
          <w:p w14:paraId="44AADDBE">
            <w:pPr>
              <w:snapToGrid w:val="0"/>
              <w:spacing w:before="156" w:beforeLines="50" w:line="440" w:lineRule="exact"/>
              <w:jc w:val="center"/>
              <w:rPr>
                <w:rFonts w:ascii="宋体" w:hAnsi="宋体" w:eastAsia="宋体" w:cs="仿宋_GB2312"/>
                <w:szCs w:val="21"/>
              </w:rPr>
            </w:pPr>
          </w:p>
        </w:tc>
        <w:tc>
          <w:tcPr>
            <w:tcW w:w="1449" w:type="dxa"/>
            <w:tcBorders>
              <w:top w:val="single" w:color="auto" w:sz="4" w:space="0"/>
              <w:left w:val="single" w:color="auto" w:sz="4" w:space="0"/>
              <w:bottom w:val="single" w:color="auto" w:sz="4" w:space="0"/>
              <w:right w:val="single" w:color="auto" w:sz="4" w:space="0"/>
            </w:tcBorders>
          </w:tcPr>
          <w:p w14:paraId="2CD5753C">
            <w:pPr>
              <w:snapToGrid w:val="0"/>
              <w:spacing w:before="156" w:beforeLines="50" w:line="440" w:lineRule="exact"/>
              <w:jc w:val="center"/>
              <w:rPr>
                <w:rFonts w:ascii="宋体" w:hAnsi="宋体" w:eastAsia="宋体" w:cs="仿宋_GB2312"/>
                <w:szCs w:val="21"/>
              </w:rPr>
            </w:pPr>
          </w:p>
        </w:tc>
      </w:tr>
    </w:tbl>
    <w:p w14:paraId="66471C29">
      <w:pPr>
        <w:spacing w:after="120" w:line="440" w:lineRule="exact"/>
        <w:rPr>
          <w:rFonts w:ascii="宋体" w:hAnsi="宋体" w:eastAsia="宋体" w:cs="仿宋_GB2312"/>
          <w:szCs w:val="21"/>
        </w:rPr>
      </w:pPr>
      <w:r>
        <w:rPr>
          <w:rFonts w:hint="eastAsia" w:ascii="宋体" w:hAnsi="宋体" w:eastAsia="宋体" w:cs="仿宋_GB2312"/>
          <w:szCs w:val="21"/>
        </w:rPr>
        <w:t>注：</w:t>
      </w:r>
    </w:p>
    <w:p w14:paraId="0DAEF18F">
      <w:pPr>
        <w:spacing w:line="440" w:lineRule="exact"/>
        <w:ind w:firstLine="466"/>
        <w:rPr>
          <w:rFonts w:ascii="宋体" w:hAnsi="宋体" w:eastAsia="宋体" w:cs="仿宋_GB2312"/>
          <w:spacing w:val="-4"/>
          <w:szCs w:val="21"/>
        </w:rPr>
      </w:pPr>
      <w:r>
        <w:rPr>
          <w:rFonts w:hint="eastAsia" w:ascii="宋体" w:hAnsi="宋体" w:eastAsia="宋体" w:cs="仿宋_GB2312"/>
          <w:spacing w:val="-4"/>
          <w:szCs w:val="21"/>
        </w:rPr>
        <w:t>1. 说明：应对照招标文件“第二章 采购需求”中的商务要求逐条作明确的投标响应，并作出偏离说明。</w:t>
      </w:r>
    </w:p>
    <w:p w14:paraId="36F7A866">
      <w:pPr>
        <w:spacing w:line="360" w:lineRule="auto"/>
        <w:rPr>
          <w:rFonts w:ascii="宋体" w:hAnsi="宋体" w:eastAsia="宋体" w:cs="仿宋_GB2312"/>
          <w:szCs w:val="21"/>
        </w:rPr>
      </w:pPr>
      <w:r>
        <w:rPr>
          <w:rFonts w:hint="eastAsia" w:ascii="宋体" w:hAnsi="宋体" w:eastAsia="宋体" w:cs="仿宋_GB2312"/>
          <w:szCs w:val="21"/>
        </w:rPr>
        <w:t>2.投标人应根据自身的承诺，对照招标文件要求在“偏离说明”中注明“正偏离”、“负偏离”或者“无偏离”。既不属于“正偏离”也不属于“负偏离”即为“无偏离”。</w:t>
      </w:r>
    </w:p>
    <w:p w14:paraId="20EDDE67">
      <w:pPr>
        <w:spacing w:line="360" w:lineRule="auto"/>
        <w:rPr>
          <w:rFonts w:ascii="宋体" w:hAnsi="宋体" w:eastAsia="宋体" w:cs="仿宋_GB2312"/>
          <w:szCs w:val="21"/>
        </w:rPr>
      </w:pPr>
    </w:p>
    <w:p w14:paraId="027EEB58">
      <w:pPr>
        <w:snapToGrid w:val="0"/>
        <w:spacing w:before="156" w:beforeLines="50" w:line="440" w:lineRule="exact"/>
        <w:ind w:firstLine="562"/>
        <w:rPr>
          <w:rFonts w:ascii="宋体" w:hAnsi="宋体" w:eastAsia="宋体" w:cs="仿宋_GB2312"/>
          <w:spacing w:val="20"/>
          <w:szCs w:val="21"/>
        </w:rPr>
      </w:pPr>
      <w:r>
        <w:rPr>
          <w:rFonts w:hint="eastAsia" w:ascii="宋体" w:hAnsi="宋体" w:eastAsia="宋体" w:cs="仿宋_GB2312"/>
          <w:spacing w:val="20"/>
          <w:szCs w:val="21"/>
        </w:rPr>
        <w:t>投标人名称（电子签章）：</w:t>
      </w:r>
      <w:r>
        <w:rPr>
          <w:rFonts w:hint="eastAsia" w:ascii="宋体" w:hAnsi="宋体" w:eastAsia="宋体" w:cs="仿宋_GB2312"/>
          <w:spacing w:val="20"/>
          <w:szCs w:val="21"/>
          <w:u w:val="single"/>
        </w:rPr>
        <w:t xml:space="preserve">            </w:t>
      </w:r>
      <w:r>
        <w:rPr>
          <w:rFonts w:hint="eastAsia" w:ascii="宋体" w:hAnsi="宋体" w:eastAsia="宋体" w:cs="仿宋_GB2312"/>
          <w:spacing w:val="20"/>
          <w:szCs w:val="21"/>
        </w:rPr>
        <w:t xml:space="preserve">   </w:t>
      </w:r>
    </w:p>
    <w:p w14:paraId="76F4B3B2">
      <w:pPr>
        <w:snapToGrid w:val="0"/>
        <w:spacing w:before="156" w:beforeLines="50" w:after="50"/>
        <w:ind w:right="920" w:firstLine="562"/>
        <w:rPr>
          <w:rFonts w:ascii="宋体" w:hAnsi="宋体" w:eastAsia="宋体" w:cs="仿宋_GB2312"/>
          <w:szCs w:val="21"/>
        </w:rPr>
      </w:pPr>
      <w:r>
        <w:rPr>
          <w:rFonts w:hint="eastAsia" w:ascii="宋体" w:hAnsi="宋体" w:eastAsia="宋体" w:cs="仿宋_GB2312"/>
          <w:spacing w:val="20"/>
          <w:szCs w:val="21"/>
        </w:rPr>
        <w:t>日  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14:paraId="43760770">
      <w:pPr>
        <w:widowControl/>
        <w:jc w:val="left"/>
        <w:rPr>
          <w:rFonts w:ascii="宋体" w:hAnsi="宋体" w:eastAsia="宋体" w:cs="仿宋_GB2312"/>
          <w:szCs w:val="21"/>
        </w:rPr>
      </w:pPr>
      <w:r>
        <w:rPr>
          <w:rFonts w:ascii="宋体" w:hAnsi="宋体" w:eastAsia="宋体" w:cs="仿宋_GB2312"/>
          <w:szCs w:val="21"/>
        </w:rPr>
        <w:br w:type="page"/>
      </w:r>
    </w:p>
    <w:p w14:paraId="49E04B39">
      <w:pPr>
        <w:spacing w:line="360" w:lineRule="auto"/>
        <w:ind w:firstLine="600"/>
        <w:jc w:val="left"/>
        <w:outlineLvl w:val="2"/>
        <w:rPr>
          <w:rFonts w:ascii="宋体" w:hAnsi="宋体"/>
          <w:b/>
          <w:sz w:val="30"/>
        </w:rPr>
      </w:pPr>
      <w:r>
        <w:rPr>
          <w:rFonts w:hint="eastAsia" w:ascii="宋体" w:hAnsi="宋体"/>
          <w:b/>
          <w:sz w:val="30"/>
        </w:rPr>
        <w:t>8.售后服务方案</w:t>
      </w:r>
    </w:p>
    <w:p w14:paraId="2A1FB3B2">
      <w:pPr>
        <w:widowControl/>
        <w:ind w:firstLine="600"/>
        <w:jc w:val="left"/>
        <w:rPr>
          <w:rFonts w:ascii="宋体" w:hAnsi="宋体"/>
          <w:b/>
          <w:sz w:val="30"/>
        </w:rPr>
      </w:pPr>
    </w:p>
    <w:p w14:paraId="58B89F52">
      <w:pPr>
        <w:widowControl/>
        <w:ind w:firstLine="600"/>
        <w:jc w:val="left"/>
        <w:rPr>
          <w:rFonts w:ascii="宋体" w:hAnsi="宋体"/>
          <w:b/>
          <w:sz w:val="30"/>
        </w:rPr>
      </w:pPr>
      <w:r>
        <w:rPr>
          <w:rFonts w:ascii="宋体" w:hAnsi="宋体"/>
          <w:b/>
          <w:sz w:val="30"/>
        </w:rPr>
        <w:br w:type="page"/>
      </w:r>
    </w:p>
    <w:p w14:paraId="73F05907">
      <w:pPr>
        <w:spacing w:line="360" w:lineRule="auto"/>
        <w:ind w:firstLine="600"/>
        <w:jc w:val="left"/>
        <w:outlineLvl w:val="2"/>
        <w:rPr>
          <w:rFonts w:ascii="宋体" w:hAnsi="宋体"/>
          <w:b/>
          <w:sz w:val="30"/>
        </w:rPr>
      </w:pPr>
      <w:r>
        <w:rPr>
          <w:rFonts w:hint="eastAsia" w:ascii="宋体" w:hAnsi="宋体"/>
          <w:b/>
          <w:sz w:val="30"/>
        </w:rPr>
        <w:t>9.投标人情况介绍</w:t>
      </w:r>
    </w:p>
    <w:p w14:paraId="64489244">
      <w:pPr>
        <w:widowControl/>
        <w:ind w:firstLine="600"/>
        <w:jc w:val="left"/>
        <w:rPr>
          <w:rFonts w:ascii="宋体" w:hAnsi="宋体"/>
          <w:b/>
          <w:sz w:val="30"/>
        </w:rPr>
      </w:pPr>
    </w:p>
    <w:p w14:paraId="63EF35BA">
      <w:pPr>
        <w:widowControl/>
        <w:ind w:firstLine="600"/>
        <w:jc w:val="left"/>
        <w:rPr>
          <w:rFonts w:ascii="宋体" w:hAnsi="宋体"/>
          <w:b/>
          <w:sz w:val="30"/>
        </w:rPr>
      </w:pPr>
      <w:r>
        <w:rPr>
          <w:rFonts w:ascii="宋体" w:hAnsi="宋体"/>
          <w:b/>
          <w:sz w:val="30"/>
        </w:rPr>
        <w:br w:type="page"/>
      </w:r>
    </w:p>
    <w:p w14:paraId="648238A2">
      <w:pPr>
        <w:spacing w:line="360" w:lineRule="auto"/>
        <w:ind w:firstLine="600"/>
        <w:jc w:val="left"/>
        <w:outlineLvl w:val="2"/>
        <w:rPr>
          <w:rFonts w:ascii="宋体" w:hAnsi="宋体"/>
          <w:b/>
          <w:sz w:val="30"/>
        </w:rPr>
      </w:pPr>
      <w:r>
        <w:rPr>
          <w:rFonts w:hint="eastAsia" w:ascii="宋体" w:hAnsi="宋体"/>
          <w:b/>
          <w:sz w:val="30"/>
        </w:rPr>
        <w:t>10.投标人业绩证明材料</w:t>
      </w:r>
    </w:p>
    <w:p w14:paraId="565AC217">
      <w:pPr>
        <w:snapToGrid w:val="0"/>
        <w:ind w:left="480" w:hanging="480" w:hangingChars="200"/>
        <w:rPr>
          <w:rFonts w:ascii="宋体" w:hAnsi="宋体" w:eastAsia="宋体" w:cs="仿宋_GB2312"/>
          <w:sz w:val="24"/>
          <w:szCs w:val="24"/>
        </w:rPr>
      </w:pPr>
    </w:p>
    <w:p w14:paraId="64795CFC">
      <w:pPr>
        <w:snapToGrid w:val="0"/>
        <w:spacing w:line="440" w:lineRule="exact"/>
        <w:ind w:left="600" w:hanging="600" w:hangingChars="200"/>
        <w:jc w:val="center"/>
        <w:rPr>
          <w:rFonts w:ascii="宋体" w:hAnsi="宋体" w:eastAsia="宋体" w:cs="仿宋_GB2312"/>
          <w:sz w:val="30"/>
          <w:szCs w:val="30"/>
        </w:rPr>
      </w:pPr>
      <w:r>
        <w:rPr>
          <w:rFonts w:hint="eastAsia" w:ascii="宋体" w:hAnsi="宋体" w:eastAsia="宋体" w:cs="仿宋_GB2312"/>
          <w:sz w:val="30"/>
          <w:szCs w:val="30"/>
        </w:rPr>
        <w:t xml:space="preserve">投标人业绩情况一览表格式 </w:t>
      </w:r>
    </w:p>
    <w:tbl>
      <w:tblPr>
        <w:tblStyle w:val="5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93"/>
        <w:gridCol w:w="1905"/>
        <w:gridCol w:w="1905"/>
        <w:gridCol w:w="3071"/>
      </w:tblGrid>
      <w:tr w14:paraId="62A204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55B50DA6">
            <w:pPr>
              <w:snapToGrid w:val="0"/>
              <w:spacing w:line="440" w:lineRule="exact"/>
              <w:jc w:val="center"/>
              <w:rPr>
                <w:rFonts w:ascii="宋体" w:hAnsi="宋体" w:eastAsia="宋体" w:cs="仿宋_GB2312"/>
                <w:szCs w:val="21"/>
              </w:rPr>
            </w:pPr>
            <w:r>
              <w:rPr>
                <w:rFonts w:hint="eastAsia" w:ascii="宋体" w:hAnsi="宋体" w:eastAsia="宋体" w:cs="仿宋_GB2312"/>
                <w:szCs w:val="21"/>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64B399CD">
            <w:pPr>
              <w:snapToGrid w:val="0"/>
              <w:spacing w:line="440" w:lineRule="exact"/>
              <w:jc w:val="center"/>
              <w:rPr>
                <w:rFonts w:ascii="宋体" w:hAnsi="宋体" w:eastAsia="宋体" w:cs="仿宋_GB2312"/>
                <w:szCs w:val="21"/>
              </w:rPr>
            </w:pPr>
            <w:r>
              <w:rPr>
                <w:rFonts w:hint="eastAsia" w:ascii="宋体" w:hAnsi="宋体" w:eastAsia="宋体" w:cs="仿宋_GB2312"/>
                <w:szCs w:val="21"/>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7CF5421A">
            <w:pPr>
              <w:snapToGrid w:val="0"/>
              <w:spacing w:line="440" w:lineRule="exact"/>
              <w:jc w:val="center"/>
              <w:rPr>
                <w:rFonts w:ascii="宋体" w:hAnsi="宋体" w:eastAsia="宋体" w:cs="仿宋_GB2312"/>
                <w:szCs w:val="21"/>
              </w:rPr>
            </w:pPr>
            <w:r>
              <w:rPr>
                <w:rFonts w:hint="eastAsia" w:ascii="宋体" w:hAnsi="宋体" w:eastAsia="宋体" w:cs="仿宋_GB2312"/>
                <w:szCs w:val="21"/>
              </w:rPr>
              <w:t>合同金额</w:t>
            </w:r>
          </w:p>
          <w:p w14:paraId="6A64F8EF">
            <w:pPr>
              <w:snapToGrid w:val="0"/>
              <w:spacing w:line="440" w:lineRule="exact"/>
              <w:jc w:val="center"/>
              <w:rPr>
                <w:rFonts w:ascii="宋体" w:hAnsi="宋体" w:eastAsia="宋体" w:cs="仿宋_GB2312"/>
                <w:szCs w:val="21"/>
              </w:rPr>
            </w:pPr>
            <w:r>
              <w:rPr>
                <w:rFonts w:hint="eastAsia" w:ascii="宋体" w:hAnsi="宋体" w:eastAsia="宋体" w:cs="仿宋_GB2312"/>
                <w:szCs w:val="21"/>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79696EAE">
            <w:pPr>
              <w:snapToGrid w:val="0"/>
              <w:spacing w:line="440" w:lineRule="exact"/>
              <w:jc w:val="center"/>
              <w:rPr>
                <w:rFonts w:ascii="宋体" w:hAnsi="宋体" w:eastAsia="宋体" w:cs="仿宋_GB2312"/>
                <w:szCs w:val="21"/>
              </w:rPr>
            </w:pPr>
            <w:r>
              <w:rPr>
                <w:rFonts w:hint="eastAsia" w:ascii="宋体" w:hAnsi="宋体" w:eastAsia="宋体" w:cs="仿宋_GB2312"/>
                <w:szCs w:val="21"/>
              </w:rPr>
              <w:t>采购人联系人及</w:t>
            </w:r>
          </w:p>
          <w:p w14:paraId="079649F6">
            <w:pPr>
              <w:snapToGrid w:val="0"/>
              <w:spacing w:line="440" w:lineRule="exact"/>
              <w:jc w:val="center"/>
              <w:rPr>
                <w:rFonts w:ascii="宋体" w:hAnsi="宋体" w:eastAsia="宋体" w:cs="仿宋_GB2312"/>
                <w:szCs w:val="21"/>
              </w:rPr>
            </w:pPr>
            <w:r>
              <w:rPr>
                <w:rFonts w:hint="eastAsia" w:ascii="宋体" w:hAnsi="宋体" w:eastAsia="宋体" w:cs="仿宋_GB2312"/>
                <w:szCs w:val="21"/>
              </w:rPr>
              <w:t>联系电话</w:t>
            </w:r>
          </w:p>
        </w:tc>
      </w:tr>
      <w:tr w14:paraId="40859A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473E482E">
            <w:pPr>
              <w:spacing w:line="440" w:lineRule="exact"/>
              <w:jc w:val="left"/>
              <w:rPr>
                <w:rFonts w:ascii="宋体" w:hAnsi="宋体" w:eastAsia="宋体" w:cs="仿宋_GB2312"/>
                <w:szCs w:val="21"/>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18E58958">
            <w:pPr>
              <w:spacing w:line="440" w:lineRule="exact"/>
              <w:jc w:val="left"/>
              <w:rPr>
                <w:rFonts w:ascii="宋体" w:hAnsi="宋体" w:eastAsia="宋体" w:cs="仿宋_GB2312"/>
                <w:szCs w:val="21"/>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77C65C89">
            <w:pPr>
              <w:spacing w:line="440" w:lineRule="exact"/>
              <w:jc w:val="left"/>
              <w:rPr>
                <w:rFonts w:ascii="宋体" w:hAnsi="宋体" w:eastAsia="宋体" w:cs="仿宋_GB2312"/>
                <w:szCs w:val="21"/>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565DA728">
            <w:pPr>
              <w:spacing w:line="440" w:lineRule="exact"/>
              <w:jc w:val="left"/>
              <w:rPr>
                <w:rFonts w:ascii="宋体" w:hAnsi="宋体" w:eastAsia="宋体" w:cs="仿宋_GB2312"/>
                <w:szCs w:val="21"/>
              </w:rPr>
            </w:pPr>
          </w:p>
        </w:tc>
      </w:tr>
      <w:tr w14:paraId="2C0D2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7EA3580F">
            <w:pPr>
              <w:snapToGrid w:val="0"/>
              <w:spacing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15C316AF">
            <w:pPr>
              <w:snapToGrid w:val="0"/>
              <w:spacing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08B4A2F7">
            <w:pPr>
              <w:snapToGrid w:val="0"/>
              <w:spacing w:line="440" w:lineRule="exact"/>
              <w:jc w:val="left"/>
              <w:rPr>
                <w:rFonts w:ascii="宋体" w:hAnsi="宋体" w:eastAsia="宋体" w:cs="仿宋_GB2312"/>
                <w:szCs w:val="21"/>
              </w:rPr>
            </w:pPr>
          </w:p>
        </w:tc>
        <w:tc>
          <w:tcPr>
            <w:tcW w:w="1674" w:type="pct"/>
            <w:tcBorders>
              <w:top w:val="single" w:color="auto" w:sz="4" w:space="0"/>
              <w:left w:val="single" w:color="auto" w:sz="4" w:space="0"/>
              <w:bottom w:val="single" w:color="auto" w:sz="4" w:space="0"/>
              <w:right w:val="single" w:color="auto" w:sz="4" w:space="0"/>
            </w:tcBorders>
          </w:tcPr>
          <w:p w14:paraId="6C4CEB3A">
            <w:pPr>
              <w:snapToGrid w:val="0"/>
              <w:spacing w:line="440" w:lineRule="exact"/>
              <w:jc w:val="left"/>
              <w:rPr>
                <w:rFonts w:ascii="宋体" w:hAnsi="宋体" w:eastAsia="宋体" w:cs="仿宋_GB2312"/>
                <w:szCs w:val="21"/>
              </w:rPr>
            </w:pPr>
          </w:p>
        </w:tc>
      </w:tr>
      <w:tr w14:paraId="692D3F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598BF259">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0E8C31CB">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61E9535D">
            <w:pPr>
              <w:snapToGrid w:val="0"/>
              <w:spacing w:before="50" w:after="156" w:afterLines="50" w:line="440" w:lineRule="exact"/>
              <w:jc w:val="left"/>
              <w:rPr>
                <w:rFonts w:ascii="宋体" w:hAnsi="宋体" w:eastAsia="宋体" w:cs="仿宋_GB2312"/>
                <w:szCs w:val="21"/>
              </w:rPr>
            </w:pPr>
          </w:p>
        </w:tc>
        <w:tc>
          <w:tcPr>
            <w:tcW w:w="1674" w:type="pct"/>
            <w:tcBorders>
              <w:top w:val="single" w:color="auto" w:sz="4" w:space="0"/>
              <w:left w:val="single" w:color="auto" w:sz="4" w:space="0"/>
              <w:bottom w:val="single" w:color="auto" w:sz="4" w:space="0"/>
              <w:right w:val="single" w:color="auto" w:sz="4" w:space="0"/>
            </w:tcBorders>
          </w:tcPr>
          <w:p w14:paraId="3FE0C36A">
            <w:pPr>
              <w:snapToGrid w:val="0"/>
              <w:spacing w:before="50" w:after="156" w:afterLines="50" w:line="440" w:lineRule="exact"/>
              <w:jc w:val="left"/>
              <w:rPr>
                <w:rFonts w:ascii="宋体" w:hAnsi="宋体" w:eastAsia="宋体" w:cs="仿宋_GB2312"/>
                <w:szCs w:val="21"/>
              </w:rPr>
            </w:pPr>
          </w:p>
        </w:tc>
      </w:tr>
      <w:tr w14:paraId="1337FC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5620E048">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38908CFD">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4C26CAA0">
            <w:pPr>
              <w:snapToGrid w:val="0"/>
              <w:spacing w:before="50" w:after="156" w:afterLines="50" w:line="440" w:lineRule="exact"/>
              <w:jc w:val="left"/>
              <w:rPr>
                <w:rFonts w:ascii="宋体" w:hAnsi="宋体" w:eastAsia="宋体" w:cs="仿宋_GB2312"/>
                <w:szCs w:val="21"/>
              </w:rPr>
            </w:pPr>
          </w:p>
        </w:tc>
        <w:tc>
          <w:tcPr>
            <w:tcW w:w="1674" w:type="pct"/>
            <w:tcBorders>
              <w:top w:val="single" w:color="auto" w:sz="4" w:space="0"/>
              <w:left w:val="single" w:color="auto" w:sz="4" w:space="0"/>
              <w:bottom w:val="single" w:color="auto" w:sz="4" w:space="0"/>
              <w:right w:val="single" w:color="auto" w:sz="4" w:space="0"/>
            </w:tcBorders>
          </w:tcPr>
          <w:p w14:paraId="5CBE69B8">
            <w:pPr>
              <w:snapToGrid w:val="0"/>
              <w:spacing w:before="50" w:after="156" w:afterLines="50" w:line="440" w:lineRule="exact"/>
              <w:jc w:val="left"/>
              <w:rPr>
                <w:rFonts w:ascii="宋体" w:hAnsi="宋体" w:eastAsia="宋体" w:cs="仿宋_GB2312"/>
                <w:szCs w:val="21"/>
              </w:rPr>
            </w:pPr>
          </w:p>
        </w:tc>
      </w:tr>
      <w:tr w14:paraId="5A498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213C4B7A">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07860743">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6AE21B8A">
            <w:pPr>
              <w:snapToGrid w:val="0"/>
              <w:spacing w:before="50" w:after="156" w:afterLines="50" w:line="440" w:lineRule="exact"/>
              <w:jc w:val="left"/>
              <w:rPr>
                <w:rFonts w:ascii="宋体" w:hAnsi="宋体" w:eastAsia="宋体" w:cs="仿宋_GB2312"/>
                <w:szCs w:val="21"/>
              </w:rPr>
            </w:pPr>
          </w:p>
        </w:tc>
        <w:tc>
          <w:tcPr>
            <w:tcW w:w="1674" w:type="pct"/>
            <w:tcBorders>
              <w:top w:val="single" w:color="auto" w:sz="4" w:space="0"/>
              <w:left w:val="single" w:color="auto" w:sz="4" w:space="0"/>
              <w:bottom w:val="single" w:color="auto" w:sz="4" w:space="0"/>
              <w:right w:val="single" w:color="auto" w:sz="4" w:space="0"/>
            </w:tcBorders>
          </w:tcPr>
          <w:p w14:paraId="25C6706C">
            <w:pPr>
              <w:snapToGrid w:val="0"/>
              <w:spacing w:before="50" w:after="156" w:afterLines="50" w:line="440" w:lineRule="exact"/>
              <w:jc w:val="left"/>
              <w:rPr>
                <w:rFonts w:ascii="宋体" w:hAnsi="宋体" w:eastAsia="宋体" w:cs="仿宋_GB2312"/>
                <w:szCs w:val="21"/>
              </w:rPr>
            </w:pPr>
          </w:p>
        </w:tc>
      </w:tr>
      <w:tr w14:paraId="685054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2ADE01A5">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576B05FA">
            <w:pPr>
              <w:snapToGrid w:val="0"/>
              <w:spacing w:before="50" w:after="156" w:afterLines="50" w:line="440" w:lineRule="exact"/>
              <w:jc w:val="left"/>
              <w:rPr>
                <w:rFonts w:ascii="宋体" w:hAnsi="宋体" w:eastAsia="宋体" w:cs="仿宋_GB2312"/>
                <w:szCs w:val="21"/>
              </w:rPr>
            </w:pPr>
          </w:p>
        </w:tc>
        <w:tc>
          <w:tcPr>
            <w:tcW w:w="1038" w:type="pct"/>
            <w:tcBorders>
              <w:top w:val="single" w:color="auto" w:sz="4" w:space="0"/>
              <w:left w:val="single" w:color="auto" w:sz="4" w:space="0"/>
              <w:bottom w:val="single" w:color="auto" w:sz="4" w:space="0"/>
              <w:right w:val="single" w:color="auto" w:sz="4" w:space="0"/>
            </w:tcBorders>
          </w:tcPr>
          <w:p w14:paraId="59F87908">
            <w:pPr>
              <w:snapToGrid w:val="0"/>
              <w:spacing w:before="50" w:after="156" w:afterLines="50" w:line="440" w:lineRule="exact"/>
              <w:jc w:val="left"/>
              <w:rPr>
                <w:rFonts w:ascii="宋体" w:hAnsi="宋体" w:eastAsia="宋体" w:cs="仿宋_GB2312"/>
                <w:szCs w:val="21"/>
              </w:rPr>
            </w:pPr>
          </w:p>
        </w:tc>
        <w:tc>
          <w:tcPr>
            <w:tcW w:w="1674" w:type="pct"/>
            <w:tcBorders>
              <w:top w:val="single" w:color="auto" w:sz="4" w:space="0"/>
              <w:left w:val="single" w:color="auto" w:sz="4" w:space="0"/>
              <w:bottom w:val="single" w:color="auto" w:sz="4" w:space="0"/>
              <w:right w:val="single" w:color="auto" w:sz="4" w:space="0"/>
            </w:tcBorders>
          </w:tcPr>
          <w:p w14:paraId="34532EB7">
            <w:pPr>
              <w:snapToGrid w:val="0"/>
              <w:spacing w:before="50" w:after="156" w:afterLines="50" w:line="440" w:lineRule="exact"/>
              <w:jc w:val="left"/>
              <w:rPr>
                <w:rFonts w:ascii="宋体" w:hAnsi="宋体" w:eastAsia="宋体" w:cs="仿宋_GB2312"/>
                <w:szCs w:val="21"/>
              </w:rPr>
            </w:pPr>
          </w:p>
        </w:tc>
      </w:tr>
    </w:tbl>
    <w:p w14:paraId="6242CD1C">
      <w:pPr>
        <w:spacing w:line="440" w:lineRule="exact"/>
        <w:contextualSpacing/>
        <w:rPr>
          <w:rFonts w:ascii="宋体" w:hAnsi="宋体" w:eastAsia="宋体" w:cs="仿宋_GB2312"/>
          <w:szCs w:val="21"/>
        </w:rPr>
      </w:pPr>
      <w:r>
        <w:rPr>
          <w:rFonts w:hint="eastAsia" w:ascii="宋体" w:hAnsi="宋体" w:eastAsia="宋体" w:cs="仿宋_GB2312"/>
          <w:szCs w:val="21"/>
        </w:rPr>
        <w:t>注：投标人根据评标标准具体要求附业绩证明材料。</w:t>
      </w:r>
    </w:p>
    <w:p w14:paraId="656FD65F">
      <w:pPr>
        <w:spacing w:line="440" w:lineRule="exact"/>
        <w:contextualSpacing/>
        <w:jc w:val="left"/>
        <w:rPr>
          <w:rFonts w:ascii="宋体" w:hAnsi="宋体" w:eastAsia="宋体" w:cs="仿宋_GB2312"/>
          <w:szCs w:val="21"/>
        </w:rPr>
      </w:pPr>
    </w:p>
    <w:p w14:paraId="163E1948">
      <w:pPr>
        <w:spacing w:line="440" w:lineRule="exact"/>
        <w:ind w:right="480"/>
        <w:contextualSpacing/>
        <w:jc w:val="left"/>
        <w:rPr>
          <w:rFonts w:ascii="宋体" w:hAnsi="宋体" w:eastAsia="宋体" w:cs="仿宋_GB2312"/>
          <w:szCs w:val="21"/>
          <w:u w:val="single"/>
        </w:rPr>
      </w:pPr>
      <w:r>
        <w:rPr>
          <w:rFonts w:hint="eastAsia" w:ascii="宋体" w:hAnsi="宋体" w:eastAsia="宋体" w:cs="仿宋_GB2312"/>
          <w:szCs w:val="21"/>
        </w:rPr>
        <w:t xml:space="preserve">投标人名称（电子签章）： </w:t>
      </w:r>
      <w:r>
        <w:rPr>
          <w:rFonts w:hint="eastAsia" w:ascii="宋体" w:hAnsi="宋体" w:eastAsia="宋体" w:cs="仿宋_GB2312"/>
          <w:szCs w:val="21"/>
          <w:u w:val="single"/>
        </w:rPr>
        <w:t xml:space="preserve">                </w:t>
      </w:r>
    </w:p>
    <w:p w14:paraId="1748A286">
      <w:pPr>
        <w:snapToGrid w:val="0"/>
        <w:spacing w:before="156" w:beforeLines="50" w:after="50"/>
        <w:ind w:right="920"/>
        <w:rPr>
          <w:rFonts w:ascii="宋体" w:hAnsi="宋体" w:eastAsia="宋体" w:cs="仿宋_GB2312"/>
          <w:szCs w:val="21"/>
        </w:rPr>
      </w:pP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14:paraId="73169233">
      <w:pPr>
        <w:widowControl/>
        <w:jc w:val="left"/>
        <w:rPr>
          <w:rFonts w:ascii="宋体" w:hAnsi="宋体" w:eastAsia="宋体" w:cs="仿宋_GB2312"/>
          <w:szCs w:val="21"/>
        </w:rPr>
      </w:pPr>
      <w:r>
        <w:rPr>
          <w:rFonts w:ascii="宋体" w:hAnsi="宋体" w:eastAsia="宋体" w:cs="仿宋_GB2312"/>
          <w:szCs w:val="21"/>
        </w:rPr>
        <w:br w:type="page"/>
      </w:r>
    </w:p>
    <w:p w14:paraId="7051C5F3">
      <w:pPr>
        <w:spacing w:line="360" w:lineRule="auto"/>
        <w:ind w:firstLine="600"/>
        <w:jc w:val="left"/>
        <w:outlineLvl w:val="2"/>
        <w:rPr>
          <w:rFonts w:ascii="宋体" w:hAnsi="宋体"/>
          <w:b/>
          <w:sz w:val="30"/>
        </w:rPr>
      </w:pPr>
      <w:r>
        <w:rPr>
          <w:rFonts w:hint="eastAsia" w:ascii="宋体" w:hAnsi="宋体"/>
          <w:b/>
          <w:sz w:val="30"/>
        </w:rPr>
        <w:t>11.技术要求偏离表格式</w:t>
      </w:r>
    </w:p>
    <w:p w14:paraId="24E440AA">
      <w:pPr>
        <w:snapToGrid w:val="0"/>
        <w:spacing w:before="156" w:beforeLines="50" w:after="50"/>
        <w:ind w:left="142" w:firstLine="480"/>
        <w:jc w:val="left"/>
        <w:rPr>
          <w:rFonts w:ascii="宋体" w:hAnsi="宋体" w:eastAsia="宋体" w:cs="仿宋_GB2312"/>
          <w:b/>
          <w:sz w:val="24"/>
          <w:szCs w:val="24"/>
        </w:rPr>
      </w:pPr>
    </w:p>
    <w:p w14:paraId="434D2E49">
      <w:pPr>
        <w:snapToGrid w:val="0"/>
        <w:spacing w:before="156" w:beforeLines="50" w:after="50"/>
        <w:ind w:left="142" w:firstLine="600"/>
        <w:jc w:val="center"/>
        <w:rPr>
          <w:rFonts w:ascii="宋体" w:hAnsi="宋体" w:eastAsia="宋体" w:cs="仿宋_GB2312"/>
          <w:b/>
          <w:sz w:val="30"/>
          <w:szCs w:val="30"/>
        </w:rPr>
      </w:pPr>
      <w:r>
        <w:rPr>
          <w:rFonts w:hint="eastAsia" w:ascii="宋体" w:hAnsi="宋体" w:eastAsia="宋体" w:cs="仿宋_GB2312"/>
          <w:b/>
          <w:sz w:val="30"/>
          <w:szCs w:val="30"/>
        </w:rPr>
        <w:t>技术要求偏离表</w:t>
      </w:r>
    </w:p>
    <w:p w14:paraId="0BB13434">
      <w:pPr>
        <w:ind w:firstLine="360" w:firstLineChars="150"/>
        <w:rPr>
          <w:rFonts w:ascii="宋体" w:hAnsi="宋体" w:eastAsia="宋体" w:cs="Times New Roman"/>
          <w:kern w:val="0"/>
          <w:sz w:val="24"/>
          <w:szCs w:val="24"/>
        </w:rPr>
      </w:pPr>
      <w:r>
        <w:rPr>
          <w:rFonts w:hint="eastAsia" w:ascii="宋体" w:hAnsi="宋体" w:eastAsia="宋体" w:cs="Times New Roman"/>
          <w:kern w:val="0"/>
          <w:sz w:val="24"/>
          <w:szCs w:val="24"/>
        </w:rPr>
        <w:t>所投分标：</w:t>
      </w:r>
      <w:r>
        <w:rPr>
          <w:rFonts w:hint="eastAsia" w:ascii="宋体" w:hAnsi="宋体" w:eastAsia="宋体" w:cs="Times New Roman"/>
          <w:kern w:val="0"/>
          <w:sz w:val="24"/>
          <w:szCs w:val="24"/>
          <w:u w:val="single"/>
        </w:rPr>
        <w:t xml:space="preserve">     </w:t>
      </w:r>
      <w:r>
        <w:rPr>
          <w:rFonts w:hint="eastAsia" w:ascii="宋体" w:hAnsi="宋体" w:eastAsia="宋体" w:cs="Times New Roman"/>
          <w:kern w:val="0"/>
          <w:sz w:val="24"/>
          <w:szCs w:val="24"/>
        </w:rPr>
        <w:t>分标</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0E4D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0DD76624">
            <w:pPr>
              <w:spacing w:line="400" w:lineRule="exact"/>
              <w:ind w:firstLine="0"/>
              <w:jc w:val="center"/>
              <w:rPr>
                <w:rFonts w:ascii="宋体" w:hAnsi="宋体" w:eastAsia="宋体" w:cs="Courier New"/>
                <w:sz w:val="24"/>
                <w:szCs w:val="24"/>
              </w:rPr>
            </w:pPr>
            <w:r>
              <w:rPr>
                <w:rFonts w:hint="eastAsia" w:ascii="宋体" w:hAnsi="宋体" w:eastAsia="宋体" w:cs="Courier New"/>
                <w:sz w:val="24"/>
                <w:szCs w:val="24"/>
              </w:rPr>
              <w:t>项号</w:t>
            </w:r>
          </w:p>
        </w:tc>
        <w:tc>
          <w:tcPr>
            <w:tcW w:w="2143" w:type="dxa"/>
            <w:vAlign w:val="center"/>
          </w:tcPr>
          <w:p w14:paraId="7D51B90B">
            <w:pPr>
              <w:spacing w:line="400" w:lineRule="exact"/>
              <w:ind w:firstLine="0"/>
              <w:jc w:val="center"/>
              <w:rPr>
                <w:rFonts w:ascii="宋体" w:hAnsi="宋体" w:eastAsia="宋体" w:cs="Courier New"/>
                <w:sz w:val="24"/>
                <w:szCs w:val="24"/>
              </w:rPr>
            </w:pPr>
            <w:r>
              <w:rPr>
                <w:rFonts w:hint="eastAsia" w:ascii="宋体" w:hAnsi="宋体" w:eastAsia="宋体" w:cs="Courier New"/>
                <w:sz w:val="24"/>
                <w:szCs w:val="24"/>
              </w:rPr>
              <w:t>标的的名称</w:t>
            </w:r>
          </w:p>
        </w:tc>
        <w:tc>
          <w:tcPr>
            <w:tcW w:w="1834" w:type="dxa"/>
            <w:vAlign w:val="center"/>
          </w:tcPr>
          <w:p w14:paraId="3D32F293">
            <w:pPr>
              <w:spacing w:line="400" w:lineRule="exact"/>
              <w:ind w:firstLine="0"/>
              <w:jc w:val="center"/>
              <w:rPr>
                <w:rFonts w:ascii="宋体" w:hAnsi="宋体" w:eastAsia="宋体" w:cs="Courier New"/>
                <w:sz w:val="24"/>
                <w:szCs w:val="24"/>
              </w:rPr>
            </w:pPr>
            <w:r>
              <w:rPr>
                <w:rFonts w:hint="eastAsia" w:ascii="宋体" w:hAnsi="宋体" w:eastAsia="宋体" w:cs="Courier New"/>
                <w:sz w:val="24"/>
                <w:szCs w:val="24"/>
              </w:rPr>
              <w:t>技术要求</w:t>
            </w:r>
          </w:p>
        </w:tc>
        <w:tc>
          <w:tcPr>
            <w:tcW w:w="2181" w:type="dxa"/>
            <w:vAlign w:val="center"/>
          </w:tcPr>
          <w:p w14:paraId="74DEB8B3">
            <w:pPr>
              <w:spacing w:line="400" w:lineRule="exact"/>
              <w:ind w:firstLine="0"/>
              <w:jc w:val="center"/>
              <w:rPr>
                <w:rFonts w:ascii="宋体" w:hAnsi="宋体" w:eastAsia="宋体" w:cs="Courier New"/>
                <w:sz w:val="24"/>
                <w:szCs w:val="24"/>
              </w:rPr>
            </w:pPr>
            <w:r>
              <w:rPr>
                <w:rFonts w:hint="eastAsia" w:ascii="宋体" w:hAnsi="宋体" w:eastAsia="宋体" w:cs="Courier New"/>
                <w:sz w:val="24"/>
                <w:szCs w:val="24"/>
              </w:rPr>
              <w:t>投标响应</w:t>
            </w:r>
          </w:p>
        </w:tc>
        <w:tc>
          <w:tcPr>
            <w:tcW w:w="1934" w:type="dxa"/>
            <w:vAlign w:val="center"/>
          </w:tcPr>
          <w:p w14:paraId="020144F4">
            <w:pPr>
              <w:spacing w:line="400" w:lineRule="exact"/>
              <w:ind w:firstLine="0"/>
              <w:jc w:val="center"/>
              <w:rPr>
                <w:rFonts w:ascii="宋体" w:hAnsi="宋体" w:eastAsia="宋体" w:cs="Courier New"/>
                <w:sz w:val="24"/>
                <w:szCs w:val="24"/>
              </w:rPr>
            </w:pPr>
            <w:r>
              <w:rPr>
                <w:rFonts w:hint="eastAsia" w:ascii="宋体" w:hAnsi="宋体" w:eastAsia="宋体" w:cs="Courier New"/>
                <w:sz w:val="24"/>
                <w:szCs w:val="24"/>
              </w:rPr>
              <w:t>偏离说明</w:t>
            </w:r>
          </w:p>
        </w:tc>
      </w:tr>
      <w:tr w14:paraId="510F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74CBFCDB">
            <w:pPr>
              <w:spacing w:line="600" w:lineRule="exact"/>
              <w:ind w:firstLine="0"/>
              <w:jc w:val="center"/>
              <w:rPr>
                <w:rFonts w:ascii="宋体" w:hAnsi="宋体" w:eastAsia="宋体" w:cs="Courier New"/>
                <w:sz w:val="24"/>
                <w:szCs w:val="24"/>
              </w:rPr>
            </w:pPr>
          </w:p>
        </w:tc>
        <w:tc>
          <w:tcPr>
            <w:tcW w:w="2143" w:type="dxa"/>
            <w:vAlign w:val="center"/>
          </w:tcPr>
          <w:p w14:paraId="31C499CD">
            <w:pPr>
              <w:spacing w:line="600" w:lineRule="exact"/>
              <w:ind w:firstLine="0"/>
              <w:jc w:val="center"/>
              <w:rPr>
                <w:rFonts w:ascii="宋体" w:hAnsi="宋体" w:eastAsia="宋体" w:cs="Courier New"/>
                <w:sz w:val="24"/>
                <w:szCs w:val="24"/>
              </w:rPr>
            </w:pPr>
          </w:p>
        </w:tc>
        <w:tc>
          <w:tcPr>
            <w:tcW w:w="1834" w:type="dxa"/>
            <w:vAlign w:val="center"/>
          </w:tcPr>
          <w:p w14:paraId="3F884E6B">
            <w:pPr>
              <w:spacing w:line="600" w:lineRule="exact"/>
              <w:ind w:firstLine="0"/>
              <w:jc w:val="center"/>
              <w:rPr>
                <w:rFonts w:ascii="宋体" w:hAnsi="宋体" w:eastAsia="宋体" w:cs="Courier New"/>
                <w:sz w:val="24"/>
                <w:szCs w:val="24"/>
              </w:rPr>
            </w:pPr>
          </w:p>
        </w:tc>
        <w:tc>
          <w:tcPr>
            <w:tcW w:w="2181" w:type="dxa"/>
            <w:vAlign w:val="center"/>
          </w:tcPr>
          <w:p w14:paraId="5CA04757">
            <w:pPr>
              <w:spacing w:line="600" w:lineRule="exact"/>
              <w:ind w:firstLine="0"/>
              <w:jc w:val="center"/>
              <w:rPr>
                <w:rFonts w:ascii="宋体" w:hAnsi="宋体" w:eastAsia="宋体" w:cs="Courier New"/>
                <w:sz w:val="24"/>
                <w:szCs w:val="24"/>
              </w:rPr>
            </w:pPr>
          </w:p>
        </w:tc>
        <w:tc>
          <w:tcPr>
            <w:tcW w:w="1934" w:type="dxa"/>
            <w:vAlign w:val="center"/>
          </w:tcPr>
          <w:p w14:paraId="3641715F">
            <w:pPr>
              <w:spacing w:line="600" w:lineRule="exact"/>
              <w:ind w:firstLine="0"/>
              <w:jc w:val="center"/>
              <w:rPr>
                <w:rFonts w:ascii="宋体" w:hAnsi="宋体" w:eastAsia="宋体" w:cs="Courier New"/>
                <w:sz w:val="24"/>
                <w:szCs w:val="24"/>
              </w:rPr>
            </w:pPr>
          </w:p>
        </w:tc>
      </w:tr>
      <w:tr w14:paraId="4CDA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7F9DC8EA">
            <w:pPr>
              <w:spacing w:line="600" w:lineRule="exact"/>
              <w:ind w:firstLine="0"/>
              <w:jc w:val="center"/>
              <w:rPr>
                <w:rFonts w:ascii="宋体" w:hAnsi="宋体" w:eastAsia="宋体" w:cs="Courier New"/>
                <w:sz w:val="24"/>
                <w:szCs w:val="24"/>
              </w:rPr>
            </w:pPr>
          </w:p>
        </w:tc>
        <w:tc>
          <w:tcPr>
            <w:tcW w:w="2143" w:type="dxa"/>
            <w:vAlign w:val="center"/>
          </w:tcPr>
          <w:p w14:paraId="73A2A4CD">
            <w:pPr>
              <w:spacing w:line="600" w:lineRule="exact"/>
              <w:ind w:firstLine="0"/>
              <w:jc w:val="center"/>
              <w:rPr>
                <w:rFonts w:ascii="宋体" w:hAnsi="宋体" w:eastAsia="宋体" w:cs="Courier New"/>
                <w:sz w:val="24"/>
                <w:szCs w:val="24"/>
              </w:rPr>
            </w:pPr>
          </w:p>
        </w:tc>
        <w:tc>
          <w:tcPr>
            <w:tcW w:w="1834" w:type="dxa"/>
            <w:vAlign w:val="center"/>
          </w:tcPr>
          <w:p w14:paraId="28E25DB7">
            <w:pPr>
              <w:spacing w:line="600" w:lineRule="exact"/>
              <w:ind w:firstLine="0"/>
              <w:jc w:val="center"/>
              <w:rPr>
                <w:rFonts w:ascii="宋体" w:hAnsi="宋体" w:eastAsia="宋体" w:cs="Courier New"/>
                <w:sz w:val="24"/>
                <w:szCs w:val="24"/>
              </w:rPr>
            </w:pPr>
          </w:p>
        </w:tc>
        <w:tc>
          <w:tcPr>
            <w:tcW w:w="2181" w:type="dxa"/>
            <w:vAlign w:val="center"/>
          </w:tcPr>
          <w:p w14:paraId="34AFCB41">
            <w:pPr>
              <w:spacing w:line="600" w:lineRule="exact"/>
              <w:ind w:firstLine="0"/>
              <w:jc w:val="center"/>
              <w:rPr>
                <w:rFonts w:ascii="宋体" w:hAnsi="宋体" w:eastAsia="宋体" w:cs="Courier New"/>
                <w:sz w:val="24"/>
                <w:szCs w:val="24"/>
              </w:rPr>
            </w:pPr>
          </w:p>
        </w:tc>
        <w:tc>
          <w:tcPr>
            <w:tcW w:w="1934" w:type="dxa"/>
            <w:vAlign w:val="center"/>
          </w:tcPr>
          <w:p w14:paraId="3D4A4A02">
            <w:pPr>
              <w:spacing w:line="600" w:lineRule="exact"/>
              <w:ind w:firstLine="0"/>
              <w:jc w:val="center"/>
              <w:rPr>
                <w:rFonts w:ascii="宋体" w:hAnsi="宋体" w:eastAsia="宋体" w:cs="Courier New"/>
                <w:sz w:val="24"/>
                <w:szCs w:val="24"/>
              </w:rPr>
            </w:pPr>
          </w:p>
        </w:tc>
      </w:tr>
      <w:tr w14:paraId="4440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01B394FD">
            <w:pPr>
              <w:spacing w:line="600" w:lineRule="exact"/>
              <w:ind w:firstLine="0"/>
              <w:jc w:val="center"/>
              <w:rPr>
                <w:rFonts w:ascii="宋体" w:hAnsi="宋体" w:eastAsia="宋体" w:cs="Courier New"/>
                <w:sz w:val="24"/>
                <w:szCs w:val="24"/>
              </w:rPr>
            </w:pPr>
          </w:p>
        </w:tc>
        <w:tc>
          <w:tcPr>
            <w:tcW w:w="2143" w:type="dxa"/>
            <w:vAlign w:val="center"/>
          </w:tcPr>
          <w:p w14:paraId="5E8A87D6">
            <w:pPr>
              <w:spacing w:line="600" w:lineRule="exact"/>
              <w:ind w:firstLine="0"/>
              <w:jc w:val="center"/>
              <w:rPr>
                <w:rFonts w:ascii="宋体" w:hAnsi="宋体" w:eastAsia="宋体" w:cs="Courier New"/>
                <w:sz w:val="24"/>
                <w:szCs w:val="24"/>
              </w:rPr>
            </w:pPr>
          </w:p>
        </w:tc>
        <w:tc>
          <w:tcPr>
            <w:tcW w:w="1834" w:type="dxa"/>
            <w:vAlign w:val="center"/>
          </w:tcPr>
          <w:p w14:paraId="432DC04A">
            <w:pPr>
              <w:spacing w:line="600" w:lineRule="exact"/>
              <w:ind w:firstLine="0"/>
              <w:jc w:val="center"/>
              <w:rPr>
                <w:rFonts w:ascii="宋体" w:hAnsi="宋体" w:eastAsia="宋体" w:cs="Courier New"/>
                <w:sz w:val="24"/>
                <w:szCs w:val="24"/>
              </w:rPr>
            </w:pPr>
          </w:p>
        </w:tc>
        <w:tc>
          <w:tcPr>
            <w:tcW w:w="2181" w:type="dxa"/>
            <w:vAlign w:val="center"/>
          </w:tcPr>
          <w:p w14:paraId="0C8BF102">
            <w:pPr>
              <w:spacing w:line="600" w:lineRule="exact"/>
              <w:ind w:firstLine="0"/>
              <w:jc w:val="center"/>
              <w:rPr>
                <w:rFonts w:ascii="宋体" w:hAnsi="宋体" w:eastAsia="宋体" w:cs="Courier New"/>
                <w:sz w:val="24"/>
                <w:szCs w:val="24"/>
              </w:rPr>
            </w:pPr>
          </w:p>
        </w:tc>
        <w:tc>
          <w:tcPr>
            <w:tcW w:w="1934" w:type="dxa"/>
            <w:vAlign w:val="center"/>
          </w:tcPr>
          <w:p w14:paraId="3CA3E14F">
            <w:pPr>
              <w:spacing w:line="600" w:lineRule="exact"/>
              <w:ind w:firstLine="0"/>
              <w:jc w:val="center"/>
              <w:rPr>
                <w:rFonts w:ascii="宋体" w:hAnsi="宋体" w:eastAsia="宋体" w:cs="Courier New"/>
                <w:sz w:val="24"/>
                <w:szCs w:val="24"/>
              </w:rPr>
            </w:pPr>
          </w:p>
        </w:tc>
      </w:tr>
      <w:tr w14:paraId="785B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3079D160">
            <w:pPr>
              <w:spacing w:line="600" w:lineRule="exact"/>
              <w:ind w:firstLine="0"/>
              <w:jc w:val="center"/>
              <w:rPr>
                <w:rFonts w:ascii="宋体" w:hAnsi="宋体" w:eastAsia="宋体" w:cs="Courier New"/>
                <w:sz w:val="24"/>
                <w:szCs w:val="24"/>
              </w:rPr>
            </w:pPr>
          </w:p>
        </w:tc>
        <w:tc>
          <w:tcPr>
            <w:tcW w:w="2143" w:type="dxa"/>
            <w:vAlign w:val="center"/>
          </w:tcPr>
          <w:p w14:paraId="3A346A91">
            <w:pPr>
              <w:spacing w:line="600" w:lineRule="exact"/>
              <w:ind w:firstLine="0"/>
              <w:jc w:val="center"/>
              <w:rPr>
                <w:rFonts w:ascii="宋体" w:hAnsi="宋体" w:eastAsia="宋体" w:cs="Courier New"/>
                <w:sz w:val="24"/>
                <w:szCs w:val="24"/>
              </w:rPr>
            </w:pPr>
          </w:p>
        </w:tc>
        <w:tc>
          <w:tcPr>
            <w:tcW w:w="1834" w:type="dxa"/>
            <w:vAlign w:val="center"/>
          </w:tcPr>
          <w:p w14:paraId="159BB239">
            <w:pPr>
              <w:spacing w:line="600" w:lineRule="exact"/>
              <w:ind w:firstLine="0"/>
              <w:jc w:val="center"/>
              <w:rPr>
                <w:rFonts w:ascii="宋体" w:hAnsi="宋体" w:eastAsia="宋体" w:cs="Courier New"/>
                <w:sz w:val="24"/>
                <w:szCs w:val="24"/>
              </w:rPr>
            </w:pPr>
          </w:p>
        </w:tc>
        <w:tc>
          <w:tcPr>
            <w:tcW w:w="2181" w:type="dxa"/>
            <w:vAlign w:val="center"/>
          </w:tcPr>
          <w:p w14:paraId="51216F7F">
            <w:pPr>
              <w:spacing w:line="600" w:lineRule="exact"/>
              <w:ind w:firstLine="0"/>
              <w:jc w:val="center"/>
              <w:rPr>
                <w:rFonts w:ascii="宋体" w:hAnsi="宋体" w:eastAsia="宋体" w:cs="Courier New"/>
                <w:sz w:val="24"/>
                <w:szCs w:val="24"/>
              </w:rPr>
            </w:pPr>
          </w:p>
        </w:tc>
        <w:tc>
          <w:tcPr>
            <w:tcW w:w="1934" w:type="dxa"/>
            <w:vAlign w:val="center"/>
          </w:tcPr>
          <w:p w14:paraId="3FD2863E">
            <w:pPr>
              <w:spacing w:line="600" w:lineRule="exact"/>
              <w:ind w:firstLine="0"/>
              <w:jc w:val="center"/>
              <w:rPr>
                <w:rFonts w:ascii="宋体" w:hAnsi="宋体" w:eastAsia="宋体" w:cs="Courier New"/>
                <w:sz w:val="24"/>
                <w:szCs w:val="24"/>
              </w:rPr>
            </w:pPr>
          </w:p>
        </w:tc>
      </w:tr>
      <w:tr w14:paraId="75BA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7DFB3DE2">
            <w:pPr>
              <w:spacing w:line="600" w:lineRule="exact"/>
              <w:ind w:firstLine="0"/>
              <w:jc w:val="center"/>
              <w:rPr>
                <w:rFonts w:ascii="宋体" w:hAnsi="宋体" w:eastAsia="宋体" w:cs="Courier New"/>
                <w:sz w:val="24"/>
                <w:szCs w:val="24"/>
              </w:rPr>
            </w:pPr>
          </w:p>
        </w:tc>
        <w:tc>
          <w:tcPr>
            <w:tcW w:w="2143" w:type="dxa"/>
            <w:vAlign w:val="center"/>
          </w:tcPr>
          <w:p w14:paraId="54C9AF2C">
            <w:pPr>
              <w:spacing w:line="600" w:lineRule="exact"/>
              <w:ind w:firstLine="0"/>
              <w:jc w:val="center"/>
              <w:rPr>
                <w:rFonts w:ascii="宋体" w:hAnsi="宋体" w:eastAsia="宋体" w:cs="Courier New"/>
                <w:sz w:val="24"/>
                <w:szCs w:val="24"/>
              </w:rPr>
            </w:pPr>
          </w:p>
        </w:tc>
        <w:tc>
          <w:tcPr>
            <w:tcW w:w="1834" w:type="dxa"/>
            <w:vAlign w:val="center"/>
          </w:tcPr>
          <w:p w14:paraId="0580D5F6">
            <w:pPr>
              <w:spacing w:line="600" w:lineRule="exact"/>
              <w:ind w:firstLine="0"/>
              <w:jc w:val="center"/>
              <w:rPr>
                <w:rFonts w:ascii="宋体" w:hAnsi="宋体" w:eastAsia="宋体" w:cs="Courier New"/>
                <w:sz w:val="24"/>
                <w:szCs w:val="24"/>
              </w:rPr>
            </w:pPr>
          </w:p>
        </w:tc>
        <w:tc>
          <w:tcPr>
            <w:tcW w:w="2181" w:type="dxa"/>
            <w:vAlign w:val="center"/>
          </w:tcPr>
          <w:p w14:paraId="2D27BD03">
            <w:pPr>
              <w:spacing w:line="600" w:lineRule="exact"/>
              <w:ind w:firstLine="0"/>
              <w:jc w:val="center"/>
              <w:rPr>
                <w:rFonts w:ascii="宋体" w:hAnsi="宋体" w:eastAsia="宋体" w:cs="Courier New"/>
                <w:sz w:val="24"/>
                <w:szCs w:val="24"/>
              </w:rPr>
            </w:pPr>
          </w:p>
        </w:tc>
        <w:tc>
          <w:tcPr>
            <w:tcW w:w="1934" w:type="dxa"/>
            <w:vAlign w:val="center"/>
          </w:tcPr>
          <w:p w14:paraId="0DAD9FDD">
            <w:pPr>
              <w:spacing w:line="600" w:lineRule="exact"/>
              <w:ind w:firstLine="0"/>
              <w:jc w:val="center"/>
              <w:rPr>
                <w:rFonts w:ascii="宋体" w:hAnsi="宋体" w:eastAsia="宋体" w:cs="Courier New"/>
                <w:sz w:val="24"/>
                <w:szCs w:val="24"/>
              </w:rPr>
            </w:pPr>
          </w:p>
        </w:tc>
      </w:tr>
      <w:tr w14:paraId="1349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7411D875">
            <w:pPr>
              <w:spacing w:line="600" w:lineRule="exact"/>
              <w:ind w:firstLine="0"/>
              <w:jc w:val="center"/>
              <w:rPr>
                <w:rFonts w:ascii="宋体" w:hAnsi="宋体" w:eastAsia="宋体" w:cs="Courier New"/>
                <w:sz w:val="24"/>
                <w:szCs w:val="24"/>
              </w:rPr>
            </w:pPr>
          </w:p>
        </w:tc>
        <w:tc>
          <w:tcPr>
            <w:tcW w:w="2143" w:type="dxa"/>
            <w:vAlign w:val="center"/>
          </w:tcPr>
          <w:p w14:paraId="5BAD0B5C">
            <w:pPr>
              <w:spacing w:line="600" w:lineRule="exact"/>
              <w:ind w:firstLine="0"/>
              <w:jc w:val="center"/>
              <w:rPr>
                <w:rFonts w:ascii="宋体" w:hAnsi="宋体" w:eastAsia="宋体" w:cs="Courier New"/>
                <w:sz w:val="24"/>
                <w:szCs w:val="24"/>
              </w:rPr>
            </w:pPr>
          </w:p>
        </w:tc>
        <w:tc>
          <w:tcPr>
            <w:tcW w:w="1834" w:type="dxa"/>
            <w:vAlign w:val="center"/>
          </w:tcPr>
          <w:p w14:paraId="466F5631">
            <w:pPr>
              <w:spacing w:line="600" w:lineRule="exact"/>
              <w:ind w:firstLine="0"/>
              <w:jc w:val="center"/>
              <w:rPr>
                <w:rFonts w:ascii="宋体" w:hAnsi="宋体" w:eastAsia="宋体" w:cs="Courier New"/>
                <w:sz w:val="24"/>
                <w:szCs w:val="24"/>
              </w:rPr>
            </w:pPr>
          </w:p>
        </w:tc>
        <w:tc>
          <w:tcPr>
            <w:tcW w:w="2181" w:type="dxa"/>
            <w:vAlign w:val="center"/>
          </w:tcPr>
          <w:p w14:paraId="6AF4362E">
            <w:pPr>
              <w:spacing w:line="600" w:lineRule="exact"/>
              <w:ind w:firstLine="0"/>
              <w:jc w:val="center"/>
              <w:rPr>
                <w:rFonts w:ascii="宋体" w:hAnsi="宋体" w:eastAsia="宋体" w:cs="Courier New"/>
                <w:sz w:val="24"/>
                <w:szCs w:val="24"/>
              </w:rPr>
            </w:pPr>
          </w:p>
        </w:tc>
        <w:tc>
          <w:tcPr>
            <w:tcW w:w="1934" w:type="dxa"/>
            <w:vAlign w:val="center"/>
          </w:tcPr>
          <w:p w14:paraId="3D269B44">
            <w:pPr>
              <w:spacing w:line="600" w:lineRule="exact"/>
              <w:ind w:firstLine="0"/>
              <w:jc w:val="center"/>
              <w:rPr>
                <w:rFonts w:ascii="宋体" w:hAnsi="宋体" w:eastAsia="宋体" w:cs="Courier New"/>
                <w:sz w:val="24"/>
                <w:szCs w:val="24"/>
              </w:rPr>
            </w:pPr>
          </w:p>
        </w:tc>
      </w:tr>
    </w:tbl>
    <w:p w14:paraId="36068E12">
      <w:pPr>
        <w:spacing w:line="500" w:lineRule="exact"/>
        <w:ind w:firstLine="480"/>
        <w:rPr>
          <w:rFonts w:ascii="宋体" w:hAnsi="宋体" w:eastAsia="宋体" w:cs="Times New Roman"/>
          <w:b/>
          <w:bCs/>
          <w:kern w:val="0"/>
          <w:sz w:val="24"/>
          <w:szCs w:val="24"/>
        </w:rPr>
      </w:pPr>
      <w:r>
        <w:rPr>
          <w:rFonts w:hint="eastAsia" w:ascii="宋体" w:hAnsi="宋体" w:eastAsia="宋体" w:cs="Times New Roman"/>
          <w:b/>
          <w:bCs/>
          <w:kern w:val="0"/>
          <w:sz w:val="24"/>
          <w:szCs w:val="24"/>
        </w:rPr>
        <w:t>注：</w:t>
      </w:r>
    </w:p>
    <w:p w14:paraId="579EAB16">
      <w:pPr>
        <w:rPr>
          <w:rFonts w:ascii="Times New Roman" w:hAnsi="Times New Roman" w:eastAsia="宋体" w:cs="Times New Roman"/>
          <w:szCs w:val="24"/>
        </w:rPr>
      </w:pPr>
      <w:r>
        <w:rPr>
          <w:rFonts w:hint="eastAsia" w:ascii="Times New Roman" w:hAnsi="Times New Roman" w:eastAsia="宋体" w:cs="Times New Roman"/>
          <w:szCs w:val="24"/>
        </w:rPr>
        <w:t>1. 说明：应对照招标文件“第二章 采购需求”中的“技术要求”逐条做明确的投标响应，并作出偏离说明。</w:t>
      </w:r>
    </w:p>
    <w:p w14:paraId="69C14EFA">
      <w:pPr>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投标人根据投标货物的性能指标，对照招标文件技术要求，在“偏离说明”中注明</w:t>
      </w:r>
      <w:r>
        <w:rPr>
          <w:rFonts w:hint="eastAsia" w:ascii="宋体" w:hAnsi="宋体" w:eastAsia="宋体" w:cs="Times New Roman"/>
          <w:szCs w:val="24"/>
        </w:rPr>
        <w:t>正偏离”“负偏离</w:t>
      </w:r>
      <w:r>
        <w:rPr>
          <w:rFonts w:hint="eastAsia" w:ascii="宋体" w:hAnsi="宋体" w:eastAsia="宋体" w:cs="Times New Roman"/>
          <w:b/>
          <w:bCs/>
          <w:szCs w:val="24"/>
        </w:rPr>
        <w:t>”或者“</w:t>
      </w:r>
      <w:r>
        <w:rPr>
          <w:rFonts w:hint="eastAsia" w:ascii="宋体" w:hAnsi="宋体" w:eastAsia="宋体" w:cs="Times New Roman"/>
          <w:szCs w:val="24"/>
        </w:rPr>
        <w:t>无偏离</w:t>
      </w:r>
      <w:r>
        <w:rPr>
          <w:rFonts w:hint="eastAsia" w:ascii="宋体" w:hAnsi="宋体" w:eastAsia="宋体" w:cs="Times New Roman"/>
          <w:b/>
          <w:bCs/>
          <w:szCs w:val="24"/>
        </w:rPr>
        <w:t>”。既不属于“</w:t>
      </w:r>
      <w:r>
        <w:rPr>
          <w:rFonts w:hint="eastAsia" w:ascii="宋体" w:hAnsi="宋体" w:eastAsia="宋体" w:cs="Times New Roman"/>
          <w:szCs w:val="24"/>
        </w:rPr>
        <w:t>正偏离</w:t>
      </w:r>
      <w:r>
        <w:rPr>
          <w:rFonts w:hint="eastAsia" w:ascii="宋体" w:hAnsi="宋体" w:eastAsia="宋体" w:cs="Times New Roman"/>
          <w:b/>
          <w:bCs/>
          <w:szCs w:val="24"/>
        </w:rPr>
        <w:t>”也不属于“</w:t>
      </w:r>
      <w:r>
        <w:rPr>
          <w:rFonts w:hint="eastAsia" w:ascii="宋体" w:hAnsi="宋体" w:eastAsia="宋体" w:cs="Times New Roman"/>
          <w:szCs w:val="24"/>
        </w:rPr>
        <w:t>负偏离</w:t>
      </w:r>
      <w:r>
        <w:rPr>
          <w:rFonts w:hint="eastAsia" w:ascii="宋体" w:hAnsi="宋体" w:eastAsia="宋体" w:cs="Times New Roman"/>
          <w:b/>
          <w:bCs/>
          <w:szCs w:val="24"/>
        </w:rPr>
        <w:t>”即为“</w:t>
      </w:r>
      <w:r>
        <w:rPr>
          <w:rFonts w:hint="eastAsia" w:ascii="宋体" w:hAnsi="宋体" w:eastAsia="宋体" w:cs="Times New Roman"/>
          <w:szCs w:val="24"/>
        </w:rPr>
        <w:t>无偏离</w:t>
      </w:r>
      <w:r>
        <w:rPr>
          <w:rFonts w:hint="eastAsia" w:ascii="宋体" w:hAnsi="宋体" w:eastAsia="宋体" w:cs="Times New Roman"/>
          <w:b/>
          <w:bCs/>
          <w:szCs w:val="24"/>
        </w:rPr>
        <w:t>”。</w:t>
      </w:r>
    </w:p>
    <w:p w14:paraId="38F22C14">
      <w:pPr>
        <w:rPr>
          <w:rFonts w:ascii="Times New Roman" w:hAnsi="Times New Roman" w:eastAsia="宋体" w:cs="Times New Roman"/>
          <w:szCs w:val="24"/>
        </w:rPr>
      </w:pPr>
      <w:r>
        <w:rPr>
          <w:rFonts w:hint="eastAsia" w:ascii="Times New Roman" w:hAnsi="Times New Roman" w:eastAsia="宋体" w:cs="Times New Roman"/>
          <w:szCs w:val="24"/>
        </w:rPr>
        <w:t>3</w:t>
      </w:r>
      <w:r>
        <w:rPr>
          <w:rFonts w:ascii="Times New Roman" w:hAnsi="Times New Roman" w:eastAsia="宋体" w:cs="Times New Roman"/>
          <w:szCs w:val="24"/>
        </w:rPr>
        <w:t>.</w:t>
      </w:r>
      <w:r>
        <w:rPr>
          <w:rFonts w:hint="eastAsia" w:ascii="Times New Roman" w:hAnsi="Times New Roman" w:eastAsia="宋体" w:cs="Times New Roman"/>
          <w:szCs w:val="24"/>
        </w:rPr>
        <w:t xml:space="preserve"> 如技术要求偏离表中的投标响应与佐证材料不一致的，以佐证材料为准。</w:t>
      </w:r>
    </w:p>
    <w:p w14:paraId="105A6438">
      <w:pPr>
        <w:spacing w:after="120" w:line="440" w:lineRule="exact"/>
        <w:ind w:firstLine="562"/>
        <w:contextualSpacing/>
        <w:rPr>
          <w:rFonts w:ascii="宋体" w:hAnsi="宋体" w:eastAsia="宋体" w:cs="仿宋_GB2312"/>
          <w:spacing w:val="20"/>
          <w:szCs w:val="21"/>
        </w:rPr>
      </w:pPr>
    </w:p>
    <w:p w14:paraId="541AD68C">
      <w:pPr>
        <w:spacing w:line="440" w:lineRule="exact"/>
        <w:ind w:firstLine="562"/>
        <w:contextualSpacing/>
        <w:rPr>
          <w:rFonts w:ascii="宋体" w:hAnsi="宋体" w:eastAsia="宋体" w:cs="仿宋_GB2312"/>
          <w:spacing w:val="20"/>
          <w:szCs w:val="21"/>
        </w:rPr>
      </w:pPr>
      <w:r>
        <w:rPr>
          <w:rFonts w:hint="eastAsia" w:ascii="宋体" w:hAnsi="宋体" w:eastAsia="宋体" w:cs="仿宋_GB2312"/>
          <w:spacing w:val="20"/>
          <w:szCs w:val="21"/>
        </w:rPr>
        <w:t>投标人名称（电子签章）：</w:t>
      </w:r>
      <w:r>
        <w:rPr>
          <w:rFonts w:hint="eastAsia" w:ascii="宋体" w:hAnsi="宋体" w:eastAsia="宋体" w:cs="仿宋_GB2312"/>
          <w:spacing w:val="20"/>
          <w:szCs w:val="21"/>
          <w:u w:val="single"/>
        </w:rPr>
        <w:t xml:space="preserve">            </w:t>
      </w:r>
      <w:r>
        <w:rPr>
          <w:rFonts w:hint="eastAsia" w:ascii="宋体" w:hAnsi="宋体" w:eastAsia="宋体" w:cs="仿宋_GB2312"/>
          <w:spacing w:val="20"/>
          <w:szCs w:val="21"/>
        </w:rPr>
        <w:t xml:space="preserve">              </w:t>
      </w:r>
    </w:p>
    <w:p w14:paraId="33E78A22">
      <w:pPr>
        <w:spacing w:line="440" w:lineRule="exact"/>
        <w:ind w:firstLine="562"/>
        <w:contextualSpacing/>
        <w:rPr>
          <w:rFonts w:ascii="宋体" w:hAnsi="宋体" w:eastAsia="宋体" w:cs="仿宋_GB2312"/>
          <w:spacing w:val="20"/>
          <w:szCs w:val="21"/>
          <w:u w:val="single"/>
        </w:rPr>
      </w:pPr>
      <w:r>
        <w:rPr>
          <w:rFonts w:hint="eastAsia" w:ascii="宋体" w:hAnsi="宋体" w:eastAsia="宋体" w:cs="仿宋_GB2312"/>
          <w:spacing w:val="20"/>
          <w:szCs w:val="21"/>
        </w:rPr>
        <w:t>日  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14:paraId="666E2BBE">
      <w:pPr>
        <w:snapToGrid w:val="0"/>
        <w:spacing w:line="360" w:lineRule="auto"/>
        <w:ind w:right="480" w:firstLine="210" w:firstLineChars="100"/>
        <w:jc w:val="left"/>
        <w:rPr>
          <w:rFonts w:ascii="宋体" w:hAnsi="宋体" w:eastAsia="宋体" w:cs="Times New Roman"/>
          <w:szCs w:val="21"/>
        </w:rPr>
      </w:pPr>
    </w:p>
    <w:p w14:paraId="710ADC2F">
      <w:pPr>
        <w:widowControl/>
        <w:jc w:val="left"/>
        <w:rPr>
          <w:rFonts w:ascii="宋体" w:hAnsi="宋体" w:eastAsia="宋体" w:cs="仿宋_GB2312"/>
          <w:szCs w:val="21"/>
        </w:rPr>
      </w:pPr>
      <w:r>
        <w:rPr>
          <w:rFonts w:ascii="宋体" w:hAnsi="宋体" w:eastAsia="宋体" w:cs="仿宋_GB2312"/>
          <w:szCs w:val="21"/>
        </w:rPr>
        <w:br w:type="page"/>
      </w:r>
    </w:p>
    <w:p w14:paraId="552F0FD6">
      <w:pPr>
        <w:spacing w:line="360" w:lineRule="auto"/>
        <w:ind w:firstLine="600"/>
        <w:jc w:val="left"/>
        <w:outlineLvl w:val="2"/>
        <w:rPr>
          <w:rFonts w:ascii="宋体" w:hAnsi="宋体"/>
          <w:b/>
          <w:sz w:val="30"/>
        </w:rPr>
      </w:pPr>
      <w:r>
        <w:rPr>
          <w:rFonts w:hint="eastAsia" w:ascii="宋体" w:hAnsi="宋体"/>
          <w:b/>
          <w:sz w:val="30"/>
        </w:rPr>
        <w:t>12.</w:t>
      </w:r>
      <w:r>
        <w:rPr>
          <w:rFonts w:hint="eastAsia"/>
        </w:rPr>
        <w:t xml:space="preserve"> </w:t>
      </w:r>
      <w:r>
        <w:rPr>
          <w:rFonts w:hint="eastAsia" w:ascii="宋体" w:hAnsi="宋体"/>
          <w:b/>
          <w:sz w:val="30"/>
        </w:rPr>
        <w:t>项目实施方案</w:t>
      </w:r>
    </w:p>
    <w:p w14:paraId="06279D9F">
      <w:pPr>
        <w:widowControl/>
        <w:ind w:firstLine="482"/>
        <w:jc w:val="left"/>
        <w:rPr>
          <w:rFonts w:ascii="宋体" w:hAnsi="宋体" w:eastAsia="宋体" w:cs="仿宋_GB2312"/>
          <w:sz w:val="24"/>
          <w:szCs w:val="20"/>
        </w:rPr>
      </w:pPr>
    </w:p>
    <w:p w14:paraId="162D8AFF">
      <w:pPr>
        <w:widowControl/>
        <w:ind w:firstLine="482"/>
        <w:jc w:val="left"/>
        <w:rPr>
          <w:rFonts w:ascii="宋体" w:hAnsi="宋体" w:eastAsia="宋体" w:cs="仿宋_GB2312"/>
          <w:sz w:val="24"/>
          <w:szCs w:val="20"/>
        </w:rPr>
      </w:pPr>
      <w:r>
        <w:rPr>
          <w:rFonts w:ascii="宋体" w:hAnsi="宋体" w:eastAsia="宋体" w:cs="仿宋_GB2312"/>
          <w:sz w:val="24"/>
          <w:szCs w:val="20"/>
        </w:rPr>
        <w:br w:type="page"/>
      </w:r>
    </w:p>
    <w:p w14:paraId="30FD527E">
      <w:pPr>
        <w:spacing w:line="360" w:lineRule="auto"/>
        <w:ind w:firstLine="600"/>
        <w:jc w:val="left"/>
        <w:outlineLvl w:val="2"/>
        <w:rPr>
          <w:rFonts w:ascii="宋体" w:hAnsi="宋体"/>
          <w:b/>
          <w:sz w:val="30"/>
        </w:rPr>
      </w:pPr>
      <w:r>
        <w:rPr>
          <w:rFonts w:hint="eastAsia" w:ascii="宋体" w:hAnsi="宋体"/>
          <w:b/>
          <w:sz w:val="30"/>
        </w:rPr>
        <w:t>13.除招标文件规定必须提供以外，投标人认为需要提供的其他证明材料</w:t>
      </w:r>
    </w:p>
    <w:p w14:paraId="0EA0316E">
      <w:r>
        <w:t xml:space="preserve"> </w:t>
      </w:r>
    </w:p>
    <w:p w14:paraId="68ADBB0D">
      <w:pPr>
        <w:widowControl/>
        <w:ind w:firstLine="482"/>
        <w:jc w:val="left"/>
        <w:rPr>
          <w:rFonts w:ascii="宋体" w:hAnsi="宋体" w:eastAsia="宋体" w:cs="Times New Roman"/>
          <w:sz w:val="24"/>
          <w:szCs w:val="24"/>
        </w:rPr>
      </w:pPr>
      <w:r>
        <w:rPr>
          <w:rFonts w:ascii="宋体" w:hAnsi="宋体" w:eastAsia="宋体" w:cs="Times New Roman"/>
          <w:sz w:val="24"/>
          <w:szCs w:val="24"/>
        </w:rPr>
        <w:br w:type="page"/>
      </w:r>
    </w:p>
    <w:p w14:paraId="32C9B898">
      <w:pPr>
        <w:ind w:firstLine="560"/>
        <w:outlineLvl w:val="1"/>
        <w:rPr>
          <w:rFonts w:ascii="宋体" w:hAnsi="宋体" w:eastAsia="宋体" w:cs="仿宋_GB2312"/>
          <w:b/>
          <w:sz w:val="28"/>
          <w:szCs w:val="28"/>
        </w:rPr>
      </w:pPr>
      <w:bookmarkStart w:id="213" w:name="_Toc28722"/>
      <w:bookmarkStart w:id="214" w:name="_Toc19686840"/>
      <w:r>
        <w:rPr>
          <w:rFonts w:hint="eastAsia" w:ascii="宋体" w:hAnsi="宋体" w:eastAsia="宋体" w:cs="仿宋_GB2312"/>
          <w:b/>
          <w:sz w:val="28"/>
          <w:szCs w:val="28"/>
        </w:rPr>
        <w:t>四、其他文书、文件格式</w:t>
      </w:r>
      <w:bookmarkEnd w:id="213"/>
      <w:bookmarkEnd w:id="214"/>
    </w:p>
    <w:p w14:paraId="13DB1E26">
      <w:pPr>
        <w:spacing w:line="360" w:lineRule="auto"/>
        <w:ind w:firstLine="600"/>
        <w:jc w:val="left"/>
        <w:outlineLvl w:val="2"/>
        <w:rPr>
          <w:rFonts w:ascii="宋体" w:hAnsi="宋体"/>
          <w:b/>
          <w:sz w:val="30"/>
        </w:rPr>
      </w:pPr>
      <w:r>
        <w:rPr>
          <w:rFonts w:hint="eastAsia" w:ascii="宋体" w:hAnsi="宋体"/>
          <w:b/>
          <w:sz w:val="30"/>
        </w:rPr>
        <w:t>1.质疑函（格式）</w:t>
      </w:r>
    </w:p>
    <w:p w14:paraId="1CDB6E9E">
      <w:pPr>
        <w:spacing w:line="360" w:lineRule="auto"/>
        <w:ind w:firstLine="600"/>
        <w:jc w:val="center"/>
        <w:rPr>
          <w:rFonts w:ascii="宋体" w:hAnsi="宋体" w:eastAsia="宋体" w:cs="仿宋_GB2312"/>
          <w:b/>
          <w:sz w:val="30"/>
          <w:szCs w:val="30"/>
        </w:rPr>
      </w:pPr>
      <w:r>
        <w:rPr>
          <w:rFonts w:hint="eastAsia" w:ascii="宋体" w:hAnsi="宋体" w:eastAsia="宋体" w:cs="仿宋_GB2312"/>
          <w:b/>
          <w:sz w:val="30"/>
          <w:szCs w:val="30"/>
        </w:rPr>
        <w:t>质疑函（格式）</w:t>
      </w:r>
    </w:p>
    <w:p w14:paraId="5745E721">
      <w:pPr>
        <w:snapToGrid w:val="0"/>
        <w:spacing w:line="440" w:lineRule="exact"/>
        <w:ind w:firstLine="422" w:firstLineChars="200"/>
        <w:rPr>
          <w:rFonts w:ascii="宋体" w:hAnsi="宋体" w:eastAsia="宋体" w:cs="仿宋_GB2312"/>
          <w:b/>
          <w:bCs/>
          <w:szCs w:val="20"/>
        </w:rPr>
      </w:pPr>
      <w:r>
        <w:rPr>
          <w:rFonts w:hint="eastAsia" w:ascii="宋体" w:hAnsi="宋体" w:eastAsia="宋体" w:cs="仿宋_GB2312"/>
          <w:b/>
          <w:bCs/>
          <w:szCs w:val="20"/>
        </w:rPr>
        <w:t>一、质疑供应商基本信息：</w:t>
      </w:r>
    </w:p>
    <w:p w14:paraId="0017E09B">
      <w:pPr>
        <w:snapToGrid w:val="0"/>
        <w:spacing w:line="440" w:lineRule="exact"/>
        <w:ind w:firstLine="420" w:firstLineChars="200"/>
        <w:rPr>
          <w:rFonts w:ascii="宋体" w:hAnsi="宋体" w:eastAsia="宋体" w:cs="仿宋_GB2312"/>
          <w:bCs/>
          <w:szCs w:val="20"/>
          <w:u w:val="single"/>
        </w:rPr>
      </w:pPr>
      <w:r>
        <w:rPr>
          <w:rFonts w:hint="eastAsia" w:ascii="宋体" w:hAnsi="宋体" w:eastAsia="宋体" w:cs="仿宋_GB2312"/>
          <w:bCs/>
          <w:szCs w:val="20"/>
        </w:rPr>
        <w:t>质疑供应商：</w:t>
      </w:r>
      <w:r>
        <w:rPr>
          <w:rFonts w:hint="eastAsia" w:ascii="宋体" w:hAnsi="宋体" w:eastAsia="宋体" w:cs="仿宋_GB2312"/>
          <w:bCs/>
          <w:szCs w:val="20"/>
          <w:u w:val="single"/>
        </w:rPr>
        <w:t xml:space="preserve">                                       </w:t>
      </w:r>
    </w:p>
    <w:p w14:paraId="7E52568E">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地址：</w:t>
      </w:r>
      <w:r>
        <w:rPr>
          <w:rFonts w:hint="eastAsia" w:ascii="宋体" w:hAnsi="宋体" w:eastAsia="宋体" w:cs="仿宋_GB2312"/>
          <w:bCs/>
          <w:szCs w:val="20"/>
          <w:u w:val="single"/>
        </w:rPr>
        <w:t xml:space="preserve">                                          </w:t>
      </w:r>
      <w:r>
        <w:rPr>
          <w:rFonts w:hint="eastAsia" w:ascii="宋体" w:hAnsi="宋体" w:eastAsia="宋体" w:cs="仿宋_GB2312"/>
          <w:bCs/>
          <w:szCs w:val="20"/>
        </w:rPr>
        <w:t>邮编：</w:t>
      </w:r>
      <w:r>
        <w:rPr>
          <w:rFonts w:hint="eastAsia" w:ascii="宋体" w:hAnsi="宋体" w:eastAsia="宋体" w:cs="仿宋_GB2312"/>
          <w:bCs/>
          <w:szCs w:val="20"/>
          <w:u w:val="single"/>
        </w:rPr>
        <w:t xml:space="preserve">                  </w:t>
      </w:r>
      <w:r>
        <w:rPr>
          <w:rFonts w:hint="eastAsia" w:ascii="宋体" w:hAnsi="宋体" w:eastAsia="宋体" w:cs="仿宋_GB2312"/>
          <w:bCs/>
          <w:szCs w:val="20"/>
        </w:rPr>
        <w:t xml:space="preserve"> </w:t>
      </w:r>
    </w:p>
    <w:p w14:paraId="161CCCA3">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联系人：</w:t>
      </w:r>
      <w:r>
        <w:rPr>
          <w:rFonts w:hint="eastAsia" w:ascii="宋体" w:hAnsi="宋体" w:eastAsia="宋体" w:cs="仿宋_GB2312"/>
          <w:bCs/>
          <w:szCs w:val="20"/>
          <w:u w:val="single"/>
        </w:rPr>
        <w:t xml:space="preserve">                     </w:t>
      </w:r>
      <w:r>
        <w:rPr>
          <w:rFonts w:hint="eastAsia" w:ascii="宋体" w:hAnsi="宋体" w:eastAsia="宋体" w:cs="仿宋_GB2312"/>
          <w:bCs/>
          <w:szCs w:val="20"/>
        </w:rPr>
        <w:t>联系电话：</w:t>
      </w:r>
      <w:r>
        <w:rPr>
          <w:rFonts w:hint="eastAsia" w:ascii="宋体" w:hAnsi="宋体" w:eastAsia="宋体" w:cs="仿宋_GB2312"/>
          <w:bCs/>
          <w:szCs w:val="20"/>
          <w:u w:val="single"/>
        </w:rPr>
        <w:t xml:space="preserve">                 </w:t>
      </w:r>
    </w:p>
    <w:p w14:paraId="2FAAFBAD">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授权代表：</w:t>
      </w:r>
      <w:r>
        <w:rPr>
          <w:rFonts w:hint="eastAsia" w:ascii="宋体" w:hAnsi="宋体" w:eastAsia="宋体" w:cs="仿宋_GB2312"/>
          <w:bCs/>
          <w:szCs w:val="20"/>
          <w:u w:val="single"/>
        </w:rPr>
        <w:t xml:space="preserve">                      </w:t>
      </w:r>
    </w:p>
    <w:p w14:paraId="4A3EF1B8">
      <w:pPr>
        <w:snapToGrid w:val="0"/>
        <w:spacing w:line="440" w:lineRule="exact"/>
        <w:ind w:firstLine="420" w:firstLineChars="200"/>
        <w:rPr>
          <w:rFonts w:ascii="宋体" w:hAnsi="宋体" w:eastAsia="宋体" w:cs="仿宋_GB2312"/>
          <w:bCs/>
          <w:szCs w:val="20"/>
          <w:u w:val="single"/>
        </w:rPr>
      </w:pPr>
      <w:r>
        <w:rPr>
          <w:rFonts w:hint="eastAsia" w:ascii="宋体" w:hAnsi="宋体" w:eastAsia="宋体" w:cs="仿宋_GB2312"/>
          <w:bCs/>
          <w:szCs w:val="20"/>
        </w:rPr>
        <w:t>联系电话：</w:t>
      </w:r>
      <w:r>
        <w:rPr>
          <w:rFonts w:hint="eastAsia" w:ascii="宋体" w:hAnsi="宋体" w:eastAsia="宋体" w:cs="仿宋_GB2312"/>
          <w:bCs/>
          <w:szCs w:val="20"/>
          <w:u w:val="single"/>
        </w:rPr>
        <w:t xml:space="preserve">                      </w:t>
      </w:r>
    </w:p>
    <w:p w14:paraId="2FAAE0DA">
      <w:pPr>
        <w:snapToGrid w:val="0"/>
        <w:spacing w:line="440" w:lineRule="exact"/>
        <w:ind w:firstLine="420" w:firstLineChars="200"/>
        <w:rPr>
          <w:rFonts w:ascii="宋体" w:hAnsi="宋体" w:eastAsia="宋体" w:cs="仿宋_GB2312"/>
          <w:bCs/>
          <w:szCs w:val="20"/>
        </w:rPr>
      </w:pPr>
      <w:r>
        <w:rPr>
          <w:rFonts w:hint="eastAsia" w:ascii="宋体" w:hAnsi="宋体" w:eastAsia="宋体" w:cs="仿宋_GB2312"/>
          <w:bCs/>
          <w:szCs w:val="20"/>
        </w:rPr>
        <w:t>地址：</w:t>
      </w:r>
      <w:r>
        <w:rPr>
          <w:rFonts w:hint="eastAsia" w:ascii="宋体" w:hAnsi="宋体" w:eastAsia="宋体" w:cs="仿宋_GB2312"/>
          <w:bCs/>
          <w:szCs w:val="20"/>
          <w:u w:val="single"/>
        </w:rPr>
        <w:t xml:space="preserve">                 </w:t>
      </w:r>
      <w:r>
        <w:rPr>
          <w:rFonts w:hint="eastAsia" w:ascii="宋体" w:hAnsi="宋体" w:eastAsia="宋体" w:cs="仿宋_GB2312"/>
          <w:bCs/>
          <w:szCs w:val="20"/>
        </w:rPr>
        <w:t>邮编：</w:t>
      </w:r>
      <w:r>
        <w:rPr>
          <w:rFonts w:hint="eastAsia" w:ascii="宋体" w:hAnsi="宋体" w:eastAsia="宋体" w:cs="仿宋_GB2312"/>
          <w:bCs/>
          <w:szCs w:val="20"/>
          <w:u w:val="single"/>
        </w:rPr>
        <w:t xml:space="preserve">                  </w:t>
      </w:r>
      <w:r>
        <w:rPr>
          <w:rFonts w:hint="eastAsia" w:ascii="宋体" w:hAnsi="宋体" w:eastAsia="宋体" w:cs="仿宋_GB2312"/>
          <w:bCs/>
          <w:szCs w:val="20"/>
        </w:rPr>
        <w:t xml:space="preserve">     </w:t>
      </w:r>
    </w:p>
    <w:p w14:paraId="2D61DAAC">
      <w:pPr>
        <w:snapToGrid w:val="0"/>
        <w:spacing w:line="440" w:lineRule="exact"/>
        <w:ind w:firstLine="422" w:firstLineChars="200"/>
        <w:rPr>
          <w:rFonts w:ascii="宋体" w:hAnsi="宋体" w:eastAsia="宋体" w:cs="仿宋_GB2312"/>
          <w:b/>
          <w:bCs/>
          <w:szCs w:val="20"/>
        </w:rPr>
      </w:pPr>
      <w:r>
        <w:rPr>
          <w:rFonts w:hint="eastAsia" w:ascii="宋体" w:hAnsi="宋体" w:eastAsia="宋体" w:cs="仿宋_GB2312"/>
          <w:b/>
          <w:bCs/>
          <w:szCs w:val="20"/>
        </w:rPr>
        <w:t>二、质疑项目基本情况：</w:t>
      </w:r>
    </w:p>
    <w:p w14:paraId="74EECE19">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bCs/>
          <w:szCs w:val="20"/>
        </w:rPr>
        <w:t>质疑</w:t>
      </w:r>
      <w:r>
        <w:rPr>
          <w:rFonts w:hint="eastAsia" w:ascii="宋体" w:hAnsi="宋体" w:eastAsia="宋体" w:cs="仿宋_GB2312"/>
          <w:szCs w:val="20"/>
        </w:rPr>
        <w:t>项目的名称：</w:t>
      </w:r>
      <w:r>
        <w:rPr>
          <w:rFonts w:hint="eastAsia" w:ascii="宋体" w:hAnsi="宋体" w:eastAsia="宋体" w:cs="仿宋_GB2312"/>
          <w:bCs/>
          <w:szCs w:val="20"/>
          <w:u w:val="single"/>
        </w:rPr>
        <w:t xml:space="preserve">                                     </w:t>
      </w:r>
    </w:p>
    <w:p w14:paraId="11E57BDE">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bCs/>
          <w:szCs w:val="20"/>
        </w:rPr>
        <w:t>质疑</w:t>
      </w:r>
      <w:r>
        <w:rPr>
          <w:rFonts w:hint="eastAsia" w:ascii="宋体" w:hAnsi="宋体" w:eastAsia="宋体" w:cs="仿宋_GB2312"/>
          <w:szCs w:val="20"/>
        </w:rPr>
        <w:t>项目的编号：</w:t>
      </w:r>
      <w:r>
        <w:rPr>
          <w:rFonts w:hint="eastAsia" w:ascii="宋体" w:hAnsi="宋体" w:eastAsia="宋体" w:cs="仿宋_GB2312"/>
          <w:bCs/>
          <w:szCs w:val="20"/>
          <w:u w:val="single"/>
        </w:rPr>
        <w:t xml:space="preserve">                                     </w:t>
      </w:r>
    </w:p>
    <w:p w14:paraId="22B95CE0">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采购人名称：</w:t>
      </w:r>
      <w:r>
        <w:rPr>
          <w:rFonts w:hint="eastAsia" w:ascii="宋体" w:hAnsi="宋体" w:eastAsia="宋体" w:cs="仿宋_GB2312"/>
          <w:bCs/>
          <w:szCs w:val="20"/>
          <w:u w:val="single"/>
        </w:rPr>
        <w:t xml:space="preserve">                                         </w:t>
      </w:r>
    </w:p>
    <w:p w14:paraId="5C8FF857">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质疑事项：</w:t>
      </w:r>
    </w:p>
    <w:p w14:paraId="07322F9C">
      <w:pPr>
        <w:spacing w:line="440" w:lineRule="exact"/>
        <w:ind w:left="25" w:leftChars="12" w:firstLine="308" w:firstLineChars="147"/>
        <w:rPr>
          <w:rFonts w:ascii="宋体" w:hAnsi="宋体" w:eastAsia="宋体" w:cs="仿宋_GB2312"/>
          <w:szCs w:val="20"/>
        </w:rPr>
      </w:pPr>
      <w:r>
        <w:rPr>
          <w:rFonts w:hint="eastAsia" w:ascii="宋体" w:hAnsi="宋体" w:eastAsia="宋体" w:cs="仿宋_GB2312"/>
          <w:szCs w:val="20"/>
        </w:rPr>
        <w:t>□招标文件   招标文件获取日期：</w:t>
      </w:r>
      <w:r>
        <w:rPr>
          <w:rFonts w:hint="eastAsia" w:ascii="宋体" w:hAnsi="宋体" w:eastAsia="宋体" w:cs="仿宋_GB2312"/>
          <w:bCs/>
          <w:szCs w:val="20"/>
          <w:u w:val="single"/>
        </w:rPr>
        <w:t xml:space="preserve">                                   </w:t>
      </w:r>
    </w:p>
    <w:p w14:paraId="6F4517E3">
      <w:pPr>
        <w:spacing w:line="440" w:lineRule="exact"/>
        <w:ind w:left="25" w:leftChars="12" w:firstLine="308" w:firstLineChars="147"/>
        <w:rPr>
          <w:rFonts w:ascii="宋体" w:hAnsi="宋体" w:eastAsia="宋体" w:cs="仿宋_GB2312"/>
          <w:szCs w:val="20"/>
        </w:rPr>
      </w:pPr>
      <w:r>
        <w:rPr>
          <w:rFonts w:hint="eastAsia" w:ascii="宋体" w:hAnsi="宋体" w:eastAsia="宋体" w:cs="仿宋_GB2312"/>
          <w:szCs w:val="20"/>
        </w:rPr>
        <w:t xml:space="preserve">□招标过程   </w:t>
      </w:r>
    </w:p>
    <w:p w14:paraId="3BB0A3FE">
      <w:pPr>
        <w:spacing w:line="440" w:lineRule="exact"/>
        <w:ind w:left="25" w:leftChars="12" w:firstLine="308" w:firstLineChars="147"/>
        <w:rPr>
          <w:rFonts w:ascii="宋体" w:hAnsi="宋体" w:eastAsia="宋体" w:cs="仿宋_GB2312"/>
          <w:bCs/>
          <w:szCs w:val="20"/>
          <w:u w:val="single"/>
        </w:rPr>
      </w:pPr>
      <w:r>
        <w:rPr>
          <w:rFonts w:hint="eastAsia" w:ascii="宋体" w:hAnsi="宋体" w:eastAsia="宋体" w:cs="仿宋_GB2312"/>
          <w:szCs w:val="20"/>
        </w:rPr>
        <w:t xml:space="preserve">□招标结果   </w:t>
      </w:r>
    </w:p>
    <w:p w14:paraId="0EE9919E">
      <w:pPr>
        <w:spacing w:line="440" w:lineRule="exact"/>
        <w:ind w:left="25" w:leftChars="12" w:firstLine="413" w:firstLineChars="196"/>
        <w:rPr>
          <w:rFonts w:ascii="宋体" w:hAnsi="宋体" w:eastAsia="宋体" w:cs="仿宋_GB2312"/>
          <w:b/>
          <w:szCs w:val="20"/>
        </w:rPr>
      </w:pPr>
      <w:r>
        <w:rPr>
          <w:rFonts w:hint="eastAsia" w:ascii="宋体" w:hAnsi="宋体" w:eastAsia="宋体" w:cs="仿宋_GB2312"/>
          <w:b/>
          <w:szCs w:val="20"/>
        </w:rPr>
        <w:t>三、质疑事项具体内容</w:t>
      </w:r>
    </w:p>
    <w:p w14:paraId="7ECB1255">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质疑事项1：</w:t>
      </w:r>
      <w:r>
        <w:rPr>
          <w:rFonts w:hint="eastAsia" w:ascii="宋体" w:hAnsi="宋体" w:eastAsia="宋体" w:cs="仿宋_GB2312"/>
          <w:bCs/>
          <w:szCs w:val="20"/>
          <w:u w:val="single"/>
        </w:rPr>
        <w:t xml:space="preserve">                                                                    </w:t>
      </w:r>
    </w:p>
    <w:p w14:paraId="1EB01A88">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事实依据：</w:t>
      </w:r>
      <w:r>
        <w:rPr>
          <w:rFonts w:hint="eastAsia" w:ascii="宋体" w:hAnsi="宋体" w:eastAsia="宋体" w:cs="仿宋_GB2312"/>
          <w:bCs/>
          <w:szCs w:val="20"/>
          <w:u w:val="single"/>
        </w:rPr>
        <w:t xml:space="preserve">                                                                      </w:t>
      </w:r>
    </w:p>
    <w:p w14:paraId="32F31D54">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法律依据：</w:t>
      </w:r>
      <w:r>
        <w:rPr>
          <w:rFonts w:hint="eastAsia" w:ascii="宋体" w:hAnsi="宋体" w:eastAsia="宋体" w:cs="仿宋_GB2312"/>
          <w:szCs w:val="20"/>
          <w:u w:val="single"/>
        </w:rPr>
        <w:t xml:space="preserve">                                                        </w:t>
      </w:r>
      <w:r>
        <w:rPr>
          <w:rFonts w:hint="eastAsia" w:ascii="宋体" w:hAnsi="宋体" w:eastAsia="宋体" w:cs="仿宋_GB2312"/>
          <w:bCs/>
          <w:szCs w:val="20"/>
          <w:u w:val="single"/>
        </w:rPr>
        <w:t xml:space="preserve">               </w:t>
      </w:r>
    </w:p>
    <w:p w14:paraId="7407BA94">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质疑事项2</w:t>
      </w:r>
    </w:p>
    <w:p w14:paraId="015AF2E0">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w:t>
      </w:r>
    </w:p>
    <w:p w14:paraId="1CEBE4A8">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四、与质疑事项相关的质疑请求：</w:t>
      </w:r>
    </w:p>
    <w:p w14:paraId="2128EE0B">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请求：</w:t>
      </w:r>
      <w:r>
        <w:rPr>
          <w:rFonts w:hint="eastAsia" w:ascii="宋体" w:hAnsi="宋体" w:eastAsia="宋体" w:cs="仿宋_GB2312"/>
          <w:bCs/>
          <w:szCs w:val="20"/>
          <w:u w:val="single"/>
        </w:rPr>
        <w:t xml:space="preserve">                                                                </w:t>
      </w:r>
    </w:p>
    <w:p w14:paraId="3B2CAFE0">
      <w:pPr>
        <w:spacing w:line="440" w:lineRule="exact"/>
        <w:ind w:left="25" w:leftChars="12" w:firstLine="308" w:firstLineChars="147"/>
        <w:rPr>
          <w:rFonts w:ascii="宋体" w:hAnsi="宋体" w:eastAsia="宋体" w:cs="仿宋_GB2312"/>
          <w:szCs w:val="20"/>
        </w:rPr>
      </w:pPr>
    </w:p>
    <w:p w14:paraId="703AE0B2">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签字（签章）：                                       公章：</w:t>
      </w:r>
    </w:p>
    <w:p w14:paraId="45F6FDE7">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日期：</w:t>
      </w:r>
    </w:p>
    <w:p w14:paraId="021AC40E">
      <w:pPr>
        <w:snapToGrid w:val="0"/>
        <w:spacing w:line="440" w:lineRule="exact"/>
        <w:ind w:firstLine="480"/>
        <w:rPr>
          <w:rFonts w:ascii="宋体" w:hAnsi="宋体" w:eastAsia="宋体" w:cs="仿宋_GB2312"/>
          <w:b/>
          <w:szCs w:val="20"/>
        </w:rPr>
      </w:pPr>
      <w:r>
        <w:rPr>
          <w:rFonts w:hint="eastAsia" w:ascii="宋体" w:hAnsi="宋体" w:eastAsia="宋体" w:cs="仿宋_GB2312"/>
          <w:b/>
          <w:szCs w:val="20"/>
        </w:rPr>
        <w:t>说明：</w:t>
      </w:r>
    </w:p>
    <w:p w14:paraId="45AFA18E">
      <w:pPr>
        <w:spacing w:line="440" w:lineRule="exact"/>
        <w:ind w:left="25" w:leftChars="12" w:firstLine="310" w:firstLineChars="147"/>
        <w:rPr>
          <w:rFonts w:ascii="宋体" w:hAnsi="宋体" w:eastAsia="宋体" w:cs="仿宋_GB2312"/>
          <w:b/>
          <w:bCs/>
          <w:szCs w:val="20"/>
        </w:rPr>
      </w:pPr>
      <w:r>
        <w:rPr>
          <w:rFonts w:hint="eastAsia" w:ascii="宋体" w:hAnsi="宋体" w:eastAsia="宋体" w:cs="仿宋_GB2312"/>
          <w:b/>
          <w:szCs w:val="20"/>
        </w:rPr>
        <w:t>1.供应商提出质疑时，应提交质疑函和必要的证明材料</w:t>
      </w:r>
      <w:r>
        <w:rPr>
          <w:rFonts w:hint="eastAsia" w:ascii="宋体" w:hAnsi="宋体" w:eastAsia="宋体" w:cs="仿宋_GB2312"/>
          <w:b/>
          <w:bCs/>
          <w:szCs w:val="20"/>
        </w:rPr>
        <w:t>。</w:t>
      </w:r>
    </w:p>
    <w:p w14:paraId="50C370ED">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FC42848">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3.质疑函的质疑事项应具体、明确，并有必要的事实依据和法律依据。</w:t>
      </w:r>
    </w:p>
    <w:p w14:paraId="74FCE4FD">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4.质疑函的质疑请求应与质疑事项相关。</w:t>
      </w:r>
    </w:p>
    <w:p w14:paraId="13DCBD0E">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5.质疑供应商为法人或者其他组织的，质疑函应由法定代表人、主要负责人，或者其授权代表签字或者盖章，并加盖公章。</w:t>
      </w:r>
    </w:p>
    <w:p w14:paraId="513A81E2">
      <w:pPr>
        <w:spacing w:line="460" w:lineRule="exact"/>
        <w:ind w:firstLine="883"/>
        <w:rPr>
          <w:rFonts w:ascii="宋体" w:hAnsi="宋体" w:eastAsia="宋体" w:cs="仿宋_GB2312"/>
          <w:sz w:val="44"/>
          <w:szCs w:val="24"/>
        </w:rPr>
      </w:pPr>
    </w:p>
    <w:p w14:paraId="2FDDC4B4">
      <w:pPr>
        <w:spacing w:line="360" w:lineRule="auto"/>
        <w:ind w:firstLine="480"/>
        <w:jc w:val="left"/>
        <w:outlineLvl w:val="2"/>
        <w:rPr>
          <w:rFonts w:ascii="宋体" w:hAnsi="宋体" w:eastAsia="宋体" w:cs="仿宋_GB2312"/>
          <w:b/>
          <w:sz w:val="24"/>
          <w:szCs w:val="24"/>
        </w:rPr>
      </w:pPr>
      <w:r>
        <w:rPr>
          <w:rFonts w:hint="eastAsia" w:ascii="宋体" w:hAnsi="宋体" w:eastAsia="宋体" w:cs="仿宋_GB2312"/>
          <w:b/>
          <w:sz w:val="24"/>
          <w:szCs w:val="24"/>
        </w:rPr>
        <w:br w:type="page"/>
      </w:r>
      <w:r>
        <w:rPr>
          <w:rFonts w:hint="eastAsia" w:ascii="宋体" w:hAnsi="宋体"/>
          <w:b/>
          <w:sz w:val="30"/>
        </w:rPr>
        <w:t>2.投诉书（格式）</w:t>
      </w:r>
    </w:p>
    <w:p w14:paraId="09C7AF61">
      <w:pPr>
        <w:spacing w:line="360" w:lineRule="auto"/>
        <w:ind w:firstLine="600"/>
        <w:jc w:val="center"/>
        <w:rPr>
          <w:rFonts w:ascii="宋体" w:hAnsi="宋体" w:eastAsia="宋体" w:cs="仿宋_GB2312"/>
          <w:b/>
          <w:sz w:val="30"/>
          <w:szCs w:val="30"/>
        </w:rPr>
      </w:pPr>
      <w:r>
        <w:rPr>
          <w:rFonts w:hint="eastAsia" w:ascii="宋体" w:hAnsi="宋体" w:eastAsia="宋体" w:cs="仿宋_GB2312"/>
          <w:b/>
          <w:sz w:val="30"/>
          <w:szCs w:val="30"/>
        </w:rPr>
        <w:t>投诉书（格式）</w:t>
      </w:r>
    </w:p>
    <w:p w14:paraId="2D1E871D">
      <w:pPr>
        <w:snapToGrid w:val="0"/>
        <w:spacing w:line="440" w:lineRule="exact"/>
        <w:ind w:firstLine="422" w:firstLineChars="200"/>
        <w:rPr>
          <w:rFonts w:ascii="宋体" w:hAnsi="宋体" w:eastAsia="宋体" w:cs="仿宋_GB2312"/>
          <w:b/>
          <w:bCs/>
          <w:szCs w:val="20"/>
        </w:rPr>
      </w:pPr>
      <w:r>
        <w:rPr>
          <w:rFonts w:hint="eastAsia" w:ascii="宋体" w:hAnsi="宋体" w:eastAsia="宋体" w:cs="仿宋_GB2312"/>
          <w:b/>
          <w:bCs/>
          <w:szCs w:val="20"/>
        </w:rPr>
        <w:t>一、投诉相关主体基本情况：</w:t>
      </w:r>
    </w:p>
    <w:p w14:paraId="6682BADB">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投标人：</w:t>
      </w:r>
      <w:r>
        <w:rPr>
          <w:rFonts w:hint="eastAsia" w:ascii="宋体" w:hAnsi="宋体" w:eastAsia="宋体" w:cs="仿宋_GB2312"/>
          <w:bCs/>
          <w:szCs w:val="20"/>
          <w:u w:val="single"/>
        </w:rPr>
        <w:t xml:space="preserve">                                                                        </w:t>
      </w:r>
    </w:p>
    <w:p w14:paraId="5C65CFCC">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地址：</w:t>
      </w:r>
      <w:r>
        <w:rPr>
          <w:rFonts w:hint="eastAsia" w:ascii="宋体" w:hAnsi="宋体" w:eastAsia="宋体" w:cs="仿宋_GB2312"/>
          <w:bCs/>
          <w:szCs w:val="20"/>
          <w:u w:val="single"/>
        </w:rPr>
        <w:t xml:space="preserve">                                          </w:t>
      </w:r>
      <w:r>
        <w:rPr>
          <w:rFonts w:hint="eastAsia" w:ascii="宋体" w:hAnsi="宋体" w:eastAsia="宋体" w:cs="仿宋_GB2312"/>
          <w:bCs/>
          <w:szCs w:val="20"/>
        </w:rPr>
        <w:t>邮编：</w:t>
      </w:r>
      <w:r>
        <w:rPr>
          <w:rFonts w:hint="eastAsia" w:ascii="宋体" w:hAnsi="宋体" w:eastAsia="宋体" w:cs="仿宋_GB2312"/>
          <w:bCs/>
          <w:szCs w:val="20"/>
          <w:u w:val="single"/>
        </w:rPr>
        <w:t xml:space="preserve">                          </w:t>
      </w:r>
    </w:p>
    <w:p w14:paraId="470A8B59">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法定代表人/主要负责人：</w:t>
      </w:r>
      <w:r>
        <w:rPr>
          <w:rFonts w:hint="eastAsia" w:ascii="宋体" w:hAnsi="宋体" w:eastAsia="宋体" w:cs="仿宋_GB2312"/>
          <w:bCs/>
          <w:szCs w:val="20"/>
          <w:u w:val="single"/>
        </w:rPr>
        <w:t xml:space="preserve">                                                         </w:t>
      </w:r>
    </w:p>
    <w:p w14:paraId="2039CA6F">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联系电话：</w:t>
      </w:r>
      <w:r>
        <w:rPr>
          <w:rFonts w:hint="eastAsia" w:ascii="宋体" w:hAnsi="宋体" w:eastAsia="宋体" w:cs="仿宋_GB2312"/>
          <w:bCs/>
          <w:szCs w:val="20"/>
          <w:u w:val="single"/>
        </w:rPr>
        <w:t xml:space="preserve">                                         </w:t>
      </w:r>
    </w:p>
    <w:p w14:paraId="6F31ECFD">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授权代表：</w:t>
      </w:r>
      <w:r>
        <w:rPr>
          <w:rFonts w:hint="eastAsia" w:ascii="宋体" w:hAnsi="宋体" w:eastAsia="宋体" w:cs="仿宋_GB2312"/>
          <w:bCs/>
          <w:szCs w:val="20"/>
          <w:u w:val="single"/>
        </w:rPr>
        <w:t xml:space="preserve">                                         </w:t>
      </w:r>
      <w:r>
        <w:rPr>
          <w:rFonts w:hint="eastAsia" w:ascii="宋体" w:hAnsi="宋体" w:eastAsia="宋体" w:cs="仿宋_GB2312"/>
          <w:bCs/>
          <w:szCs w:val="20"/>
        </w:rPr>
        <w:t>联系电话：</w:t>
      </w:r>
      <w:r>
        <w:rPr>
          <w:rFonts w:hint="eastAsia" w:ascii="宋体" w:hAnsi="宋体" w:eastAsia="宋体" w:cs="仿宋_GB2312"/>
          <w:bCs/>
          <w:szCs w:val="20"/>
          <w:u w:val="single"/>
        </w:rPr>
        <w:t xml:space="preserve">                   </w:t>
      </w:r>
    </w:p>
    <w:p w14:paraId="5A8C58CD">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地址：</w:t>
      </w:r>
      <w:r>
        <w:rPr>
          <w:rFonts w:hint="eastAsia" w:ascii="宋体" w:hAnsi="宋体" w:eastAsia="宋体" w:cs="仿宋_GB2312"/>
          <w:bCs/>
          <w:szCs w:val="20"/>
          <w:u w:val="single"/>
        </w:rPr>
        <w:t xml:space="preserve">                                                            </w:t>
      </w:r>
    </w:p>
    <w:p w14:paraId="57C4660B">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邮编：</w:t>
      </w:r>
      <w:r>
        <w:rPr>
          <w:rFonts w:hint="eastAsia" w:ascii="宋体" w:hAnsi="宋体" w:eastAsia="宋体" w:cs="仿宋_GB2312"/>
          <w:bCs/>
          <w:szCs w:val="20"/>
          <w:u w:val="single"/>
        </w:rPr>
        <w:t xml:space="preserve">         </w:t>
      </w:r>
      <w:r>
        <w:rPr>
          <w:rFonts w:hint="eastAsia" w:ascii="宋体" w:hAnsi="宋体" w:eastAsia="宋体" w:cs="仿宋_GB2312"/>
          <w:bCs/>
          <w:szCs w:val="20"/>
        </w:rPr>
        <w:t xml:space="preserve">   </w:t>
      </w:r>
    </w:p>
    <w:p w14:paraId="099FE7FF">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被投诉人1：</w:t>
      </w:r>
    </w:p>
    <w:p w14:paraId="08089672">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地址：</w:t>
      </w:r>
      <w:r>
        <w:rPr>
          <w:rFonts w:hint="eastAsia" w:ascii="宋体" w:hAnsi="宋体" w:eastAsia="宋体" w:cs="仿宋_GB2312"/>
          <w:bCs/>
          <w:szCs w:val="20"/>
          <w:u w:val="single"/>
        </w:rPr>
        <w:t xml:space="preserve">                                                            </w:t>
      </w:r>
    </w:p>
    <w:p w14:paraId="48A6FD10">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邮编：</w:t>
      </w:r>
      <w:r>
        <w:rPr>
          <w:rFonts w:hint="eastAsia" w:ascii="宋体" w:hAnsi="宋体" w:eastAsia="宋体" w:cs="仿宋_GB2312"/>
          <w:bCs/>
          <w:szCs w:val="20"/>
          <w:u w:val="single"/>
        </w:rPr>
        <w:t xml:space="preserve">         </w:t>
      </w:r>
      <w:r>
        <w:rPr>
          <w:rFonts w:hint="eastAsia" w:ascii="宋体" w:hAnsi="宋体" w:eastAsia="宋体" w:cs="仿宋_GB2312"/>
          <w:bCs/>
          <w:szCs w:val="20"/>
        </w:rPr>
        <w:t xml:space="preserve">  </w:t>
      </w:r>
    </w:p>
    <w:p w14:paraId="73DDA21F">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联系人：</w:t>
      </w:r>
      <w:r>
        <w:rPr>
          <w:rFonts w:hint="eastAsia" w:ascii="宋体" w:hAnsi="宋体" w:eastAsia="宋体" w:cs="仿宋_GB2312"/>
          <w:bCs/>
          <w:szCs w:val="20"/>
          <w:u w:val="single"/>
        </w:rPr>
        <w:t xml:space="preserve">                                </w:t>
      </w:r>
      <w:r>
        <w:rPr>
          <w:rFonts w:hint="eastAsia" w:ascii="宋体" w:hAnsi="宋体" w:eastAsia="宋体" w:cs="仿宋_GB2312"/>
          <w:bCs/>
          <w:szCs w:val="20"/>
        </w:rPr>
        <w:t>联系电话：</w:t>
      </w:r>
      <w:r>
        <w:rPr>
          <w:rFonts w:hint="eastAsia" w:ascii="宋体" w:hAnsi="宋体" w:eastAsia="宋体" w:cs="仿宋_GB2312"/>
          <w:bCs/>
          <w:szCs w:val="20"/>
          <w:u w:val="single"/>
        </w:rPr>
        <w:t xml:space="preserve">                </w:t>
      </w:r>
    </w:p>
    <w:p w14:paraId="65A2D05D">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被投诉人2：</w:t>
      </w:r>
    </w:p>
    <w:p w14:paraId="497B5B28">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w:t>
      </w:r>
    </w:p>
    <w:p w14:paraId="55C64C93">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相关供应商：</w:t>
      </w:r>
      <w:r>
        <w:rPr>
          <w:rFonts w:hint="eastAsia" w:ascii="宋体" w:hAnsi="宋体" w:eastAsia="宋体" w:cs="仿宋_GB2312"/>
          <w:bCs/>
          <w:szCs w:val="20"/>
          <w:u w:val="single"/>
        </w:rPr>
        <w:t xml:space="preserve">                                                                       </w:t>
      </w:r>
    </w:p>
    <w:p w14:paraId="087EBCB3">
      <w:pPr>
        <w:snapToGrid w:val="0"/>
        <w:spacing w:line="440" w:lineRule="exact"/>
        <w:ind w:firstLine="420" w:firstLineChars="200"/>
        <w:jc w:val="left"/>
        <w:rPr>
          <w:rFonts w:ascii="宋体" w:hAnsi="宋体" w:eastAsia="宋体" w:cs="仿宋_GB2312"/>
          <w:bCs/>
          <w:szCs w:val="20"/>
          <w:u w:val="single"/>
        </w:rPr>
      </w:pPr>
      <w:r>
        <w:rPr>
          <w:rFonts w:hint="eastAsia" w:ascii="宋体" w:hAnsi="宋体" w:eastAsia="宋体" w:cs="仿宋_GB2312"/>
          <w:bCs/>
          <w:szCs w:val="20"/>
        </w:rPr>
        <w:t>地址：</w:t>
      </w:r>
      <w:r>
        <w:rPr>
          <w:rFonts w:hint="eastAsia" w:ascii="宋体" w:hAnsi="宋体" w:eastAsia="宋体" w:cs="仿宋_GB2312"/>
          <w:bCs/>
          <w:szCs w:val="20"/>
          <w:u w:val="single"/>
        </w:rPr>
        <w:t xml:space="preserve">                                              </w:t>
      </w:r>
      <w:r>
        <w:rPr>
          <w:rFonts w:hint="eastAsia" w:ascii="宋体" w:hAnsi="宋体" w:eastAsia="宋体" w:cs="仿宋_GB2312"/>
          <w:bCs/>
          <w:szCs w:val="20"/>
        </w:rPr>
        <w:t>邮编：</w:t>
      </w:r>
      <w:r>
        <w:rPr>
          <w:rFonts w:hint="eastAsia" w:ascii="宋体" w:hAnsi="宋体" w:eastAsia="宋体" w:cs="仿宋_GB2312"/>
          <w:bCs/>
          <w:szCs w:val="20"/>
          <w:u w:val="single"/>
        </w:rPr>
        <w:t xml:space="preserve">                         </w:t>
      </w:r>
    </w:p>
    <w:p w14:paraId="5F8F2029">
      <w:pPr>
        <w:snapToGrid w:val="0"/>
        <w:spacing w:line="440" w:lineRule="exact"/>
        <w:ind w:firstLine="420" w:firstLineChars="200"/>
        <w:jc w:val="left"/>
        <w:rPr>
          <w:rFonts w:ascii="宋体" w:hAnsi="宋体" w:eastAsia="宋体" w:cs="仿宋_GB2312"/>
          <w:bCs/>
          <w:szCs w:val="20"/>
        </w:rPr>
      </w:pPr>
      <w:r>
        <w:rPr>
          <w:rFonts w:hint="eastAsia" w:ascii="宋体" w:hAnsi="宋体" w:eastAsia="宋体" w:cs="仿宋_GB2312"/>
          <w:bCs/>
          <w:szCs w:val="20"/>
        </w:rPr>
        <w:t>联系人：</w:t>
      </w:r>
      <w:r>
        <w:rPr>
          <w:rFonts w:hint="eastAsia" w:ascii="宋体" w:hAnsi="宋体" w:eastAsia="宋体" w:cs="仿宋_GB2312"/>
          <w:bCs/>
          <w:szCs w:val="20"/>
          <w:u w:val="single"/>
        </w:rPr>
        <w:t xml:space="preserve">                                            </w:t>
      </w:r>
      <w:r>
        <w:rPr>
          <w:rFonts w:hint="eastAsia" w:ascii="宋体" w:hAnsi="宋体" w:eastAsia="宋体" w:cs="仿宋_GB2312"/>
          <w:bCs/>
          <w:szCs w:val="20"/>
        </w:rPr>
        <w:t>联系电话：</w:t>
      </w:r>
      <w:r>
        <w:rPr>
          <w:rFonts w:hint="eastAsia" w:ascii="宋体" w:hAnsi="宋体" w:eastAsia="宋体" w:cs="仿宋_GB2312"/>
          <w:bCs/>
          <w:szCs w:val="20"/>
          <w:u w:val="single"/>
        </w:rPr>
        <w:t xml:space="preserve">                     </w:t>
      </w:r>
    </w:p>
    <w:p w14:paraId="1676CA94">
      <w:pPr>
        <w:snapToGrid w:val="0"/>
        <w:spacing w:line="440" w:lineRule="exact"/>
        <w:ind w:firstLine="422" w:firstLineChars="200"/>
        <w:rPr>
          <w:rFonts w:ascii="宋体" w:hAnsi="宋体" w:eastAsia="宋体" w:cs="仿宋_GB2312"/>
          <w:b/>
          <w:bCs/>
          <w:szCs w:val="20"/>
        </w:rPr>
      </w:pPr>
      <w:r>
        <w:rPr>
          <w:rFonts w:hint="eastAsia" w:ascii="宋体" w:hAnsi="宋体" w:eastAsia="宋体" w:cs="仿宋_GB2312"/>
          <w:b/>
          <w:bCs/>
          <w:szCs w:val="20"/>
        </w:rPr>
        <w:t>二、投诉项目基本情况：</w:t>
      </w:r>
    </w:p>
    <w:p w14:paraId="584B711C">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招标项目的名称：</w:t>
      </w:r>
      <w:r>
        <w:rPr>
          <w:rFonts w:hint="eastAsia" w:ascii="宋体" w:hAnsi="宋体" w:eastAsia="宋体" w:cs="仿宋_GB2312"/>
          <w:bCs/>
          <w:szCs w:val="20"/>
          <w:u w:val="single"/>
        </w:rPr>
        <w:t xml:space="preserve">                                                                   </w:t>
      </w:r>
    </w:p>
    <w:p w14:paraId="433931D3">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招标项目的编号：</w:t>
      </w:r>
      <w:r>
        <w:rPr>
          <w:rFonts w:hint="eastAsia" w:ascii="宋体" w:hAnsi="宋体" w:eastAsia="宋体" w:cs="仿宋_GB2312"/>
          <w:bCs/>
          <w:szCs w:val="20"/>
          <w:u w:val="single"/>
        </w:rPr>
        <w:t xml:space="preserve">                                          </w:t>
      </w:r>
    </w:p>
    <w:p w14:paraId="6D5A2BCD">
      <w:pPr>
        <w:spacing w:line="440" w:lineRule="exact"/>
        <w:ind w:left="25" w:leftChars="12" w:firstLine="413" w:firstLineChars="197"/>
        <w:rPr>
          <w:rFonts w:ascii="宋体" w:hAnsi="宋体" w:eastAsia="宋体" w:cs="仿宋_GB2312"/>
          <w:bCs/>
          <w:szCs w:val="20"/>
          <w:u w:val="single"/>
        </w:rPr>
      </w:pPr>
      <w:r>
        <w:rPr>
          <w:rFonts w:hint="eastAsia" w:ascii="宋体" w:hAnsi="宋体" w:eastAsia="宋体" w:cs="仿宋_GB2312"/>
          <w:szCs w:val="20"/>
        </w:rPr>
        <w:t>采购人名称：</w:t>
      </w:r>
      <w:r>
        <w:rPr>
          <w:rFonts w:hint="eastAsia" w:ascii="宋体" w:hAnsi="宋体" w:eastAsia="宋体" w:cs="仿宋_GB2312"/>
          <w:bCs/>
          <w:szCs w:val="20"/>
          <w:u w:val="single"/>
        </w:rPr>
        <w:t xml:space="preserve">                                                                        </w:t>
      </w:r>
    </w:p>
    <w:p w14:paraId="41949F19">
      <w:pPr>
        <w:spacing w:line="440" w:lineRule="exact"/>
        <w:ind w:left="25" w:leftChars="12" w:firstLine="413" w:firstLineChars="197"/>
        <w:rPr>
          <w:rFonts w:ascii="宋体" w:hAnsi="宋体" w:eastAsia="宋体" w:cs="仿宋_GB2312"/>
          <w:bCs/>
          <w:szCs w:val="20"/>
          <w:u w:val="single"/>
        </w:rPr>
      </w:pPr>
      <w:r>
        <w:rPr>
          <w:rFonts w:hint="eastAsia" w:ascii="宋体" w:hAnsi="宋体" w:eastAsia="宋体" w:cs="仿宋_GB2312"/>
          <w:szCs w:val="20"/>
        </w:rPr>
        <w:t>代理机构名称：</w:t>
      </w:r>
      <w:r>
        <w:rPr>
          <w:rFonts w:hint="eastAsia" w:ascii="宋体" w:hAnsi="宋体" w:eastAsia="宋体" w:cs="仿宋_GB2312"/>
          <w:bCs/>
          <w:szCs w:val="20"/>
          <w:u w:val="single"/>
        </w:rPr>
        <w:t xml:space="preserve">                                                                      </w:t>
      </w:r>
    </w:p>
    <w:p w14:paraId="665D4FEA">
      <w:pPr>
        <w:spacing w:line="440" w:lineRule="exact"/>
        <w:ind w:left="25" w:leftChars="12" w:firstLine="413" w:firstLineChars="197"/>
        <w:rPr>
          <w:rFonts w:ascii="宋体" w:hAnsi="宋体" w:eastAsia="宋体" w:cs="仿宋_GB2312"/>
          <w:bCs/>
          <w:szCs w:val="20"/>
          <w:u w:val="single"/>
        </w:rPr>
      </w:pPr>
      <w:r>
        <w:rPr>
          <w:rFonts w:hint="eastAsia" w:ascii="宋体" w:hAnsi="宋体" w:eastAsia="宋体" w:cs="仿宋_GB2312"/>
          <w:szCs w:val="20"/>
        </w:rPr>
        <w:t>招标</w:t>
      </w:r>
      <w:r>
        <w:rPr>
          <w:rFonts w:hint="eastAsia" w:ascii="宋体" w:hAnsi="宋体" w:eastAsia="宋体" w:cs="仿宋_GB2312"/>
          <w:bCs/>
          <w:szCs w:val="20"/>
        </w:rPr>
        <w:t>文件公告：</w:t>
      </w:r>
      <w:r>
        <w:rPr>
          <w:rFonts w:hint="eastAsia" w:ascii="宋体" w:hAnsi="宋体" w:eastAsia="宋体" w:cs="仿宋_GB2312"/>
          <w:bCs/>
          <w:szCs w:val="20"/>
          <w:u w:val="single"/>
        </w:rPr>
        <w:t>是/否</w:t>
      </w:r>
      <w:r>
        <w:rPr>
          <w:rFonts w:hint="eastAsia" w:ascii="宋体" w:hAnsi="宋体" w:eastAsia="宋体" w:cs="仿宋_GB2312"/>
          <w:bCs/>
          <w:szCs w:val="20"/>
        </w:rPr>
        <w:t>公告期限：</w:t>
      </w:r>
      <w:r>
        <w:rPr>
          <w:rFonts w:hint="eastAsia" w:ascii="宋体" w:hAnsi="宋体" w:eastAsia="宋体" w:cs="仿宋_GB2312"/>
          <w:bCs/>
          <w:szCs w:val="20"/>
          <w:u w:val="single"/>
        </w:rPr>
        <w:t xml:space="preserve">                                                       </w:t>
      </w:r>
    </w:p>
    <w:p w14:paraId="392E57A0">
      <w:pPr>
        <w:spacing w:line="440" w:lineRule="exact"/>
        <w:ind w:left="25" w:leftChars="12" w:firstLine="413" w:firstLineChars="197"/>
        <w:rPr>
          <w:rFonts w:ascii="宋体" w:hAnsi="宋体" w:eastAsia="宋体" w:cs="仿宋_GB2312"/>
          <w:b/>
          <w:szCs w:val="20"/>
        </w:rPr>
      </w:pPr>
      <w:r>
        <w:rPr>
          <w:rFonts w:hint="eastAsia" w:ascii="宋体" w:hAnsi="宋体" w:eastAsia="宋体" w:cs="仿宋_GB2312"/>
          <w:szCs w:val="20"/>
        </w:rPr>
        <w:t>招标</w:t>
      </w:r>
      <w:r>
        <w:rPr>
          <w:rFonts w:hint="eastAsia" w:ascii="宋体" w:hAnsi="宋体" w:eastAsia="宋体" w:cs="仿宋_GB2312"/>
          <w:bCs/>
          <w:szCs w:val="20"/>
        </w:rPr>
        <w:t>结果公告：</w:t>
      </w:r>
      <w:r>
        <w:rPr>
          <w:rFonts w:hint="eastAsia" w:ascii="宋体" w:hAnsi="宋体" w:eastAsia="宋体" w:cs="仿宋_GB2312"/>
          <w:bCs/>
          <w:szCs w:val="20"/>
          <w:u w:val="single"/>
        </w:rPr>
        <w:t>是/否</w:t>
      </w:r>
      <w:r>
        <w:rPr>
          <w:rFonts w:hint="eastAsia" w:ascii="宋体" w:hAnsi="宋体" w:eastAsia="宋体" w:cs="仿宋_GB2312"/>
          <w:bCs/>
          <w:szCs w:val="20"/>
        </w:rPr>
        <w:t>公告期限：</w:t>
      </w:r>
      <w:r>
        <w:rPr>
          <w:rFonts w:hint="eastAsia" w:ascii="宋体" w:hAnsi="宋体" w:eastAsia="宋体" w:cs="仿宋_GB2312"/>
          <w:bCs/>
          <w:szCs w:val="20"/>
          <w:u w:val="single"/>
        </w:rPr>
        <w:t xml:space="preserve">                                                    </w:t>
      </w:r>
    </w:p>
    <w:p w14:paraId="00FED08D">
      <w:pPr>
        <w:spacing w:line="440" w:lineRule="exact"/>
        <w:ind w:left="25" w:leftChars="12" w:firstLine="413" w:firstLineChars="196"/>
        <w:rPr>
          <w:rFonts w:ascii="宋体" w:hAnsi="宋体" w:eastAsia="宋体" w:cs="仿宋_GB2312"/>
          <w:b/>
          <w:szCs w:val="20"/>
        </w:rPr>
      </w:pPr>
      <w:r>
        <w:rPr>
          <w:rFonts w:hint="eastAsia" w:ascii="宋体" w:hAnsi="宋体" w:eastAsia="宋体" w:cs="仿宋_GB2312"/>
          <w:b/>
          <w:szCs w:val="20"/>
        </w:rPr>
        <w:t>三、质疑基本情况</w:t>
      </w:r>
    </w:p>
    <w:p w14:paraId="06CB5270">
      <w:pPr>
        <w:spacing w:line="440" w:lineRule="exact"/>
        <w:ind w:left="25" w:leftChars="12" w:firstLine="420" w:firstLineChars="200"/>
        <w:rPr>
          <w:rFonts w:ascii="宋体" w:hAnsi="宋体" w:eastAsia="宋体" w:cs="仿宋_GB2312"/>
          <w:szCs w:val="20"/>
        </w:rPr>
      </w:pPr>
      <w:r>
        <w:rPr>
          <w:rFonts w:hint="eastAsia" w:ascii="宋体" w:hAnsi="宋体" w:eastAsia="宋体" w:cs="仿宋_GB2312"/>
          <w:szCs w:val="20"/>
        </w:rPr>
        <w:t>投诉人于</w:t>
      </w:r>
      <w:r>
        <w:rPr>
          <w:rFonts w:hint="eastAsia" w:ascii="宋体" w:hAnsi="宋体" w:eastAsia="宋体" w:cs="仿宋_GB2312"/>
          <w:szCs w:val="20"/>
          <w:u w:val="single"/>
        </w:rPr>
        <w:t xml:space="preserve">      </w:t>
      </w:r>
      <w:r>
        <w:rPr>
          <w:rFonts w:hint="eastAsia" w:ascii="宋体" w:hAnsi="宋体" w:eastAsia="宋体" w:cs="仿宋_GB2312"/>
          <w:szCs w:val="20"/>
        </w:rPr>
        <w:t>年</w:t>
      </w:r>
      <w:r>
        <w:rPr>
          <w:rFonts w:hint="eastAsia" w:ascii="宋体" w:hAnsi="宋体" w:eastAsia="宋体" w:cs="仿宋_GB2312"/>
          <w:szCs w:val="20"/>
          <w:u w:val="single"/>
        </w:rPr>
        <w:t xml:space="preserve">   </w:t>
      </w:r>
      <w:r>
        <w:rPr>
          <w:rFonts w:hint="eastAsia" w:ascii="宋体" w:hAnsi="宋体" w:eastAsia="宋体" w:cs="仿宋_GB2312"/>
          <w:szCs w:val="20"/>
        </w:rPr>
        <w:t>月</w:t>
      </w:r>
      <w:r>
        <w:rPr>
          <w:rFonts w:hint="eastAsia" w:ascii="宋体" w:hAnsi="宋体" w:eastAsia="宋体" w:cs="仿宋_GB2312"/>
          <w:szCs w:val="20"/>
          <w:u w:val="single"/>
        </w:rPr>
        <w:t xml:space="preserve">   </w:t>
      </w:r>
      <w:r>
        <w:rPr>
          <w:rFonts w:hint="eastAsia" w:ascii="宋体" w:hAnsi="宋体" w:eastAsia="宋体" w:cs="仿宋_GB2312"/>
          <w:szCs w:val="20"/>
        </w:rPr>
        <w:t>日，向</w:t>
      </w:r>
      <w:r>
        <w:rPr>
          <w:rFonts w:hint="eastAsia" w:ascii="宋体" w:hAnsi="宋体" w:eastAsia="宋体" w:cs="仿宋_GB2312"/>
          <w:szCs w:val="20"/>
          <w:u w:val="single"/>
        </w:rPr>
        <w:t xml:space="preserve">                                </w:t>
      </w:r>
      <w:r>
        <w:rPr>
          <w:rFonts w:hint="eastAsia" w:ascii="宋体" w:hAnsi="宋体" w:eastAsia="宋体" w:cs="仿宋_GB2312"/>
          <w:szCs w:val="20"/>
        </w:rPr>
        <w:t>提出质疑，质疑事项为：</w:t>
      </w:r>
    </w:p>
    <w:p w14:paraId="3457A9D8">
      <w:pPr>
        <w:spacing w:line="440" w:lineRule="exact"/>
        <w:ind w:firstLine="482"/>
        <w:rPr>
          <w:rFonts w:ascii="宋体" w:hAnsi="宋体" w:eastAsia="宋体" w:cs="仿宋_GB2312"/>
          <w:bCs/>
          <w:szCs w:val="20"/>
          <w:u w:val="single"/>
        </w:rPr>
      </w:pPr>
      <w:r>
        <w:rPr>
          <w:rFonts w:hint="eastAsia" w:ascii="宋体" w:hAnsi="宋体" w:eastAsia="宋体" w:cs="仿宋_GB2312"/>
          <w:szCs w:val="20"/>
        </w:rPr>
        <w:t xml:space="preserve">    </w:t>
      </w:r>
      <w:r>
        <w:rPr>
          <w:rFonts w:hint="eastAsia" w:ascii="宋体" w:hAnsi="宋体" w:eastAsia="宋体" w:cs="仿宋_GB2312"/>
          <w:bCs/>
          <w:szCs w:val="20"/>
          <w:u w:val="single"/>
        </w:rPr>
        <w:t xml:space="preserve">                                                                                  </w:t>
      </w:r>
    </w:p>
    <w:p w14:paraId="4B9616D8">
      <w:pPr>
        <w:spacing w:line="440" w:lineRule="exact"/>
        <w:ind w:firstLine="482"/>
        <w:rPr>
          <w:rFonts w:ascii="宋体" w:hAnsi="宋体" w:eastAsia="宋体" w:cs="仿宋_GB2312"/>
          <w:bCs/>
          <w:szCs w:val="20"/>
          <w:u w:val="single"/>
        </w:rPr>
      </w:pPr>
      <w:r>
        <w:rPr>
          <w:rFonts w:hint="eastAsia" w:ascii="宋体" w:hAnsi="宋体" w:eastAsia="宋体" w:cs="仿宋_GB2312"/>
          <w:bCs/>
          <w:szCs w:val="20"/>
        </w:rPr>
        <w:t xml:space="preserve">    </w:t>
      </w:r>
      <w:r>
        <w:rPr>
          <w:rFonts w:hint="eastAsia" w:ascii="宋体" w:hAnsi="宋体" w:eastAsia="宋体" w:cs="仿宋_GB2312"/>
          <w:bCs/>
          <w:szCs w:val="20"/>
          <w:u w:val="single"/>
        </w:rPr>
        <w:t xml:space="preserve">                                                                                  </w:t>
      </w:r>
    </w:p>
    <w:p w14:paraId="50DBCC59">
      <w:pPr>
        <w:spacing w:line="440" w:lineRule="exact"/>
        <w:ind w:firstLine="420" w:firstLineChars="200"/>
        <w:rPr>
          <w:rFonts w:ascii="宋体" w:hAnsi="宋体" w:eastAsia="宋体" w:cs="仿宋_GB2312"/>
          <w:szCs w:val="20"/>
        </w:rPr>
      </w:pPr>
      <w:r>
        <w:rPr>
          <w:rFonts w:hint="eastAsia" w:ascii="宋体" w:hAnsi="宋体" w:eastAsia="宋体" w:cs="仿宋_GB2312"/>
          <w:bCs/>
          <w:szCs w:val="20"/>
          <w:u w:val="single"/>
        </w:rPr>
        <w:t>采购人/代理机构</w:t>
      </w:r>
      <w:r>
        <w:rPr>
          <w:rFonts w:hint="eastAsia" w:ascii="宋体" w:hAnsi="宋体" w:eastAsia="宋体" w:cs="仿宋_GB2312"/>
          <w:bCs/>
          <w:szCs w:val="20"/>
        </w:rPr>
        <w:t>于</w:t>
      </w:r>
      <w:r>
        <w:rPr>
          <w:rFonts w:hint="eastAsia" w:ascii="宋体" w:hAnsi="宋体" w:eastAsia="宋体" w:cs="仿宋_GB2312"/>
          <w:szCs w:val="20"/>
          <w:u w:val="single"/>
        </w:rPr>
        <w:t xml:space="preserve">      </w:t>
      </w:r>
      <w:r>
        <w:rPr>
          <w:rFonts w:hint="eastAsia" w:ascii="宋体" w:hAnsi="宋体" w:eastAsia="宋体" w:cs="仿宋_GB2312"/>
          <w:szCs w:val="20"/>
        </w:rPr>
        <w:t>年</w:t>
      </w:r>
      <w:r>
        <w:rPr>
          <w:rFonts w:hint="eastAsia" w:ascii="宋体" w:hAnsi="宋体" w:eastAsia="宋体" w:cs="仿宋_GB2312"/>
          <w:szCs w:val="20"/>
          <w:u w:val="single"/>
        </w:rPr>
        <w:t xml:space="preserve">   </w:t>
      </w:r>
      <w:r>
        <w:rPr>
          <w:rFonts w:hint="eastAsia" w:ascii="宋体" w:hAnsi="宋体" w:eastAsia="宋体" w:cs="仿宋_GB2312"/>
          <w:szCs w:val="20"/>
        </w:rPr>
        <w:t>月</w:t>
      </w:r>
      <w:r>
        <w:rPr>
          <w:rFonts w:hint="eastAsia" w:ascii="宋体" w:hAnsi="宋体" w:eastAsia="宋体" w:cs="仿宋_GB2312"/>
          <w:szCs w:val="20"/>
          <w:u w:val="single"/>
        </w:rPr>
        <w:t xml:space="preserve">   </w:t>
      </w:r>
      <w:r>
        <w:rPr>
          <w:rFonts w:hint="eastAsia" w:ascii="宋体" w:hAnsi="宋体" w:eastAsia="宋体" w:cs="仿宋_GB2312"/>
          <w:szCs w:val="20"/>
        </w:rPr>
        <w:t>日，</w:t>
      </w:r>
      <w:r>
        <w:rPr>
          <w:rFonts w:hint="eastAsia" w:ascii="宋体" w:hAnsi="宋体" w:eastAsia="宋体" w:cs="仿宋_GB2312"/>
          <w:bCs/>
          <w:szCs w:val="20"/>
        </w:rPr>
        <w:t>就质疑事项作出了答复/没有在法定期限内作出答复。</w:t>
      </w:r>
    </w:p>
    <w:p w14:paraId="47C1F62F">
      <w:pPr>
        <w:spacing w:line="440" w:lineRule="exact"/>
        <w:ind w:left="25" w:leftChars="12" w:firstLine="413" w:firstLineChars="196"/>
        <w:rPr>
          <w:rFonts w:ascii="宋体" w:hAnsi="宋体" w:eastAsia="宋体" w:cs="仿宋_GB2312"/>
          <w:b/>
          <w:szCs w:val="20"/>
        </w:rPr>
      </w:pPr>
      <w:r>
        <w:rPr>
          <w:rFonts w:hint="eastAsia" w:ascii="宋体" w:hAnsi="宋体" w:eastAsia="宋体" w:cs="仿宋_GB2312"/>
          <w:b/>
          <w:szCs w:val="20"/>
        </w:rPr>
        <w:t>四、投诉事项具体内容</w:t>
      </w:r>
    </w:p>
    <w:p w14:paraId="20C53A92">
      <w:pPr>
        <w:spacing w:line="440" w:lineRule="exact"/>
        <w:ind w:left="25" w:leftChars="12" w:firstLine="413" w:firstLineChars="197"/>
        <w:rPr>
          <w:rFonts w:ascii="宋体" w:hAnsi="宋体" w:eastAsia="宋体" w:cs="仿宋_GB2312"/>
          <w:bCs/>
          <w:szCs w:val="20"/>
          <w:u w:val="single"/>
        </w:rPr>
      </w:pPr>
      <w:r>
        <w:rPr>
          <w:rFonts w:hint="eastAsia" w:ascii="宋体" w:hAnsi="宋体" w:eastAsia="宋体" w:cs="仿宋_GB2312"/>
          <w:szCs w:val="20"/>
        </w:rPr>
        <w:t>投诉事项1：</w:t>
      </w:r>
      <w:r>
        <w:rPr>
          <w:rFonts w:hint="eastAsia" w:ascii="宋体" w:hAnsi="宋体" w:eastAsia="宋体" w:cs="仿宋_GB2312"/>
          <w:bCs/>
          <w:szCs w:val="20"/>
          <w:u w:val="single"/>
        </w:rPr>
        <w:t xml:space="preserve">                                                                        </w:t>
      </w:r>
    </w:p>
    <w:p w14:paraId="20D46DCA">
      <w:pPr>
        <w:spacing w:line="440" w:lineRule="exact"/>
        <w:ind w:firstLine="420" w:firstLineChars="200"/>
        <w:rPr>
          <w:rFonts w:ascii="宋体" w:hAnsi="宋体" w:eastAsia="宋体" w:cs="仿宋_GB2312"/>
          <w:bCs/>
          <w:szCs w:val="20"/>
          <w:u w:val="single"/>
        </w:rPr>
      </w:pPr>
      <w:r>
        <w:rPr>
          <w:rFonts w:hint="eastAsia" w:ascii="宋体" w:hAnsi="宋体" w:eastAsia="宋体" w:cs="仿宋_GB2312"/>
          <w:bCs/>
          <w:szCs w:val="20"/>
        </w:rPr>
        <w:t>事实依据：</w:t>
      </w:r>
      <w:r>
        <w:rPr>
          <w:rFonts w:hint="eastAsia" w:ascii="宋体" w:hAnsi="宋体" w:eastAsia="宋体" w:cs="仿宋_GB2312"/>
          <w:szCs w:val="20"/>
        </w:rPr>
        <w:t xml:space="preserve"> </w:t>
      </w:r>
      <w:r>
        <w:rPr>
          <w:rFonts w:hint="eastAsia" w:ascii="宋体" w:hAnsi="宋体" w:eastAsia="宋体" w:cs="仿宋_GB2312"/>
          <w:bCs/>
          <w:szCs w:val="20"/>
          <w:u w:val="single"/>
        </w:rPr>
        <w:t xml:space="preserve">                                                                         </w:t>
      </w:r>
    </w:p>
    <w:p w14:paraId="4D108893">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bCs/>
          <w:szCs w:val="20"/>
          <w:u w:val="single"/>
        </w:rPr>
        <w:t xml:space="preserve">                                                                                    </w:t>
      </w:r>
    </w:p>
    <w:p w14:paraId="656D81C4">
      <w:pPr>
        <w:spacing w:line="440" w:lineRule="exact"/>
        <w:ind w:firstLine="420" w:firstLineChars="200"/>
        <w:rPr>
          <w:rFonts w:ascii="宋体" w:hAnsi="宋体" w:eastAsia="宋体" w:cs="仿宋_GB2312"/>
          <w:bCs/>
          <w:szCs w:val="20"/>
          <w:u w:val="single"/>
        </w:rPr>
      </w:pPr>
      <w:r>
        <w:rPr>
          <w:rFonts w:hint="eastAsia" w:ascii="宋体" w:hAnsi="宋体" w:eastAsia="宋体" w:cs="仿宋_GB2312"/>
          <w:bCs/>
          <w:szCs w:val="20"/>
        </w:rPr>
        <w:t>法律依据：</w:t>
      </w:r>
      <w:r>
        <w:rPr>
          <w:rFonts w:hint="eastAsia" w:ascii="宋体" w:hAnsi="宋体" w:eastAsia="宋体" w:cs="仿宋_GB2312"/>
          <w:szCs w:val="20"/>
        </w:rPr>
        <w:t xml:space="preserve"> </w:t>
      </w:r>
      <w:r>
        <w:rPr>
          <w:rFonts w:hint="eastAsia" w:ascii="宋体" w:hAnsi="宋体" w:eastAsia="宋体" w:cs="仿宋_GB2312"/>
          <w:bCs/>
          <w:szCs w:val="20"/>
          <w:u w:val="single"/>
        </w:rPr>
        <w:t xml:space="preserve">                                                                         </w:t>
      </w:r>
    </w:p>
    <w:p w14:paraId="6D23624B">
      <w:pPr>
        <w:spacing w:line="440" w:lineRule="exact"/>
        <w:ind w:left="25" w:leftChars="12" w:firstLine="308" w:firstLineChars="147"/>
        <w:rPr>
          <w:rFonts w:ascii="宋体" w:hAnsi="宋体" w:eastAsia="宋体" w:cs="仿宋_GB2312"/>
          <w:bCs/>
          <w:szCs w:val="20"/>
          <w:u w:val="single"/>
        </w:rPr>
      </w:pPr>
      <w:r>
        <w:rPr>
          <w:rFonts w:hint="eastAsia" w:ascii="宋体" w:hAnsi="宋体" w:eastAsia="宋体" w:cs="仿宋_GB2312"/>
          <w:bCs/>
          <w:szCs w:val="20"/>
        </w:rPr>
        <w:t xml:space="preserve"> </w:t>
      </w:r>
      <w:r>
        <w:rPr>
          <w:rFonts w:hint="eastAsia" w:ascii="宋体" w:hAnsi="宋体" w:eastAsia="宋体" w:cs="仿宋_GB2312"/>
          <w:bCs/>
          <w:szCs w:val="20"/>
          <w:u w:val="single"/>
        </w:rPr>
        <w:t xml:space="preserve">                                                                                    </w:t>
      </w:r>
    </w:p>
    <w:p w14:paraId="14062A48">
      <w:pPr>
        <w:spacing w:line="440" w:lineRule="exact"/>
        <w:ind w:left="25" w:leftChars="12" w:firstLine="413" w:firstLineChars="197"/>
        <w:rPr>
          <w:rFonts w:ascii="宋体" w:hAnsi="宋体" w:eastAsia="宋体" w:cs="仿宋_GB2312"/>
          <w:bCs/>
          <w:szCs w:val="20"/>
        </w:rPr>
      </w:pPr>
      <w:r>
        <w:rPr>
          <w:rFonts w:hint="eastAsia" w:ascii="宋体" w:hAnsi="宋体" w:eastAsia="宋体" w:cs="仿宋_GB2312"/>
          <w:szCs w:val="20"/>
        </w:rPr>
        <w:t xml:space="preserve">投诉事项2  </w:t>
      </w:r>
      <w:r>
        <w:rPr>
          <w:rFonts w:hint="eastAsia" w:ascii="宋体" w:hAnsi="宋体" w:eastAsia="宋体" w:cs="仿宋_GB2312"/>
          <w:bCs/>
          <w:szCs w:val="20"/>
        </w:rPr>
        <w:t xml:space="preserve">   </w:t>
      </w:r>
    </w:p>
    <w:p w14:paraId="0EF72827">
      <w:pPr>
        <w:spacing w:line="440" w:lineRule="exact"/>
        <w:ind w:left="25" w:leftChars="12" w:firstLine="413" w:firstLineChars="197"/>
        <w:rPr>
          <w:rFonts w:ascii="宋体" w:hAnsi="宋体" w:eastAsia="宋体" w:cs="仿宋_GB2312"/>
          <w:bCs/>
          <w:szCs w:val="20"/>
        </w:rPr>
      </w:pPr>
      <w:r>
        <w:rPr>
          <w:rFonts w:hint="eastAsia" w:ascii="宋体" w:hAnsi="宋体" w:eastAsia="宋体" w:cs="仿宋_GB2312"/>
          <w:bCs/>
          <w:szCs w:val="20"/>
        </w:rPr>
        <w:t>……</w:t>
      </w:r>
    </w:p>
    <w:p w14:paraId="2EB79F89">
      <w:pPr>
        <w:spacing w:line="440" w:lineRule="exact"/>
        <w:ind w:left="25" w:leftChars="12" w:firstLine="413" w:firstLineChars="196"/>
        <w:rPr>
          <w:rFonts w:ascii="宋体" w:hAnsi="宋体" w:eastAsia="宋体" w:cs="仿宋_GB2312"/>
          <w:b/>
          <w:szCs w:val="20"/>
        </w:rPr>
      </w:pPr>
      <w:r>
        <w:rPr>
          <w:rFonts w:hint="eastAsia" w:ascii="宋体" w:hAnsi="宋体" w:eastAsia="宋体" w:cs="仿宋_GB2312"/>
          <w:b/>
          <w:szCs w:val="20"/>
        </w:rPr>
        <w:t>五、与投诉事项相关的投诉请求：</w:t>
      </w:r>
    </w:p>
    <w:p w14:paraId="0E6BF9E0">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请求：</w:t>
      </w:r>
      <w:r>
        <w:rPr>
          <w:rFonts w:hint="eastAsia" w:ascii="宋体" w:hAnsi="宋体" w:eastAsia="宋体" w:cs="仿宋_GB2312"/>
          <w:bCs/>
          <w:szCs w:val="20"/>
          <w:u w:val="single"/>
        </w:rPr>
        <w:t xml:space="preserve">                                                                              </w:t>
      </w:r>
    </w:p>
    <w:p w14:paraId="0C775E83">
      <w:pPr>
        <w:spacing w:line="440" w:lineRule="exact"/>
        <w:ind w:left="25" w:leftChars="12" w:firstLine="308" w:firstLineChars="147"/>
        <w:rPr>
          <w:rFonts w:ascii="宋体" w:hAnsi="宋体" w:eastAsia="宋体" w:cs="仿宋_GB2312"/>
          <w:szCs w:val="20"/>
        </w:rPr>
      </w:pPr>
    </w:p>
    <w:p w14:paraId="0CAE0EEB">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签字（签章）：                                       公章：</w:t>
      </w:r>
    </w:p>
    <w:p w14:paraId="5C6D30AD">
      <w:pPr>
        <w:spacing w:line="440" w:lineRule="exact"/>
        <w:ind w:left="25" w:leftChars="12" w:firstLine="308" w:firstLineChars="147"/>
        <w:rPr>
          <w:rFonts w:ascii="宋体" w:hAnsi="宋体" w:eastAsia="宋体" w:cs="仿宋_GB2312"/>
          <w:szCs w:val="20"/>
        </w:rPr>
      </w:pPr>
    </w:p>
    <w:p w14:paraId="649C2A6A">
      <w:pPr>
        <w:spacing w:line="440" w:lineRule="exact"/>
        <w:ind w:left="25" w:leftChars="12" w:firstLine="413" w:firstLineChars="197"/>
        <w:rPr>
          <w:rFonts w:ascii="宋体" w:hAnsi="宋体" w:eastAsia="宋体" w:cs="仿宋_GB2312"/>
          <w:szCs w:val="20"/>
        </w:rPr>
      </w:pPr>
      <w:r>
        <w:rPr>
          <w:rFonts w:hint="eastAsia" w:ascii="宋体" w:hAnsi="宋体" w:eastAsia="宋体" w:cs="仿宋_GB2312"/>
          <w:szCs w:val="20"/>
        </w:rPr>
        <w:t>日期：</w:t>
      </w:r>
    </w:p>
    <w:p w14:paraId="44E3D67E">
      <w:pPr>
        <w:spacing w:line="440" w:lineRule="exact"/>
        <w:ind w:left="25" w:leftChars="12" w:firstLine="415" w:firstLineChars="197"/>
        <w:rPr>
          <w:rFonts w:ascii="宋体" w:hAnsi="宋体" w:eastAsia="宋体" w:cs="仿宋_GB2312"/>
          <w:b/>
          <w:szCs w:val="20"/>
        </w:rPr>
      </w:pPr>
      <w:r>
        <w:rPr>
          <w:rFonts w:hint="eastAsia" w:ascii="宋体" w:hAnsi="宋体" w:eastAsia="宋体" w:cs="仿宋_GB2312"/>
          <w:b/>
          <w:szCs w:val="20"/>
        </w:rPr>
        <w:t>说明：</w:t>
      </w:r>
    </w:p>
    <w:p w14:paraId="63E9FF67">
      <w:pPr>
        <w:spacing w:line="440" w:lineRule="exact"/>
        <w:ind w:left="25" w:leftChars="12" w:firstLine="310" w:firstLineChars="147"/>
        <w:rPr>
          <w:rFonts w:ascii="宋体" w:hAnsi="宋体" w:eastAsia="宋体" w:cs="仿宋_GB2312"/>
          <w:b/>
          <w:bCs/>
          <w:szCs w:val="20"/>
        </w:rPr>
      </w:pPr>
      <w:r>
        <w:rPr>
          <w:rFonts w:hint="eastAsia" w:ascii="宋体" w:hAnsi="宋体" w:eastAsia="宋体" w:cs="仿宋_GB2312"/>
          <w:b/>
          <w:szCs w:val="20"/>
        </w:rPr>
        <w:t>1.投诉人提起投诉时，应当提交投诉书和必要的证明材料，并按照被投诉人和与投诉事项有关的供应商数量提供投诉书副本</w:t>
      </w:r>
      <w:r>
        <w:rPr>
          <w:rFonts w:hint="eastAsia" w:ascii="宋体" w:hAnsi="宋体" w:eastAsia="宋体" w:cs="仿宋_GB2312"/>
          <w:b/>
          <w:bCs/>
          <w:szCs w:val="20"/>
        </w:rPr>
        <w:t>。</w:t>
      </w:r>
    </w:p>
    <w:p w14:paraId="7EA3D2D1">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D4D9DDA">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3.投诉书应简要列明质疑事项，质疑函、质疑答复等作为附件材料提供。</w:t>
      </w:r>
    </w:p>
    <w:p w14:paraId="14558401">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4.投诉书的投诉事项应具体、明确，并有必要的事实依据和法律依据。</w:t>
      </w:r>
    </w:p>
    <w:p w14:paraId="240FF963">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5.投诉书的投诉请求应与投诉事项相关。</w:t>
      </w:r>
    </w:p>
    <w:p w14:paraId="05A7B59C">
      <w:pPr>
        <w:spacing w:line="440" w:lineRule="exact"/>
        <w:ind w:left="25" w:leftChars="12" w:firstLine="310" w:firstLineChars="147"/>
        <w:rPr>
          <w:rFonts w:ascii="宋体" w:hAnsi="宋体" w:eastAsia="宋体" w:cs="仿宋_GB2312"/>
          <w:b/>
          <w:szCs w:val="20"/>
        </w:rPr>
      </w:pPr>
      <w:r>
        <w:rPr>
          <w:rFonts w:hint="eastAsia" w:ascii="宋体" w:hAnsi="宋体" w:eastAsia="宋体" w:cs="仿宋_GB2312"/>
          <w:b/>
          <w:szCs w:val="20"/>
        </w:rPr>
        <w:t>6.投诉人为法人或者其他组织的，投诉书应由法定代表人、主要负责人，或者其授权代表签字或者盖章，并加盖公章。</w:t>
      </w:r>
    </w:p>
    <w:p w14:paraId="63AC9690">
      <w:pPr>
        <w:snapToGrid w:val="0"/>
        <w:spacing w:before="50" w:after="156" w:afterLines="50"/>
        <w:ind w:firstLine="482"/>
        <w:jc w:val="left"/>
        <w:rPr>
          <w:rFonts w:ascii="宋体" w:hAnsi="宋体" w:eastAsia="宋体" w:cs="仿宋_GB2312"/>
          <w:sz w:val="24"/>
          <w:szCs w:val="20"/>
        </w:rPr>
      </w:pPr>
    </w:p>
    <w:p w14:paraId="26977AC7">
      <w:pPr>
        <w:snapToGrid w:val="0"/>
        <w:spacing w:before="156" w:beforeLines="50" w:after="50"/>
        <w:ind w:right="920"/>
        <w:rPr>
          <w:rFonts w:ascii="宋体" w:hAnsi="宋体" w:eastAsia="宋体" w:cs="仿宋_GB2312"/>
          <w:szCs w:val="21"/>
        </w:rPr>
      </w:pPr>
    </w:p>
    <w:p w14:paraId="5E811859">
      <w:pPr>
        <w:spacing w:line="360" w:lineRule="auto"/>
        <w:ind w:firstLine="480"/>
        <w:rPr>
          <w:rFonts w:ascii="宋体" w:hAnsi="宋体" w:eastAsia="宋体" w:cs="仿宋_GB2312"/>
          <w:b/>
          <w:sz w:val="24"/>
          <w:szCs w:val="24"/>
          <w:u w:val="single"/>
        </w:rPr>
      </w:pPr>
    </w:p>
    <w:sectPr>
      <w:footerReference r:id="rId5" w:type="default"/>
      <w:pgSz w:w="11906" w:h="16838"/>
      <w:pgMar w:top="1077" w:right="1417" w:bottom="107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6955DB1-9409-4641-9C00-1094EC5A15A8}"/>
  </w:font>
  <w:font w:name="黑体">
    <w:panose1 w:val="02010609060101010101"/>
    <w:charset w:val="86"/>
    <w:family w:val="auto"/>
    <w:pitch w:val="default"/>
    <w:sig w:usb0="800002BF" w:usb1="38CF7CFA" w:usb2="00000016" w:usb3="00000000" w:csb0="00040001" w:csb1="00000000"/>
    <w:embedRegular r:id="rId2" w:fontKey="{90602A3B-1C9F-4EB5-AAED-686FD8D355CA}"/>
  </w:font>
  <w:font w:name="Courier New">
    <w:panose1 w:val="02070309020205020404"/>
    <w:charset w:val="01"/>
    <w:family w:val="modern"/>
    <w:pitch w:val="default"/>
    <w:sig w:usb0="E0002EFF" w:usb1="C0007843" w:usb2="00000009" w:usb3="00000000" w:csb0="400001FF" w:csb1="FFFF0000"/>
    <w:embedRegular r:id="rId3" w:fontKey="{0323FCCF-210C-4CDC-A746-8DAA50B23EE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embedRegular r:id="rId4" w:fontKey="{A94571D4-EAB3-4BFF-A04A-0F455ADDB8A0}"/>
  </w:font>
  <w:font w:name="仿宋_GB2312">
    <w:altName w:val="仿宋"/>
    <w:panose1 w:val="00000000000000000000"/>
    <w:charset w:val="86"/>
    <w:family w:val="auto"/>
    <w:pitch w:val="default"/>
    <w:sig w:usb0="00000000" w:usb1="00000000" w:usb2="00000000" w:usb3="00000000" w:csb0="00040000" w:csb1="00000000"/>
    <w:embedRegular r:id="rId5" w:fontKey="{FCB204F9-7949-40E7-9377-EFA1DA023ED4}"/>
  </w:font>
  <w:font w:name="仿宋">
    <w:panose1 w:val="02010609060101010101"/>
    <w:charset w:val="86"/>
    <w:family w:val="modern"/>
    <w:pitch w:val="default"/>
    <w:sig w:usb0="800002BF" w:usb1="38CF7CFA" w:usb2="00000016" w:usb3="00000000" w:csb0="00040001" w:csb1="00000000"/>
    <w:embedRegular r:id="rId6" w:fontKey="{9F5B82AB-FA3D-46DD-B436-C5DA3E76B582}"/>
  </w:font>
  <w:font w:name="Tahoma">
    <w:panose1 w:val="020B0604030504040204"/>
    <w:charset w:val="00"/>
    <w:family w:val="swiss"/>
    <w:pitch w:val="default"/>
    <w:sig w:usb0="E1002EFF" w:usb1="C000605B" w:usb2="00000029" w:usb3="00000000" w:csb0="200101FF" w:csb1="20280000"/>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7" w:fontKey="{55777B43-0372-4142-B1EB-AABFFEDBAB02}"/>
  </w:font>
  <w:font w:name="MingLiU">
    <w:altName w:val="PMingLiU-ExtB"/>
    <w:panose1 w:val="02020509000000000000"/>
    <w:charset w:val="88"/>
    <w:family w:val="modern"/>
    <w:pitch w:val="default"/>
    <w:sig w:usb0="00000000" w:usb1="00000000" w:usb2="00000016" w:usb3="00000000" w:csb0="00100001" w:csb1="00000000"/>
  </w:font>
  <w:font w:name="Verdana">
    <w:panose1 w:val="020B0604030504040204"/>
    <w:charset w:val="00"/>
    <w:family w:val="swiss"/>
    <w:pitch w:val="default"/>
    <w:sig w:usb0="A00006FF" w:usb1="4000205B" w:usb2="00000010" w:usb3="00000000" w:csb0="2000019F" w:csb1="00000000"/>
  </w:font>
  <w:font w:name="Trebuchet MS">
    <w:panose1 w:val="020B0603020202020204"/>
    <w:charset w:val="00"/>
    <w:family w:val="swiss"/>
    <w:pitch w:val="default"/>
    <w:sig w:usb0="000006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embedRegular r:id="rId8" w:fontKey="{8AAEC651-9DB9-4D37-85BA-19A6B45ABE51}"/>
  </w:font>
  <w:font w:name="Segoe UI Symbol">
    <w:panose1 w:val="020B0502040204020203"/>
    <w:charset w:val="00"/>
    <w:family w:val="swiss"/>
    <w:pitch w:val="default"/>
    <w:sig w:usb0="800001E3" w:usb1="1200FFEF" w:usb2="00040000" w:usb3="04000000" w:csb0="00000001" w:csb1="40000000"/>
    <w:embedRegular r:id="rId9" w:fontKey="{8F9E6514-8CAD-4979-B3AC-63931ADEF86B}"/>
  </w:font>
  <w:font w:name="等线">
    <w:panose1 w:val="02010600030101010101"/>
    <w:charset w:val="86"/>
    <w:family w:val="auto"/>
    <w:pitch w:val="default"/>
    <w:sig w:usb0="A00002BF" w:usb1="38CF7CFA" w:usb2="00000016" w:usb3="00000000" w:csb0="0004000F" w:csb1="00000000"/>
    <w:embedRegular r:id="rId10" w:fontKey="{9065CA98-49B3-414B-AD18-4A313B2A15B9}"/>
  </w:font>
  <w:font w:name="新宋体">
    <w:panose1 w:val="02010609030101010101"/>
    <w:charset w:val="86"/>
    <w:family w:val="modern"/>
    <w:pitch w:val="default"/>
    <w:sig w:usb0="00000203" w:usb1="288F0000" w:usb2="00000006" w:usb3="00000000" w:csb0="00040001" w:csb1="00000000"/>
    <w:embedRegular r:id="rId11" w:fontKey="{D7275B4B-AF12-4955-86D8-BD863F8D95B5}"/>
  </w:font>
  <w:font w:name="Cambria Math">
    <w:panose1 w:val="02040503050406030204"/>
    <w:charset w:val="00"/>
    <w:family w:val="roman"/>
    <w:pitch w:val="default"/>
    <w:sig w:usb0="E00006FF" w:usb1="420024FF" w:usb2="02000000" w:usb3="00000000" w:csb0="2000019F" w:csb1="00000000"/>
    <w:embedRegular r:id="rId12" w:fontKey="{354C62C7-E903-4F3E-A6B4-45852E96B8BB}"/>
  </w:font>
  <w:font w:name="方正小标宋简体">
    <w:panose1 w:val="02000000000000000000"/>
    <w:charset w:val="86"/>
    <w:family w:val="script"/>
    <w:pitch w:val="default"/>
    <w:sig w:usb0="00000001" w:usb1="08000000" w:usb2="00000000" w:usb3="00000000" w:csb0="00040000" w:csb1="00000000"/>
    <w:embedRegular r:id="rId13" w:fontKey="{F7561EF4-BA45-45CE-A0CE-3F7311977E24}"/>
  </w:font>
  <w:font w:name="Wingdings 2">
    <w:panose1 w:val="05020102010507070707"/>
    <w:charset w:val="02"/>
    <w:family w:val="roman"/>
    <w:pitch w:val="default"/>
    <w:sig w:usb0="00000000" w:usb1="00000000" w:usb2="00000000" w:usb3="00000000" w:csb0="80000000" w:csb1="00000000"/>
    <w:embedRegular r:id="rId14" w:fontKey="{E4EE6E0D-EDC5-431C-9017-1A1F166CEF93}"/>
  </w:font>
  <w:font w:name="MS Mincho">
    <w:panose1 w:val="02020609040205080304"/>
    <w:charset w:val="80"/>
    <w:family w:val="modern"/>
    <w:pitch w:val="default"/>
    <w:sig w:usb0="E00002FF" w:usb1="6AC7FDFB" w:usb2="00000012" w:usb3="00000000" w:csb0="4002009F" w:csb1="DFD70000"/>
    <w:embedRegular r:id="rId15" w:fontKey="{7237F4E4-3F24-4E04-8FBF-FD3917CD1AD8}"/>
  </w:font>
  <w:font w:name="楷体">
    <w:panose1 w:val="02010609060101010101"/>
    <w:charset w:val="86"/>
    <w:family w:val="modern"/>
    <w:pitch w:val="default"/>
    <w:sig w:usb0="800002BF" w:usb1="38CF7CFA" w:usb2="00000016" w:usb3="00000000" w:csb0="00040001" w:csb1="00000000"/>
    <w:embedRegular r:id="rId16" w:fontKey="{3E88ACF2-B6C3-45C6-88DA-0DCE0B0E578F}"/>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545DE">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A3482">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EAA3482">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CBF6">
    <w:pPr>
      <w:pStyle w:val="33"/>
      <w:jc w:val="center"/>
    </w:pPr>
  </w:p>
  <w:p w14:paraId="037D8AB4">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D6C1A">
    <w:pPr>
      <w:pStyle w:val="33"/>
      <w:ind w:firstLine="36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E229D">
                          <w:pPr>
                            <w:pStyle w:val="33"/>
                            <w:jc w:val="center"/>
                          </w:pPr>
                          <w:r>
                            <w:fldChar w:fldCharType="begin"/>
                          </w:r>
                          <w:r>
                            <w:instrText xml:space="preserve"> PAGE   \* MERGEFORMAT </w:instrText>
                          </w:r>
                          <w:r>
                            <w:fldChar w:fldCharType="separate"/>
                          </w:r>
                          <w:r>
                            <w:rPr>
                              <w:lang w:val="zh-CN"/>
                            </w:rPr>
                            <w:t>137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AAE229D">
                    <w:pPr>
                      <w:pStyle w:val="33"/>
                      <w:jc w:val="center"/>
                    </w:pPr>
                    <w:r>
                      <w:fldChar w:fldCharType="begin"/>
                    </w:r>
                    <w:r>
                      <w:instrText xml:space="preserve"> PAGE   \* MERGEFORMAT </w:instrText>
                    </w:r>
                    <w:r>
                      <w:fldChar w:fldCharType="separate"/>
                    </w:r>
                    <w:r>
                      <w:rPr>
                        <w:lang w:val="zh-CN"/>
                      </w:rPr>
                      <w:t>137</w:t>
                    </w:r>
                    <w:r>
                      <w:fldChar w:fldCharType="end"/>
                    </w:r>
                  </w:p>
                </w:txbxContent>
              </v:textbox>
            </v:shape>
          </w:pict>
        </mc:Fallback>
      </mc:AlternateContent>
    </w:r>
  </w:p>
  <w:p w14:paraId="68CFD354">
    <w:pPr>
      <w:pStyle w:val="33"/>
      <w:ind w:firstLine="36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E79F0"/>
    <w:multiLevelType w:val="singleLevel"/>
    <w:tmpl w:val="861E79F0"/>
    <w:lvl w:ilvl="0" w:tentative="0">
      <w:start w:val="1"/>
      <w:numFmt w:val="chineseCounting"/>
      <w:suff w:val="nothing"/>
      <w:lvlText w:val="（%1）"/>
      <w:lvlJc w:val="left"/>
      <w:pPr>
        <w:ind w:left="0" w:firstLine="420"/>
      </w:pPr>
      <w:rPr>
        <w:rFonts w:hint="eastAsia"/>
      </w:rPr>
    </w:lvl>
  </w:abstractNum>
  <w:abstractNum w:abstractNumId="1">
    <w:nsid w:val="86F9C506"/>
    <w:multiLevelType w:val="singleLevel"/>
    <w:tmpl w:val="86F9C506"/>
    <w:lvl w:ilvl="0" w:tentative="0">
      <w:start w:val="1"/>
      <w:numFmt w:val="chineseCounting"/>
      <w:suff w:val="nothing"/>
      <w:lvlText w:val="%1、"/>
      <w:lvlJc w:val="left"/>
      <w:rPr>
        <w:rFonts w:hint="eastAsia"/>
      </w:rPr>
    </w:lvl>
  </w:abstractNum>
  <w:abstractNum w:abstractNumId="2">
    <w:nsid w:val="8DFEEDCD"/>
    <w:multiLevelType w:val="singleLevel"/>
    <w:tmpl w:val="8DFEEDCD"/>
    <w:lvl w:ilvl="0" w:tentative="0">
      <w:start w:val="1"/>
      <w:numFmt w:val="decimal"/>
      <w:suff w:val="nothing"/>
      <w:lvlText w:val="%1)"/>
      <w:lvlJc w:val="left"/>
      <w:pPr>
        <w:ind w:left="0" w:firstLine="0"/>
      </w:pPr>
      <w:rPr>
        <w:rFonts w:hint="default"/>
      </w:rPr>
    </w:lvl>
  </w:abstractNum>
  <w:abstractNum w:abstractNumId="3">
    <w:nsid w:val="9C8A7282"/>
    <w:multiLevelType w:val="singleLevel"/>
    <w:tmpl w:val="9C8A7282"/>
    <w:lvl w:ilvl="0" w:tentative="0">
      <w:start w:val="1"/>
      <w:numFmt w:val="decimal"/>
      <w:suff w:val="nothing"/>
      <w:lvlText w:val="%1."/>
      <w:lvlJc w:val="left"/>
      <w:pPr>
        <w:ind w:left="454" w:hanging="454"/>
      </w:pPr>
      <w:rPr>
        <w:rFonts w:hint="default"/>
        <w:b/>
        <w:bCs/>
      </w:rPr>
    </w:lvl>
  </w:abstractNum>
  <w:abstractNum w:abstractNumId="4">
    <w:nsid w:val="A2A85A5B"/>
    <w:multiLevelType w:val="singleLevel"/>
    <w:tmpl w:val="A2A85A5B"/>
    <w:lvl w:ilvl="0" w:tentative="0">
      <w:start w:val="1"/>
      <w:numFmt w:val="decimal"/>
      <w:suff w:val="nothing"/>
      <w:lvlText w:val="%1."/>
      <w:lvlJc w:val="left"/>
      <w:pPr>
        <w:ind w:left="0" w:firstLine="0"/>
      </w:pPr>
      <w:rPr>
        <w:rFonts w:hint="default"/>
        <w:b/>
        <w:bCs/>
      </w:rPr>
    </w:lvl>
  </w:abstractNum>
  <w:abstractNum w:abstractNumId="5">
    <w:nsid w:val="A86E9780"/>
    <w:multiLevelType w:val="singleLevel"/>
    <w:tmpl w:val="A86E9780"/>
    <w:lvl w:ilvl="0" w:tentative="0">
      <w:start w:val="1"/>
      <w:numFmt w:val="decimal"/>
      <w:suff w:val="nothing"/>
      <w:lvlText w:val="%1."/>
      <w:lvlJc w:val="left"/>
      <w:pPr>
        <w:ind w:left="454" w:hanging="454"/>
      </w:pPr>
      <w:rPr>
        <w:rFonts w:hint="default"/>
        <w:b/>
        <w:bCs/>
      </w:rPr>
    </w:lvl>
  </w:abstractNum>
  <w:abstractNum w:abstractNumId="6">
    <w:nsid w:val="AD6BB156"/>
    <w:multiLevelType w:val="singleLevel"/>
    <w:tmpl w:val="AD6BB156"/>
    <w:lvl w:ilvl="0" w:tentative="0">
      <w:start w:val="1"/>
      <w:numFmt w:val="decimal"/>
      <w:suff w:val="nothing"/>
      <w:lvlText w:val="%1)"/>
      <w:lvlJc w:val="left"/>
      <w:pPr>
        <w:ind w:left="0" w:firstLine="0"/>
      </w:pPr>
      <w:rPr>
        <w:rFonts w:hint="default"/>
      </w:rPr>
    </w:lvl>
  </w:abstractNum>
  <w:abstractNum w:abstractNumId="7">
    <w:nsid w:val="C9423E76"/>
    <w:multiLevelType w:val="singleLevel"/>
    <w:tmpl w:val="C9423E76"/>
    <w:lvl w:ilvl="0" w:tentative="0">
      <w:start w:val="1"/>
      <w:numFmt w:val="decimal"/>
      <w:suff w:val="nothing"/>
      <w:lvlText w:val="%1."/>
      <w:lvlJc w:val="left"/>
      <w:pPr>
        <w:ind w:left="425" w:hanging="425"/>
      </w:pPr>
      <w:rPr>
        <w:rFonts w:hint="default"/>
        <w:b/>
        <w:bCs/>
      </w:rPr>
    </w:lvl>
  </w:abstractNum>
  <w:abstractNum w:abstractNumId="8">
    <w:nsid w:val="DF6FE194"/>
    <w:multiLevelType w:val="singleLevel"/>
    <w:tmpl w:val="DF6FE194"/>
    <w:lvl w:ilvl="0" w:tentative="0">
      <w:start w:val="1"/>
      <w:numFmt w:val="decimal"/>
      <w:suff w:val="nothing"/>
      <w:lvlText w:val="%1."/>
      <w:lvlJc w:val="left"/>
      <w:pPr>
        <w:ind w:left="0" w:firstLine="0"/>
      </w:pPr>
      <w:rPr>
        <w:rFonts w:hint="default"/>
        <w:b/>
        <w:bCs/>
      </w:rPr>
    </w:lvl>
  </w:abstractNum>
  <w:abstractNum w:abstractNumId="9">
    <w:nsid w:val="E27918B4"/>
    <w:multiLevelType w:val="singleLevel"/>
    <w:tmpl w:val="E27918B4"/>
    <w:lvl w:ilvl="0" w:tentative="0">
      <w:start w:val="1"/>
      <w:numFmt w:val="chineseCounting"/>
      <w:suff w:val="nothing"/>
      <w:lvlText w:val="（%1）"/>
      <w:lvlJc w:val="left"/>
      <w:pPr>
        <w:ind w:left="0" w:firstLine="0"/>
      </w:pPr>
      <w:rPr>
        <w:rFonts w:hint="eastAsia"/>
        <w:b/>
        <w:bCs/>
      </w:rPr>
    </w:lvl>
  </w:abstractNum>
  <w:abstractNum w:abstractNumId="10">
    <w:nsid w:val="EDE7AC7E"/>
    <w:multiLevelType w:val="singleLevel"/>
    <w:tmpl w:val="EDE7AC7E"/>
    <w:lvl w:ilvl="0" w:tentative="0">
      <w:start w:val="1"/>
      <w:numFmt w:val="decimal"/>
      <w:suff w:val="nothing"/>
      <w:lvlText w:val="%1."/>
      <w:lvlJc w:val="left"/>
      <w:pPr>
        <w:ind w:left="454" w:hanging="454"/>
      </w:pPr>
      <w:rPr>
        <w:rFonts w:hint="default"/>
        <w:b/>
        <w:bCs/>
      </w:rPr>
    </w:lvl>
  </w:abstractNum>
  <w:abstractNum w:abstractNumId="11">
    <w:nsid w:val="F01B4289"/>
    <w:multiLevelType w:val="singleLevel"/>
    <w:tmpl w:val="F01B4289"/>
    <w:lvl w:ilvl="0" w:tentative="0">
      <w:start w:val="1"/>
      <w:numFmt w:val="decimal"/>
      <w:suff w:val="nothing"/>
      <w:lvlText w:val="%1."/>
      <w:lvlJc w:val="left"/>
      <w:pPr>
        <w:ind w:left="0" w:firstLine="0"/>
      </w:pPr>
      <w:rPr>
        <w:rFonts w:hint="default"/>
        <w:b/>
        <w:bCs/>
      </w:rPr>
    </w:lvl>
  </w:abstractNum>
  <w:abstractNum w:abstractNumId="12">
    <w:nsid w:val="FE9A38F0"/>
    <w:multiLevelType w:val="singleLevel"/>
    <w:tmpl w:val="FE9A38F0"/>
    <w:lvl w:ilvl="0" w:tentative="0">
      <w:start w:val="1"/>
      <w:numFmt w:val="decimal"/>
      <w:suff w:val="nothing"/>
      <w:lvlText w:val="%1."/>
      <w:lvlJc w:val="left"/>
      <w:pPr>
        <w:ind w:left="454" w:hanging="454"/>
      </w:pPr>
      <w:rPr>
        <w:rFonts w:hint="default"/>
      </w:rPr>
    </w:lvl>
  </w:abstractNum>
  <w:abstractNum w:abstractNumId="13">
    <w:nsid w:val="00000001"/>
    <w:multiLevelType w:val="singleLevel"/>
    <w:tmpl w:val="00000001"/>
    <w:lvl w:ilvl="0" w:tentative="0">
      <w:start w:val="1"/>
      <w:numFmt w:val="decimal"/>
      <w:suff w:val="nothing"/>
      <w:lvlText w:val="%1)"/>
      <w:lvlJc w:val="left"/>
      <w:pPr>
        <w:ind w:left="0" w:firstLine="0"/>
      </w:pPr>
      <w:rPr>
        <w:rFonts w:hint="default"/>
      </w:rPr>
    </w:lvl>
  </w:abstractNum>
  <w:abstractNum w:abstractNumId="14">
    <w:nsid w:val="00000002"/>
    <w:multiLevelType w:val="singleLevel"/>
    <w:tmpl w:val="00000002"/>
    <w:lvl w:ilvl="0" w:tentative="0">
      <w:start w:val="1"/>
      <w:numFmt w:val="decimal"/>
      <w:suff w:val="nothing"/>
      <w:lvlText w:val="%1)"/>
      <w:lvlJc w:val="left"/>
      <w:pPr>
        <w:ind w:left="0" w:firstLine="0"/>
      </w:pPr>
      <w:rPr>
        <w:rFonts w:hint="default"/>
        <w:b w:val="0"/>
        <w:bCs w:val="0"/>
      </w:rPr>
    </w:lvl>
  </w:abstractNum>
  <w:abstractNum w:abstractNumId="15">
    <w:nsid w:val="00000004"/>
    <w:multiLevelType w:val="singleLevel"/>
    <w:tmpl w:val="00000004"/>
    <w:lvl w:ilvl="0" w:tentative="0">
      <w:start w:val="1"/>
      <w:numFmt w:val="decimal"/>
      <w:suff w:val="nothing"/>
      <w:lvlText w:val="%1)"/>
      <w:lvlJc w:val="left"/>
      <w:pPr>
        <w:ind w:left="0" w:firstLine="0"/>
      </w:pPr>
      <w:rPr>
        <w:rFonts w:hint="default"/>
      </w:rPr>
    </w:lvl>
  </w:abstractNum>
  <w:abstractNum w:abstractNumId="16">
    <w:nsid w:val="00000005"/>
    <w:multiLevelType w:val="singleLevel"/>
    <w:tmpl w:val="00000005"/>
    <w:lvl w:ilvl="0" w:tentative="0">
      <w:start w:val="1"/>
      <w:numFmt w:val="decimal"/>
      <w:suff w:val="nothing"/>
      <w:lvlText w:val="%1)"/>
      <w:lvlJc w:val="left"/>
      <w:pPr>
        <w:ind w:left="0" w:firstLine="0"/>
      </w:pPr>
      <w:rPr>
        <w:rFonts w:hint="default"/>
        <w:b w:val="0"/>
        <w:bCs w:val="0"/>
      </w:rPr>
    </w:lvl>
  </w:abstractNum>
  <w:abstractNum w:abstractNumId="17">
    <w:nsid w:val="00000008"/>
    <w:multiLevelType w:val="singleLevel"/>
    <w:tmpl w:val="00000008"/>
    <w:lvl w:ilvl="0" w:tentative="0">
      <w:start w:val="1"/>
      <w:numFmt w:val="decimal"/>
      <w:suff w:val="nothing"/>
      <w:lvlText w:val="%1."/>
      <w:lvlJc w:val="left"/>
      <w:pPr>
        <w:ind w:left="454" w:hanging="454"/>
      </w:pPr>
      <w:rPr>
        <w:rFonts w:hint="default"/>
      </w:rPr>
    </w:lvl>
  </w:abstractNum>
  <w:abstractNum w:abstractNumId="18">
    <w:nsid w:val="0000000A"/>
    <w:multiLevelType w:val="singleLevel"/>
    <w:tmpl w:val="0000000A"/>
    <w:lvl w:ilvl="0" w:tentative="0">
      <w:start w:val="1"/>
      <w:numFmt w:val="decimal"/>
      <w:suff w:val="nothing"/>
      <w:lvlText w:val="%1)"/>
      <w:lvlJc w:val="left"/>
      <w:pPr>
        <w:ind w:left="0" w:firstLine="0"/>
      </w:pPr>
      <w:rPr>
        <w:rFonts w:hint="default"/>
      </w:rPr>
    </w:lvl>
  </w:abstractNum>
  <w:abstractNum w:abstractNumId="19">
    <w:nsid w:val="0000000B"/>
    <w:multiLevelType w:val="singleLevel"/>
    <w:tmpl w:val="0000000B"/>
    <w:lvl w:ilvl="0" w:tentative="0">
      <w:start w:val="1"/>
      <w:numFmt w:val="decimal"/>
      <w:suff w:val="nothing"/>
      <w:lvlText w:val="%1)"/>
      <w:lvlJc w:val="left"/>
      <w:pPr>
        <w:ind w:left="0" w:firstLine="0"/>
      </w:pPr>
      <w:rPr>
        <w:rFonts w:hint="default"/>
        <w:b w:val="0"/>
        <w:bCs w:val="0"/>
      </w:rPr>
    </w:lvl>
  </w:abstractNum>
  <w:abstractNum w:abstractNumId="20">
    <w:nsid w:val="0000000C"/>
    <w:multiLevelType w:val="singleLevel"/>
    <w:tmpl w:val="0000000C"/>
    <w:lvl w:ilvl="0" w:tentative="0">
      <w:start w:val="1"/>
      <w:numFmt w:val="decimal"/>
      <w:suff w:val="nothing"/>
      <w:lvlText w:val="%1."/>
      <w:lvlJc w:val="left"/>
      <w:pPr>
        <w:ind w:left="454" w:hanging="454"/>
      </w:pPr>
      <w:rPr>
        <w:rFonts w:hint="default"/>
      </w:rPr>
    </w:lvl>
  </w:abstractNum>
  <w:abstractNum w:abstractNumId="21">
    <w:nsid w:val="0000000D"/>
    <w:multiLevelType w:val="singleLevel"/>
    <w:tmpl w:val="0000000D"/>
    <w:lvl w:ilvl="0" w:tentative="0">
      <w:start w:val="1"/>
      <w:numFmt w:val="decimal"/>
      <w:suff w:val="nothing"/>
      <w:lvlText w:val="%1)"/>
      <w:lvlJc w:val="left"/>
      <w:pPr>
        <w:ind w:left="0" w:firstLine="0"/>
      </w:pPr>
      <w:rPr>
        <w:rFonts w:hint="default"/>
        <w:b w:val="0"/>
        <w:bCs w:val="0"/>
      </w:rPr>
    </w:lvl>
  </w:abstractNum>
  <w:abstractNum w:abstractNumId="22">
    <w:nsid w:val="0000000E"/>
    <w:multiLevelType w:val="singleLevel"/>
    <w:tmpl w:val="0000000E"/>
    <w:lvl w:ilvl="0" w:tentative="0">
      <w:start w:val="1"/>
      <w:numFmt w:val="decimal"/>
      <w:suff w:val="nothing"/>
      <w:lvlText w:val="%1)"/>
      <w:lvlJc w:val="left"/>
      <w:pPr>
        <w:ind w:left="0" w:firstLine="0"/>
      </w:pPr>
      <w:rPr>
        <w:rFonts w:hint="default"/>
      </w:rPr>
    </w:lvl>
  </w:abstractNum>
  <w:abstractNum w:abstractNumId="23">
    <w:nsid w:val="0000000F"/>
    <w:multiLevelType w:val="singleLevel"/>
    <w:tmpl w:val="0000000F"/>
    <w:lvl w:ilvl="0" w:tentative="0">
      <w:start w:val="1"/>
      <w:numFmt w:val="decimal"/>
      <w:suff w:val="nothing"/>
      <w:lvlText w:val="%1)"/>
      <w:lvlJc w:val="left"/>
      <w:pPr>
        <w:ind w:left="0" w:firstLine="0"/>
      </w:pPr>
      <w:rPr>
        <w:rFonts w:hint="default"/>
        <w:b w:val="0"/>
        <w:bCs w:val="0"/>
      </w:rPr>
    </w:lvl>
  </w:abstractNum>
  <w:abstractNum w:abstractNumId="24">
    <w:nsid w:val="00000010"/>
    <w:multiLevelType w:val="singleLevel"/>
    <w:tmpl w:val="00000010"/>
    <w:lvl w:ilvl="0" w:tentative="0">
      <w:start w:val="1"/>
      <w:numFmt w:val="decimal"/>
      <w:suff w:val="nothing"/>
      <w:lvlText w:val="%1)"/>
      <w:lvlJc w:val="left"/>
      <w:pPr>
        <w:ind w:left="0" w:firstLine="0"/>
      </w:pPr>
      <w:rPr>
        <w:rFonts w:hint="default"/>
        <w:b w:val="0"/>
        <w:bCs w:val="0"/>
      </w:rPr>
    </w:lvl>
  </w:abstractNum>
  <w:abstractNum w:abstractNumId="25">
    <w:nsid w:val="00000011"/>
    <w:multiLevelType w:val="singleLevel"/>
    <w:tmpl w:val="00000011"/>
    <w:lvl w:ilvl="0" w:tentative="0">
      <w:start w:val="1"/>
      <w:numFmt w:val="decimal"/>
      <w:suff w:val="nothing"/>
      <w:lvlText w:val="%1)"/>
      <w:lvlJc w:val="left"/>
      <w:pPr>
        <w:ind w:left="454" w:hanging="454"/>
      </w:pPr>
      <w:rPr>
        <w:rFonts w:hint="default"/>
      </w:rPr>
    </w:lvl>
  </w:abstractNum>
  <w:abstractNum w:abstractNumId="26">
    <w:nsid w:val="00000013"/>
    <w:multiLevelType w:val="singleLevel"/>
    <w:tmpl w:val="00000013"/>
    <w:lvl w:ilvl="0" w:tentative="0">
      <w:start w:val="1"/>
      <w:numFmt w:val="decimal"/>
      <w:suff w:val="nothing"/>
      <w:lvlText w:val="%1."/>
      <w:lvlJc w:val="left"/>
      <w:pPr>
        <w:ind w:left="454" w:hanging="454"/>
      </w:pPr>
      <w:rPr>
        <w:rFonts w:hint="default"/>
      </w:rPr>
    </w:lvl>
  </w:abstractNum>
  <w:abstractNum w:abstractNumId="27">
    <w:nsid w:val="00000014"/>
    <w:multiLevelType w:val="singleLevel"/>
    <w:tmpl w:val="00000014"/>
    <w:lvl w:ilvl="0" w:tentative="0">
      <w:start w:val="1"/>
      <w:numFmt w:val="decimal"/>
      <w:suff w:val="nothing"/>
      <w:lvlText w:val="%1)"/>
      <w:lvlJc w:val="left"/>
      <w:pPr>
        <w:ind w:left="0" w:firstLine="0"/>
      </w:pPr>
      <w:rPr>
        <w:rFonts w:hint="default"/>
      </w:rPr>
    </w:lvl>
  </w:abstractNum>
  <w:abstractNum w:abstractNumId="28">
    <w:nsid w:val="03CE19F8"/>
    <w:multiLevelType w:val="singleLevel"/>
    <w:tmpl w:val="03CE19F8"/>
    <w:lvl w:ilvl="0" w:tentative="0">
      <w:start w:val="1"/>
      <w:numFmt w:val="decimal"/>
      <w:suff w:val="nothing"/>
      <w:lvlText w:val="%1)"/>
      <w:lvlJc w:val="left"/>
      <w:pPr>
        <w:ind w:left="0" w:firstLine="0"/>
      </w:pPr>
      <w:rPr>
        <w:rFonts w:hint="default"/>
        <w:b w:val="0"/>
        <w:bCs w:val="0"/>
      </w:rPr>
    </w:lvl>
  </w:abstractNum>
  <w:abstractNum w:abstractNumId="29">
    <w:nsid w:val="048B04BA"/>
    <w:multiLevelType w:val="singleLevel"/>
    <w:tmpl w:val="048B04BA"/>
    <w:lvl w:ilvl="0" w:tentative="0">
      <w:start w:val="1"/>
      <w:numFmt w:val="decimal"/>
      <w:suff w:val="nothing"/>
      <w:lvlText w:val="%1."/>
      <w:lvlJc w:val="left"/>
      <w:pPr>
        <w:ind w:left="454" w:hanging="454"/>
      </w:pPr>
      <w:rPr>
        <w:rFonts w:hint="default"/>
      </w:rPr>
    </w:lvl>
  </w:abstractNum>
  <w:abstractNum w:abstractNumId="30">
    <w:nsid w:val="06D0EF41"/>
    <w:multiLevelType w:val="singleLevel"/>
    <w:tmpl w:val="06D0EF41"/>
    <w:lvl w:ilvl="0" w:tentative="0">
      <w:start w:val="1"/>
      <w:numFmt w:val="decimal"/>
      <w:suff w:val="nothing"/>
      <w:lvlText w:val="%1."/>
      <w:lvlJc w:val="left"/>
      <w:pPr>
        <w:ind w:left="425" w:hanging="425"/>
      </w:pPr>
      <w:rPr>
        <w:rFonts w:hint="default"/>
        <w:b/>
        <w:bCs/>
      </w:rPr>
    </w:lvl>
  </w:abstractNum>
  <w:abstractNum w:abstractNumId="31">
    <w:nsid w:val="0B736001"/>
    <w:multiLevelType w:val="singleLevel"/>
    <w:tmpl w:val="0B736001"/>
    <w:lvl w:ilvl="0" w:tentative="0">
      <w:start w:val="1"/>
      <w:numFmt w:val="decimal"/>
      <w:suff w:val="nothing"/>
      <w:lvlText w:val="%1)"/>
      <w:lvlJc w:val="left"/>
      <w:pPr>
        <w:ind w:left="0" w:firstLine="0"/>
      </w:pPr>
      <w:rPr>
        <w:rFonts w:hint="default"/>
      </w:rPr>
    </w:lvl>
  </w:abstractNum>
  <w:abstractNum w:abstractNumId="32">
    <w:nsid w:val="12D578C4"/>
    <w:multiLevelType w:val="singleLevel"/>
    <w:tmpl w:val="12D578C4"/>
    <w:lvl w:ilvl="0" w:tentative="0">
      <w:start w:val="1"/>
      <w:numFmt w:val="decimal"/>
      <w:suff w:val="nothing"/>
      <w:lvlText w:val="%1."/>
      <w:lvlJc w:val="left"/>
      <w:pPr>
        <w:ind w:left="425" w:hanging="425"/>
      </w:pPr>
      <w:rPr>
        <w:rFonts w:hint="default"/>
        <w:b/>
        <w:bCs/>
      </w:rPr>
    </w:lvl>
  </w:abstractNum>
  <w:abstractNum w:abstractNumId="33">
    <w:nsid w:val="154D67D7"/>
    <w:multiLevelType w:val="singleLevel"/>
    <w:tmpl w:val="154D67D7"/>
    <w:lvl w:ilvl="0" w:tentative="0">
      <w:start w:val="2"/>
      <w:numFmt w:val="decimal"/>
      <w:suff w:val="nothing"/>
      <w:lvlText w:val="（%1）"/>
      <w:lvlJc w:val="left"/>
    </w:lvl>
  </w:abstractNum>
  <w:abstractNum w:abstractNumId="34">
    <w:nsid w:val="2DB3C4E5"/>
    <w:multiLevelType w:val="singleLevel"/>
    <w:tmpl w:val="2DB3C4E5"/>
    <w:lvl w:ilvl="0" w:tentative="0">
      <w:start w:val="1"/>
      <w:numFmt w:val="decimal"/>
      <w:suff w:val="nothing"/>
      <w:lvlText w:val="%1)"/>
      <w:lvlJc w:val="left"/>
      <w:pPr>
        <w:ind w:left="0" w:firstLine="0"/>
      </w:pPr>
      <w:rPr>
        <w:rFonts w:hint="default"/>
        <w:b w:val="0"/>
        <w:bCs w:val="0"/>
      </w:rPr>
    </w:lvl>
  </w:abstractNum>
  <w:abstractNum w:abstractNumId="35">
    <w:nsid w:val="3428D23E"/>
    <w:multiLevelType w:val="singleLevel"/>
    <w:tmpl w:val="3428D23E"/>
    <w:lvl w:ilvl="0" w:tentative="0">
      <w:start w:val="6"/>
      <w:numFmt w:val="decimal"/>
      <w:suff w:val="nothing"/>
      <w:lvlText w:val="（%1）"/>
      <w:lvlJc w:val="left"/>
    </w:lvl>
  </w:abstractNum>
  <w:abstractNum w:abstractNumId="36">
    <w:nsid w:val="3522C180"/>
    <w:multiLevelType w:val="singleLevel"/>
    <w:tmpl w:val="3522C180"/>
    <w:lvl w:ilvl="0" w:tentative="0">
      <w:start w:val="1"/>
      <w:numFmt w:val="chineseCounting"/>
      <w:suff w:val="nothing"/>
      <w:lvlText w:val="（%1）"/>
      <w:lvlJc w:val="left"/>
      <w:pPr>
        <w:ind w:left="0" w:firstLine="420"/>
      </w:pPr>
      <w:rPr>
        <w:rFonts w:hint="eastAsia"/>
      </w:rPr>
    </w:lvl>
  </w:abstractNum>
  <w:abstractNum w:abstractNumId="37">
    <w:nsid w:val="479E4286"/>
    <w:multiLevelType w:val="singleLevel"/>
    <w:tmpl w:val="479E4286"/>
    <w:lvl w:ilvl="0" w:tentative="0">
      <w:start w:val="1"/>
      <w:numFmt w:val="decimal"/>
      <w:suff w:val="nothing"/>
      <w:lvlText w:val="%1."/>
      <w:lvlJc w:val="left"/>
      <w:pPr>
        <w:ind w:left="0" w:firstLine="0"/>
      </w:pPr>
      <w:rPr>
        <w:rFonts w:hint="default"/>
        <w:b/>
        <w:bCs/>
      </w:rPr>
    </w:lvl>
  </w:abstractNum>
  <w:abstractNum w:abstractNumId="38">
    <w:nsid w:val="4C601917"/>
    <w:multiLevelType w:val="singleLevel"/>
    <w:tmpl w:val="4C601917"/>
    <w:lvl w:ilvl="0" w:tentative="0">
      <w:start w:val="1"/>
      <w:numFmt w:val="decimal"/>
      <w:suff w:val="nothing"/>
      <w:lvlText w:val="（%1）"/>
      <w:lvlJc w:val="left"/>
    </w:lvl>
  </w:abstractNum>
  <w:abstractNum w:abstractNumId="39">
    <w:nsid w:val="57145E6B"/>
    <w:multiLevelType w:val="singleLevel"/>
    <w:tmpl w:val="57145E6B"/>
    <w:lvl w:ilvl="0" w:tentative="0">
      <w:start w:val="1"/>
      <w:numFmt w:val="decimal"/>
      <w:suff w:val="nothing"/>
      <w:lvlText w:val="%1)"/>
      <w:lvlJc w:val="left"/>
      <w:pPr>
        <w:ind w:left="0" w:firstLine="0"/>
      </w:pPr>
      <w:rPr>
        <w:rFonts w:hint="default"/>
      </w:rPr>
    </w:lvl>
  </w:abstractNum>
  <w:abstractNum w:abstractNumId="40">
    <w:nsid w:val="5FABD14B"/>
    <w:multiLevelType w:val="singleLevel"/>
    <w:tmpl w:val="5FABD14B"/>
    <w:lvl w:ilvl="0" w:tentative="0">
      <w:start w:val="1"/>
      <w:numFmt w:val="decimal"/>
      <w:suff w:val="nothing"/>
      <w:lvlText w:val="（%1）"/>
      <w:lvlJc w:val="left"/>
    </w:lvl>
  </w:abstractNum>
  <w:abstractNum w:abstractNumId="41">
    <w:nsid w:val="619D00B3"/>
    <w:multiLevelType w:val="singleLevel"/>
    <w:tmpl w:val="619D00B3"/>
    <w:lvl w:ilvl="0" w:tentative="0">
      <w:start w:val="1"/>
      <w:numFmt w:val="decimal"/>
      <w:suff w:val="nothing"/>
      <w:lvlText w:val="%1)"/>
      <w:lvlJc w:val="left"/>
      <w:pPr>
        <w:ind w:left="0" w:firstLine="0"/>
      </w:pPr>
      <w:rPr>
        <w:rFonts w:hint="default"/>
      </w:rPr>
    </w:lvl>
  </w:abstractNum>
  <w:abstractNum w:abstractNumId="42">
    <w:nsid w:val="63EF16A2"/>
    <w:multiLevelType w:val="singleLevel"/>
    <w:tmpl w:val="63EF16A2"/>
    <w:lvl w:ilvl="0" w:tentative="0">
      <w:start w:val="1"/>
      <w:numFmt w:val="decimal"/>
      <w:suff w:val="nothing"/>
      <w:lvlText w:val="%1."/>
      <w:lvlJc w:val="left"/>
      <w:pPr>
        <w:ind w:left="454" w:hanging="454"/>
      </w:pPr>
      <w:rPr>
        <w:rFonts w:hint="default"/>
      </w:rPr>
    </w:lvl>
  </w:abstractNum>
  <w:abstractNum w:abstractNumId="43">
    <w:nsid w:val="671A3956"/>
    <w:multiLevelType w:val="singleLevel"/>
    <w:tmpl w:val="671A3956"/>
    <w:lvl w:ilvl="0" w:tentative="0">
      <w:start w:val="1"/>
      <w:numFmt w:val="decimal"/>
      <w:suff w:val="nothing"/>
      <w:lvlText w:val="%1."/>
      <w:lvlJc w:val="left"/>
      <w:pPr>
        <w:ind w:left="454" w:hanging="454"/>
      </w:pPr>
      <w:rPr>
        <w:rFonts w:hint="default"/>
      </w:rPr>
    </w:lvl>
  </w:abstractNum>
  <w:abstractNum w:abstractNumId="44">
    <w:nsid w:val="680EDABF"/>
    <w:multiLevelType w:val="singleLevel"/>
    <w:tmpl w:val="680EDABF"/>
    <w:lvl w:ilvl="0" w:tentative="0">
      <w:start w:val="1"/>
      <w:numFmt w:val="decimal"/>
      <w:suff w:val="nothing"/>
      <w:lvlText w:val="%1."/>
      <w:lvlJc w:val="left"/>
      <w:pPr>
        <w:ind w:left="0" w:firstLine="0"/>
      </w:pPr>
      <w:rPr>
        <w:rFonts w:hint="default"/>
        <w:b/>
        <w:bCs/>
      </w:rPr>
    </w:lvl>
  </w:abstractNum>
  <w:abstractNum w:abstractNumId="45">
    <w:nsid w:val="6CAFA254"/>
    <w:multiLevelType w:val="singleLevel"/>
    <w:tmpl w:val="6CAFA254"/>
    <w:lvl w:ilvl="0" w:tentative="0">
      <w:start w:val="1"/>
      <w:numFmt w:val="decimal"/>
      <w:suff w:val="nothing"/>
      <w:lvlText w:val="%1)"/>
      <w:lvlJc w:val="left"/>
      <w:pPr>
        <w:ind w:left="0" w:firstLine="0"/>
      </w:pPr>
      <w:rPr>
        <w:rFonts w:hint="default"/>
      </w:rPr>
    </w:lvl>
  </w:abstractNum>
  <w:abstractNum w:abstractNumId="46">
    <w:nsid w:val="6DC387F2"/>
    <w:multiLevelType w:val="singleLevel"/>
    <w:tmpl w:val="6DC387F2"/>
    <w:lvl w:ilvl="0" w:tentative="0">
      <w:start w:val="1"/>
      <w:numFmt w:val="decimal"/>
      <w:suff w:val="nothing"/>
      <w:lvlText w:val="%1."/>
      <w:lvlJc w:val="left"/>
      <w:pPr>
        <w:ind w:left="454" w:hanging="454"/>
      </w:pPr>
      <w:rPr>
        <w:rFonts w:hint="default"/>
        <w:b/>
        <w:bCs/>
      </w:rPr>
    </w:lvl>
  </w:abstractNum>
  <w:abstractNum w:abstractNumId="47">
    <w:nsid w:val="75DFA4BE"/>
    <w:multiLevelType w:val="singleLevel"/>
    <w:tmpl w:val="75DFA4BE"/>
    <w:lvl w:ilvl="0" w:tentative="0">
      <w:start w:val="1"/>
      <w:numFmt w:val="decimal"/>
      <w:suff w:val="nothing"/>
      <w:lvlText w:val="%1."/>
      <w:lvlJc w:val="left"/>
      <w:pPr>
        <w:ind w:left="454" w:hanging="454"/>
      </w:pPr>
      <w:rPr>
        <w:rFonts w:hint="default"/>
      </w:rPr>
    </w:lvl>
  </w:abstractNum>
  <w:num w:numId="1">
    <w:abstractNumId w:val="1"/>
  </w:num>
  <w:num w:numId="2">
    <w:abstractNumId w:val="0"/>
  </w:num>
  <w:num w:numId="3">
    <w:abstractNumId w:val="11"/>
  </w:num>
  <w:num w:numId="4">
    <w:abstractNumId w:val="37"/>
  </w:num>
  <w:num w:numId="5">
    <w:abstractNumId w:val="4"/>
  </w:num>
  <w:num w:numId="6">
    <w:abstractNumId w:val="44"/>
  </w:num>
  <w:num w:numId="7">
    <w:abstractNumId w:val="8"/>
  </w:num>
  <w:num w:numId="8">
    <w:abstractNumId w:val="35"/>
  </w:num>
  <w:num w:numId="9">
    <w:abstractNumId w:val="9"/>
  </w:num>
  <w:num w:numId="10">
    <w:abstractNumId w:val="29"/>
  </w:num>
  <w:num w:numId="11">
    <w:abstractNumId w:val="47"/>
  </w:num>
  <w:num w:numId="12">
    <w:abstractNumId w:val="10"/>
  </w:num>
  <w:num w:numId="13">
    <w:abstractNumId w:val="43"/>
  </w:num>
  <w:num w:numId="14">
    <w:abstractNumId w:val="3"/>
  </w:num>
  <w:num w:numId="15">
    <w:abstractNumId w:val="7"/>
  </w:num>
  <w:num w:numId="16">
    <w:abstractNumId w:val="5"/>
  </w:num>
  <w:num w:numId="17">
    <w:abstractNumId w:val="36"/>
  </w:num>
  <w:num w:numId="18">
    <w:abstractNumId w:val="32"/>
  </w:num>
  <w:num w:numId="19">
    <w:abstractNumId w:val="30"/>
  </w:num>
  <w:num w:numId="20">
    <w:abstractNumId w:val="46"/>
  </w:num>
  <w:num w:numId="21">
    <w:abstractNumId w:val="20"/>
  </w:num>
  <w:num w:numId="22">
    <w:abstractNumId w:val="16"/>
  </w:num>
  <w:num w:numId="23">
    <w:abstractNumId w:val="34"/>
  </w:num>
  <w:num w:numId="24">
    <w:abstractNumId w:val="21"/>
  </w:num>
  <w:num w:numId="25">
    <w:abstractNumId w:val="26"/>
  </w:num>
  <w:num w:numId="26">
    <w:abstractNumId w:val="19"/>
  </w:num>
  <w:num w:numId="27">
    <w:abstractNumId w:val="33"/>
  </w:num>
  <w:num w:numId="28">
    <w:abstractNumId w:val="31"/>
  </w:num>
  <w:num w:numId="29">
    <w:abstractNumId w:val="22"/>
  </w:num>
  <w:num w:numId="30">
    <w:abstractNumId w:val="39"/>
  </w:num>
  <w:num w:numId="31">
    <w:abstractNumId w:val="23"/>
  </w:num>
  <w:num w:numId="32">
    <w:abstractNumId w:val="12"/>
  </w:num>
  <w:num w:numId="33">
    <w:abstractNumId w:val="15"/>
  </w:num>
  <w:num w:numId="34">
    <w:abstractNumId w:val="6"/>
  </w:num>
  <w:num w:numId="35">
    <w:abstractNumId w:val="14"/>
  </w:num>
  <w:num w:numId="36">
    <w:abstractNumId w:val="17"/>
  </w:num>
  <w:num w:numId="37">
    <w:abstractNumId w:val="25"/>
  </w:num>
  <w:num w:numId="38">
    <w:abstractNumId w:val="27"/>
  </w:num>
  <w:num w:numId="39">
    <w:abstractNumId w:val="18"/>
  </w:num>
  <w:num w:numId="40">
    <w:abstractNumId w:val="24"/>
  </w:num>
  <w:num w:numId="41">
    <w:abstractNumId w:val="2"/>
  </w:num>
  <w:num w:numId="42">
    <w:abstractNumId w:val="28"/>
  </w:num>
  <w:num w:numId="43">
    <w:abstractNumId w:val="42"/>
  </w:num>
  <w:num w:numId="44">
    <w:abstractNumId w:val="45"/>
  </w:num>
  <w:num w:numId="45">
    <w:abstractNumId w:val="41"/>
  </w:num>
  <w:num w:numId="46">
    <w:abstractNumId w:val="13"/>
  </w:num>
  <w:num w:numId="47">
    <w:abstractNumId w:val="38"/>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kYWY3MDgxYWQwNTc1Y2E0OWZmMjE3OWQ5NWE5MjAifQ=="/>
  </w:docVars>
  <w:rsids>
    <w:rsidRoot w:val="00172A27"/>
    <w:rsid w:val="000166FB"/>
    <w:rsid w:val="00035C0D"/>
    <w:rsid w:val="0003630E"/>
    <w:rsid w:val="00066837"/>
    <w:rsid w:val="000816D0"/>
    <w:rsid w:val="00087A44"/>
    <w:rsid w:val="00094421"/>
    <w:rsid w:val="000A5D8D"/>
    <w:rsid w:val="000C1697"/>
    <w:rsid w:val="000C383C"/>
    <w:rsid w:val="000C6335"/>
    <w:rsid w:val="00106FBB"/>
    <w:rsid w:val="00121AB7"/>
    <w:rsid w:val="001273DC"/>
    <w:rsid w:val="00130C16"/>
    <w:rsid w:val="00156486"/>
    <w:rsid w:val="00162F5F"/>
    <w:rsid w:val="00163A5E"/>
    <w:rsid w:val="00172A27"/>
    <w:rsid w:val="00184290"/>
    <w:rsid w:val="0018663F"/>
    <w:rsid w:val="001A4BAC"/>
    <w:rsid w:val="001B32C6"/>
    <w:rsid w:val="001D610C"/>
    <w:rsid w:val="002048B2"/>
    <w:rsid w:val="00241E50"/>
    <w:rsid w:val="0024269B"/>
    <w:rsid w:val="00245A3C"/>
    <w:rsid w:val="00251988"/>
    <w:rsid w:val="00272537"/>
    <w:rsid w:val="002734EF"/>
    <w:rsid w:val="00276F9C"/>
    <w:rsid w:val="0028773C"/>
    <w:rsid w:val="00290B9F"/>
    <w:rsid w:val="00290D13"/>
    <w:rsid w:val="002B2DE8"/>
    <w:rsid w:val="002B39FE"/>
    <w:rsid w:val="002B7D26"/>
    <w:rsid w:val="002F65E5"/>
    <w:rsid w:val="00317573"/>
    <w:rsid w:val="0035605C"/>
    <w:rsid w:val="0037027B"/>
    <w:rsid w:val="003A0B76"/>
    <w:rsid w:val="003A21FF"/>
    <w:rsid w:val="003E6CED"/>
    <w:rsid w:val="004024E9"/>
    <w:rsid w:val="0040440E"/>
    <w:rsid w:val="00440796"/>
    <w:rsid w:val="004450A1"/>
    <w:rsid w:val="00452CBE"/>
    <w:rsid w:val="00465C02"/>
    <w:rsid w:val="00466931"/>
    <w:rsid w:val="004954DB"/>
    <w:rsid w:val="004967B7"/>
    <w:rsid w:val="004B7E8E"/>
    <w:rsid w:val="004C23B9"/>
    <w:rsid w:val="004C4B4B"/>
    <w:rsid w:val="004D78CD"/>
    <w:rsid w:val="004E39DC"/>
    <w:rsid w:val="004F5403"/>
    <w:rsid w:val="004F56FC"/>
    <w:rsid w:val="00513CD6"/>
    <w:rsid w:val="00515C5E"/>
    <w:rsid w:val="00515E27"/>
    <w:rsid w:val="0051768F"/>
    <w:rsid w:val="00526449"/>
    <w:rsid w:val="00530984"/>
    <w:rsid w:val="0053472E"/>
    <w:rsid w:val="00547073"/>
    <w:rsid w:val="0055740F"/>
    <w:rsid w:val="00585F02"/>
    <w:rsid w:val="00595C8E"/>
    <w:rsid w:val="005A4A49"/>
    <w:rsid w:val="005A4CD5"/>
    <w:rsid w:val="005B5B86"/>
    <w:rsid w:val="005B71B1"/>
    <w:rsid w:val="005C113B"/>
    <w:rsid w:val="005D4D27"/>
    <w:rsid w:val="005F481F"/>
    <w:rsid w:val="006116F5"/>
    <w:rsid w:val="00614029"/>
    <w:rsid w:val="006210DE"/>
    <w:rsid w:val="0063155D"/>
    <w:rsid w:val="006324BD"/>
    <w:rsid w:val="0063675D"/>
    <w:rsid w:val="00642AED"/>
    <w:rsid w:val="00660837"/>
    <w:rsid w:val="0066222F"/>
    <w:rsid w:val="00667428"/>
    <w:rsid w:val="006674F3"/>
    <w:rsid w:val="0067349D"/>
    <w:rsid w:val="00675BE5"/>
    <w:rsid w:val="0069153D"/>
    <w:rsid w:val="0069414B"/>
    <w:rsid w:val="006C63B5"/>
    <w:rsid w:val="006D043E"/>
    <w:rsid w:val="006D0CE9"/>
    <w:rsid w:val="006D1962"/>
    <w:rsid w:val="006E3B59"/>
    <w:rsid w:val="006F6380"/>
    <w:rsid w:val="007038E5"/>
    <w:rsid w:val="00703996"/>
    <w:rsid w:val="00704115"/>
    <w:rsid w:val="0072121D"/>
    <w:rsid w:val="00725078"/>
    <w:rsid w:val="00734612"/>
    <w:rsid w:val="007436C9"/>
    <w:rsid w:val="0075310C"/>
    <w:rsid w:val="00755A61"/>
    <w:rsid w:val="00757FFC"/>
    <w:rsid w:val="00766E7E"/>
    <w:rsid w:val="00772143"/>
    <w:rsid w:val="00777D45"/>
    <w:rsid w:val="00792FB7"/>
    <w:rsid w:val="00793523"/>
    <w:rsid w:val="007A3892"/>
    <w:rsid w:val="007A6448"/>
    <w:rsid w:val="007B16C1"/>
    <w:rsid w:val="007B26E8"/>
    <w:rsid w:val="007C2533"/>
    <w:rsid w:val="007E70D3"/>
    <w:rsid w:val="00812CE8"/>
    <w:rsid w:val="0081393F"/>
    <w:rsid w:val="00814315"/>
    <w:rsid w:val="00830928"/>
    <w:rsid w:val="00833485"/>
    <w:rsid w:val="0083611B"/>
    <w:rsid w:val="008517D1"/>
    <w:rsid w:val="008538EE"/>
    <w:rsid w:val="00854CF8"/>
    <w:rsid w:val="008823B8"/>
    <w:rsid w:val="008857EE"/>
    <w:rsid w:val="008D443A"/>
    <w:rsid w:val="008D651B"/>
    <w:rsid w:val="008F79A7"/>
    <w:rsid w:val="009220FE"/>
    <w:rsid w:val="00925557"/>
    <w:rsid w:val="00925DC3"/>
    <w:rsid w:val="00937756"/>
    <w:rsid w:val="00951E08"/>
    <w:rsid w:val="009724AB"/>
    <w:rsid w:val="009D23CF"/>
    <w:rsid w:val="009F0E30"/>
    <w:rsid w:val="009F31CB"/>
    <w:rsid w:val="00A03D05"/>
    <w:rsid w:val="00A66083"/>
    <w:rsid w:val="00A71FA7"/>
    <w:rsid w:val="00A7509E"/>
    <w:rsid w:val="00A77DA4"/>
    <w:rsid w:val="00A81A34"/>
    <w:rsid w:val="00A909CD"/>
    <w:rsid w:val="00AB0F55"/>
    <w:rsid w:val="00AB7E69"/>
    <w:rsid w:val="00AC0A66"/>
    <w:rsid w:val="00B122D1"/>
    <w:rsid w:val="00B2123F"/>
    <w:rsid w:val="00B24C7D"/>
    <w:rsid w:val="00B363C0"/>
    <w:rsid w:val="00B43624"/>
    <w:rsid w:val="00B676B3"/>
    <w:rsid w:val="00B90AEA"/>
    <w:rsid w:val="00BA61E6"/>
    <w:rsid w:val="00BA73B6"/>
    <w:rsid w:val="00BA7CA7"/>
    <w:rsid w:val="00BB4176"/>
    <w:rsid w:val="00BE4736"/>
    <w:rsid w:val="00BF4989"/>
    <w:rsid w:val="00BF679C"/>
    <w:rsid w:val="00C1165B"/>
    <w:rsid w:val="00C37953"/>
    <w:rsid w:val="00C4221B"/>
    <w:rsid w:val="00C53229"/>
    <w:rsid w:val="00C53A74"/>
    <w:rsid w:val="00C5559D"/>
    <w:rsid w:val="00CB272D"/>
    <w:rsid w:val="00CB302D"/>
    <w:rsid w:val="00CB5825"/>
    <w:rsid w:val="00CB68AA"/>
    <w:rsid w:val="00CC661A"/>
    <w:rsid w:val="00CD2BDD"/>
    <w:rsid w:val="00CE2B30"/>
    <w:rsid w:val="00D14F10"/>
    <w:rsid w:val="00D14F84"/>
    <w:rsid w:val="00D44FE1"/>
    <w:rsid w:val="00D52A98"/>
    <w:rsid w:val="00D54250"/>
    <w:rsid w:val="00D87B47"/>
    <w:rsid w:val="00D92211"/>
    <w:rsid w:val="00DA7C38"/>
    <w:rsid w:val="00DC4B47"/>
    <w:rsid w:val="00DC55AF"/>
    <w:rsid w:val="00DD014E"/>
    <w:rsid w:val="00DD4436"/>
    <w:rsid w:val="00DD7C06"/>
    <w:rsid w:val="00DE11B3"/>
    <w:rsid w:val="00DF5D1A"/>
    <w:rsid w:val="00E13964"/>
    <w:rsid w:val="00E27523"/>
    <w:rsid w:val="00E333B3"/>
    <w:rsid w:val="00E45C28"/>
    <w:rsid w:val="00E71CC6"/>
    <w:rsid w:val="00EA5F95"/>
    <w:rsid w:val="00EC1DCB"/>
    <w:rsid w:val="00EE60DF"/>
    <w:rsid w:val="00F06AE8"/>
    <w:rsid w:val="00F1236B"/>
    <w:rsid w:val="00F131B7"/>
    <w:rsid w:val="00F5115D"/>
    <w:rsid w:val="00F602F8"/>
    <w:rsid w:val="00F63DBB"/>
    <w:rsid w:val="00F646F0"/>
    <w:rsid w:val="00F75473"/>
    <w:rsid w:val="00F761B1"/>
    <w:rsid w:val="00F82C20"/>
    <w:rsid w:val="00F872E8"/>
    <w:rsid w:val="00F87496"/>
    <w:rsid w:val="00FA1BE2"/>
    <w:rsid w:val="00FC3EC0"/>
    <w:rsid w:val="00FD6DA7"/>
    <w:rsid w:val="00FE014F"/>
    <w:rsid w:val="00FE0ACF"/>
    <w:rsid w:val="00FF0BA1"/>
    <w:rsid w:val="00FF22CB"/>
    <w:rsid w:val="01A544B3"/>
    <w:rsid w:val="01C42B8B"/>
    <w:rsid w:val="01C761D7"/>
    <w:rsid w:val="021653B1"/>
    <w:rsid w:val="021D673F"/>
    <w:rsid w:val="02324870"/>
    <w:rsid w:val="0236335D"/>
    <w:rsid w:val="026874CD"/>
    <w:rsid w:val="02873BB9"/>
    <w:rsid w:val="028B476B"/>
    <w:rsid w:val="02AD361F"/>
    <w:rsid w:val="02AE1145"/>
    <w:rsid w:val="03195159"/>
    <w:rsid w:val="03305FFE"/>
    <w:rsid w:val="03563CB7"/>
    <w:rsid w:val="03806F86"/>
    <w:rsid w:val="03F86B1C"/>
    <w:rsid w:val="042E253E"/>
    <w:rsid w:val="04581CB1"/>
    <w:rsid w:val="04695C6C"/>
    <w:rsid w:val="049E6016"/>
    <w:rsid w:val="05614B95"/>
    <w:rsid w:val="05653E4D"/>
    <w:rsid w:val="05706602"/>
    <w:rsid w:val="05850883"/>
    <w:rsid w:val="060914B4"/>
    <w:rsid w:val="06604E4C"/>
    <w:rsid w:val="067B3A34"/>
    <w:rsid w:val="06B37672"/>
    <w:rsid w:val="06DC0977"/>
    <w:rsid w:val="07035F04"/>
    <w:rsid w:val="071C5736"/>
    <w:rsid w:val="07300CC3"/>
    <w:rsid w:val="07D4164E"/>
    <w:rsid w:val="07D96C64"/>
    <w:rsid w:val="07E8334B"/>
    <w:rsid w:val="07EC4BEA"/>
    <w:rsid w:val="08057A5A"/>
    <w:rsid w:val="082C3238"/>
    <w:rsid w:val="083355C9"/>
    <w:rsid w:val="087150EF"/>
    <w:rsid w:val="08940DDD"/>
    <w:rsid w:val="089A4646"/>
    <w:rsid w:val="08B51480"/>
    <w:rsid w:val="08BA6A96"/>
    <w:rsid w:val="08EB6DB9"/>
    <w:rsid w:val="09102B5A"/>
    <w:rsid w:val="0911242E"/>
    <w:rsid w:val="095D5673"/>
    <w:rsid w:val="09774987"/>
    <w:rsid w:val="0983157E"/>
    <w:rsid w:val="09B63701"/>
    <w:rsid w:val="09B75A3A"/>
    <w:rsid w:val="09BA4874"/>
    <w:rsid w:val="09D65B51"/>
    <w:rsid w:val="09E10052"/>
    <w:rsid w:val="0A23066B"/>
    <w:rsid w:val="0AD025A1"/>
    <w:rsid w:val="0AFA5870"/>
    <w:rsid w:val="0B1D506A"/>
    <w:rsid w:val="0B220922"/>
    <w:rsid w:val="0BAB0918"/>
    <w:rsid w:val="0BD141A7"/>
    <w:rsid w:val="0BDF6813"/>
    <w:rsid w:val="0C05627A"/>
    <w:rsid w:val="0C0F0EA7"/>
    <w:rsid w:val="0C1E10EA"/>
    <w:rsid w:val="0C22507E"/>
    <w:rsid w:val="0C6F5DE9"/>
    <w:rsid w:val="0C8C699B"/>
    <w:rsid w:val="0C992E66"/>
    <w:rsid w:val="0CA86033"/>
    <w:rsid w:val="0CB73D8F"/>
    <w:rsid w:val="0CFF53BF"/>
    <w:rsid w:val="0D1A3FA7"/>
    <w:rsid w:val="0D4252AC"/>
    <w:rsid w:val="0D9D5804"/>
    <w:rsid w:val="0DA0114E"/>
    <w:rsid w:val="0DDE3227"/>
    <w:rsid w:val="0DF20A80"/>
    <w:rsid w:val="0DF30354"/>
    <w:rsid w:val="0E2B5D40"/>
    <w:rsid w:val="0EE505E5"/>
    <w:rsid w:val="0EFA4090"/>
    <w:rsid w:val="0F026AA1"/>
    <w:rsid w:val="0FAE692A"/>
    <w:rsid w:val="0FB73D2F"/>
    <w:rsid w:val="0FEA2865"/>
    <w:rsid w:val="0FFA00C0"/>
    <w:rsid w:val="1008458B"/>
    <w:rsid w:val="101747CE"/>
    <w:rsid w:val="10190546"/>
    <w:rsid w:val="10521CAA"/>
    <w:rsid w:val="106519DD"/>
    <w:rsid w:val="108856CC"/>
    <w:rsid w:val="10D01381"/>
    <w:rsid w:val="10DC1574"/>
    <w:rsid w:val="10EA5A3E"/>
    <w:rsid w:val="1102722C"/>
    <w:rsid w:val="11162CD7"/>
    <w:rsid w:val="11627CCB"/>
    <w:rsid w:val="117A3266"/>
    <w:rsid w:val="1182211B"/>
    <w:rsid w:val="11F12DFD"/>
    <w:rsid w:val="12040D82"/>
    <w:rsid w:val="12135469"/>
    <w:rsid w:val="12A10CC7"/>
    <w:rsid w:val="12D20E80"/>
    <w:rsid w:val="12ED7A68"/>
    <w:rsid w:val="134C54AB"/>
    <w:rsid w:val="13614A4A"/>
    <w:rsid w:val="13824654"/>
    <w:rsid w:val="138E124B"/>
    <w:rsid w:val="139500E7"/>
    <w:rsid w:val="13D07C27"/>
    <w:rsid w:val="13E42C19"/>
    <w:rsid w:val="14294AD0"/>
    <w:rsid w:val="14373691"/>
    <w:rsid w:val="14720225"/>
    <w:rsid w:val="14891A12"/>
    <w:rsid w:val="14B92C83"/>
    <w:rsid w:val="14BF71E2"/>
    <w:rsid w:val="14E1184E"/>
    <w:rsid w:val="150115A9"/>
    <w:rsid w:val="15B64A89"/>
    <w:rsid w:val="15CB1D23"/>
    <w:rsid w:val="15DA0777"/>
    <w:rsid w:val="15F64E85"/>
    <w:rsid w:val="162163A6"/>
    <w:rsid w:val="162F3E86"/>
    <w:rsid w:val="165F2A2B"/>
    <w:rsid w:val="167209B0"/>
    <w:rsid w:val="168B1A72"/>
    <w:rsid w:val="16921052"/>
    <w:rsid w:val="16924BAE"/>
    <w:rsid w:val="16A843D2"/>
    <w:rsid w:val="16AB5C70"/>
    <w:rsid w:val="16D231FD"/>
    <w:rsid w:val="16E64EFA"/>
    <w:rsid w:val="170565EE"/>
    <w:rsid w:val="17B9260F"/>
    <w:rsid w:val="17BA0860"/>
    <w:rsid w:val="17FD074D"/>
    <w:rsid w:val="18495740"/>
    <w:rsid w:val="18771D8E"/>
    <w:rsid w:val="18D3325C"/>
    <w:rsid w:val="18E13BCB"/>
    <w:rsid w:val="18EF453A"/>
    <w:rsid w:val="191E097B"/>
    <w:rsid w:val="195A572B"/>
    <w:rsid w:val="19687E48"/>
    <w:rsid w:val="197607B7"/>
    <w:rsid w:val="198955DE"/>
    <w:rsid w:val="199D21E8"/>
    <w:rsid w:val="19C808E7"/>
    <w:rsid w:val="19D454DE"/>
    <w:rsid w:val="19ED2D17"/>
    <w:rsid w:val="1A3F329F"/>
    <w:rsid w:val="1A6A7BF0"/>
    <w:rsid w:val="1A840CB2"/>
    <w:rsid w:val="1A89276C"/>
    <w:rsid w:val="1AB1581F"/>
    <w:rsid w:val="1ADF413A"/>
    <w:rsid w:val="1AFC2F3E"/>
    <w:rsid w:val="1B1A7868"/>
    <w:rsid w:val="1B28788F"/>
    <w:rsid w:val="1B3076B1"/>
    <w:rsid w:val="1B351ACD"/>
    <w:rsid w:val="1B3F2E2B"/>
    <w:rsid w:val="1B4D6FA0"/>
    <w:rsid w:val="1B50328A"/>
    <w:rsid w:val="1B5E59A7"/>
    <w:rsid w:val="1B6F1962"/>
    <w:rsid w:val="1B701236"/>
    <w:rsid w:val="1B857AAC"/>
    <w:rsid w:val="1B882A24"/>
    <w:rsid w:val="1B8D1DE8"/>
    <w:rsid w:val="1BA23AE5"/>
    <w:rsid w:val="1BAB04C0"/>
    <w:rsid w:val="1BE834C2"/>
    <w:rsid w:val="1C493F61"/>
    <w:rsid w:val="1C67088B"/>
    <w:rsid w:val="1C980A44"/>
    <w:rsid w:val="1CA90EA4"/>
    <w:rsid w:val="1CD203FA"/>
    <w:rsid w:val="1D3A6632"/>
    <w:rsid w:val="1D727D97"/>
    <w:rsid w:val="1DF779ED"/>
    <w:rsid w:val="1E672DC4"/>
    <w:rsid w:val="1E6908EA"/>
    <w:rsid w:val="1E7D7EF2"/>
    <w:rsid w:val="1EA062D6"/>
    <w:rsid w:val="1EDF6DFF"/>
    <w:rsid w:val="1EF02DBA"/>
    <w:rsid w:val="1F29007A"/>
    <w:rsid w:val="1F2B2044"/>
    <w:rsid w:val="1F2C36C6"/>
    <w:rsid w:val="1F446C62"/>
    <w:rsid w:val="1F52137F"/>
    <w:rsid w:val="1F707A57"/>
    <w:rsid w:val="1F7F5EEC"/>
    <w:rsid w:val="1FAD4807"/>
    <w:rsid w:val="1FD23956"/>
    <w:rsid w:val="202820DF"/>
    <w:rsid w:val="20340A84"/>
    <w:rsid w:val="20475473"/>
    <w:rsid w:val="20711CD8"/>
    <w:rsid w:val="20914128"/>
    <w:rsid w:val="20A420AE"/>
    <w:rsid w:val="213571AA"/>
    <w:rsid w:val="215C4736"/>
    <w:rsid w:val="21661111"/>
    <w:rsid w:val="21780E44"/>
    <w:rsid w:val="219F63D1"/>
    <w:rsid w:val="223B434C"/>
    <w:rsid w:val="22405E06"/>
    <w:rsid w:val="22BD2FB3"/>
    <w:rsid w:val="22D076E7"/>
    <w:rsid w:val="22EA5D72"/>
    <w:rsid w:val="230706D2"/>
    <w:rsid w:val="23076924"/>
    <w:rsid w:val="230E0AD2"/>
    <w:rsid w:val="232079E6"/>
    <w:rsid w:val="23256DAA"/>
    <w:rsid w:val="23AE0B4E"/>
    <w:rsid w:val="23B1063E"/>
    <w:rsid w:val="23D762F6"/>
    <w:rsid w:val="24294678"/>
    <w:rsid w:val="247E2C16"/>
    <w:rsid w:val="2483647E"/>
    <w:rsid w:val="249C309C"/>
    <w:rsid w:val="24E52C95"/>
    <w:rsid w:val="253A6C86"/>
    <w:rsid w:val="25873D4C"/>
    <w:rsid w:val="25BC57A4"/>
    <w:rsid w:val="25C603D0"/>
    <w:rsid w:val="26633E71"/>
    <w:rsid w:val="267E514F"/>
    <w:rsid w:val="26937061"/>
    <w:rsid w:val="26946721"/>
    <w:rsid w:val="26E825C8"/>
    <w:rsid w:val="270513CC"/>
    <w:rsid w:val="271B0BF0"/>
    <w:rsid w:val="27361586"/>
    <w:rsid w:val="27835CFA"/>
    <w:rsid w:val="27B84691"/>
    <w:rsid w:val="27BF5A1F"/>
    <w:rsid w:val="28186EDD"/>
    <w:rsid w:val="282966A0"/>
    <w:rsid w:val="282E04AF"/>
    <w:rsid w:val="28CF6749"/>
    <w:rsid w:val="28D64DCE"/>
    <w:rsid w:val="294F4B81"/>
    <w:rsid w:val="297840D8"/>
    <w:rsid w:val="29D82DC8"/>
    <w:rsid w:val="29F85218"/>
    <w:rsid w:val="29FF0355"/>
    <w:rsid w:val="2A157B78"/>
    <w:rsid w:val="2A261D85"/>
    <w:rsid w:val="2A303E0B"/>
    <w:rsid w:val="2A32072A"/>
    <w:rsid w:val="2A5957DE"/>
    <w:rsid w:val="2A6401B8"/>
    <w:rsid w:val="2A900FAD"/>
    <w:rsid w:val="2AC1385C"/>
    <w:rsid w:val="2B0F6376"/>
    <w:rsid w:val="2B2142FB"/>
    <w:rsid w:val="2B6568DD"/>
    <w:rsid w:val="2B681F2A"/>
    <w:rsid w:val="2B683CD8"/>
    <w:rsid w:val="2B7E34FB"/>
    <w:rsid w:val="2BC43604"/>
    <w:rsid w:val="2C844B41"/>
    <w:rsid w:val="2CAF60F8"/>
    <w:rsid w:val="2CC3566A"/>
    <w:rsid w:val="2CE850D0"/>
    <w:rsid w:val="2D174B61"/>
    <w:rsid w:val="2D19172E"/>
    <w:rsid w:val="2D1F134A"/>
    <w:rsid w:val="2D616C31"/>
    <w:rsid w:val="2D7E5A35"/>
    <w:rsid w:val="2DD37B2E"/>
    <w:rsid w:val="2DE1622C"/>
    <w:rsid w:val="2DE955A4"/>
    <w:rsid w:val="2DEC299E"/>
    <w:rsid w:val="2E04418C"/>
    <w:rsid w:val="2E0F2B31"/>
    <w:rsid w:val="2E1D349F"/>
    <w:rsid w:val="2E6D7F83"/>
    <w:rsid w:val="2E6F12F9"/>
    <w:rsid w:val="2E954DE4"/>
    <w:rsid w:val="2EB52A65"/>
    <w:rsid w:val="2EBA6F40"/>
    <w:rsid w:val="2ED718A0"/>
    <w:rsid w:val="2ED973C6"/>
    <w:rsid w:val="2EF835C5"/>
    <w:rsid w:val="2F2A5E74"/>
    <w:rsid w:val="2F5B602D"/>
    <w:rsid w:val="2F77273B"/>
    <w:rsid w:val="2F7D6EAF"/>
    <w:rsid w:val="2F8F5CD7"/>
    <w:rsid w:val="2FCD4A51"/>
    <w:rsid w:val="2FEC137B"/>
    <w:rsid w:val="2FEF2C1A"/>
    <w:rsid w:val="2FF43D8C"/>
    <w:rsid w:val="2FF8071B"/>
    <w:rsid w:val="305D4027"/>
    <w:rsid w:val="307355F9"/>
    <w:rsid w:val="308E2433"/>
    <w:rsid w:val="30BC3F2E"/>
    <w:rsid w:val="30C145B6"/>
    <w:rsid w:val="30E16A06"/>
    <w:rsid w:val="310D77FB"/>
    <w:rsid w:val="31216E03"/>
    <w:rsid w:val="316513E5"/>
    <w:rsid w:val="322E1D48"/>
    <w:rsid w:val="325925CC"/>
    <w:rsid w:val="325D4BEC"/>
    <w:rsid w:val="3264344B"/>
    <w:rsid w:val="32696CB3"/>
    <w:rsid w:val="3292332D"/>
    <w:rsid w:val="32987598"/>
    <w:rsid w:val="32D87995"/>
    <w:rsid w:val="32ED4204"/>
    <w:rsid w:val="33296443"/>
    <w:rsid w:val="33613E2E"/>
    <w:rsid w:val="337771AE"/>
    <w:rsid w:val="337F1800"/>
    <w:rsid w:val="33CF0D98"/>
    <w:rsid w:val="33ED56C2"/>
    <w:rsid w:val="33F7209D"/>
    <w:rsid w:val="34360E17"/>
    <w:rsid w:val="3444270C"/>
    <w:rsid w:val="347F27BE"/>
    <w:rsid w:val="349A13A6"/>
    <w:rsid w:val="350727B3"/>
    <w:rsid w:val="35132F06"/>
    <w:rsid w:val="35492DCC"/>
    <w:rsid w:val="358E6A31"/>
    <w:rsid w:val="35A46254"/>
    <w:rsid w:val="35C30488"/>
    <w:rsid w:val="36211653"/>
    <w:rsid w:val="362C0724"/>
    <w:rsid w:val="36392E40"/>
    <w:rsid w:val="36395DF2"/>
    <w:rsid w:val="3652180C"/>
    <w:rsid w:val="36AF6C5F"/>
    <w:rsid w:val="36DE6D54"/>
    <w:rsid w:val="36EA2B83"/>
    <w:rsid w:val="37083AF2"/>
    <w:rsid w:val="373158C6"/>
    <w:rsid w:val="37372B99"/>
    <w:rsid w:val="37847B4F"/>
    <w:rsid w:val="37A11F2E"/>
    <w:rsid w:val="37AB1B1C"/>
    <w:rsid w:val="37BE227E"/>
    <w:rsid w:val="38064FA4"/>
    <w:rsid w:val="38066D52"/>
    <w:rsid w:val="3842422E"/>
    <w:rsid w:val="38863E83"/>
    <w:rsid w:val="38B465B8"/>
    <w:rsid w:val="38E76B84"/>
    <w:rsid w:val="399A1E48"/>
    <w:rsid w:val="39CE791A"/>
    <w:rsid w:val="39D32C64"/>
    <w:rsid w:val="39D8471E"/>
    <w:rsid w:val="39F94DC1"/>
    <w:rsid w:val="3A013C75"/>
    <w:rsid w:val="3A0D43C8"/>
    <w:rsid w:val="3A720743"/>
    <w:rsid w:val="3AC727C9"/>
    <w:rsid w:val="3AE0388B"/>
    <w:rsid w:val="3B17292F"/>
    <w:rsid w:val="3B556027"/>
    <w:rsid w:val="3B742225"/>
    <w:rsid w:val="3B974891"/>
    <w:rsid w:val="3BD66A3C"/>
    <w:rsid w:val="3C145EE2"/>
    <w:rsid w:val="3C21415B"/>
    <w:rsid w:val="3C502C92"/>
    <w:rsid w:val="3C666012"/>
    <w:rsid w:val="3C687FDC"/>
    <w:rsid w:val="3C920BB5"/>
    <w:rsid w:val="3CC01BC6"/>
    <w:rsid w:val="3D4A148F"/>
    <w:rsid w:val="3D70539A"/>
    <w:rsid w:val="3D714C6E"/>
    <w:rsid w:val="3D9904A8"/>
    <w:rsid w:val="3DAA0180"/>
    <w:rsid w:val="3DAF5796"/>
    <w:rsid w:val="3DB51054"/>
    <w:rsid w:val="3DC47494"/>
    <w:rsid w:val="3E03620E"/>
    <w:rsid w:val="3E8D5AD7"/>
    <w:rsid w:val="3EA6303D"/>
    <w:rsid w:val="3F035D9A"/>
    <w:rsid w:val="3F47212A"/>
    <w:rsid w:val="3F4D5267"/>
    <w:rsid w:val="3F6076C0"/>
    <w:rsid w:val="3FB35A12"/>
    <w:rsid w:val="400C0C7E"/>
    <w:rsid w:val="400C5122"/>
    <w:rsid w:val="403E177F"/>
    <w:rsid w:val="407F3B46"/>
    <w:rsid w:val="414A4154"/>
    <w:rsid w:val="415154E2"/>
    <w:rsid w:val="4153125A"/>
    <w:rsid w:val="416A65A4"/>
    <w:rsid w:val="41797E4E"/>
    <w:rsid w:val="417E5BAB"/>
    <w:rsid w:val="41897A1A"/>
    <w:rsid w:val="418A27A2"/>
    <w:rsid w:val="419453CF"/>
    <w:rsid w:val="42A174AE"/>
    <w:rsid w:val="42DD6902"/>
    <w:rsid w:val="42E83C24"/>
    <w:rsid w:val="42F26851"/>
    <w:rsid w:val="43617533"/>
    <w:rsid w:val="43851473"/>
    <w:rsid w:val="439E42E3"/>
    <w:rsid w:val="44225376"/>
    <w:rsid w:val="44A122DD"/>
    <w:rsid w:val="44D3620E"/>
    <w:rsid w:val="44E67CEF"/>
    <w:rsid w:val="451E56DB"/>
    <w:rsid w:val="453749EF"/>
    <w:rsid w:val="45582750"/>
    <w:rsid w:val="45E16709"/>
    <w:rsid w:val="461E7104"/>
    <w:rsid w:val="46301F93"/>
    <w:rsid w:val="46317690"/>
    <w:rsid w:val="46436F6B"/>
    <w:rsid w:val="46B502C1"/>
    <w:rsid w:val="46B7172C"/>
    <w:rsid w:val="46E97F6B"/>
    <w:rsid w:val="473867FC"/>
    <w:rsid w:val="47413903"/>
    <w:rsid w:val="47455B21"/>
    <w:rsid w:val="47543636"/>
    <w:rsid w:val="47A81BD4"/>
    <w:rsid w:val="47B70069"/>
    <w:rsid w:val="47CA56A6"/>
    <w:rsid w:val="47E32C0C"/>
    <w:rsid w:val="47EF7803"/>
    <w:rsid w:val="48052B82"/>
    <w:rsid w:val="48691363"/>
    <w:rsid w:val="4880045B"/>
    <w:rsid w:val="48B74E1F"/>
    <w:rsid w:val="48C22822"/>
    <w:rsid w:val="490857DE"/>
    <w:rsid w:val="49417BEA"/>
    <w:rsid w:val="49595BBF"/>
    <w:rsid w:val="49834A60"/>
    <w:rsid w:val="49865F45"/>
    <w:rsid w:val="499248EA"/>
    <w:rsid w:val="4A5619BC"/>
    <w:rsid w:val="4A8561FD"/>
    <w:rsid w:val="4A857FAB"/>
    <w:rsid w:val="4AFF1B0B"/>
    <w:rsid w:val="4B6E4EE3"/>
    <w:rsid w:val="4B885FA4"/>
    <w:rsid w:val="4BBA1ED6"/>
    <w:rsid w:val="4BDE5BC4"/>
    <w:rsid w:val="4BDF193C"/>
    <w:rsid w:val="4BEF1B80"/>
    <w:rsid w:val="4BFE1DC3"/>
    <w:rsid w:val="4C043151"/>
    <w:rsid w:val="4C2C225E"/>
    <w:rsid w:val="4C39729F"/>
    <w:rsid w:val="4C433C79"/>
    <w:rsid w:val="4C56430C"/>
    <w:rsid w:val="4C786019"/>
    <w:rsid w:val="4C8D4F8D"/>
    <w:rsid w:val="4C912C37"/>
    <w:rsid w:val="4CD55219"/>
    <w:rsid w:val="4D3A1520"/>
    <w:rsid w:val="4D453A21"/>
    <w:rsid w:val="4D5325E2"/>
    <w:rsid w:val="4D5F2D35"/>
    <w:rsid w:val="4D6C0FAE"/>
    <w:rsid w:val="4D704F42"/>
    <w:rsid w:val="4D782049"/>
    <w:rsid w:val="4DAB7D28"/>
    <w:rsid w:val="4E04568A"/>
    <w:rsid w:val="4E086F29"/>
    <w:rsid w:val="4E850579"/>
    <w:rsid w:val="4E922C96"/>
    <w:rsid w:val="4E9609D8"/>
    <w:rsid w:val="4E9904C8"/>
    <w:rsid w:val="4ECF5C98"/>
    <w:rsid w:val="4F302BDB"/>
    <w:rsid w:val="4F7D3946"/>
    <w:rsid w:val="4F806F93"/>
    <w:rsid w:val="4F876573"/>
    <w:rsid w:val="4F8C5937"/>
    <w:rsid w:val="4FAB04B3"/>
    <w:rsid w:val="4FAF73E7"/>
    <w:rsid w:val="4FB1539E"/>
    <w:rsid w:val="4FC60E49"/>
    <w:rsid w:val="501047BA"/>
    <w:rsid w:val="50414974"/>
    <w:rsid w:val="50487AB0"/>
    <w:rsid w:val="50697A27"/>
    <w:rsid w:val="509E3B74"/>
    <w:rsid w:val="50BB64D4"/>
    <w:rsid w:val="50C7131D"/>
    <w:rsid w:val="50EC48E0"/>
    <w:rsid w:val="50FE2865"/>
    <w:rsid w:val="510936E3"/>
    <w:rsid w:val="51346287"/>
    <w:rsid w:val="51736DAF"/>
    <w:rsid w:val="51BA678C"/>
    <w:rsid w:val="51F36142"/>
    <w:rsid w:val="51FA74D0"/>
    <w:rsid w:val="52075749"/>
    <w:rsid w:val="521D4F6D"/>
    <w:rsid w:val="5246001F"/>
    <w:rsid w:val="527F3531"/>
    <w:rsid w:val="530D4FE1"/>
    <w:rsid w:val="531B76FE"/>
    <w:rsid w:val="53285977"/>
    <w:rsid w:val="53292F93"/>
    <w:rsid w:val="53577CF7"/>
    <w:rsid w:val="5367649F"/>
    <w:rsid w:val="5373753A"/>
    <w:rsid w:val="53B86CFB"/>
    <w:rsid w:val="53D0673A"/>
    <w:rsid w:val="53D855EF"/>
    <w:rsid w:val="53E66088"/>
    <w:rsid w:val="547F3CBD"/>
    <w:rsid w:val="54882B71"/>
    <w:rsid w:val="54992FD0"/>
    <w:rsid w:val="54B90F7D"/>
    <w:rsid w:val="54CC5154"/>
    <w:rsid w:val="54FD42B2"/>
    <w:rsid w:val="54FE1085"/>
    <w:rsid w:val="55180399"/>
    <w:rsid w:val="552D3719"/>
    <w:rsid w:val="55717AA9"/>
    <w:rsid w:val="55802E09"/>
    <w:rsid w:val="559D089E"/>
    <w:rsid w:val="55B21658"/>
    <w:rsid w:val="564D4072"/>
    <w:rsid w:val="56584839"/>
    <w:rsid w:val="56D55E16"/>
    <w:rsid w:val="56E04EE6"/>
    <w:rsid w:val="570C5CDB"/>
    <w:rsid w:val="571406EC"/>
    <w:rsid w:val="576378C6"/>
    <w:rsid w:val="576F39C9"/>
    <w:rsid w:val="578A1557"/>
    <w:rsid w:val="57DD31D4"/>
    <w:rsid w:val="582E3A30"/>
    <w:rsid w:val="587D6765"/>
    <w:rsid w:val="58C2612B"/>
    <w:rsid w:val="58D2085F"/>
    <w:rsid w:val="58D81BED"/>
    <w:rsid w:val="58F5279F"/>
    <w:rsid w:val="59017396"/>
    <w:rsid w:val="5934151A"/>
    <w:rsid w:val="595B4CF8"/>
    <w:rsid w:val="59A55F73"/>
    <w:rsid w:val="59FD190B"/>
    <w:rsid w:val="5A1F1A2F"/>
    <w:rsid w:val="5A4A08C9"/>
    <w:rsid w:val="5A6E2809"/>
    <w:rsid w:val="5ACD5782"/>
    <w:rsid w:val="5AF80325"/>
    <w:rsid w:val="5B294982"/>
    <w:rsid w:val="5B3752F1"/>
    <w:rsid w:val="5B441C37"/>
    <w:rsid w:val="5B7C4AB2"/>
    <w:rsid w:val="5BA1276A"/>
    <w:rsid w:val="5BAD55B3"/>
    <w:rsid w:val="5BC00E43"/>
    <w:rsid w:val="5BF84A80"/>
    <w:rsid w:val="5C001B87"/>
    <w:rsid w:val="5C02145B"/>
    <w:rsid w:val="5C1B076F"/>
    <w:rsid w:val="5C367357"/>
    <w:rsid w:val="5C642116"/>
    <w:rsid w:val="5C700ABB"/>
    <w:rsid w:val="5CB63FF4"/>
    <w:rsid w:val="5CC2508E"/>
    <w:rsid w:val="5CDD5A24"/>
    <w:rsid w:val="5CF27722"/>
    <w:rsid w:val="5CF35248"/>
    <w:rsid w:val="5D047455"/>
    <w:rsid w:val="5D215911"/>
    <w:rsid w:val="5D5C103F"/>
    <w:rsid w:val="5DB33F20"/>
    <w:rsid w:val="5DCF35BF"/>
    <w:rsid w:val="5DF12E6D"/>
    <w:rsid w:val="5DF92E51"/>
    <w:rsid w:val="5E0771FD"/>
    <w:rsid w:val="5E145476"/>
    <w:rsid w:val="5E6301AB"/>
    <w:rsid w:val="5E710B1A"/>
    <w:rsid w:val="5E744166"/>
    <w:rsid w:val="5E9842F9"/>
    <w:rsid w:val="5E9F7435"/>
    <w:rsid w:val="5EF07C91"/>
    <w:rsid w:val="5EFD5F0A"/>
    <w:rsid w:val="5F322057"/>
    <w:rsid w:val="5F920D48"/>
    <w:rsid w:val="5F9745B0"/>
    <w:rsid w:val="5FD650D9"/>
    <w:rsid w:val="60116111"/>
    <w:rsid w:val="609A4358"/>
    <w:rsid w:val="60B30F76"/>
    <w:rsid w:val="610B7004"/>
    <w:rsid w:val="61750921"/>
    <w:rsid w:val="6175447D"/>
    <w:rsid w:val="619214D5"/>
    <w:rsid w:val="61A134C4"/>
    <w:rsid w:val="61F10511"/>
    <w:rsid w:val="623515C0"/>
    <w:rsid w:val="6280132C"/>
    <w:rsid w:val="62804634"/>
    <w:rsid w:val="62A96AD4"/>
    <w:rsid w:val="62C8033C"/>
    <w:rsid w:val="62D82F16"/>
    <w:rsid w:val="631A52DC"/>
    <w:rsid w:val="634467FD"/>
    <w:rsid w:val="637569B7"/>
    <w:rsid w:val="638C5539"/>
    <w:rsid w:val="63A66B70"/>
    <w:rsid w:val="63B514A9"/>
    <w:rsid w:val="640B731B"/>
    <w:rsid w:val="642C30B7"/>
    <w:rsid w:val="645B3DFE"/>
    <w:rsid w:val="648570CD"/>
    <w:rsid w:val="64A84B6A"/>
    <w:rsid w:val="64B33C3A"/>
    <w:rsid w:val="64D67929"/>
    <w:rsid w:val="651B358E"/>
    <w:rsid w:val="65271F32"/>
    <w:rsid w:val="65646CE3"/>
    <w:rsid w:val="65984BDE"/>
    <w:rsid w:val="66240220"/>
    <w:rsid w:val="6635067F"/>
    <w:rsid w:val="665B6338"/>
    <w:rsid w:val="66A650D9"/>
    <w:rsid w:val="66B43C9A"/>
    <w:rsid w:val="66CD4D5B"/>
    <w:rsid w:val="66D63C10"/>
    <w:rsid w:val="66FE4F15"/>
    <w:rsid w:val="67290795"/>
    <w:rsid w:val="6732696D"/>
    <w:rsid w:val="67492634"/>
    <w:rsid w:val="676C6322"/>
    <w:rsid w:val="67A91325"/>
    <w:rsid w:val="67F00D02"/>
    <w:rsid w:val="6826339C"/>
    <w:rsid w:val="687E00BB"/>
    <w:rsid w:val="68A33FC6"/>
    <w:rsid w:val="68A62171"/>
    <w:rsid w:val="68B735CD"/>
    <w:rsid w:val="68E5638C"/>
    <w:rsid w:val="69216C99"/>
    <w:rsid w:val="69601EB7"/>
    <w:rsid w:val="6963365D"/>
    <w:rsid w:val="697712F6"/>
    <w:rsid w:val="69B8584F"/>
    <w:rsid w:val="69D832A6"/>
    <w:rsid w:val="69F10D61"/>
    <w:rsid w:val="6A154A4F"/>
    <w:rsid w:val="6A2353BE"/>
    <w:rsid w:val="6A266DFD"/>
    <w:rsid w:val="6A2829D5"/>
    <w:rsid w:val="6A2D32F8"/>
    <w:rsid w:val="6A3273AF"/>
    <w:rsid w:val="6A3D77B1"/>
    <w:rsid w:val="6A5A6906"/>
    <w:rsid w:val="6A674B7F"/>
    <w:rsid w:val="6A7C4ACE"/>
    <w:rsid w:val="6A7D43A3"/>
    <w:rsid w:val="6A9260A0"/>
    <w:rsid w:val="6AD14E1A"/>
    <w:rsid w:val="6AF723A7"/>
    <w:rsid w:val="6B234F4A"/>
    <w:rsid w:val="6B3C7DBA"/>
    <w:rsid w:val="6B713F07"/>
    <w:rsid w:val="6B8005EE"/>
    <w:rsid w:val="6B9A16B0"/>
    <w:rsid w:val="6B9B2D32"/>
    <w:rsid w:val="6BD47603"/>
    <w:rsid w:val="6C07486C"/>
    <w:rsid w:val="6C0E79A8"/>
    <w:rsid w:val="6C496C32"/>
    <w:rsid w:val="6C731F01"/>
    <w:rsid w:val="6C787517"/>
    <w:rsid w:val="6C845EBC"/>
    <w:rsid w:val="6C953C26"/>
    <w:rsid w:val="6CE92C9D"/>
    <w:rsid w:val="6CEA21C3"/>
    <w:rsid w:val="6CED1CB3"/>
    <w:rsid w:val="6D0112BB"/>
    <w:rsid w:val="6D013069"/>
    <w:rsid w:val="6D323B6A"/>
    <w:rsid w:val="6D394EF9"/>
    <w:rsid w:val="6D3F3B91"/>
    <w:rsid w:val="6D527D69"/>
    <w:rsid w:val="6D611D5A"/>
    <w:rsid w:val="6D673814"/>
    <w:rsid w:val="6D8E6FF3"/>
    <w:rsid w:val="6DBC51E2"/>
    <w:rsid w:val="6DEB56FC"/>
    <w:rsid w:val="6DEF7365"/>
    <w:rsid w:val="6E072901"/>
    <w:rsid w:val="6E712470"/>
    <w:rsid w:val="6E7A1325"/>
    <w:rsid w:val="6E8403F6"/>
    <w:rsid w:val="6EB56801"/>
    <w:rsid w:val="6EC802E2"/>
    <w:rsid w:val="6F143527"/>
    <w:rsid w:val="6F885CC3"/>
    <w:rsid w:val="700215D2"/>
    <w:rsid w:val="700370F8"/>
    <w:rsid w:val="70293003"/>
    <w:rsid w:val="704020FA"/>
    <w:rsid w:val="704E4817"/>
    <w:rsid w:val="708244C1"/>
    <w:rsid w:val="714A1482"/>
    <w:rsid w:val="71845472"/>
    <w:rsid w:val="71B43CF4"/>
    <w:rsid w:val="71B903B6"/>
    <w:rsid w:val="71CF1988"/>
    <w:rsid w:val="71D90A58"/>
    <w:rsid w:val="71EA4A14"/>
    <w:rsid w:val="71FB09CF"/>
    <w:rsid w:val="724539F8"/>
    <w:rsid w:val="72A11576"/>
    <w:rsid w:val="72CC4119"/>
    <w:rsid w:val="72CC5EC7"/>
    <w:rsid w:val="731E2BC7"/>
    <w:rsid w:val="736E6F7E"/>
    <w:rsid w:val="737E5413"/>
    <w:rsid w:val="73AA445A"/>
    <w:rsid w:val="73CD639B"/>
    <w:rsid w:val="73E3171A"/>
    <w:rsid w:val="74085625"/>
    <w:rsid w:val="742E508B"/>
    <w:rsid w:val="743E1047"/>
    <w:rsid w:val="74471CA9"/>
    <w:rsid w:val="748051BB"/>
    <w:rsid w:val="74B17A6A"/>
    <w:rsid w:val="74CA6436"/>
    <w:rsid w:val="74E41BEE"/>
    <w:rsid w:val="752E4C17"/>
    <w:rsid w:val="75BF7F65"/>
    <w:rsid w:val="76263B40"/>
    <w:rsid w:val="762A7AD4"/>
    <w:rsid w:val="76375D4D"/>
    <w:rsid w:val="76805946"/>
    <w:rsid w:val="76C021E7"/>
    <w:rsid w:val="76D17F50"/>
    <w:rsid w:val="76FB00DA"/>
    <w:rsid w:val="77324E93"/>
    <w:rsid w:val="773E74AD"/>
    <w:rsid w:val="7755292F"/>
    <w:rsid w:val="77BD655F"/>
    <w:rsid w:val="77F263D0"/>
    <w:rsid w:val="78104AA8"/>
    <w:rsid w:val="78175E36"/>
    <w:rsid w:val="78372035"/>
    <w:rsid w:val="783C764B"/>
    <w:rsid w:val="78511348"/>
    <w:rsid w:val="786848E4"/>
    <w:rsid w:val="786F7A21"/>
    <w:rsid w:val="78782D79"/>
    <w:rsid w:val="78962700"/>
    <w:rsid w:val="78A21BA4"/>
    <w:rsid w:val="79116D2A"/>
    <w:rsid w:val="792C3B64"/>
    <w:rsid w:val="7940316B"/>
    <w:rsid w:val="79554E68"/>
    <w:rsid w:val="797352EE"/>
    <w:rsid w:val="79D0629D"/>
    <w:rsid w:val="7A212F9C"/>
    <w:rsid w:val="7A28257D"/>
    <w:rsid w:val="7A410F49"/>
    <w:rsid w:val="7A4647B1"/>
    <w:rsid w:val="7A805F15"/>
    <w:rsid w:val="7ADE2C3C"/>
    <w:rsid w:val="7AE364A4"/>
    <w:rsid w:val="7AF661D7"/>
    <w:rsid w:val="7B18439F"/>
    <w:rsid w:val="7B1B5C3E"/>
    <w:rsid w:val="7BB67714"/>
    <w:rsid w:val="7BE44282"/>
    <w:rsid w:val="7BFA3AA5"/>
    <w:rsid w:val="7C370855"/>
    <w:rsid w:val="7CB9570E"/>
    <w:rsid w:val="7CD9190C"/>
    <w:rsid w:val="7CE04A49"/>
    <w:rsid w:val="7CEA58C8"/>
    <w:rsid w:val="7CF95B0B"/>
    <w:rsid w:val="7D4C0330"/>
    <w:rsid w:val="7D690EE2"/>
    <w:rsid w:val="7E192908"/>
    <w:rsid w:val="7E3037AE"/>
    <w:rsid w:val="7E3C65F7"/>
    <w:rsid w:val="7E437985"/>
    <w:rsid w:val="7E447259"/>
    <w:rsid w:val="7E7044F2"/>
    <w:rsid w:val="7E786F03"/>
    <w:rsid w:val="7E9563E7"/>
    <w:rsid w:val="7EB73ECF"/>
    <w:rsid w:val="7ED7114B"/>
    <w:rsid w:val="7EDC7492"/>
    <w:rsid w:val="7EE03426"/>
    <w:rsid w:val="7EFE38AC"/>
    <w:rsid w:val="7F062761"/>
    <w:rsid w:val="7F590AE3"/>
    <w:rsid w:val="7F802513"/>
    <w:rsid w:val="7F8E7913"/>
    <w:rsid w:val="7F962B7D"/>
    <w:rsid w:val="7F9E0BEB"/>
    <w:rsid w:val="7FA36202"/>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1"/>
    <w:autoRedefine/>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01"/>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73"/>
    <w:autoRedefine/>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74"/>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7"/>
    <w:link w:val="75"/>
    <w:autoRedefine/>
    <w:qFormat/>
    <w:uiPriority w:val="0"/>
    <w:pPr>
      <w:keepNext/>
      <w:keepLines/>
      <w:spacing w:before="280" w:after="290" w:line="376" w:lineRule="auto"/>
      <w:outlineLvl w:val="4"/>
    </w:pPr>
    <w:rPr>
      <w:rFonts w:ascii="Times New Roman" w:hAnsi="Times New Roman" w:eastAsia="宋体" w:cs="Times New Roman"/>
      <w:b/>
      <w:sz w:val="28"/>
      <w:szCs w:val="24"/>
    </w:rPr>
  </w:style>
  <w:style w:type="paragraph" w:styleId="8">
    <w:name w:val="heading 6"/>
    <w:basedOn w:val="1"/>
    <w:next w:val="7"/>
    <w:link w:val="76"/>
    <w:autoRedefine/>
    <w:qFormat/>
    <w:uiPriority w:val="0"/>
    <w:pPr>
      <w:keepNext/>
      <w:keepLines/>
      <w:spacing w:before="240" w:after="64" w:line="320" w:lineRule="auto"/>
      <w:outlineLvl w:val="5"/>
    </w:pPr>
    <w:rPr>
      <w:rFonts w:ascii="Arial" w:hAnsi="Arial" w:eastAsia="黑体" w:cs="Times New Roman"/>
      <w:b/>
      <w:sz w:val="24"/>
      <w:szCs w:val="24"/>
    </w:rPr>
  </w:style>
  <w:style w:type="paragraph" w:styleId="9">
    <w:name w:val="heading 7"/>
    <w:basedOn w:val="1"/>
    <w:next w:val="7"/>
    <w:link w:val="77"/>
    <w:autoRedefine/>
    <w:qFormat/>
    <w:uiPriority w:val="0"/>
    <w:pPr>
      <w:keepNext/>
      <w:keepLines/>
      <w:spacing w:before="240" w:after="64" w:line="320" w:lineRule="auto"/>
      <w:outlineLvl w:val="6"/>
    </w:pPr>
    <w:rPr>
      <w:rFonts w:ascii="Times New Roman" w:hAnsi="Times New Roman" w:eastAsia="宋体" w:cs="Times New Roman"/>
      <w:b/>
      <w:sz w:val="24"/>
      <w:szCs w:val="24"/>
    </w:rPr>
  </w:style>
  <w:style w:type="paragraph" w:styleId="10">
    <w:name w:val="heading 8"/>
    <w:basedOn w:val="1"/>
    <w:next w:val="7"/>
    <w:link w:val="78"/>
    <w:autoRedefine/>
    <w:qFormat/>
    <w:uiPriority w:val="0"/>
    <w:pPr>
      <w:keepNext/>
      <w:keepLines/>
      <w:spacing w:before="240" w:after="64" w:line="320" w:lineRule="auto"/>
      <w:outlineLvl w:val="7"/>
    </w:pPr>
    <w:rPr>
      <w:rFonts w:ascii="Arial" w:hAnsi="Arial" w:eastAsia="黑体" w:cs="Times New Roman"/>
      <w:sz w:val="24"/>
      <w:szCs w:val="24"/>
    </w:rPr>
  </w:style>
  <w:style w:type="paragraph" w:styleId="11">
    <w:name w:val="heading 9"/>
    <w:basedOn w:val="1"/>
    <w:next w:val="7"/>
    <w:link w:val="79"/>
    <w:autoRedefine/>
    <w:qFormat/>
    <w:uiPriority w:val="0"/>
    <w:pPr>
      <w:keepNext/>
      <w:keepLines/>
      <w:spacing w:before="240" w:after="64" w:line="320" w:lineRule="auto"/>
      <w:outlineLvl w:val="8"/>
    </w:pPr>
    <w:rPr>
      <w:rFonts w:ascii="Arial" w:hAnsi="Arial" w:eastAsia="黑体" w:cs="Times New Roman"/>
      <w:szCs w:val="24"/>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04"/>
    <w:autoRedefine/>
    <w:qFormat/>
    <w:uiPriority w:val="0"/>
    <w:pPr>
      <w:ind w:firstLine="420"/>
    </w:pPr>
    <w:rPr>
      <w:rFonts w:eastAsia="宋体"/>
    </w:rPr>
  </w:style>
  <w:style w:type="paragraph" w:styleId="12">
    <w:name w:val="List 3"/>
    <w:basedOn w:val="1"/>
    <w:autoRedefine/>
    <w:qFormat/>
    <w:uiPriority w:val="0"/>
    <w:pPr>
      <w:ind w:left="100" w:leftChars="400" w:hanging="200" w:hangingChars="200"/>
    </w:pPr>
    <w:rPr>
      <w:rFonts w:ascii="Times New Roman" w:hAnsi="Times New Roman" w:eastAsia="宋体" w:cs="Times New Roman"/>
      <w:szCs w:val="24"/>
    </w:rPr>
  </w:style>
  <w:style w:type="paragraph" w:styleId="13">
    <w:name w:val="toc 7"/>
    <w:basedOn w:val="1"/>
    <w:next w:val="1"/>
    <w:autoRedefine/>
    <w:unhideWhenUsed/>
    <w:qFormat/>
    <w:uiPriority w:val="0"/>
    <w:pPr>
      <w:ind w:left="2520" w:leftChars="1200"/>
    </w:pPr>
    <w:rPr>
      <w:rFonts w:ascii="Calibri" w:hAnsi="Calibri" w:eastAsia="宋体" w:cs="Times New Roman"/>
    </w:rPr>
  </w:style>
  <w:style w:type="paragraph" w:styleId="14">
    <w:name w:val="index 8"/>
    <w:basedOn w:val="1"/>
    <w:next w:val="1"/>
    <w:autoRedefine/>
    <w:qFormat/>
    <w:uiPriority w:val="0"/>
    <w:pPr>
      <w:ind w:left="2940"/>
    </w:pPr>
    <w:rPr>
      <w:rFonts w:ascii="Times New Roman" w:hAnsi="Times New Roman" w:eastAsia="宋体" w:cs="Times New Roman"/>
      <w:szCs w:val="24"/>
    </w:rPr>
  </w:style>
  <w:style w:type="paragraph" w:styleId="15">
    <w:name w:val="List Number"/>
    <w:basedOn w:val="1"/>
    <w:autoRedefine/>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6">
    <w:name w:val="caption"/>
    <w:basedOn w:val="1"/>
    <w:next w:val="1"/>
    <w:autoRedefine/>
    <w:qFormat/>
    <w:uiPriority w:val="0"/>
    <w:pPr>
      <w:spacing w:before="152" w:after="160"/>
    </w:pPr>
    <w:rPr>
      <w:rFonts w:ascii="Arial" w:hAnsi="Arial" w:eastAsia="黑体" w:cs="Arial"/>
      <w:sz w:val="20"/>
      <w:szCs w:val="20"/>
    </w:rPr>
  </w:style>
  <w:style w:type="paragraph" w:styleId="17">
    <w:name w:val="Document Map"/>
    <w:basedOn w:val="1"/>
    <w:link w:val="121"/>
    <w:autoRedefine/>
    <w:qFormat/>
    <w:uiPriority w:val="0"/>
    <w:pPr>
      <w:shd w:val="clear" w:color="auto" w:fill="000080"/>
    </w:pPr>
    <w:rPr>
      <w:szCs w:val="24"/>
    </w:rPr>
  </w:style>
  <w:style w:type="paragraph" w:styleId="18">
    <w:name w:val="annotation text"/>
    <w:basedOn w:val="1"/>
    <w:link w:val="232"/>
    <w:autoRedefine/>
    <w:unhideWhenUsed/>
    <w:qFormat/>
    <w:uiPriority w:val="0"/>
    <w:pPr>
      <w:jc w:val="left"/>
    </w:pPr>
  </w:style>
  <w:style w:type="paragraph" w:styleId="19">
    <w:name w:val="Body Text 3"/>
    <w:basedOn w:val="1"/>
    <w:link w:val="136"/>
    <w:autoRedefine/>
    <w:qFormat/>
    <w:uiPriority w:val="99"/>
    <w:pPr>
      <w:spacing w:line="500" w:lineRule="exact"/>
    </w:pPr>
    <w:rPr>
      <w:rFonts w:eastAsia="宋体"/>
      <w:b/>
      <w:bCs/>
      <w:sz w:val="24"/>
      <w:szCs w:val="24"/>
    </w:rPr>
  </w:style>
  <w:style w:type="paragraph" w:styleId="20">
    <w:name w:val="Body Text"/>
    <w:basedOn w:val="1"/>
    <w:link w:val="224"/>
    <w:autoRedefine/>
    <w:unhideWhenUsed/>
    <w:qFormat/>
    <w:uiPriority w:val="0"/>
    <w:pPr>
      <w:spacing w:after="120"/>
    </w:pPr>
  </w:style>
  <w:style w:type="paragraph" w:styleId="21">
    <w:name w:val="Body Text Indent"/>
    <w:basedOn w:val="1"/>
    <w:link w:val="207"/>
    <w:autoRedefine/>
    <w:unhideWhenUsed/>
    <w:qFormat/>
    <w:uiPriority w:val="0"/>
    <w:pPr>
      <w:spacing w:after="120"/>
      <w:ind w:left="420" w:leftChars="200"/>
    </w:pPr>
  </w:style>
  <w:style w:type="paragraph" w:styleId="22">
    <w:name w:val="List Number 3"/>
    <w:basedOn w:val="1"/>
    <w:autoRedefine/>
    <w:qFormat/>
    <w:uiPriority w:val="0"/>
    <w:pPr>
      <w:tabs>
        <w:tab w:val="left" w:pos="1200"/>
      </w:tabs>
      <w:ind w:left="1200" w:hanging="360"/>
    </w:pPr>
    <w:rPr>
      <w:rFonts w:ascii="Times New Roman" w:hAnsi="Times New Roman" w:eastAsia="宋体" w:cs="Times New Roman"/>
      <w:szCs w:val="24"/>
    </w:rPr>
  </w:style>
  <w:style w:type="paragraph" w:styleId="23">
    <w:name w:val="List 2"/>
    <w:basedOn w:val="1"/>
    <w:autoRedefine/>
    <w:qFormat/>
    <w:uiPriority w:val="0"/>
    <w:pPr>
      <w:ind w:left="100" w:leftChars="200" w:hanging="200" w:hangingChars="200"/>
    </w:pPr>
    <w:rPr>
      <w:rFonts w:ascii="Times New Roman" w:hAnsi="Times New Roman" w:eastAsia="宋体" w:cs="Times New Roman"/>
      <w:sz w:val="28"/>
      <w:szCs w:val="24"/>
    </w:rPr>
  </w:style>
  <w:style w:type="paragraph" w:styleId="24">
    <w:name w:val="Block Text"/>
    <w:basedOn w:val="1"/>
    <w:autoRedefine/>
    <w:unhideWhenUsed/>
    <w:qFormat/>
    <w:uiPriority w:val="99"/>
    <w:pPr>
      <w:spacing w:after="120"/>
      <w:ind w:left="1440" w:leftChars="700" w:right="1440" w:rightChars="700"/>
    </w:pPr>
    <w:rPr>
      <w:rFonts w:ascii="Times New Roman" w:hAnsi="Times New Roman" w:eastAsia="宋体" w:cs="Times New Roman"/>
      <w:szCs w:val="24"/>
    </w:rPr>
  </w:style>
  <w:style w:type="paragraph" w:styleId="25">
    <w:name w:val="toc 5"/>
    <w:basedOn w:val="1"/>
    <w:next w:val="1"/>
    <w:autoRedefine/>
    <w:unhideWhenUsed/>
    <w:qFormat/>
    <w:uiPriority w:val="0"/>
    <w:pPr>
      <w:ind w:left="1680" w:leftChars="800"/>
    </w:pPr>
    <w:rPr>
      <w:rFonts w:ascii="Calibri" w:hAnsi="Calibri" w:eastAsia="宋体" w:cs="Times New Roman"/>
    </w:rPr>
  </w:style>
  <w:style w:type="paragraph" w:styleId="26">
    <w:name w:val="toc 3"/>
    <w:basedOn w:val="1"/>
    <w:next w:val="1"/>
    <w:autoRedefine/>
    <w:unhideWhenUsed/>
    <w:qFormat/>
    <w:uiPriority w:val="0"/>
    <w:pPr>
      <w:ind w:left="840" w:leftChars="400"/>
    </w:pPr>
    <w:rPr>
      <w:rFonts w:ascii="Calibri" w:hAnsi="Calibri" w:eastAsia="宋体" w:cs="Times New Roman"/>
    </w:rPr>
  </w:style>
  <w:style w:type="paragraph" w:styleId="27">
    <w:name w:val="Plain Text"/>
    <w:basedOn w:val="1"/>
    <w:link w:val="126"/>
    <w:autoRedefine/>
    <w:qFormat/>
    <w:uiPriority w:val="0"/>
    <w:rPr>
      <w:rFonts w:ascii="宋体" w:hAnsi="Courier New" w:eastAsia="宋体" w:cs="Courier New"/>
      <w:szCs w:val="21"/>
    </w:rPr>
  </w:style>
  <w:style w:type="paragraph" w:styleId="28">
    <w:name w:val="toc 8"/>
    <w:basedOn w:val="1"/>
    <w:next w:val="1"/>
    <w:autoRedefine/>
    <w:unhideWhenUsed/>
    <w:qFormat/>
    <w:uiPriority w:val="0"/>
    <w:pPr>
      <w:ind w:left="2940" w:leftChars="1400"/>
    </w:pPr>
    <w:rPr>
      <w:rFonts w:ascii="Calibri" w:hAnsi="Calibri" w:eastAsia="宋体" w:cs="Times New Roman"/>
    </w:rPr>
  </w:style>
  <w:style w:type="paragraph" w:styleId="29">
    <w:name w:val="Date"/>
    <w:basedOn w:val="1"/>
    <w:next w:val="1"/>
    <w:link w:val="106"/>
    <w:autoRedefine/>
    <w:unhideWhenUsed/>
    <w:qFormat/>
    <w:uiPriority w:val="0"/>
    <w:pPr>
      <w:ind w:left="100" w:leftChars="2500"/>
    </w:pPr>
    <w:rPr>
      <w:rFonts w:ascii="Times New Roman" w:hAnsi="Times New Roman"/>
      <w:szCs w:val="24"/>
    </w:rPr>
  </w:style>
  <w:style w:type="paragraph" w:styleId="30">
    <w:name w:val="Body Text Indent 2"/>
    <w:basedOn w:val="1"/>
    <w:link w:val="80"/>
    <w:autoRedefine/>
    <w:qFormat/>
    <w:uiPriority w:val="0"/>
    <w:pPr>
      <w:ind w:firstLine="630"/>
    </w:pPr>
    <w:rPr>
      <w:rFonts w:eastAsia="宋体"/>
      <w:sz w:val="32"/>
    </w:rPr>
  </w:style>
  <w:style w:type="paragraph" w:styleId="31">
    <w:name w:val="endnote text"/>
    <w:basedOn w:val="1"/>
    <w:link w:val="238"/>
    <w:autoRedefine/>
    <w:unhideWhenUsed/>
    <w:qFormat/>
    <w:uiPriority w:val="0"/>
    <w:pPr>
      <w:snapToGrid w:val="0"/>
      <w:jc w:val="left"/>
    </w:pPr>
    <w:rPr>
      <w:rFonts w:ascii="Times New Roman" w:hAnsi="Times New Roman" w:eastAsia="宋体" w:cs="Times New Roman"/>
      <w:szCs w:val="24"/>
    </w:rPr>
  </w:style>
  <w:style w:type="paragraph" w:styleId="32">
    <w:name w:val="Balloon Text"/>
    <w:basedOn w:val="1"/>
    <w:link w:val="109"/>
    <w:autoRedefine/>
    <w:qFormat/>
    <w:uiPriority w:val="0"/>
    <w:rPr>
      <w:sz w:val="18"/>
      <w:szCs w:val="18"/>
    </w:rPr>
  </w:style>
  <w:style w:type="paragraph" w:styleId="33">
    <w:name w:val="footer"/>
    <w:basedOn w:val="1"/>
    <w:link w:val="69"/>
    <w:autoRedefine/>
    <w:unhideWhenUsed/>
    <w:qFormat/>
    <w:uiPriority w:val="99"/>
    <w:pPr>
      <w:tabs>
        <w:tab w:val="center" w:pos="4153"/>
        <w:tab w:val="right" w:pos="8306"/>
      </w:tabs>
      <w:snapToGrid w:val="0"/>
      <w:jc w:val="left"/>
    </w:pPr>
    <w:rPr>
      <w:sz w:val="18"/>
      <w:szCs w:val="18"/>
    </w:rPr>
  </w:style>
  <w:style w:type="paragraph" w:styleId="34">
    <w:name w:val="header"/>
    <w:basedOn w:val="1"/>
    <w:link w:val="6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unhideWhenUsed/>
    <w:qFormat/>
    <w:uiPriority w:val="39"/>
    <w:rPr>
      <w:rFonts w:ascii="Times New Roman" w:hAnsi="Times New Roman" w:eastAsia="宋体" w:cs="Times New Roman"/>
      <w:szCs w:val="24"/>
    </w:rPr>
  </w:style>
  <w:style w:type="paragraph" w:styleId="36">
    <w:name w:val="toc 4"/>
    <w:basedOn w:val="1"/>
    <w:next w:val="1"/>
    <w:autoRedefine/>
    <w:unhideWhenUsed/>
    <w:qFormat/>
    <w:uiPriority w:val="0"/>
    <w:pPr>
      <w:ind w:left="1260" w:leftChars="600"/>
    </w:pPr>
    <w:rPr>
      <w:rFonts w:ascii="Calibri" w:hAnsi="Calibri" w:eastAsia="宋体" w:cs="Times New Roman"/>
    </w:rPr>
  </w:style>
  <w:style w:type="paragraph" w:styleId="37">
    <w:name w:val="index heading"/>
    <w:basedOn w:val="1"/>
    <w:next w:val="38"/>
    <w:autoRedefine/>
    <w:semiHidden/>
    <w:qFormat/>
    <w:uiPriority w:val="0"/>
    <w:rPr>
      <w:rFonts w:ascii="Times New Roman" w:hAnsi="Times New Roman" w:eastAsia="宋体" w:cs="Times New Roman"/>
      <w:szCs w:val="20"/>
    </w:rPr>
  </w:style>
  <w:style w:type="paragraph" w:styleId="38">
    <w:name w:val="index 1"/>
    <w:basedOn w:val="1"/>
    <w:next w:val="1"/>
    <w:autoRedefine/>
    <w:semiHidden/>
    <w:unhideWhenUsed/>
    <w:qFormat/>
    <w:uiPriority w:val="0"/>
  </w:style>
  <w:style w:type="paragraph" w:styleId="39">
    <w:name w:val="Subtitle"/>
    <w:basedOn w:val="1"/>
    <w:next w:val="1"/>
    <w:link w:val="105"/>
    <w:autoRedefine/>
    <w:qFormat/>
    <w:uiPriority w:val="11"/>
    <w:pPr>
      <w:widowControl/>
      <w:spacing w:after="720"/>
      <w:jc w:val="right"/>
    </w:pPr>
    <w:rPr>
      <w:rFonts w:ascii="Calibri Light" w:hAnsi="Calibri Light"/>
    </w:rPr>
  </w:style>
  <w:style w:type="paragraph" w:styleId="40">
    <w:name w:val="List"/>
    <w:basedOn w:val="1"/>
    <w:autoRedefine/>
    <w:qFormat/>
    <w:uiPriority w:val="0"/>
    <w:pPr>
      <w:ind w:left="200" w:hanging="200" w:hangingChars="200"/>
    </w:pPr>
    <w:rPr>
      <w:rFonts w:ascii="Times New Roman" w:hAnsi="Times New Roman" w:eastAsia="宋体" w:cs="Times New Roman"/>
      <w:sz w:val="28"/>
      <w:szCs w:val="24"/>
    </w:rPr>
  </w:style>
  <w:style w:type="paragraph" w:styleId="41">
    <w:name w:val="footnote text"/>
    <w:basedOn w:val="1"/>
    <w:link w:val="227"/>
    <w:autoRedefine/>
    <w:unhideWhenUsed/>
    <w:qFormat/>
    <w:uiPriority w:val="0"/>
    <w:pPr>
      <w:snapToGrid w:val="0"/>
      <w:jc w:val="left"/>
    </w:pPr>
    <w:rPr>
      <w:rFonts w:ascii="Times New Roman" w:hAnsi="Times New Roman" w:eastAsia="宋体" w:cs="Times New Roman"/>
      <w:sz w:val="18"/>
      <w:szCs w:val="18"/>
    </w:rPr>
  </w:style>
  <w:style w:type="paragraph" w:styleId="42">
    <w:name w:val="toc 6"/>
    <w:basedOn w:val="1"/>
    <w:next w:val="1"/>
    <w:autoRedefine/>
    <w:unhideWhenUsed/>
    <w:qFormat/>
    <w:uiPriority w:val="0"/>
    <w:pPr>
      <w:ind w:left="2100" w:leftChars="1000"/>
    </w:pPr>
    <w:rPr>
      <w:rFonts w:ascii="Calibri" w:hAnsi="Calibri" w:eastAsia="宋体" w:cs="Times New Roman"/>
    </w:rPr>
  </w:style>
  <w:style w:type="paragraph" w:styleId="43">
    <w:name w:val="Body Text Indent 3"/>
    <w:basedOn w:val="1"/>
    <w:link w:val="113"/>
    <w:autoRedefine/>
    <w:qFormat/>
    <w:uiPriority w:val="0"/>
    <w:pPr>
      <w:spacing w:after="120"/>
      <w:ind w:left="420" w:leftChars="200"/>
    </w:pPr>
    <w:rPr>
      <w:rFonts w:eastAsia="宋体"/>
      <w:sz w:val="16"/>
      <w:szCs w:val="16"/>
    </w:rPr>
  </w:style>
  <w:style w:type="paragraph" w:styleId="44">
    <w:name w:val="toc 2"/>
    <w:basedOn w:val="1"/>
    <w:next w:val="1"/>
    <w:autoRedefine/>
    <w:unhideWhenUsed/>
    <w:qFormat/>
    <w:uiPriority w:val="0"/>
    <w:pPr>
      <w:ind w:left="420" w:leftChars="200"/>
    </w:pPr>
    <w:rPr>
      <w:rFonts w:ascii="Times New Roman" w:hAnsi="Times New Roman" w:eastAsia="宋体" w:cs="Times New Roman"/>
      <w:szCs w:val="24"/>
    </w:rPr>
  </w:style>
  <w:style w:type="paragraph" w:styleId="45">
    <w:name w:val="toc 9"/>
    <w:basedOn w:val="1"/>
    <w:next w:val="1"/>
    <w:autoRedefine/>
    <w:unhideWhenUsed/>
    <w:qFormat/>
    <w:uiPriority w:val="0"/>
    <w:pPr>
      <w:ind w:left="3360" w:leftChars="1600"/>
    </w:pPr>
    <w:rPr>
      <w:rFonts w:ascii="Calibri" w:hAnsi="Calibri" w:eastAsia="宋体" w:cs="Times New Roman"/>
    </w:rPr>
  </w:style>
  <w:style w:type="paragraph" w:styleId="46">
    <w:name w:val="Body Text 2"/>
    <w:basedOn w:val="1"/>
    <w:link w:val="144"/>
    <w:autoRedefine/>
    <w:qFormat/>
    <w:uiPriority w:val="0"/>
    <w:pPr>
      <w:spacing w:after="120" w:line="480" w:lineRule="auto"/>
    </w:pPr>
    <w:rPr>
      <w:rFonts w:eastAsia="宋体"/>
      <w:szCs w:val="24"/>
    </w:rPr>
  </w:style>
  <w:style w:type="paragraph" w:styleId="47">
    <w:name w:val="HTML Preformatted"/>
    <w:basedOn w:val="1"/>
    <w:link w:val="15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48">
    <w:name w:val="Normal (Web)"/>
    <w:basedOn w:val="1"/>
    <w:autoRedefine/>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styleId="49">
    <w:name w:val="Title"/>
    <w:basedOn w:val="1"/>
    <w:next w:val="1"/>
    <w:link w:val="99"/>
    <w:autoRedefine/>
    <w:qFormat/>
    <w:uiPriority w:val="10"/>
    <w:pPr>
      <w:spacing w:before="240" w:after="60"/>
      <w:jc w:val="center"/>
      <w:outlineLvl w:val="0"/>
    </w:pPr>
    <w:rPr>
      <w:rFonts w:ascii="Cambria" w:hAnsi="Cambria"/>
      <w:b/>
      <w:bCs/>
      <w:sz w:val="32"/>
      <w:szCs w:val="32"/>
    </w:rPr>
  </w:style>
  <w:style w:type="paragraph" w:styleId="50">
    <w:name w:val="annotation subject"/>
    <w:basedOn w:val="18"/>
    <w:next w:val="18"/>
    <w:link w:val="143"/>
    <w:autoRedefine/>
    <w:qFormat/>
    <w:uiPriority w:val="0"/>
    <w:rPr>
      <w:b/>
      <w:bCs/>
      <w:szCs w:val="24"/>
    </w:rPr>
  </w:style>
  <w:style w:type="paragraph" w:styleId="51">
    <w:name w:val="Body Text First Indent"/>
    <w:basedOn w:val="20"/>
    <w:next w:val="1"/>
    <w:link w:val="162"/>
    <w:autoRedefine/>
    <w:qFormat/>
    <w:uiPriority w:val="0"/>
    <w:pPr>
      <w:ind w:firstLine="420" w:firstLineChars="100"/>
    </w:pPr>
    <w:rPr>
      <w:rFonts w:ascii="宋体" w:hAnsi="Courier New" w:eastAsia="宋体" w:cs="Courier New"/>
      <w:szCs w:val="21"/>
    </w:rPr>
  </w:style>
  <w:style w:type="paragraph" w:styleId="52">
    <w:name w:val="Body Text First Indent 2"/>
    <w:basedOn w:val="21"/>
    <w:link w:val="166"/>
    <w:autoRedefine/>
    <w:unhideWhenUsed/>
    <w:qFormat/>
    <w:uiPriority w:val="99"/>
    <w:pPr>
      <w:spacing w:line="200" w:lineRule="exact"/>
      <w:ind w:firstLine="420" w:firstLineChars="200"/>
    </w:pPr>
    <w:rPr>
      <w:rFonts w:ascii="仿宋_GB2312" w:hAnsi="Courier New" w:eastAsia="仿宋_GB2312" w:cs="Times New Roman"/>
      <w:spacing w:val="-4"/>
      <w:szCs w:val="24"/>
    </w:rPr>
  </w:style>
  <w:style w:type="table" w:styleId="54">
    <w:name w:val="Table Grid"/>
    <w:basedOn w:val="5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6">
    <w:name w:val="Strong"/>
    <w:autoRedefine/>
    <w:qFormat/>
    <w:uiPriority w:val="0"/>
    <w:rPr>
      <w:rFonts w:ascii="Tahoma" w:hAnsi="Tahoma" w:eastAsia="宋体"/>
      <w:b/>
      <w:bCs/>
      <w:spacing w:val="10"/>
      <w:kern w:val="2"/>
      <w:sz w:val="24"/>
      <w:szCs w:val="24"/>
      <w:lang w:val="en-US" w:eastAsia="zh-CN" w:bidi="ar-SA"/>
    </w:rPr>
  </w:style>
  <w:style w:type="character" w:styleId="57">
    <w:name w:val="page number"/>
    <w:basedOn w:val="55"/>
    <w:autoRedefine/>
    <w:qFormat/>
    <w:uiPriority w:val="0"/>
  </w:style>
  <w:style w:type="character" w:styleId="58">
    <w:name w:val="FollowedHyperlink"/>
    <w:autoRedefine/>
    <w:unhideWhenUsed/>
    <w:qFormat/>
    <w:uiPriority w:val="0"/>
    <w:rPr>
      <w:color w:val="338DE6"/>
      <w:u w:val="none"/>
    </w:rPr>
  </w:style>
  <w:style w:type="character" w:styleId="59">
    <w:name w:val="Emphasis"/>
    <w:autoRedefine/>
    <w:qFormat/>
    <w:uiPriority w:val="20"/>
  </w:style>
  <w:style w:type="character" w:styleId="60">
    <w:name w:val="HTML Definition"/>
    <w:autoRedefine/>
    <w:unhideWhenUsed/>
    <w:qFormat/>
    <w:uiPriority w:val="99"/>
  </w:style>
  <w:style w:type="character" w:styleId="61">
    <w:name w:val="HTML Variable"/>
    <w:autoRedefine/>
    <w:unhideWhenUsed/>
    <w:qFormat/>
    <w:uiPriority w:val="99"/>
  </w:style>
  <w:style w:type="character" w:styleId="62">
    <w:name w:val="Hyperlink"/>
    <w:autoRedefine/>
    <w:unhideWhenUsed/>
    <w:qFormat/>
    <w:uiPriority w:val="99"/>
    <w:rPr>
      <w:color w:val="338DE6"/>
      <w:u w:val="none"/>
    </w:rPr>
  </w:style>
  <w:style w:type="character" w:styleId="63">
    <w:name w:val="HTML Code"/>
    <w:autoRedefine/>
    <w:unhideWhenUsed/>
    <w:qFormat/>
    <w:uiPriority w:val="99"/>
    <w:rPr>
      <w:rFonts w:hint="default" w:ascii="serif" w:hAnsi="serif" w:eastAsia="serif" w:cs="serif"/>
      <w:sz w:val="21"/>
      <w:szCs w:val="21"/>
    </w:rPr>
  </w:style>
  <w:style w:type="character" w:styleId="64">
    <w:name w:val="annotation reference"/>
    <w:autoRedefine/>
    <w:qFormat/>
    <w:uiPriority w:val="0"/>
    <w:rPr>
      <w:sz w:val="21"/>
      <w:szCs w:val="21"/>
    </w:rPr>
  </w:style>
  <w:style w:type="character" w:styleId="65">
    <w:name w:val="HTML Cite"/>
    <w:autoRedefine/>
    <w:unhideWhenUsed/>
    <w:qFormat/>
    <w:uiPriority w:val="99"/>
  </w:style>
  <w:style w:type="character" w:styleId="66">
    <w:name w:val="HTML Keyboard"/>
    <w:autoRedefine/>
    <w:unhideWhenUsed/>
    <w:qFormat/>
    <w:uiPriority w:val="99"/>
    <w:rPr>
      <w:rFonts w:hint="default" w:ascii="serif" w:hAnsi="serif" w:eastAsia="serif" w:cs="serif"/>
      <w:sz w:val="21"/>
      <w:szCs w:val="21"/>
    </w:rPr>
  </w:style>
  <w:style w:type="character" w:styleId="67">
    <w:name w:val="HTML Sample"/>
    <w:autoRedefine/>
    <w:unhideWhenUsed/>
    <w:qFormat/>
    <w:uiPriority w:val="99"/>
    <w:rPr>
      <w:rFonts w:ascii="serif" w:hAnsi="serif" w:eastAsia="serif" w:cs="serif"/>
      <w:sz w:val="21"/>
      <w:szCs w:val="21"/>
    </w:rPr>
  </w:style>
  <w:style w:type="character" w:customStyle="1" w:styleId="68">
    <w:name w:val="页眉 Char"/>
    <w:basedOn w:val="55"/>
    <w:link w:val="34"/>
    <w:autoRedefine/>
    <w:qFormat/>
    <w:uiPriority w:val="99"/>
    <w:rPr>
      <w:sz w:val="18"/>
      <w:szCs w:val="18"/>
    </w:rPr>
  </w:style>
  <w:style w:type="character" w:customStyle="1" w:styleId="69">
    <w:name w:val="页脚 Char"/>
    <w:basedOn w:val="55"/>
    <w:link w:val="33"/>
    <w:autoRedefine/>
    <w:qFormat/>
    <w:uiPriority w:val="99"/>
    <w:rPr>
      <w:sz w:val="18"/>
      <w:szCs w:val="18"/>
    </w:rPr>
  </w:style>
  <w:style w:type="paragraph" w:styleId="70">
    <w:name w:val="List Paragraph"/>
    <w:basedOn w:val="1"/>
    <w:link w:val="125"/>
    <w:autoRedefine/>
    <w:qFormat/>
    <w:uiPriority w:val="34"/>
    <w:pPr>
      <w:ind w:firstLine="420" w:firstLineChars="200"/>
    </w:pPr>
  </w:style>
  <w:style w:type="character" w:customStyle="1" w:styleId="71">
    <w:name w:val="标题 1 Char"/>
    <w:basedOn w:val="55"/>
    <w:link w:val="2"/>
    <w:autoRedefine/>
    <w:qFormat/>
    <w:uiPriority w:val="0"/>
    <w:rPr>
      <w:rFonts w:ascii="Times New Roman" w:hAnsi="Times New Roman" w:eastAsia="宋体" w:cs="Times New Roman"/>
      <w:b/>
      <w:bCs/>
      <w:kern w:val="44"/>
      <w:sz w:val="44"/>
      <w:szCs w:val="44"/>
    </w:rPr>
  </w:style>
  <w:style w:type="character" w:customStyle="1" w:styleId="72">
    <w:name w:val="标题 2 Char"/>
    <w:basedOn w:val="55"/>
    <w:autoRedefine/>
    <w:qFormat/>
    <w:uiPriority w:val="0"/>
    <w:rPr>
      <w:rFonts w:asciiTheme="majorHAnsi" w:hAnsiTheme="majorHAnsi" w:eastAsiaTheme="majorEastAsia" w:cstheme="majorBidi"/>
      <w:b/>
      <w:bCs/>
      <w:sz w:val="32"/>
      <w:szCs w:val="32"/>
    </w:rPr>
  </w:style>
  <w:style w:type="character" w:customStyle="1" w:styleId="73">
    <w:name w:val="标题 3 Char"/>
    <w:basedOn w:val="55"/>
    <w:link w:val="4"/>
    <w:autoRedefine/>
    <w:qFormat/>
    <w:uiPriority w:val="0"/>
    <w:rPr>
      <w:rFonts w:ascii="Times New Roman" w:hAnsi="Times New Roman" w:eastAsia="宋体" w:cs="Times New Roman"/>
      <w:b/>
      <w:bCs/>
      <w:sz w:val="32"/>
      <w:szCs w:val="32"/>
    </w:rPr>
  </w:style>
  <w:style w:type="character" w:customStyle="1" w:styleId="74">
    <w:name w:val="标题 4 Char"/>
    <w:basedOn w:val="55"/>
    <w:link w:val="5"/>
    <w:autoRedefine/>
    <w:qFormat/>
    <w:uiPriority w:val="0"/>
    <w:rPr>
      <w:rFonts w:ascii="Arial" w:hAnsi="Arial" w:eastAsia="黑体" w:cs="Times New Roman"/>
      <w:b/>
      <w:bCs/>
      <w:sz w:val="28"/>
      <w:szCs w:val="28"/>
    </w:rPr>
  </w:style>
  <w:style w:type="character" w:customStyle="1" w:styleId="75">
    <w:name w:val="标题 5 Char"/>
    <w:basedOn w:val="55"/>
    <w:link w:val="6"/>
    <w:autoRedefine/>
    <w:qFormat/>
    <w:uiPriority w:val="0"/>
    <w:rPr>
      <w:rFonts w:ascii="Times New Roman" w:hAnsi="Times New Roman" w:eastAsia="宋体" w:cs="Times New Roman"/>
      <w:b/>
      <w:sz w:val="28"/>
      <w:szCs w:val="24"/>
    </w:rPr>
  </w:style>
  <w:style w:type="character" w:customStyle="1" w:styleId="76">
    <w:name w:val="标题 6 Char"/>
    <w:basedOn w:val="55"/>
    <w:link w:val="8"/>
    <w:autoRedefine/>
    <w:qFormat/>
    <w:uiPriority w:val="0"/>
    <w:rPr>
      <w:rFonts w:ascii="Arial" w:hAnsi="Arial" w:eastAsia="黑体" w:cs="Times New Roman"/>
      <w:b/>
      <w:sz w:val="24"/>
      <w:szCs w:val="24"/>
    </w:rPr>
  </w:style>
  <w:style w:type="character" w:customStyle="1" w:styleId="77">
    <w:name w:val="标题 7 Char"/>
    <w:basedOn w:val="55"/>
    <w:link w:val="9"/>
    <w:autoRedefine/>
    <w:qFormat/>
    <w:uiPriority w:val="0"/>
    <w:rPr>
      <w:rFonts w:ascii="Times New Roman" w:hAnsi="Times New Roman" w:eastAsia="宋体" w:cs="Times New Roman"/>
      <w:b/>
      <w:sz w:val="24"/>
      <w:szCs w:val="24"/>
    </w:rPr>
  </w:style>
  <w:style w:type="character" w:customStyle="1" w:styleId="78">
    <w:name w:val="标题 8 Char"/>
    <w:basedOn w:val="55"/>
    <w:link w:val="10"/>
    <w:autoRedefine/>
    <w:qFormat/>
    <w:uiPriority w:val="0"/>
    <w:rPr>
      <w:rFonts w:ascii="Arial" w:hAnsi="Arial" w:eastAsia="黑体" w:cs="Times New Roman"/>
      <w:sz w:val="24"/>
      <w:szCs w:val="24"/>
    </w:rPr>
  </w:style>
  <w:style w:type="character" w:customStyle="1" w:styleId="79">
    <w:name w:val="标题 9 Char"/>
    <w:basedOn w:val="55"/>
    <w:link w:val="11"/>
    <w:autoRedefine/>
    <w:qFormat/>
    <w:uiPriority w:val="0"/>
    <w:rPr>
      <w:rFonts w:ascii="Arial" w:hAnsi="Arial" w:eastAsia="黑体" w:cs="Times New Roman"/>
      <w:szCs w:val="24"/>
    </w:rPr>
  </w:style>
  <w:style w:type="character" w:customStyle="1" w:styleId="80">
    <w:name w:val="正文文本缩进 2 Char1"/>
    <w:link w:val="30"/>
    <w:autoRedefine/>
    <w:qFormat/>
    <w:uiPriority w:val="0"/>
    <w:rPr>
      <w:rFonts w:eastAsia="宋体"/>
      <w:sz w:val="32"/>
    </w:rPr>
  </w:style>
  <w:style w:type="character" w:customStyle="1" w:styleId="81">
    <w:name w:val="四级标题 Char"/>
    <w:link w:val="82"/>
    <w:autoRedefine/>
    <w:qFormat/>
    <w:uiPriority w:val="0"/>
    <w:rPr>
      <w:rFonts w:eastAsia="黑体"/>
      <w:b/>
      <w:sz w:val="28"/>
    </w:rPr>
  </w:style>
  <w:style w:type="paragraph" w:customStyle="1" w:styleId="82">
    <w:name w:val="四级标题"/>
    <w:basedOn w:val="1"/>
    <w:link w:val="81"/>
    <w:autoRedefine/>
    <w:qFormat/>
    <w:uiPriority w:val="0"/>
    <w:pPr>
      <w:spacing w:line="360" w:lineRule="auto"/>
      <w:ind w:left="1004" w:hanging="720"/>
      <w:outlineLvl w:val="3"/>
    </w:pPr>
    <w:rPr>
      <w:rFonts w:eastAsia="黑体"/>
      <w:b/>
      <w:sz w:val="28"/>
    </w:rPr>
  </w:style>
  <w:style w:type="character" w:customStyle="1" w:styleId="83">
    <w:name w:val="apple-style-span"/>
    <w:basedOn w:val="55"/>
    <w:autoRedefine/>
    <w:qFormat/>
    <w:uiPriority w:val="0"/>
  </w:style>
  <w:style w:type="character" w:customStyle="1" w:styleId="84">
    <w:name w:val="明显引用 Char1"/>
    <w:link w:val="85"/>
    <w:autoRedefine/>
    <w:qFormat/>
    <w:uiPriority w:val="30"/>
    <w:rPr>
      <w:rFonts w:ascii="Calibri" w:hAnsi="Calibri"/>
      <w:b/>
      <w:bCs/>
      <w:i/>
      <w:iCs/>
    </w:rPr>
  </w:style>
  <w:style w:type="paragraph" w:styleId="85">
    <w:name w:val="Intense Quote"/>
    <w:basedOn w:val="1"/>
    <w:next w:val="1"/>
    <w:link w:val="84"/>
    <w:qFormat/>
    <w:uiPriority w:val="30"/>
    <w:pPr>
      <w:widowControl/>
      <w:pBdr>
        <w:top w:val="single" w:color="70AD47" w:sz="8" w:space="1"/>
      </w:pBdr>
      <w:spacing w:before="140" w:after="140" w:line="276" w:lineRule="auto"/>
      <w:ind w:left="1440" w:right="1440"/>
    </w:pPr>
    <w:rPr>
      <w:rFonts w:ascii="Calibri" w:hAnsi="Calibri"/>
      <w:b/>
      <w:bCs/>
      <w:i/>
      <w:iCs/>
    </w:rPr>
  </w:style>
  <w:style w:type="character" w:customStyle="1" w:styleId="86">
    <w:name w:val="批注文字 Char1"/>
    <w:autoRedefine/>
    <w:qFormat/>
    <w:locked/>
    <w:uiPriority w:val="0"/>
    <w:rPr>
      <w:kern w:val="2"/>
      <w:sz w:val="21"/>
      <w:szCs w:val="24"/>
    </w:rPr>
  </w:style>
  <w:style w:type="character" w:customStyle="1" w:styleId="87">
    <w:name w:val="Char Char12"/>
    <w:autoRedefine/>
    <w:qFormat/>
    <w:uiPriority w:val="0"/>
    <w:rPr>
      <w:rFonts w:ascii="Times New Roman" w:hAnsi="Times New Roman" w:eastAsia="宋体" w:cs="Times New Roman"/>
      <w:kern w:val="2"/>
      <w:sz w:val="18"/>
      <w:szCs w:val="18"/>
    </w:rPr>
  </w:style>
  <w:style w:type="character" w:customStyle="1" w:styleId="88">
    <w:name w:val="font81"/>
    <w:autoRedefine/>
    <w:qFormat/>
    <w:uiPriority w:val="0"/>
    <w:rPr>
      <w:rFonts w:hint="default" w:ascii="Tahoma" w:hAnsi="Tahoma" w:eastAsia="Tahoma" w:cs="Tahoma"/>
      <w:color w:val="000000"/>
      <w:sz w:val="22"/>
      <w:szCs w:val="22"/>
      <w:u w:val="none"/>
    </w:rPr>
  </w:style>
  <w:style w:type="character" w:customStyle="1" w:styleId="89">
    <w:name w:val="lemmawgt-lemmatitle-title1"/>
    <w:basedOn w:val="55"/>
    <w:autoRedefine/>
    <w:qFormat/>
    <w:uiPriority w:val="0"/>
  </w:style>
  <w:style w:type="character" w:customStyle="1" w:styleId="90">
    <w:name w:val="标题 5 字符"/>
    <w:autoRedefine/>
    <w:qFormat/>
    <w:uiPriority w:val="9"/>
    <w:rPr>
      <w:rFonts w:ascii="Calibri" w:hAnsi="Calibri"/>
      <w:smallCaps/>
      <w:color w:val="538135"/>
      <w:spacing w:val="10"/>
      <w:sz w:val="22"/>
      <w:szCs w:val="22"/>
    </w:rPr>
  </w:style>
  <w:style w:type="character" w:customStyle="1" w:styleId="91">
    <w:name w:val="Char Char9"/>
    <w:autoRedefine/>
    <w:qFormat/>
    <w:uiPriority w:val="0"/>
    <w:rPr>
      <w:rFonts w:ascii="Calibri" w:hAnsi="Calibri" w:eastAsia="宋体" w:cs="Times New Roman"/>
      <w:kern w:val="2"/>
      <w:sz w:val="18"/>
      <w:szCs w:val="18"/>
      <w:lang w:val="en-US" w:eastAsia="zh-CN" w:bidi="ar-SA"/>
    </w:rPr>
  </w:style>
  <w:style w:type="character" w:customStyle="1" w:styleId="92">
    <w:name w:val="Char Char Char"/>
    <w:autoRedefine/>
    <w:qFormat/>
    <w:uiPriority w:val="0"/>
    <w:rPr>
      <w:rFonts w:ascii="宋体" w:hAnsi="Courier New" w:eastAsia="宋体"/>
      <w:kern w:val="2"/>
      <w:sz w:val="21"/>
      <w:lang w:val="en-US" w:eastAsia="zh-CN" w:bidi="ar-SA"/>
    </w:rPr>
  </w:style>
  <w:style w:type="character" w:customStyle="1" w:styleId="93">
    <w:name w:val="无间隔 Char"/>
    <w:link w:val="94"/>
    <w:autoRedefine/>
    <w:qFormat/>
    <w:uiPriority w:val="1"/>
    <w:rPr>
      <w:rFonts w:eastAsia="Times New Roman"/>
      <w:sz w:val="22"/>
    </w:rPr>
  </w:style>
  <w:style w:type="paragraph" w:styleId="94">
    <w:name w:val="No Spacing"/>
    <w:link w:val="93"/>
    <w:autoRedefine/>
    <w:qFormat/>
    <w:uiPriority w:val="1"/>
    <w:rPr>
      <w:rFonts w:eastAsia="Times New Roman" w:asciiTheme="minorHAnsi" w:hAnsiTheme="minorHAnsi" w:cstheme="minorBidi"/>
      <w:kern w:val="2"/>
      <w:sz w:val="22"/>
      <w:szCs w:val="22"/>
      <w:lang w:val="en-US" w:eastAsia="zh-CN" w:bidi="ar-SA"/>
    </w:rPr>
  </w:style>
  <w:style w:type="character" w:customStyle="1" w:styleId="95">
    <w:name w:val="fontorange1"/>
    <w:autoRedefine/>
    <w:qFormat/>
    <w:uiPriority w:val="0"/>
    <w:rPr>
      <w:rFonts w:hint="default" w:ascii="ˎ̥" w:hAnsi="ˎ̥" w:eastAsia="宋体"/>
      <w:color w:val="FF6600"/>
      <w:kern w:val="2"/>
      <w:sz w:val="18"/>
      <w:szCs w:val="18"/>
      <w:lang w:val="en-US" w:eastAsia="zh-CN" w:bidi="ar-SA"/>
    </w:rPr>
  </w:style>
  <w:style w:type="character" w:customStyle="1" w:styleId="96">
    <w:name w:val="textcontents"/>
    <w:basedOn w:val="55"/>
    <w:autoRedefine/>
    <w:qFormat/>
    <w:uiPriority w:val="0"/>
  </w:style>
  <w:style w:type="character" w:customStyle="1" w:styleId="97">
    <w:name w:val="标题 4 字符"/>
    <w:autoRedefine/>
    <w:qFormat/>
    <w:uiPriority w:val="0"/>
    <w:rPr>
      <w:rFonts w:ascii="Arial" w:eastAsia="黑体"/>
      <w:sz w:val="28"/>
      <w:lang w:val="en-US" w:eastAsia="zh-CN" w:bidi="ar-SA"/>
    </w:rPr>
  </w:style>
  <w:style w:type="character" w:customStyle="1" w:styleId="98">
    <w:name w:val="标题 7 字符"/>
    <w:autoRedefine/>
    <w:semiHidden/>
    <w:qFormat/>
    <w:uiPriority w:val="9"/>
    <w:rPr>
      <w:rFonts w:ascii="Calibri" w:hAnsi="Calibri"/>
      <w:b/>
      <w:bCs/>
      <w:smallCaps/>
      <w:color w:val="70AD47"/>
      <w:spacing w:val="10"/>
    </w:rPr>
  </w:style>
  <w:style w:type="character" w:customStyle="1" w:styleId="99">
    <w:name w:val="标题 Char"/>
    <w:link w:val="49"/>
    <w:autoRedefine/>
    <w:qFormat/>
    <w:uiPriority w:val="10"/>
    <w:rPr>
      <w:rFonts w:ascii="Cambria" w:hAnsi="Cambria"/>
      <w:b/>
      <w:bCs/>
      <w:sz w:val="32"/>
      <w:szCs w:val="32"/>
    </w:rPr>
  </w:style>
  <w:style w:type="character" w:customStyle="1" w:styleId="100">
    <w:name w:val="fontborder"/>
    <w:autoRedefine/>
    <w:qFormat/>
    <w:uiPriority w:val="0"/>
    <w:rPr>
      <w:bdr w:val="single" w:color="000000" w:sz="6" w:space="0"/>
    </w:rPr>
  </w:style>
  <w:style w:type="character" w:customStyle="1" w:styleId="101">
    <w:name w:val="标题 2 Char1"/>
    <w:link w:val="3"/>
    <w:autoRedefine/>
    <w:qFormat/>
    <w:uiPriority w:val="0"/>
    <w:rPr>
      <w:rFonts w:ascii="Cambria" w:hAnsi="Cambria" w:eastAsia="宋体" w:cs="Times New Roman"/>
      <w:b/>
      <w:bCs/>
      <w:sz w:val="32"/>
      <w:szCs w:val="32"/>
    </w:rPr>
  </w:style>
  <w:style w:type="character" w:customStyle="1" w:styleId="102">
    <w:name w:val="批注文字 字符"/>
    <w:autoRedefine/>
    <w:qFormat/>
    <w:locked/>
    <w:uiPriority w:val="0"/>
    <w:rPr>
      <w:rFonts w:eastAsia="宋体"/>
      <w:kern w:val="2"/>
      <w:sz w:val="21"/>
      <w:szCs w:val="24"/>
      <w:lang w:val="en-US" w:eastAsia="zh-CN" w:bidi="ar-SA"/>
    </w:rPr>
  </w:style>
  <w:style w:type="character" w:customStyle="1" w:styleId="103">
    <w:name w:val="Char Char4"/>
    <w:autoRedefine/>
    <w:qFormat/>
    <w:uiPriority w:val="0"/>
    <w:rPr>
      <w:rFonts w:ascii="宋体" w:eastAsia="宋体"/>
      <w:kern w:val="2"/>
      <w:sz w:val="18"/>
      <w:szCs w:val="18"/>
      <w:lang w:val="en-US" w:eastAsia="zh-CN" w:bidi="ar-SA"/>
    </w:rPr>
  </w:style>
  <w:style w:type="character" w:customStyle="1" w:styleId="104">
    <w:name w:val="正文缩进 Char"/>
    <w:link w:val="7"/>
    <w:autoRedefine/>
    <w:qFormat/>
    <w:uiPriority w:val="0"/>
    <w:rPr>
      <w:rFonts w:eastAsia="宋体"/>
    </w:rPr>
  </w:style>
  <w:style w:type="character" w:customStyle="1" w:styleId="105">
    <w:name w:val="副标题 Char1"/>
    <w:link w:val="39"/>
    <w:autoRedefine/>
    <w:qFormat/>
    <w:uiPriority w:val="11"/>
    <w:rPr>
      <w:rFonts w:ascii="Calibri Light" w:hAnsi="Calibri Light"/>
    </w:rPr>
  </w:style>
  <w:style w:type="character" w:customStyle="1" w:styleId="106">
    <w:name w:val="日期 Char"/>
    <w:link w:val="29"/>
    <w:autoRedefine/>
    <w:qFormat/>
    <w:uiPriority w:val="0"/>
    <w:rPr>
      <w:rFonts w:ascii="Times New Roman" w:hAnsi="Times New Roman"/>
      <w:szCs w:val="24"/>
    </w:rPr>
  </w:style>
  <w:style w:type="character" w:customStyle="1" w:styleId="107">
    <w:name w:val="Char Char17"/>
    <w:autoRedefine/>
    <w:qFormat/>
    <w:uiPriority w:val="0"/>
    <w:rPr>
      <w:rFonts w:ascii="Cambria" w:hAnsi="Cambria" w:eastAsia="宋体" w:cs="Times New Roman"/>
      <w:b/>
      <w:bCs/>
      <w:sz w:val="24"/>
      <w:szCs w:val="24"/>
    </w:rPr>
  </w:style>
  <w:style w:type="character" w:customStyle="1" w:styleId="108">
    <w:name w:val="font31"/>
    <w:autoRedefine/>
    <w:qFormat/>
    <w:uiPriority w:val="0"/>
    <w:rPr>
      <w:rFonts w:hint="default" w:ascii="Calibri" w:hAnsi="Calibri" w:cs="Calibri"/>
      <w:color w:val="000000"/>
      <w:sz w:val="21"/>
      <w:szCs w:val="21"/>
      <w:u w:val="none"/>
    </w:rPr>
  </w:style>
  <w:style w:type="character" w:customStyle="1" w:styleId="109">
    <w:name w:val="批注框文本 Char"/>
    <w:link w:val="32"/>
    <w:autoRedefine/>
    <w:qFormat/>
    <w:locked/>
    <w:uiPriority w:val="0"/>
    <w:rPr>
      <w:sz w:val="18"/>
      <w:szCs w:val="18"/>
    </w:rPr>
  </w:style>
  <w:style w:type="character" w:customStyle="1" w:styleId="110">
    <w:name w:val="纯文本 字符"/>
    <w:autoRedefine/>
    <w:qFormat/>
    <w:uiPriority w:val="0"/>
    <w:rPr>
      <w:rFonts w:ascii="宋体" w:hAnsi="Courier New" w:eastAsia="宋体"/>
      <w:kern w:val="2"/>
      <w:sz w:val="21"/>
      <w:lang w:val="en-US" w:eastAsia="zh-CN" w:bidi="ar-SA"/>
    </w:rPr>
  </w:style>
  <w:style w:type="character" w:customStyle="1" w:styleId="111">
    <w:name w:val="标题 9 字符"/>
    <w:autoRedefine/>
    <w:semiHidden/>
    <w:qFormat/>
    <w:uiPriority w:val="9"/>
    <w:rPr>
      <w:rFonts w:ascii="Calibri" w:hAnsi="Calibri"/>
      <w:b/>
      <w:bCs/>
      <w:i/>
      <w:iCs/>
      <w:smallCaps/>
      <w:color w:val="385623"/>
    </w:rPr>
  </w:style>
  <w:style w:type="character" w:customStyle="1" w:styleId="112">
    <w:name w:val="页眉 字符"/>
    <w:autoRedefine/>
    <w:qFormat/>
    <w:uiPriority w:val="99"/>
    <w:rPr>
      <w:rFonts w:eastAsia="宋体"/>
      <w:kern w:val="2"/>
      <w:sz w:val="18"/>
      <w:szCs w:val="18"/>
      <w:lang w:val="en-US" w:eastAsia="zh-CN" w:bidi="ar-SA"/>
    </w:rPr>
  </w:style>
  <w:style w:type="character" w:customStyle="1" w:styleId="113">
    <w:name w:val="正文文本缩进 3 Char"/>
    <w:link w:val="43"/>
    <w:autoRedefine/>
    <w:qFormat/>
    <w:uiPriority w:val="0"/>
    <w:rPr>
      <w:rFonts w:eastAsia="宋体"/>
      <w:sz w:val="16"/>
      <w:szCs w:val="16"/>
    </w:rPr>
  </w:style>
  <w:style w:type="character" w:customStyle="1" w:styleId="114">
    <w:name w:val="正文首行缩进 字符"/>
    <w:autoRedefine/>
    <w:qFormat/>
    <w:uiPriority w:val="99"/>
  </w:style>
  <w:style w:type="character" w:customStyle="1" w:styleId="115">
    <w:name w:val="不明显参考1"/>
    <w:autoRedefine/>
    <w:qFormat/>
    <w:uiPriority w:val="31"/>
    <w:rPr>
      <w:b/>
      <w:bCs/>
    </w:rPr>
  </w:style>
  <w:style w:type="character" w:customStyle="1" w:styleId="116">
    <w:name w:val="sh141"/>
    <w:autoRedefine/>
    <w:qFormat/>
    <w:uiPriority w:val="0"/>
    <w:rPr>
      <w:color w:val="2B2B2B"/>
      <w:sz w:val="21"/>
      <w:szCs w:val="21"/>
    </w:rPr>
  </w:style>
  <w:style w:type="character" w:customStyle="1" w:styleId="117">
    <w:name w:val="Char Char14"/>
    <w:autoRedefine/>
    <w:qFormat/>
    <w:uiPriority w:val="0"/>
    <w:rPr>
      <w:rFonts w:ascii="Cambria" w:hAnsi="Cambria" w:eastAsia="宋体" w:cs="Times New Roman"/>
      <w:sz w:val="21"/>
      <w:szCs w:val="21"/>
    </w:rPr>
  </w:style>
  <w:style w:type="character" w:customStyle="1" w:styleId="118">
    <w:name w:val="标题 3 字符"/>
    <w:autoRedefine/>
    <w:qFormat/>
    <w:uiPriority w:val="0"/>
    <w:rPr>
      <w:rFonts w:eastAsia="宋体"/>
      <w:b/>
      <w:bCs/>
      <w:kern w:val="2"/>
      <w:sz w:val="32"/>
      <w:szCs w:val="32"/>
      <w:lang w:val="en-US" w:eastAsia="zh-CN" w:bidi="ar-SA"/>
    </w:rPr>
  </w:style>
  <w:style w:type="character" w:customStyle="1" w:styleId="119">
    <w:name w:val="不明显强调1"/>
    <w:autoRedefine/>
    <w:qFormat/>
    <w:uiPriority w:val="19"/>
    <w:rPr>
      <w:i/>
      <w:iCs/>
    </w:rPr>
  </w:style>
  <w:style w:type="character" w:customStyle="1" w:styleId="120">
    <w:name w:val="next"/>
    <w:autoRedefine/>
    <w:qFormat/>
    <w:uiPriority w:val="0"/>
    <w:rPr>
      <w:rFonts w:ascii="微软雅黑" w:hAnsi="微软雅黑" w:eastAsia="微软雅黑" w:cs="微软雅黑"/>
      <w:sz w:val="21"/>
      <w:szCs w:val="21"/>
    </w:rPr>
  </w:style>
  <w:style w:type="character" w:customStyle="1" w:styleId="121">
    <w:name w:val="文档结构图 Char"/>
    <w:link w:val="17"/>
    <w:autoRedefine/>
    <w:qFormat/>
    <w:uiPriority w:val="0"/>
    <w:rPr>
      <w:szCs w:val="24"/>
      <w:shd w:val="clear" w:color="auto" w:fill="000080"/>
    </w:rPr>
  </w:style>
  <w:style w:type="character" w:customStyle="1" w:styleId="122">
    <w:name w:val="纯文本 Char1"/>
    <w:autoRedefine/>
    <w:qFormat/>
    <w:uiPriority w:val="0"/>
    <w:rPr>
      <w:rFonts w:ascii="宋体" w:hAnsi="Courier New" w:eastAsia="宋体"/>
      <w:kern w:val="2"/>
      <w:sz w:val="21"/>
      <w:lang w:val="en-US" w:eastAsia="zh-CN" w:bidi="ar-SA"/>
    </w:rPr>
  </w:style>
  <w:style w:type="character" w:customStyle="1" w:styleId="123">
    <w:name w:val="副标题 Char"/>
    <w:autoRedefine/>
    <w:qFormat/>
    <w:uiPriority w:val="11"/>
    <w:rPr>
      <w:rFonts w:ascii="Cambria" w:hAnsi="Cambria" w:cs="Times New Roman"/>
      <w:b/>
      <w:bCs/>
      <w:kern w:val="28"/>
      <w:sz w:val="32"/>
      <w:szCs w:val="32"/>
    </w:rPr>
  </w:style>
  <w:style w:type="character" w:customStyle="1" w:styleId="124">
    <w:name w:val="书籍标题1"/>
    <w:autoRedefine/>
    <w:qFormat/>
    <w:uiPriority w:val="33"/>
    <w:rPr>
      <w:rFonts w:ascii="Calibri Light" w:hAnsi="Calibri Light" w:eastAsia="宋体" w:cs="Times New Roman"/>
      <w:i/>
      <w:iCs/>
      <w:sz w:val="20"/>
      <w:szCs w:val="20"/>
    </w:rPr>
  </w:style>
  <w:style w:type="character" w:customStyle="1" w:styleId="125">
    <w:name w:val="列出段落 Char"/>
    <w:link w:val="70"/>
    <w:autoRedefine/>
    <w:qFormat/>
    <w:uiPriority w:val="34"/>
  </w:style>
  <w:style w:type="character" w:customStyle="1" w:styleId="126">
    <w:name w:val="纯文本 Char"/>
    <w:link w:val="27"/>
    <w:autoRedefine/>
    <w:qFormat/>
    <w:uiPriority w:val="0"/>
    <w:rPr>
      <w:rFonts w:ascii="宋体" w:hAnsi="Courier New" w:eastAsia="宋体" w:cs="Courier New"/>
      <w:szCs w:val="21"/>
    </w:rPr>
  </w:style>
  <w:style w:type="character" w:customStyle="1" w:styleId="127">
    <w:name w:val="五级标题 Char"/>
    <w:link w:val="128"/>
    <w:autoRedefine/>
    <w:qFormat/>
    <w:uiPriority w:val="0"/>
    <w:rPr>
      <w:rFonts w:eastAsia="黑体"/>
      <w:b/>
      <w:sz w:val="28"/>
    </w:rPr>
  </w:style>
  <w:style w:type="paragraph" w:customStyle="1" w:styleId="128">
    <w:name w:val="五级标题"/>
    <w:basedOn w:val="1"/>
    <w:link w:val="127"/>
    <w:autoRedefine/>
    <w:qFormat/>
    <w:uiPriority w:val="0"/>
    <w:pPr>
      <w:spacing w:line="360" w:lineRule="auto"/>
      <w:ind w:left="1275" w:hanging="750"/>
      <w:outlineLvl w:val="4"/>
    </w:pPr>
    <w:rPr>
      <w:rFonts w:eastAsia="黑体"/>
      <w:b/>
      <w:sz w:val="28"/>
    </w:rPr>
  </w:style>
  <w:style w:type="character" w:customStyle="1" w:styleId="129">
    <w:name w:val="标题 2 字符"/>
    <w:autoRedefine/>
    <w:qFormat/>
    <w:uiPriority w:val="0"/>
    <w:rPr>
      <w:rFonts w:ascii="Arial" w:hAnsi="Arial" w:eastAsia="黑体"/>
      <w:b/>
      <w:bCs/>
      <w:kern w:val="2"/>
      <w:sz w:val="32"/>
      <w:szCs w:val="32"/>
      <w:lang w:val="en-US" w:eastAsia="zh-CN" w:bidi="ar-SA"/>
    </w:rPr>
  </w:style>
  <w:style w:type="character" w:customStyle="1" w:styleId="130">
    <w:name w:val="明显强调1"/>
    <w:autoRedefine/>
    <w:qFormat/>
    <w:uiPriority w:val="21"/>
    <w:rPr>
      <w:b/>
      <w:bCs/>
      <w:i/>
      <w:iCs/>
      <w:color w:val="70AD47"/>
      <w:spacing w:val="10"/>
    </w:rPr>
  </w:style>
  <w:style w:type="character" w:customStyle="1" w:styleId="131">
    <w:name w:val="Char Char15"/>
    <w:autoRedefine/>
    <w:qFormat/>
    <w:uiPriority w:val="0"/>
    <w:rPr>
      <w:rFonts w:ascii="Cambria" w:hAnsi="Cambria" w:eastAsia="宋体" w:cs="Times New Roman"/>
      <w:sz w:val="24"/>
      <w:szCs w:val="24"/>
    </w:rPr>
  </w:style>
  <w:style w:type="character" w:customStyle="1" w:styleId="132">
    <w:name w:val="普通文字 Char Char2"/>
    <w:autoRedefine/>
    <w:qFormat/>
    <w:uiPriority w:val="0"/>
    <w:rPr>
      <w:rFonts w:ascii="宋体" w:hAnsi="Courier New" w:eastAsia="宋体"/>
      <w:kern w:val="2"/>
      <w:sz w:val="21"/>
      <w:lang w:val="en-US" w:eastAsia="zh-CN" w:bidi="ar-SA"/>
    </w:rPr>
  </w:style>
  <w:style w:type="character" w:customStyle="1" w:styleId="133">
    <w:name w:val="Char Char16"/>
    <w:autoRedefine/>
    <w:qFormat/>
    <w:uiPriority w:val="0"/>
    <w:rPr>
      <w:rFonts w:ascii="Calibri" w:hAnsi="Calibri" w:eastAsia="宋体" w:cs="Times New Roman"/>
      <w:b/>
      <w:bCs/>
      <w:sz w:val="24"/>
      <w:szCs w:val="24"/>
    </w:rPr>
  </w:style>
  <w:style w:type="character" w:customStyle="1" w:styleId="134">
    <w:name w:val="正文文本缩进字符"/>
    <w:autoRedefine/>
    <w:qFormat/>
    <w:locked/>
    <w:uiPriority w:val="0"/>
    <w:rPr>
      <w:rFonts w:ascii="宋体" w:hAnsi="Courier New"/>
      <w:spacing w:val="-4"/>
      <w:kern w:val="2"/>
      <w:sz w:val="18"/>
    </w:rPr>
  </w:style>
  <w:style w:type="character" w:customStyle="1" w:styleId="135">
    <w:name w:val="正文文本缩进 字符"/>
    <w:autoRedefine/>
    <w:qFormat/>
    <w:locked/>
    <w:uiPriority w:val="0"/>
    <w:rPr>
      <w:rFonts w:ascii="宋体" w:hAnsi="Courier New" w:eastAsia="宋体"/>
      <w:spacing w:val="-4"/>
      <w:kern w:val="2"/>
      <w:sz w:val="18"/>
      <w:lang w:val="en-US" w:eastAsia="zh-CN" w:bidi="ar-SA"/>
    </w:rPr>
  </w:style>
  <w:style w:type="character" w:customStyle="1" w:styleId="136">
    <w:name w:val="正文文本 3 Char"/>
    <w:link w:val="19"/>
    <w:autoRedefine/>
    <w:qFormat/>
    <w:uiPriority w:val="99"/>
    <w:rPr>
      <w:rFonts w:eastAsia="宋体"/>
      <w:b/>
      <w:bCs/>
      <w:sz w:val="24"/>
      <w:szCs w:val="24"/>
    </w:rPr>
  </w:style>
  <w:style w:type="character" w:customStyle="1" w:styleId="137">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38">
    <w:name w:val="标题 1 字符"/>
    <w:autoRedefine/>
    <w:qFormat/>
    <w:uiPriority w:val="0"/>
    <w:rPr>
      <w:rFonts w:eastAsia="宋体"/>
      <w:b/>
      <w:bCs/>
      <w:kern w:val="44"/>
      <w:sz w:val="44"/>
      <w:szCs w:val="44"/>
      <w:lang w:val="en-US" w:eastAsia="zh-CN" w:bidi="ar-SA"/>
    </w:rPr>
  </w:style>
  <w:style w:type="character" w:customStyle="1" w:styleId="139">
    <w:name w:val="标题 6 字符"/>
    <w:autoRedefine/>
    <w:semiHidden/>
    <w:qFormat/>
    <w:uiPriority w:val="9"/>
    <w:rPr>
      <w:rFonts w:ascii="Calibri" w:hAnsi="Calibri"/>
      <w:smallCaps/>
      <w:color w:val="70AD47"/>
      <w:spacing w:val="5"/>
      <w:sz w:val="22"/>
      <w:szCs w:val="22"/>
    </w:rPr>
  </w:style>
  <w:style w:type="character" w:customStyle="1" w:styleId="140">
    <w:name w:val="页脚 字符"/>
    <w:autoRedefine/>
    <w:qFormat/>
    <w:uiPriority w:val="99"/>
    <w:rPr>
      <w:kern w:val="2"/>
      <w:sz w:val="18"/>
      <w:szCs w:val="18"/>
    </w:rPr>
  </w:style>
  <w:style w:type="character" w:customStyle="1" w:styleId="141">
    <w:name w:val="cfdate"/>
    <w:autoRedefine/>
    <w:qFormat/>
    <w:uiPriority w:val="0"/>
    <w:rPr>
      <w:color w:val="333333"/>
      <w:sz w:val="18"/>
      <w:szCs w:val="18"/>
    </w:rPr>
  </w:style>
  <w:style w:type="character" w:customStyle="1" w:styleId="142">
    <w:name w:val="引用 Char"/>
    <w:autoRedefine/>
    <w:qFormat/>
    <w:uiPriority w:val="99"/>
    <w:rPr>
      <w:i/>
      <w:iCs/>
      <w:color w:val="000000"/>
      <w:kern w:val="2"/>
      <w:sz w:val="21"/>
      <w:szCs w:val="24"/>
    </w:rPr>
  </w:style>
  <w:style w:type="character" w:customStyle="1" w:styleId="143">
    <w:name w:val="批注主题 Char"/>
    <w:link w:val="50"/>
    <w:autoRedefine/>
    <w:qFormat/>
    <w:uiPriority w:val="0"/>
    <w:rPr>
      <w:b/>
      <w:bCs/>
      <w:szCs w:val="24"/>
    </w:rPr>
  </w:style>
  <w:style w:type="character" w:customStyle="1" w:styleId="144">
    <w:name w:val="正文文本 2 Char"/>
    <w:link w:val="46"/>
    <w:autoRedefine/>
    <w:qFormat/>
    <w:uiPriority w:val="0"/>
    <w:rPr>
      <w:rFonts w:eastAsia="宋体"/>
      <w:szCs w:val="24"/>
    </w:rPr>
  </w:style>
  <w:style w:type="character" w:customStyle="1" w:styleId="145">
    <w:name w:val="Char Char13"/>
    <w:autoRedefine/>
    <w:qFormat/>
    <w:uiPriority w:val="0"/>
    <w:rPr>
      <w:rFonts w:ascii="Times New Roman" w:hAnsi="Times New Roman" w:eastAsia="宋体" w:cs="Times New Roman"/>
      <w:kern w:val="2"/>
      <w:sz w:val="18"/>
      <w:szCs w:val="18"/>
    </w:rPr>
  </w:style>
  <w:style w:type="character" w:customStyle="1" w:styleId="146">
    <w:name w:val="redfilenumber"/>
    <w:autoRedefine/>
    <w:qFormat/>
    <w:uiPriority w:val="0"/>
    <w:rPr>
      <w:color w:val="BA2636"/>
      <w:sz w:val="18"/>
      <w:szCs w:val="18"/>
    </w:rPr>
  </w:style>
  <w:style w:type="character" w:customStyle="1" w:styleId="147">
    <w:name w:val="Char Char41"/>
    <w:autoRedefine/>
    <w:qFormat/>
    <w:locked/>
    <w:uiPriority w:val="0"/>
    <w:rPr>
      <w:rFonts w:hint="default" w:ascii="Calibri" w:hAnsi="Calibri" w:eastAsia="宋体"/>
      <w:sz w:val="18"/>
      <w:szCs w:val="18"/>
      <w:lang w:bidi="ar-SA"/>
    </w:rPr>
  </w:style>
  <w:style w:type="character" w:customStyle="1" w:styleId="148">
    <w:name w:val="gjfg"/>
    <w:autoRedefine/>
    <w:qFormat/>
    <w:uiPriority w:val="0"/>
  </w:style>
  <w:style w:type="character" w:customStyle="1" w:styleId="149">
    <w:name w:val="纯文本字符"/>
    <w:autoRedefine/>
    <w:qFormat/>
    <w:uiPriority w:val="0"/>
    <w:rPr>
      <w:rFonts w:ascii="宋体" w:hAnsi="Courier New" w:eastAsia="宋体"/>
      <w:kern w:val="2"/>
      <w:sz w:val="21"/>
      <w:lang w:val="en-US" w:eastAsia="zh-CN" w:bidi="ar-SA"/>
    </w:rPr>
  </w:style>
  <w:style w:type="character" w:customStyle="1" w:styleId="150">
    <w:name w:val="displayarti"/>
    <w:autoRedefine/>
    <w:qFormat/>
    <w:uiPriority w:val="0"/>
    <w:rPr>
      <w:color w:val="FFFFFF"/>
      <w:shd w:val="clear" w:color="auto" w:fill="A00000"/>
    </w:rPr>
  </w:style>
  <w:style w:type="character" w:customStyle="1" w:styleId="151">
    <w:name w:val="font21"/>
    <w:autoRedefine/>
    <w:qFormat/>
    <w:uiPriority w:val="0"/>
    <w:rPr>
      <w:rFonts w:hint="eastAsia" w:ascii="宋体" w:hAnsi="宋体" w:eastAsia="宋体" w:cs="宋体"/>
      <w:color w:val="000000"/>
      <w:sz w:val="21"/>
      <w:szCs w:val="21"/>
      <w:u w:val="none"/>
    </w:rPr>
  </w:style>
  <w:style w:type="character" w:customStyle="1" w:styleId="152">
    <w:name w:val="next1"/>
    <w:autoRedefine/>
    <w:qFormat/>
    <w:uiPriority w:val="0"/>
    <w:rPr>
      <w:color w:val="888888"/>
    </w:rPr>
  </w:style>
  <w:style w:type="character" w:customStyle="1" w:styleId="153">
    <w:name w:val="明显参考1"/>
    <w:autoRedefine/>
    <w:qFormat/>
    <w:uiPriority w:val="32"/>
    <w:rPr>
      <w:b/>
      <w:bCs/>
      <w:smallCaps/>
      <w:spacing w:val="5"/>
      <w:sz w:val="22"/>
      <w:szCs w:val="22"/>
      <w:u w:val="single"/>
    </w:rPr>
  </w:style>
  <w:style w:type="character" w:customStyle="1" w:styleId="154">
    <w:name w:val="font61"/>
    <w:autoRedefine/>
    <w:qFormat/>
    <w:uiPriority w:val="0"/>
    <w:rPr>
      <w:rFonts w:hint="eastAsia" w:ascii="宋体" w:hAnsi="宋体" w:eastAsia="宋体" w:cs="宋体"/>
      <w:color w:val="0C0C0C"/>
      <w:sz w:val="18"/>
      <w:szCs w:val="18"/>
      <w:u w:val="none"/>
    </w:rPr>
  </w:style>
  <w:style w:type="character" w:customStyle="1" w:styleId="155">
    <w:name w:val="HTML 预设格式 Char"/>
    <w:link w:val="47"/>
    <w:autoRedefine/>
    <w:qFormat/>
    <w:uiPriority w:val="0"/>
    <w:rPr>
      <w:rFonts w:ascii="宋体" w:hAnsi="宋体" w:cs="宋体"/>
      <w:sz w:val="24"/>
      <w:szCs w:val="24"/>
    </w:rPr>
  </w:style>
  <w:style w:type="character" w:customStyle="1" w:styleId="156">
    <w:name w:val="qxdate"/>
    <w:autoRedefine/>
    <w:qFormat/>
    <w:uiPriority w:val="0"/>
    <w:rPr>
      <w:color w:val="333333"/>
      <w:sz w:val="18"/>
      <w:szCs w:val="18"/>
    </w:rPr>
  </w:style>
  <w:style w:type="character" w:customStyle="1" w:styleId="157">
    <w:name w:val="prev"/>
    <w:autoRedefine/>
    <w:qFormat/>
    <w:uiPriority w:val="0"/>
    <w:rPr>
      <w:rFonts w:hint="eastAsia" w:ascii="微软雅黑" w:hAnsi="微软雅黑" w:eastAsia="微软雅黑" w:cs="微软雅黑"/>
      <w:sz w:val="21"/>
      <w:szCs w:val="21"/>
    </w:rPr>
  </w:style>
  <w:style w:type="character" w:customStyle="1" w:styleId="158">
    <w:name w:val="fontstrikethrough"/>
    <w:autoRedefine/>
    <w:qFormat/>
    <w:uiPriority w:val="0"/>
    <w:rPr>
      <w:strike/>
    </w:rPr>
  </w:style>
  <w:style w:type="character" w:customStyle="1" w:styleId="159">
    <w:name w:val="redfilefwwh"/>
    <w:autoRedefine/>
    <w:qFormat/>
    <w:uiPriority w:val="0"/>
    <w:rPr>
      <w:color w:val="BA2636"/>
      <w:sz w:val="18"/>
      <w:szCs w:val="18"/>
    </w:rPr>
  </w:style>
  <w:style w:type="character" w:customStyle="1" w:styleId="160">
    <w:name w:val="Char Char171"/>
    <w:autoRedefine/>
    <w:qFormat/>
    <w:uiPriority w:val="0"/>
    <w:rPr>
      <w:rFonts w:ascii="Calibri" w:hAnsi="Calibri" w:eastAsia="宋体" w:cs="Times New Roman"/>
      <w:b/>
      <w:bCs/>
      <w:kern w:val="2"/>
      <w:sz w:val="32"/>
      <w:szCs w:val="32"/>
      <w:lang w:val="en-US" w:eastAsia="zh-CN" w:bidi="ar-SA"/>
    </w:rPr>
  </w:style>
  <w:style w:type="character" w:customStyle="1" w:styleId="161">
    <w:name w:val="prev1"/>
    <w:autoRedefine/>
    <w:qFormat/>
    <w:uiPriority w:val="0"/>
    <w:rPr>
      <w:color w:val="888888"/>
    </w:rPr>
  </w:style>
  <w:style w:type="character" w:customStyle="1" w:styleId="162">
    <w:name w:val="正文首行缩进 Char1"/>
    <w:link w:val="51"/>
    <w:autoRedefine/>
    <w:qFormat/>
    <w:uiPriority w:val="0"/>
    <w:rPr>
      <w:rFonts w:ascii="宋体" w:hAnsi="Courier New" w:eastAsia="宋体" w:cs="Courier New"/>
      <w:szCs w:val="21"/>
    </w:rPr>
  </w:style>
  <w:style w:type="character" w:customStyle="1" w:styleId="163">
    <w:name w:val="正文2 Char Char"/>
    <w:link w:val="164"/>
    <w:autoRedefine/>
    <w:qFormat/>
    <w:uiPriority w:val="0"/>
    <w:rPr>
      <w:sz w:val="24"/>
    </w:rPr>
  </w:style>
  <w:style w:type="paragraph" w:customStyle="1" w:styleId="164">
    <w:name w:val="正文2"/>
    <w:basedOn w:val="1"/>
    <w:link w:val="163"/>
    <w:autoRedefine/>
    <w:qFormat/>
    <w:uiPriority w:val="0"/>
    <w:pPr>
      <w:adjustRightInd w:val="0"/>
      <w:spacing w:before="156" w:line="360" w:lineRule="auto"/>
      <w:ind w:firstLine="510" w:firstLineChars="200"/>
    </w:pPr>
    <w:rPr>
      <w:sz w:val="24"/>
    </w:rPr>
  </w:style>
  <w:style w:type="character" w:customStyle="1" w:styleId="165">
    <w:name w:val="正文文本 Char"/>
    <w:autoRedefine/>
    <w:qFormat/>
    <w:uiPriority w:val="99"/>
    <w:rPr>
      <w:rFonts w:ascii="Times New Roman" w:hAnsi="Times New Roman"/>
      <w:kern w:val="2"/>
      <w:sz w:val="21"/>
      <w:szCs w:val="24"/>
    </w:rPr>
  </w:style>
  <w:style w:type="character" w:customStyle="1" w:styleId="166">
    <w:name w:val="正文首行缩进 2 Char"/>
    <w:link w:val="52"/>
    <w:autoRedefine/>
    <w:qFormat/>
    <w:uiPriority w:val="99"/>
    <w:rPr>
      <w:rFonts w:ascii="仿宋_GB2312" w:hAnsi="Courier New" w:eastAsia="仿宋_GB2312" w:cs="Times New Roman"/>
      <w:spacing w:val="-4"/>
      <w:szCs w:val="24"/>
    </w:rPr>
  </w:style>
  <w:style w:type="character" w:customStyle="1" w:styleId="167">
    <w:name w:val="标题 8 字符"/>
    <w:autoRedefine/>
    <w:semiHidden/>
    <w:qFormat/>
    <w:uiPriority w:val="9"/>
    <w:rPr>
      <w:rFonts w:ascii="Calibri" w:hAnsi="Calibri"/>
      <w:b/>
      <w:bCs/>
      <w:i/>
      <w:iCs/>
      <w:smallCaps/>
      <w:color w:val="538135"/>
    </w:rPr>
  </w:style>
  <w:style w:type="character" w:customStyle="1" w:styleId="168">
    <w:name w:val="标题 2 字符2"/>
    <w:autoRedefine/>
    <w:qFormat/>
    <w:uiPriority w:val="0"/>
    <w:rPr>
      <w:rFonts w:ascii="Arial" w:hAnsi="Arial" w:eastAsia="黑体" w:cs="Times New Roman"/>
      <w:b/>
      <w:bCs/>
      <w:sz w:val="32"/>
      <w:szCs w:val="32"/>
    </w:rPr>
  </w:style>
  <w:style w:type="character" w:customStyle="1" w:styleId="169">
    <w:name w:val="正文文本缩进 Char"/>
    <w:autoRedefine/>
    <w:qFormat/>
    <w:uiPriority w:val="0"/>
    <w:rPr>
      <w:rFonts w:ascii="仿宋_GB2312" w:hAnsi="Times New Roman" w:eastAsia="仿宋_GB2312" w:cs="Times New Roman"/>
      <w:sz w:val="32"/>
      <w:szCs w:val="20"/>
    </w:rPr>
  </w:style>
  <w:style w:type="character" w:customStyle="1" w:styleId="170">
    <w:name w:val="Char Char1"/>
    <w:autoRedefine/>
    <w:qFormat/>
    <w:uiPriority w:val="0"/>
    <w:rPr>
      <w:rFonts w:ascii="宋体" w:hAnsi="Courier New" w:eastAsia="宋体"/>
      <w:kern w:val="2"/>
      <w:sz w:val="21"/>
      <w:lang w:val="en-US" w:eastAsia="zh-CN" w:bidi="ar-SA"/>
    </w:rPr>
  </w:style>
  <w:style w:type="character" w:customStyle="1" w:styleId="171">
    <w:name w:val="引用 Char1"/>
    <w:link w:val="172"/>
    <w:autoRedefine/>
    <w:qFormat/>
    <w:uiPriority w:val="29"/>
    <w:rPr>
      <w:rFonts w:ascii="Calibri" w:hAnsi="Calibri"/>
      <w:i/>
      <w:iCs/>
    </w:rPr>
  </w:style>
  <w:style w:type="paragraph" w:styleId="172">
    <w:name w:val="Quote"/>
    <w:basedOn w:val="1"/>
    <w:next w:val="1"/>
    <w:link w:val="171"/>
    <w:autoRedefine/>
    <w:qFormat/>
    <w:uiPriority w:val="29"/>
    <w:pPr>
      <w:widowControl/>
      <w:spacing w:after="200" w:line="276" w:lineRule="auto"/>
    </w:pPr>
    <w:rPr>
      <w:rFonts w:ascii="Calibri" w:hAnsi="Calibri"/>
      <w:i/>
      <w:iCs/>
    </w:rPr>
  </w:style>
  <w:style w:type="character" w:customStyle="1" w:styleId="173">
    <w:name w:val="纯文本 字符2"/>
    <w:autoRedefine/>
    <w:qFormat/>
    <w:uiPriority w:val="0"/>
    <w:rPr>
      <w:rFonts w:ascii="宋体" w:hAnsi="Courier New" w:eastAsia="宋体" w:cs="Courier New"/>
      <w:szCs w:val="21"/>
    </w:rPr>
  </w:style>
  <w:style w:type="character" w:customStyle="1" w:styleId="174">
    <w:name w:val="批注文字 Char"/>
    <w:autoRedefine/>
    <w:qFormat/>
    <w:uiPriority w:val="0"/>
    <w:rPr>
      <w:rFonts w:ascii="Times New Roman" w:hAnsi="Times New Roman"/>
      <w:kern w:val="2"/>
      <w:sz w:val="21"/>
      <w:szCs w:val="24"/>
    </w:rPr>
  </w:style>
  <w:style w:type="character" w:customStyle="1" w:styleId="175">
    <w:name w:val="正文文本_"/>
    <w:link w:val="176"/>
    <w:autoRedefine/>
    <w:qFormat/>
    <w:uiPriority w:val="0"/>
    <w:rPr>
      <w:rFonts w:ascii="MingLiU" w:hAnsi="MingLiU" w:eastAsia="MingLiU" w:cs="MingLiU"/>
      <w:spacing w:val="9"/>
      <w:sz w:val="19"/>
      <w:szCs w:val="19"/>
      <w:shd w:val="clear" w:color="auto" w:fill="FFFFFF"/>
    </w:rPr>
  </w:style>
  <w:style w:type="paragraph" w:customStyle="1" w:styleId="176">
    <w:name w:val="正文文本1"/>
    <w:basedOn w:val="1"/>
    <w:link w:val="175"/>
    <w:autoRedefine/>
    <w:qFormat/>
    <w:uiPriority w:val="0"/>
    <w:pPr>
      <w:shd w:val="clear" w:color="auto" w:fill="FFFFFF"/>
      <w:spacing w:line="302" w:lineRule="exact"/>
      <w:ind w:firstLine="460"/>
      <w:jc w:val="left"/>
    </w:pPr>
    <w:rPr>
      <w:rFonts w:ascii="MingLiU" w:hAnsi="MingLiU" w:eastAsia="MingLiU" w:cs="MingLiU"/>
      <w:spacing w:val="9"/>
      <w:sz w:val="19"/>
      <w:szCs w:val="19"/>
    </w:rPr>
  </w:style>
  <w:style w:type="character" w:customStyle="1" w:styleId="177">
    <w:name w:val="无缩进 Char"/>
    <w:autoRedefine/>
    <w:qFormat/>
    <w:uiPriority w:val="0"/>
    <w:rPr>
      <w:rFonts w:ascii="Times New Roman" w:hAnsi="Times New Roman" w:eastAsia="宋体" w:cs="Times New Roman"/>
      <w:kern w:val="2"/>
      <w:sz w:val="21"/>
      <w:szCs w:val="20"/>
    </w:rPr>
  </w:style>
  <w:style w:type="character" w:customStyle="1" w:styleId="178">
    <w:name w:val="正文文本 + 10 pt"/>
    <w:autoRedefine/>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179">
    <w:name w:val="正文文本缩进 2 Char"/>
    <w:autoRedefine/>
    <w:qFormat/>
    <w:uiPriority w:val="0"/>
    <w:rPr>
      <w:rFonts w:eastAsia="宋体"/>
      <w:kern w:val="2"/>
      <w:sz w:val="21"/>
      <w:szCs w:val="24"/>
      <w:lang w:val="en-US" w:eastAsia="zh-CN" w:bidi="ar-SA"/>
    </w:rPr>
  </w:style>
  <w:style w:type="character" w:customStyle="1" w:styleId="180">
    <w:name w:val="short_text"/>
    <w:autoRedefine/>
    <w:qFormat/>
    <w:uiPriority w:val="0"/>
    <w:rPr>
      <w:rFonts w:eastAsia="宋体"/>
      <w:kern w:val="2"/>
      <w:sz w:val="24"/>
      <w:szCs w:val="24"/>
      <w:lang w:val="en-US" w:eastAsia="zh-CN" w:bidi="ar-SA"/>
    </w:rPr>
  </w:style>
  <w:style w:type="character" w:customStyle="1" w:styleId="181">
    <w:name w:val="正文小标题 Char Char"/>
    <w:autoRedefine/>
    <w:qFormat/>
    <w:uiPriority w:val="0"/>
    <w:rPr>
      <w:rFonts w:ascii="仿宋_GB2312" w:hAnsi="Times New Roman" w:eastAsia="仿宋_GB2312" w:cs="Times New Roman"/>
      <w:kern w:val="2"/>
      <w:sz w:val="32"/>
      <w:szCs w:val="20"/>
    </w:rPr>
  </w:style>
  <w:style w:type="character" w:customStyle="1" w:styleId="182">
    <w:name w:val="Char Char18"/>
    <w:autoRedefine/>
    <w:qFormat/>
    <w:uiPriority w:val="0"/>
    <w:rPr>
      <w:rFonts w:ascii="Calibri" w:hAnsi="Calibri" w:eastAsia="宋体" w:cs="Times New Roman"/>
      <w:b/>
      <w:bCs/>
      <w:sz w:val="28"/>
      <w:szCs w:val="28"/>
    </w:rPr>
  </w:style>
  <w:style w:type="character" w:customStyle="1" w:styleId="183">
    <w:name w:val="2nd level Char"/>
    <w:autoRedefine/>
    <w:qFormat/>
    <w:uiPriority w:val="0"/>
    <w:rPr>
      <w:rFonts w:ascii="Arial" w:hAnsi="Arial" w:eastAsia="黑体" w:cs="Times New Roman"/>
      <w:b/>
      <w:bCs/>
      <w:kern w:val="2"/>
      <w:sz w:val="32"/>
      <w:szCs w:val="32"/>
    </w:rPr>
  </w:style>
  <w:style w:type="character" w:customStyle="1" w:styleId="184">
    <w:name w:val="ca-12"/>
    <w:autoRedefine/>
    <w:qFormat/>
    <w:uiPriority w:val="0"/>
    <w:rPr>
      <w:rFonts w:eastAsia="宋体" w:cs="Times New Roman"/>
      <w:kern w:val="2"/>
      <w:sz w:val="24"/>
      <w:szCs w:val="24"/>
      <w:lang w:val="en-US" w:eastAsia="zh-CN" w:bidi="ar-SA"/>
    </w:rPr>
  </w:style>
  <w:style w:type="character" w:customStyle="1" w:styleId="185">
    <w:name w:val="正文首行缩进 Char"/>
    <w:autoRedefine/>
    <w:qFormat/>
    <w:uiPriority w:val="0"/>
    <w:rPr>
      <w:rFonts w:ascii="宋体" w:hAnsi="Courier New" w:eastAsia="宋体" w:cs="Courier New"/>
      <w:szCs w:val="21"/>
    </w:rPr>
  </w:style>
  <w:style w:type="character" w:customStyle="1" w:styleId="186">
    <w:name w:val="apple-converted-space"/>
    <w:basedOn w:val="55"/>
    <w:autoRedefine/>
    <w:qFormat/>
    <w:uiPriority w:val="0"/>
  </w:style>
  <w:style w:type="character" w:customStyle="1" w:styleId="187">
    <w:name w:val="正文文本 字符"/>
    <w:autoRedefine/>
    <w:qFormat/>
    <w:uiPriority w:val="99"/>
    <w:rPr>
      <w:kern w:val="2"/>
      <w:sz w:val="21"/>
      <w:szCs w:val="24"/>
    </w:rPr>
  </w:style>
  <w:style w:type="character" w:customStyle="1" w:styleId="188">
    <w:name w:val="明显引用 Char"/>
    <w:autoRedefine/>
    <w:qFormat/>
    <w:uiPriority w:val="99"/>
    <w:rPr>
      <w:b/>
      <w:bCs/>
      <w:i/>
      <w:iCs/>
      <w:color w:val="4F81BD"/>
      <w:kern w:val="2"/>
      <w:sz w:val="21"/>
      <w:szCs w:val="24"/>
    </w:rPr>
  </w:style>
  <w:style w:type="character" w:customStyle="1" w:styleId="189">
    <w:name w:val="标题-3 Char"/>
    <w:link w:val="190"/>
    <w:autoRedefine/>
    <w:qFormat/>
    <w:uiPriority w:val="0"/>
    <w:rPr>
      <w:rFonts w:ascii="宋体" w:hAnsi="宋体" w:eastAsia="宋体"/>
      <w:b/>
      <w:sz w:val="24"/>
      <w:szCs w:val="24"/>
    </w:rPr>
  </w:style>
  <w:style w:type="paragraph" w:customStyle="1" w:styleId="190">
    <w:name w:val="标题-3"/>
    <w:basedOn w:val="1"/>
    <w:link w:val="189"/>
    <w:autoRedefine/>
    <w:qFormat/>
    <w:uiPriority w:val="0"/>
    <w:pPr>
      <w:spacing w:beforeLines="50" w:afterLines="50"/>
      <w:outlineLvl w:val="2"/>
    </w:pPr>
    <w:rPr>
      <w:rFonts w:ascii="宋体" w:hAnsi="宋体" w:eastAsia="宋体"/>
      <w:b/>
      <w:sz w:val="24"/>
      <w:szCs w:val="24"/>
    </w:rPr>
  </w:style>
  <w:style w:type="character" w:customStyle="1" w:styleId="191">
    <w:name w:val="标题 1 Char Char"/>
    <w:autoRedefine/>
    <w:qFormat/>
    <w:uiPriority w:val="0"/>
    <w:rPr>
      <w:rFonts w:hint="eastAsia" w:ascii="宋体" w:hAnsi="宋体" w:eastAsia="宋体"/>
      <w:b/>
      <w:spacing w:val="-2"/>
      <w:sz w:val="24"/>
      <w:lang w:val="en-US" w:eastAsia="zh-CN" w:bidi="ar-SA"/>
    </w:rPr>
  </w:style>
  <w:style w:type="character" w:customStyle="1" w:styleId="192">
    <w:name w:val="15"/>
    <w:autoRedefine/>
    <w:qFormat/>
    <w:uiPriority w:val="0"/>
  </w:style>
  <w:style w:type="character" w:customStyle="1" w:styleId="193">
    <w:name w:val="Char Char11"/>
    <w:autoRedefine/>
    <w:qFormat/>
    <w:uiPriority w:val="0"/>
    <w:rPr>
      <w:rFonts w:ascii="Times New Roman" w:hAnsi="Times New Roman" w:eastAsia="宋体" w:cs="Times New Roman"/>
      <w:kern w:val="2"/>
      <w:sz w:val="21"/>
      <w:szCs w:val="20"/>
    </w:rPr>
  </w:style>
  <w:style w:type="character" w:customStyle="1" w:styleId="194">
    <w:name w:val="批注文字 字符1"/>
    <w:autoRedefine/>
    <w:qFormat/>
    <w:uiPriority w:val="0"/>
    <w:rPr>
      <w:rFonts w:ascii="Times New Roman" w:hAnsi="Times New Roman"/>
      <w:kern w:val="2"/>
      <w:sz w:val="21"/>
      <w:szCs w:val="24"/>
    </w:rPr>
  </w:style>
  <w:style w:type="character" w:customStyle="1" w:styleId="195">
    <w:name w:val="纯文本 Char_0"/>
    <w:link w:val="196"/>
    <w:autoRedefine/>
    <w:qFormat/>
    <w:uiPriority w:val="0"/>
    <w:rPr>
      <w:rFonts w:ascii="宋体" w:hAnsi="Courier New"/>
      <w:szCs w:val="21"/>
      <w:lang w:val="en-US" w:eastAsia="zh-CN"/>
    </w:rPr>
  </w:style>
  <w:style w:type="paragraph" w:customStyle="1" w:styleId="196">
    <w:name w:val="纯文本_0_0"/>
    <w:basedOn w:val="1"/>
    <w:link w:val="195"/>
    <w:autoRedefine/>
    <w:qFormat/>
    <w:uiPriority w:val="0"/>
    <w:rPr>
      <w:rFonts w:ascii="宋体" w:hAnsi="Courier New"/>
      <w:szCs w:val="21"/>
    </w:rPr>
  </w:style>
  <w:style w:type="character" w:customStyle="1" w:styleId="197">
    <w:name w:val="文档结构图 字符"/>
    <w:autoRedefine/>
    <w:qFormat/>
    <w:uiPriority w:val="0"/>
    <w:rPr>
      <w:rFonts w:ascii="宋体"/>
      <w:kern w:val="2"/>
      <w:sz w:val="18"/>
      <w:szCs w:val="18"/>
    </w:rPr>
  </w:style>
  <w:style w:type="character" w:customStyle="1" w:styleId="198">
    <w:name w:val="正文文本 3 字符"/>
    <w:autoRedefine/>
    <w:qFormat/>
    <w:uiPriority w:val="99"/>
    <w:rPr>
      <w:kern w:val="2"/>
      <w:sz w:val="16"/>
      <w:szCs w:val="16"/>
    </w:rPr>
  </w:style>
  <w:style w:type="character" w:customStyle="1" w:styleId="199">
    <w:name w:val="日期 字符"/>
    <w:autoRedefine/>
    <w:qFormat/>
    <w:uiPriority w:val="0"/>
    <w:rPr>
      <w:kern w:val="2"/>
      <w:sz w:val="21"/>
      <w:szCs w:val="24"/>
    </w:rPr>
  </w:style>
  <w:style w:type="character" w:customStyle="1" w:styleId="200">
    <w:name w:val="正文文本缩进 2 字符"/>
    <w:autoRedefine/>
    <w:qFormat/>
    <w:uiPriority w:val="0"/>
    <w:rPr>
      <w:kern w:val="2"/>
      <w:sz w:val="21"/>
      <w:szCs w:val="24"/>
    </w:rPr>
  </w:style>
  <w:style w:type="character" w:customStyle="1" w:styleId="201">
    <w:name w:val="批注框文本 字符"/>
    <w:autoRedefine/>
    <w:qFormat/>
    <w:uiPriority w:val="0"/>
    <w:rPr>
      <w:kern w:val="2"/>
      <w:sz w:val="18"/>
      <w:szCs w:val="18"/>
    </w:rPr>
  </w:style>
  <w:style w:type="character" w:customStyle="1" w:styleId="202">
    <w:name w:val="页脚 字符1"/>
    <w:autoRedefine/>
    <w:qFormat/>
    <w:uiPriority w:val="99"/>
    <w:rPr>
      <w:kern w:val="2"/>
      <w:sz w:val="18"/>
      <w:szCs w:val="18"/>
    </w:rPr>
  </w:style>
  <w:style w:type="character" w:customStyle="1" w:styleId="203">
    <w:name w:val="页眉 字符1"/>
    <w:autoRedefine/>
    <w:qFormat/>
    <w:uiPriority w:val="99"/>
    <w:rPr>
      <w:kern w:val="2"/>
      <w:sz w:val="18"/>
      <w:szCs w:val="18"/>
    </w:rPr>
  </w:style>
  <w:style w:type="character" w:customStyle="1" w:styleId="204">
    <w:name w:val="批注主题 字符"/>
    <w:autoRedefine/>
    <w:qFormat/>
    <w:uiPriority w:val="99"/>
    <w:rPr>
      <w:b/>
      <w:bCs/>
      <w:kern w:val="2"/>
      <w:sz w:val="21"/>
      <w:szCs w:val="24"/>
    </w:rPr>
  </w:style>
  <w:style w:type="paragraph" w:customStyle="1" w:styleId="205">
    <w:name w:val="正文段"/>
    <w:basedOn w:val="1"/>
    <w:autoRedefine/>
    <w:qFormat/>
    <w:uiPriority w:val="0"/>
    <w:pPr>
      <w:widowControl/>
      <w:snapToGrid w:val="0"/>
      <w:spacing w:after="50" w:afterLines="50"/>
      <w:ind w:firstLine="200" w:firstLineChars="200"/>
    </w:pPr>
    <w:rPr>
      <w:rFonts w:ascii="Times New Roman" w:hAnsi="Times New Roman" w:eastAsia="宋体" w:cs="Times New Roman"/>
      <w:kern w:val="0"/>
      <w:sz w:val="24"/>
      <w:szCs w:val="20"/>
    </w:rPr>
  </w:style>
  <w:style w:type="paragraph" w:customStyle="1" w:styleId="206">
    <w:name w:val="Char Char Char1"/>
    <w:basedOn w:val="1"/>
    <w:autoRedefine/>
    <w:qFormat/>
    <w:uiPriority w:val="0"/>
    <w:rPr>
      <w:rFonts w:ascii="Tahoma" w:hAnsi="Tahoma" w:eastAsia="宋体" w:cs="Times New Roman"/>
      <w:sz w:val="24"/>
      <w:szCs w:val="20"/>
    </w:rPr>
  </w:style>
  <w:style w:type="character" w:customStyle="1" w:styleId="207">
    <w:name w:val="正文文本缩进 Char1"/>
    <w:basedOn w:val="55"/>
    <w:link w:val="21"/>
    <w:autoRedefine/>
    <w:semiHidden/>
    <w:qFormat/>
    <w:uiPriority w:val="99"/>
  </w:style>
  <w:style w:type="character" w:customStyle="1" w:styleId="208">
    <w:name w:val="正文首行缩进 2 Char1"/>
    <w:basedOn w:val="207"/>
    <w:autoRedefine/>
    <w:semiHidden/>
    <w:qFormat/>
    <w:uiPriority w:val="99"/>
  </w:style>
  <w:style w:type="paragraph" w:customStyle="1" w:styleId="209">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10">
    <w:name w:val="HTML 预设格式 Char1"/>
    <w:basedOn w:val="55"/>
    <w:autoRedefine/>
    <w:semiHidden/>
    <w:qFormat/>
    <w:uiPriority w:val="99"/>
    <w:rPr>
      <w:rFonts w:ascii="Courier New" w:hAnsi="Courier New" w:cs="Courier New"/>
      <w:sz w:val="20"/>
      <w:szCs w:val="20"/>
    </w:rPr>
  </w:style>
  <w:style w:type="paragraph" w:customStyle="1" w:styleId="211">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212">
    <w:name w:val="样式 标题 1 + 居中 段前: 0 磅 段后: 0 磅 行距: 固定值 30 磅"/>
    <w:basedOn w:val="2"/>
    <w:autoRedefine/>
    <w:qFormat/>
    <w:uiPriority w:val="0"/>
    <w:pPr>
      <w:spacing w:before="0" w:after="0" w:line="600" w:lineRule="exact"/>
      <w:jc w:val="center"/>
    </w:pPr>
    <w:rPr>
      <w:rFonts w:ascii="Calibri" w:hAnsi="Calibri" w:cs="宋体"/>
      <w:szCs w:val="20"/>
    </w:rPr>
  </w:style>
  <w:style w:type="paragraph" w:customStyle="1" w:styleId="213">
    <w:name w:val="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214">
    <w:name w:val="标题 Char1"/>
    <w:basedOn w:val="55"/>
    <w:autoRedefine/>
    <w:qFormat/>
    <w:uiPriority w:val="10"/>
    <w:rPr>
      <w:rFonts w:eastAsia="宋体" w:asciiTheme="majorHAnsi" w:hAnsiTheme="majorHAnsi" w:cstheme="majorBidi"/>
      <w:b/>
      <w:bCs/>
      <w:sz w:val="32"/>
      <w:szCs w:val="32"/>
    </w:rPr>
  </w:style>
  <w:style w:type="paragraph" w:customStyle="1" w:styleId="215">
    <w:name w:val="Copyright"/>
    <w:basedOn w:val="1"/>
    <w:autoRedefine/>
    <w:qFormat/>
    <w:uiPriority w:val="0"/>
    <w:pPr>
      <w:widowControl/>
      <w:spacing w:before="480" w:after="60"/>
      <w:jc w:val="center"/>
    </w:pPr>
    <w:rPr>
      <w:rFonts w:ascii="Trebuchet MS" w:hAnsi="Trebuchet MS" w:eastAsia="宋体" w:cs="Trebuchet MS"/>
      <w:b/>
      <w:color w:val="042D56"/>
      <w:kern w:val="0"/>
      <w:sz w:val="20"/>
      <w:szCs w:val="24"/>
      <w:lang w:val="en-AU" w:eastAsia="en-AU"/>
    </w:rPr>
  </w:style>
  <w:style w:type="paragraph" w:customStyle="1" w:styleId="216">
    <w:name w:val="默认段落字体 Para Char"/>
    <w:basedOn w:val="1"/>
    <w:autoRedefine/>
    <w:qFormat/>
    <w:uiPriority w:val="0"/>
    <w:rPr>
      <w:rFonts w:ascii="宋体" w:hAnsi="宋体" w:eastAsia="宋体" w:cs="Times New Roman"/>
      <w:b/>
      <w:sz w:val="28"/>
      <w:szCs w:val="28"/>
    </w:rPr>
  </w:style>
  <w:style w:type="character" w:customStyle="1" w:styleId="217">
    <w:name w:val="纯文本 Char2"/>
    <w:basedOn w:val="55"/>
    <w:autoRedefine/>
    <w:semiHidden/>
    <w:qFormat/>
    <w:uiPriority w:val="99"/>
    <w:rPr>
      <w:rFonts w:ascii="宋体" w:hAnsi="Courier New" w:eastAsia="宋体" w:cs="Courier New"/>
      <w:szCs w:val="21"/>
    </w:rPr>
  </w:style>
  <w:style w:type="character" w:customStyle="1" w:styleId="218">
    <w:name w:val="副标题 Char2"/>
    <w:basedOn w:val="55"/>
    <w:autoRedefine/>
    <w:qFormat/>
    <w:uiPriority w:val="11"/>
    <w:rPr>
      <w:rFonts w:eastAsia="宋体" w:asciiTheme="majorHAnsi" w:hAnsiTheme="majorHAnsi" w:cstheme="majorBidi"/>
      <w:b/>
      <w:bCs/>
      <w:kern w:val="28"/>
      <w:sz w:val="32"/>
      <w:szCs w:val="32"/>
    </w:rPr>
  </w:style>
  <w:style w:type="paragraph" w:customStyle="1" w:styleId="219">
    <w:name w:val="正文首行缩进两字符"/>
    <w:basedOn w:val="1"/>
    <w:autoRedefine/>
    <w:qFormat/>
    <w:uiPriority w:val="0"/>
    <w:pPr>
      <w:spacing w:line="360" w:lineRule="auto"/>
      <w:ind w:firstLine="200" w:firstLineChars="200"/>
    </w:pPr>
    <w:rPr>
      <w:rFonts w:ascii="Times New Roman" w:hAnsi="Times New Roman" w:eastAsia="宋体" w:cs="Times New Roman"/>
      <w:szCs w:val="24"/>
    </w:rPr>
  </w:style>
  <w:style w:type="paragraph" w:customStyle="1" w:styleId="220">
    <w:name w:val="_Style 1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表格"/>
    <w:basedOn w:val="1"/>
    <w:autoRedefine/>
    <w:qFormat/>
    <w:uiPriority w:val="0"/>
    <w:pPr>
      <w:spacing w:line="400" w:lineRule="exact"/>
    </w:pPr>
    <w:rPr>
      <w:rFonts w:ascii="Times New Roman" w:hAnsi="Times New Roman" w:eastAsia="宋体" w:cs="Times New Roman"/>
      <w:sz w:val="24"/>
      <w:szCs w:val="24"/>
    </w:rPr>
  </w:style>
  <w:style w:type="paragraph" w:customStyle="1" w:styleId="222">
    <w:name w:val="样式 首行缩进:  2 字符"/>
    <w:basedOn w:val="1"/>
    <w:autoRedefine/>
    <w:qFormat/>
    <w:uiPriority w:val="0"/>
    <w:pPr>
      <w:spacing w:line="400" w:lineRule="exact"/>
      <w:ind w:firstLine="200" w:firstLineChars="200"/>
    </w:pPr>
    <w:rPr>
      <w:rFonts w:ascii="Times New Roman" w:hAnsi="Times New Roman" w:eastAsia="宋体" w:cs="宋体"/>
      <w:sz w:val="24"/>
      <w:szCs w:val="24"/>
    </w:rPr>
  </w:style>
  <w:style w:type="paragraph" w:customStyle="1" w:styleId="223">
    <w:name w:val="Char Char Char Char Char Char Char"/>
    <w:basedOn w:val="1"/>
    <w:autoRedefine/>
    <w:qFormat/>
    <w:uiPriority w:val="0"/>
    <w:pPr>
      <w:tabs>
        <w:tab w:val="left" w:pos="425"/>
      </w:tabs>
      <w:ind w:left="425" w:hanging="425"/>
    </w:pPr>
    <w:rPr>
      <w:rFonts w:ascii="Times New Roman" w:hAnsi="Times New Roman" w:eastAsia="仿宋_GB2312" w:cs="Times New Roman"/>
      <w:kern w:val="24"/>
      <w:sz w:val="24"/>
      <w:szCs w:val="24"/>
    </w:rPr>
  </w:style>
  <w:style w:type="character" w:customStyle="1" w:styleId="224">
    <w:name w:val="正文文本 Char1"/>
    <w:basedOn w:val="55"/>
    <w:link w:val="20"/>
    <w:autoRedefine/>
    <w:semiHidden/>
    <w:qFormat/>
    <w:uiPriority w:val="99"/>
  </w:style>
  <w:style w:type="character" w:customStyle="1" w:styleId="225">
    <w:name w:val="正文首行缩进 Char2"/>
    <w:basedOn w:val="224"/>
    <w:autoRedefine/>
    <w:semiHidden/>
    <w:qFormat/>
    <w:uiPriority w:val="99"/>
  </w:style>
  <w:style w:type="paragraph" w:customStyle="1" w:styleId="226">
    <w:name w:val="图"/>
    <w:basedOn w:val="1"/>
    <w:autoRedefine/>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character" w:customStyle="1" w:styleId="227">
    <w:name w:val="脚注文本 Char"/>
    <w:basedOn w:val="55"/>
    <w:link w:val="41"/>
    <w:autoRedefine/>
    <w:qFormat/>
    <w:uiPriority w:val="0"/>
    <w:rPr>
      <w:rFonts w:ascii="Times New Roman" w:hAnsi="Times New Roman" w:eastAsia="宋体" w:cs="Times New Roman"/>
      <w:sz w:val="18"/>
      <w:szCs w:val="18"/>
    </w:rPr>
  </w:style>
  <w:style w:type="paragraph" w:customStyle="1" w:styleId="228">
    <w:name w:val="表格文字"/>
    <w:basedOn w:val="1"/>
    <w:autoRedefine/>
    <w:qFormat/>
    <w:uiPriority w:val="0"/>
    <w:pPr>
      <w:spacing w:before="25" w:after="25"/>
      <w:jc w:val="left"/>
    </w:pPr>
    <w:rPr>
      <w:rFonts w:ascii="Times New Roman" w:hAnsi="Times New Roman" w:eastAsia="宋体" w:cs="Times New Roman"/>
      <w:bCs/>
      <w:spacing w:val="10"/>
      <w:kern w:val="0"/>
      <w:sz w:val="24"/>
      <w:szCs w:val="20"/>
    </w:rPr>
  </w:style>
  <w:style w:type="paragraph" w:customStyle="1" w:styleId="229">
    <w:name w:val="题注5"/>
    <w:basedOn w:val="1"/>
    <w:next w:val="16"/>
    <w:autoRedefine/>
    <w:qFormat/>
    <w:uiPriority w:val="0"/>
    <w:pPr>
      <w:jc w:val="center"/>
    </w:pPr>
    <w:rPr>
      <w:rFonts w:ascii="Times New Roman" w:hAnsi="Times New Roman" w:eastAsia="宋体" w:cs="Times New Roman"/>
      <w:b/>
      <w:color w:val="000000"/>
      <w:sz w:val="24"/>
      <w:szCs w:val="21"/>
    </w:rPr>
  </w:style>
  <w:style w:type="character" w:customStyle="1" w:styleId="230">
    <w:name w:val="正文文本 3 Char1"/>
    <w:basedOn w:val="55"/>
    <w:autoRedefine/>
    <w:semiHidden/>
    <w:qFormat/>
    <w:uiPriority w:val="99"/>
    <w:rPr>
      <w:sz w:val="16"/>
      <w:szCs w:val="16"/>
    </w:rPr>
  </w:style>
  <w:style w:type="paragraph" w:customStyle="1" w:styleId="231">
    <w:name w:val="lemmawgt-lemmatitle-title"/>
    <w:basedOn w:val="1"/>
    <w:autoRedefine/>
    <w:qFormat/>
    <w:uiPriority w:val="0"/>
    <w:pPr>
      <w:spacing w:after="75"/>
      <w:jc w:val="left"/>
    </w:pPr>
    <w:rPr>
      <w:rFonts w:ascii="Times New Roman" w:hAnsi="Times New Roman" w:eastAsia="宋体" w:cs="Times New Roman"/>
      <w:kern w:val="0"/>
      <w:szCs w:val="24"/>
    </w:rPr>
  </w:style>
  <w:style w:type="character" w:customStyle="1" w:styleId="232">
    <w:name w:val="批注文字 Char2"/>
    <w:basedOn w:val="55"/>
    <w:link w:val="18"/>
    <w:autoRedefine/>
    <w:semiHidden/>
    <w:qFormat/>
    <w:uiPriority w:val="99"/>
  </w:style>
  <w:style w:type="character" w:customStyle="1" w:styleId="233">
    <w:name w:val="批注主题 Char1"/>
    <w:basedOn w:val="232"/>
    <w:autoRedefine/>
    <w:semiHidden/>
    <w:qFormat/>
    <w:uiPriority w:val="99"/>
    <w:rPr>
      <w:b/>
      <w:bCs/>
    </w:rPr>
  </w:style>
  <w:style w:type="paragraph" w:customStyle="1" w:styleId="234">
    <w:name w:val="正文列表"/>
    <w:basedOn w:val="1"/>
    <w:autoRedefine/>
    <w:qFormat/>
    <w:uiPriority w:val="0"/>
    <w:pPr>
      <w:autoSpaceDE w:val="0"/>
      <w:autoSpaceDN w:val="0"/>
      <w:adjustRightInd w:val="0"/>
      <w:jc w:val="center"/>
      <w:textAlignment w:val="baseline"/>
    </w:pPr>
    <w:rPr>
      <w:rFonts w:ascii="宋体" w:hAnsi="宋体" w:eastAsia="宋体" w:cs="Times New Roman"/>
      <w:kern w:val="0"/>
      <w:sz w:val="24"/>
      <w:szCs w:val="20"/>
    </w:rPr>
  </w:style>
  <w:style w:type="character" w:customStyle="1" w:styleId="235">
    <w:name w:val="批注框文本 Char1"/>
    <w:basedOn w:val="55"/>
    <w:autoRedefine/>
    <w:semiHidden/>
    <w:qFormat/>
    <w:uiPriority w:val="99"/>
    <w:rPr>
      <w:sz w:val="18"/>
      <w:szCs w:val="18"/>
    </w:rPr>
  </w:style>
  <w:style w:type="paragraph" w:customStyle="1" w:styleId="236">
    <w:name w:val="Char1"/>
    <w:basedOn w:val="1"/>
    <w:autoRedefine/>
    <w:qFormat/>
    <w:uiPriority w:val="0"/>
    <w:rPr>
      <w:rFonts w:ascii="Times New Roman" w:hAnsi="Times New Roman" w:eastAsia="宋体" w:cs="Times New Roman"/>
      <w:szCs w:val="21"/>
    </w:rPr>
  </w:style>
  <w:style w:type="paragraph" w:customStyle="1" w:styleId="237">
    <w:name w:val="Char Char Char1 Char Char Char Char Char Char Char"/>
    <w:basedOn w:val="1"/>
    <w:autoRedefine/>
    <w:qFormat/>
    <w:uiPriority w:val="0"/>
    <w:rPr>
      <w:rFonts w:ascii="Calibri" w:hAnsi="Calibri" w:eastAsia="宋体" w:cs="Times New Roman"/>
      <w:szCs w:val="24"/>
    </w:rPr>
  </w:style>
  <w:style w:type="character" w:customStyle="1" w:styleId="238">
    <w:name w:val="尾注文本 Char"/>
    <w:basedOn w:val="55"/>
    <w:link w:val="31"/>
    <w:autoRedefine/>
    <w:qFormat/>
    <w:uiPriority w:val="0"/>
    <w:rPr>
      <w:rFonts w:ascii="Times New Roman" w:hAnsi="Times New Roman" w:eastAsia="宋体" w:cs="Times New Roman"/>
      <w:szCs w:val="24"/>
    </w:rPr>
  </w:style>
  <w:style w:type="character" w:customStyle="1" w:styleId="239">
    <w:name w:val="正文文本 2 Char1"/>
    <w:basedOn w:val="55"/>
    <w:autoRedefine/>
    <w:semiHidden/>
    <w:qFormat/>
    <w:uiPriority w:val="99"/>
  </w:style>
  <w:style w:type="paragraph" w:customStyle="1" w:styleId="240">
    <w:name w:val="招标文件样式2"/>
    <w:basedOn w:val="1"/>
    <w:autoRedefine/>
    <w:qFormat/>
    <w:uiPriority w:val="0"/>
    <w:pPr>
      <w:jc w:val="center"/>
      <w:outlineLvl w:val="0"/>
    </w:pPr>
    <w:rPr>
      <w:rFonts w:ascii="宋体" w:hAnsi="宋体" w:eastAsia="宋体" w:cs="Times New Roman"/>
      <w:b/>
      <w:sz w:val="28"/>
      <w:szCs w:val="28"/>
    </w:rPr>
  </w:style>
  <w:style w:type="paragraph" w:customStyle="1" w:styleId="241">
    <w:name w:val="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2">
    <w:name w:val="正文缩进1"/>
    <w:basedOn w:val="1"/>
    <w:autoRedefine/>
    <w:qFormat/>
    <w:uiPriority w:val="0"/>
    <w:pPr>
      <w:widowControl/>
      <w:spacing w:before="156" w:beforeLines="50" w:after="156" w:afterLines="50" w:line="360" w:lineRule="auto"/>
      <w:ind w:firstLine="567"/>
      <w:jc w:val="left"/>
    </w:pPr>
    <w:rPr>
      <w:rFonts w:ascii="Times New Roman" w:hAnsi="Times New Roman" w:eastAsia="宋体" w:cs="Times New Roman"/>
      <w:kern w:val="0"/>
      <w:sz w:val="28"/>
      <w:szCs w:val="20"/>
    </w:rPr>
  </w:style>
  <w:style w:type="paragraph" w:customStyle="1" w:styleId="243">
    <w:name w:val="列出段落2"/>
    <w:basedOn w:val="1"/>
    <w:autoRedefine/>
    <w:qFormat/>
    <w:uiPriority w:val="0"/>
    <w:pPr>
      <w:ind w:firstLine="420" w:firstLineChars="200"/>
    </w:pPr>
    <w:rPr>
      <w:rFonts w:ascii="Calibri" w:hAnsi="Calibri" w:eastAsia="宋体" w:cs="Times New Roman"/>
      <w:sz w:val="24"/>
      <w:szCs w:val="24"/>
    </w:rPr>
  </w:style>
  <w:style w:type="paragraph" w:customStyle="1" w:styleId="244">
    <w:name w:val="_Style 46"/>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5">
    <w:name w:val="正文文本缩进 2 Char2"/>
    <w:basedOn w:val="55"/>
    <w:autoRedefine/>
    <w:semiHidden/>
    <w:qFormat/>
    <w:uiPriority w:val="99"/>
  </w:style>
  <w:style w:type="paragraph" w:customStyle="1" w:styleId="246">
    <w:name w:val="Char1 Char Char Char"/>
    <w:basedOn w:val="1"/>
    <w:autoRedefine/>
    <w:qFormat/>
    <w:uiPriority w:val="0"/>
    <w:rPr>
      <w:rFonts w:ascii="Times New Roman" w:hAnsi="Times New Roman" w:eastAsia="宋体" w:cs="Times New Roman"/>
      <w:szCs w:val="24"/>
    </w:rPr>
  </w:style>
  <w:style w:type="paragraph" w:customStyle="1" w:styleId="247">
    <w:name w:val="_Style 35"/>
    <w:basedOn w:val="17"/>
    <w:autoRedefine/>
    <w:qFormat/>
    <w:uiPriority w:val="0"/>
    <w:pPr>
      <w:widowControl/>
      <w:ind w:firstLine="454"/>
      <w:jc w:val="left"/>
    </w:pPr>
  </w:style>
  <w:style w:type="character" w:customStyle="1" w:styleId="248">
    <w:name w:val="明显引用 Char2"/>
    <w:basedOn w:val="55"/>
    <w:autoRedefine/>
    <w:qFormat/>
    <w:uiPriority w:val="30"/>
    <w:rPr>
      <w:b/>
      <w:bCs/>
      <w:i/>
      <w:iCs/>
      <w:color w:val="4F81BD" w:themeColor="accent1"/>
      <w14:textFill>
        <w14:solidFill>
          <w14:schemeClr w14:val="accent1"/>
        </w14:solidFill>
      </w14:textFill>
    </w:rPr>
  </w:style>
  <w:style w:type="paragraph" w:customStyle="1" w:styleId="249">
    <w:name w:val="Char Char Char Char Char Char"/>
    <w:basedOn w:val="1"/>
    <w:autoRedefine/>
    <w:qFormat/>
    <w:uiPriority w:val="0"/>
    <w:pPr>
      <w:widowControl/>
      <w:spacing w:before="100" w:beforeAutospacing="1" w:after="100" w:afterAutospacing="1" w:line="330" w:lineRule="atLeast"/>
      <w:ind w:left="360"/>
      <w:jc w:val="left"/>
    </w:pPr>
    <w:rPr>
      <w:rFonts w:ascii="ˎ̥" w:hAnsi="ˎ̥" w:eastAsia="宋体" w:cs="宋体"/>
      <w:color w:val="51585D"/>
      <w:kern w:val="0"/>
      <w:sz w:val="20"/>
      <w:szCs w:val="18"/>
    </w:rPr>
  </w:style>
  <w:style w:type="character" w:customStyle="1" w:styleId="250">
    <w:name w:val="日期 Char1"/>
    <w:basedOn w:val="55"/>
    <w:autoRedefine/>
    <w:semiHidden/>
    <w:qFormat/>
    <w:uiPriority w:val="99"/>
  </w:style>
  <w:style w:type="character" w:customStyle="1" w:styleId="251">
    <w:name w:val="正文文本缩进 3 Char1"/>
    <w:basedOn w:val="55"/>
    <w:autoRedefine/>
    <w:semiHidden/>
    <w:qFormat/>
    <w:uiPriority w:val="99"/>
    <w:rPr>
      <w:sz w:val="16"/>
      <w:szCs w:val="16"/>
    </w:rPr>
  </w:style>
  <w:style w:type="paragraph" w:customStyle="1" w:styleId="252">
    <w:name w:val="样式 标题 2 + 非加粗 首行缩进:  2 字符"/>
    <w:basedOn w:val="3"/>
    <w:autoRedefine/>
    <w:qFormat/>
    <w:uiPriority w:val="0"/>
    <w:pPr>
      <w:spacing w:before="0" w:after="0" w:line="600" w:lineRule="exact"/>
      <w:ind w:firstLine="640" w:firstLineChars="200"/>
      <w:jc w:val="left"/>
    </w:pPr>
    <w:rPr>
      <w:rFonts w:ascii="Arial" w:hAnsi="Arial" w:eastAsia="黑体" w:cs="宋体"/>
      <w:b w:val="0"/>
      <w:bCs w:val="0"/>
      <w:szCs w:val="20"/>
    </w:rPr>
  </w:style>
  <w:style w:type="paragraph" w:customStyle="1" w:styleId="253">
    <w:name w:val="Char11"/>
    <w:basedOn w:val="1"/>
    <w:autoRedefine/>
    <w:qFormat/>
    <w:uiPriority w:val="0"/>
    <w:rPr>
      <w:rFonts w:ascii="Times New Roman" w:hAnsi="Times New Roman" w:eastAsia="宋体" w:cs="Times New Roman"/>
      <w:szCs w:val="20"/>
    </w:rPr>
  </w:style>
  <w:style w:type="paragraph" w:customStyle="1" w:styleId="254">
    <w:name w:val="办公自动化专用标题"/>
    <w:basedOn w:val="49"/>
    <w:autoRedefine/>
    <w:qFormat/>
    <w:uiPriority w:val="0"/>
    <w:pPr>
      <w:spacing w:line="560" w:lineRule="atLeast"/>
    </w:pPr>
    <w:rPr>
      <w:rFonts w:ascii="宋体" w:hAnsi="Arial"/>
      <w:bCs w:val="0"/>
      <w:sz w:val="44"/>
      <w:szCs w:val="20"/>
    </w:rPr>
  </w:style>
  <w:style w:type="character" w:customStyle="1" w:styleId="255">
    <w:name w:val="文档结构图 Char1"/>
    <w:basedOn w:val="55"/>
    <w:autoRedefine/>
    <w:semiHidden/>
    <w:qFormat/>
    <w:uiPriority w:val="99"/>
    <w:rPr>
      <w:rFonts w:ascii="宋体" w:eastAsia="宋体"/>
      <w:sz w:val="18"/>
      <w:szCs w:val="18"/>
    </w:rPr>
  </w:style>
  <w:style w:type="paragraph" w:customStyle="1" w:styleId="256">
    <w:name w:val="Char Char Char Char Char Char Char1"/>
    <w:basedOn w:val="1"/>
    <w:autoRedefine/>
    <w:qFormat/>
    <w:uiPriority w:val="0"/>
    <w:rPr>
      <w:rFonts w:ascii="Calibri" w:hAnsi="Calibri" w:eastAsia="宋体" w:cs="Times New Roman"/>
      <w:szCs w:val="24"/>
    </w:rPr>
  </w:style>
  <w:style w:type="character" w:customStyle="1" w:styleId="257">
    <w:name w:val="引用 Char2"/>
    <w:basedOn w:val="55"/>
    <w:autoRedefine/>
    <w:qFormat/>
    <w:uiPriority w:val="29"/>
    <w:rPr>
      <w:i/>
      <w:iCs/>
      <w:color w:val="000000" w:themeColor="text1"/>
      <w14:textFill>
        <w14:solidFill>
          <w14:schemeClr w14:val="tx1"/>
        </w14:solidFill>
      </w14:textFill>
    </w:rPr>
  </w:style>
  <w:style w:type="paragraph" w:customStyle="1" w:styleId="258">
    <w:name w:val="Zchn Zchn"/>
    <w:basedOn w:val="1"/>
    <w:autoRedefine/>
    <w:qFormat/>
    <w:uiPriority w:val="0"/>
    <w:rPr>
      <w:rFonts w:ascii="Tahoma" w:hAnsi="Tahoma" w:eastAsia="宋体" w:cs="Times New Roman"/>
      <w:sz w:val="24"/>
      <w:szCs w:val="20"/>
    </w:rPr>
  </w:style>
  <w:style w:type="paragraph" w:customStyle="1" w:styleId="259">
    <w:name w:val="无间隔1"/>
    <w:autoRedefine/>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customStyle="1" w:styleId="260">
    <w:name w:val="xl22"/>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261">
    <w:name w:val="Table Paragraph"/>
    <w:basedOn w:val="1"/>
    <w:autoRedefine/>
    <w:qFormat/>
    <w:uiPriority w:val="1"/>
    <w:pPr>
      <w:jc w:val="left"/>
    </w:pPr>
    <w:rPr>
      <w:rFonts w:ascii="Calibri" w:hAnsi="Calibri" w:eastAsia="宋体" w:cs="Times New Roman"/>
      <w:kern w:val="0"/>
      <w:sz w:val="22"/>
      <w:lang w:eastAsia="en-US"/>
    </w:rPr>
  </w:style>
  <w:style w:type="paragraph" w:customStyle="1" w:styleId="262">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3">
    <w:name w:val="Char Char Char Char"/>
    <w:basedOn w:val="1"/>
    <w:autoRedefine/>
    <w:qFormat/>
    <w:uiPriority w:val="0"/>
    <w:pPr>
      <w:tabs>
        <w:tab w:val="left" w:pos="780"/>
      </w:tabs>
      <w:ind w:left="780" w:hanging="360"/>
    </w:pPr>
    <w:rPr>
      <w:rFonts w:ascii="Times New Roman" w:hAnsi="Times New Roman" w:eastAsia="宋体" w:cs="Times New Roman"/>
      <w:sz w:val="24"/>
      <w:szCs w:val="24"/>
    </w:rPr>
  </w:style>
  <w:style w:type="paragraph" w:customStyle="1" w:styleId="264">
    <w:name w:val="题注4"/>
    <w:basedOn w:val="1"/>
    <w:next w:val="16"/>
    <w:autoRedefine/>
    <w:qFormat/>
    <w:uiPriority w:val="0"/>
    <w:pPr>
      <w:ind w:left="-132" w:leftChars="-64" w:right="-105" w:rightChars="-50" w:hanging="2"/>
      <w:jc w:val="center"/>
    </w:pPr>
    <w:rPr>
      <w:rFonts w:ascii="Times New Roman" w:hAnsi="Times New Roman" w:eastAsia="宋体" w:cs="Times New Roman"/>
      <w:b/>
      <w:color w:val="FF0000"/>
      <w:szCs w:val="21"/>
      <w:lang w:val="en-GB"/>
    </w:rPr>
  </w:style>
  <w:style w:type="paragraph" w:customStyle="1" w:styleId="265">
    <w:name w:val="纯文本1"/>
    <w:basedOn w:val="1"/>
    <w:autoRedefine/>
    <w:qFormat/>
    <w:uiPriority w:val="0"/>
    <w:rPr>
      <w:rFonts w:ascii="宋体" w:hAnsi="Courier New" w:eastAsia="宋体" w:cs="Times New Roman"/>
      <w:szCs w:val="20"/>
    </w:rPr>
  </w:style>
  <w:style w:type="paragraph" w:customStyle="1" w:styleId="266">
    <w:name w:val="TOC 标题1"/>
    <w:basedOn w:val="2"/>
    <w:next w:val="1"/>
    <w:autoRedefine/>
    <w:qFormat/>
    <w:uiPriority w:val="39"/>
    <w:pPr>
      <w:widowControl/>
      <w:tabs>
        <w:tab w:val="left" w:pos="420"/>
      </w:tabs>
      <w:spacing w:before="480" w:after="0" w:line="276" w:lineRule="auto"/>
      <w:ind w:left="420" w:hanging="420"/>
      <w:jc w:val="left"/>
      <w:outlineLvl w:val="9"/>
    </w:pPr>
    <w:rPr>
      <w:rFonts w:ascii="Cambria" w:hAnsi="Cambria"/>
      <w:color w:val="365F91"/>
      <w:kern w:val="0"/>
      <w:sz w:val="28"/>
      <w:szCs w:val="28"/>
    </w:rPr>
  </w:style>
  <w:style w:type="paragraph" w:customStyle="1" w:styleId="267">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268">
    <w:name w:val="Char Char Char Char Char Char Char Char Char Char Char Char1"/>
    <w:basedOn w:val="1"/>
    <w:autoRedefine/>
    <w:qFormat/>
    <w:uiPriority w:val="0"/>
    <w:pPr>
      <w:widowControl/>
      <w:spacing w:after="160" w:line="240" w:lineRule="exact"/>
      <w:jc w:val="left"/>
    </w:pPr>
    <w:rPr>
      <w:rFonts w:ascii="Calibri" w:hAnsi="Calibri" w:eastAsia="宋体" w:cs="Times New Roman"/>
      <w:szCs w:val="24"/>
    </w:rPr>
  </w:style>
  <w:style w:type="paragraph" w:customStyle="1" w:styleId="269">
    <w:name w:val="Char Char2 Char"/>
    <w:basedOn w:val="1"/>
    <w:autoRedefine/>
    <w:qFormat/>
    <w:uiPriority w:val="0"/>
    <w:rPr>
      <w:rFonts w:ascii="宋体" w:hAnsi="宋体" w:eastAsia="宋体" w:cs="Times New Roman"/>
      <w:b/>
      <w:sz w:val="28"/>
      <w:szCs w:val="28"/>
    </w:rPr>
  </w:style>
  <w:style w:type="paragraph" w:customStyle="1" w:styleId="27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71">
    <w:name w:val="彩色列表 - 强调文字颜色 11"/>
    <w:basedOn w:val="1"/>
    <w:autoRedefine/>
    <w:qFormat/>
    <w:uiPriority w:val="0"/>
    <w:pPr>
      <w:ind w:firstLine="420" w:firstLineChars="200"/>
    </w:pPr>
    <w:rPr>
      <w:rFonts w:ascii="Calibri" w:hAnsi="Calibri" w:eastAsia="宋体" w:cs="Times New Roman"/>
    </w:rPr>
  </w:style>
  <w:style w:type="paragraph" w:customStyle="1" w:styleId="272">
    <w:name w:val="msonormal"/>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3">
    <w:name w:val="List Paragraph1"/>
    <w:basedOn w:val="1"/>
    <w:autoRedefine/>
    <w:qFormat/>
    <w:uiPriority w:val="0"/>
    <w:pPr>
      <w:widowControl/>
      <w:spacing w:after="200" w:line="276" w:lineRule="auto"/>
      <w:ind w:left="720"/>
      <w:jc w:val="left"/>
    </w:pPr>
    <w:rPr>
      <w:rFonts w:ascii="Calibri" w:hAnsi="Calibri" w:eastAsia="宋体" w:cs="Times New Roman"/>
      <w:kern w:val="0"/>
      <w:sz w:val="22"/>
    </w:rPr>
  </w:style>
  <w:style w:type="paragraph" w:customStyle="1" w:styleId="274">
    <w:name w:val="纯文本2"/>
    <w:basedOn w:val="1"/>
    <w:autoRedefine/>
    <w:qFormat/>
    <w:uiPriority w:val="0"/>
    <w:rPr>
      <w:rFonts w:ascii="宋体" w:hAnsi="Courier New" w:eastAsia="宋体" w:cs="Times New Roman"/>
      <w:sz w:val="20"/>
      <w:szCs w:val="20"/>
    </w:rPr>
  </w:style>
  <w:style w:type="paragraph" w:customStyle="1" w:styleId="27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1"/>
    </w:rPr>
  </w:style>
  <w:style w:type="paragraph" w:customStyle="1" w:styleId="276">
    <w:name w:val="普通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277">
    <w:name w:val="表内文字"/>
    <w:basedOn w:val="1"/>
    <w:autoRedefine/>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278">
    <w:name w:val="默认段落字体 Para Char Char Char Char Char Char Char Char Char Char Char Char Char Char Char Char Char Char Char"/>
    <w:basedOn w:val="1"/>
    <w:autoRedefine/>
    <w:qFormat/>
    <w:uiPriority w:val="0"/>
    <w:rPr>
      <w:rFonts w:ascii="Calibri" w:hAnsi="Calibri" w:eastAsia="宋体" w:cs="Times New Roman"/>
    </w:rPr>
  </w:style>
  <w:style w:type="paragraph" w:customStyle="1" w:styleId="279">
    <w:name w:val="Char"/>
    <w:basedOn w:val="17"/>
    <w:autoRedefine/>
    <w:qFormat/>
    <w:uiPriority w:val="0"/>
    <w:rPr>
      <w:rFonts w:ascii="Tahoma" w:hAnsi="Tahoma" w:cs="Tahoma"/>
      <w:kern w:val="0"/>
      <w:sz w:val="18"/>
    </w:rPr>
  </w:style>
  <w:style w:type="paragraph" w:customStyle="1" w:styleId="280">
    <w:name w:val="p0"/>
    <w:basedOn w:val="1"/>
    <w:autoRedefine/>
    <w:qFormat/>
    <w:uiPriority w:val="0"/>
    <w:pPr>
      <w:widowControl/>
    </w:pPr>
    <w:rPr>
      <w:rFonts w:ascii="Calibri" w:hAnsi="Calibri" w:eastAsia="宋体" w:cs="Times New Roman"/>
      <w:kern w:val="0"/>
      <w:szCs w:val="21"/>
    </w:rPr>
  </w:style>
  <w:style w:type="paragraph" w:customStyle="1" w:styleId="281">
    <w:name w:val="列出段落1"/>
    <w:basedOn w:val="1"/>
    <w:autoRedefine/>
    <w:qFormat/>
    <w:uiPriority w:val="34"/>
    <w:pPr>
      <w:ind w:firstLine="420" w:firstLineChars="200"/>
    </w:pPr>
    <w:rPr>
      <w:rFonts w:ascii="Calibri" w:hAnsi="Calibri" w:eastAsia="宋体" w:cs="Times New Roman"/>
    </w:rPr>
  </w:style>
  <w:style w:type="paragraph" w:customStyle="1" w:styleId="282">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283">
    <w:name w:val="列出段落3"/>
    <w:basedOn w:val="1"/>
    <w:autoRedefine/>
    <w:qFormat/>
    <w:uiPriority w:val="34"/>
    <w:pPr>
      <w:ind w:firstLine="420" w:firstLineChars="200"/>
    </w:pPr>
    <w:rPr>
      <w:rFonts w:ascii="Calibri" w:hAnsi="Calibri" w:eastAsia="宋体" w:cs="Times New Roman"/>
    </w:rPr>
  </w:style>
  <w:style w:type="paragraph" w:customStyle="1" w:styleId="284">
    <w:name w:val="Char2"/>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285">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paragraph" w:customStyle="1" w:styleId="286">
    <w:name w:val="Char Char2 Char Char Char Char Char"/>
    <w:basedOn w:val="1"/>
    <w:autoRedefine/>
    <w:qFormat/>
    <w:uiPriority w:val="0"/>
    <w:pPr>
      <w:tabs>
        <w:tab w:val="left" w:pos="780"/>
      </w:tabs>
      <w:ind w:left="780" w:hanging="360"/>
    </w:pPr>
    <w:rPr>
      <w:rFonts w:ascii="Times New Roman" w:hAnsi="Times New Roman" w:eastAsia="宋体" w:cs="Times New Roman"/>
      <w:sz w:val="24"/>
      <w:szCs w:val="24"/>
    </w:rPr>
  </w:style>
  <w:style w:type="paragraph" w:customStyle="1" w:styleId="287">
    <w:name w:val="_Style 2"/>
    <w:basedOn w:val="1"/>
    <w:autoRedefine/>
    <w:qFormat/>
    <w:uiPriority w:val="34"/>
    <w:pPr>
      <w:ind w:firstLine="420" w:firstLineChars="200"/>
    </w:pPr>
    <w:rPr>
      <w:rFonts w:ascii="Calibri" w:hAnsi="Calibri" w:eastAsia="宋体" w:cs="Times New Roman"/>
      <w:szCs w:val="24"/>
    </w:rPr>
  </w:style>
  <w:style w:type="paragraph" w:customStyle="1" w:styleId="288">
    <w:name w:val="样式 标题 2 + 宋体"/>
    <w:basedOn w:val="3"/>
    <w:autoRedefine/>
    <w:qFormat/>
    <w:uiPriority w:val="99"/>
    <w:pPr>
      <w:spacing w:line="413" w:lineRule="auto"/>
    </w:pPr>
    <w:rPr>
      <w:rFonts w:ascii="宋体" w:hAnsi="宋体" w:eastAsia="黑体"/>
      <w:sz w:val="30"/>
    </w:rPr>
  </w:style>
  <w:style w:type="paragraph" w:customStyle="1" w:styleId="289">
    <w:name w:val="样式5"/>
    <w:basedOn w:val="1"/>
    <w:autoRedefine/>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290">
    <w:name w:val="正文缩进11"/>
    <w:basedOn w:val="1"/>
    <w:next w:val="21"/>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291">
    <w:name w:val="要求正文格式"/>
    <w:basedOn w:val="1"/>
    <w:autoRedefine/>
    <w:qFormat/>
    <w:uiPriority w:val="99"/>
    <w:pPr>
      <w:spacing w:line="360" w:lineRule="auto"/>
      <w:ind w:firstLine="200" w:firstLineChars="200"/>
      <w:textAlignment w:val="center"/>
    </w:pPr>
    <w:rPr>
      <w:rFonts w:ascii="Times New Roman" w:hAnsi="Times New Roman" w:eastAsia="仿宋_GB2312" w:cs="Times New Roman"/>
      <w:sz w:val="32"/>
      <w:szCs w:val="20"/>
    </w:rPr>
  </w:style>
  <w:style w:type="paragraph" w:customStyle="1" w:styleId="292">
    <w:name w:val="Char Char Char Char1"/>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293">
    <w:name w:val="标题3"/>
    <w:basedOn w:val="291"/>
    <w:next w:val="4"/>
    <w:autoRedefine/>
    <w:qFormat/>
    <w:uiPriority w:val="0"/>
    <w:pPr>
      <w:spacing w:line="600" w:lineRule="exact"/>
      <w:outlineLvl w:val="2"/>
    </w:pPr>
    <w:rPr>
      <w:rFonts w:ascii="仿宋_GB2312"/>
      <w:b/>
    </w:rPr>
  </w:style>
  <w:style w:type="paragraph" w:customStyle="1" w:styleId="294">
    <w:name w:val="01 正文-首行缩进2字符"/>
    <w:basedOn w:val="1"/>
    <w:autoRedefine/>
    <w:qFormat/>
    <w:uiPriority w:val="0"/>
    <w:pPr>
      <w:spacing w:beforeLines="50" w:afterLines="50"/>
      <w:ind w:firstLine="964" w:firstLineChars="200"/>
    </w:pPr>
    <w:rPr>
      <w:rFonts w:ascii="Arial" w:hAnsi="Arial" w:eastAsia="宋体" w:cs="Times New Roman"/>
      <w:color w:val="000000"/>
      <w:sz w:val="28"/>
    </w:rPr>
  </w:style>
  <w:style w:type="paragraph" w:customStyle="1" w:styleId="295">
    <w:name w:val="Body text|1"/>
    <w:basedOn w:val="1"/>
    <w:autoRedefine/>
    <w:qFormat/>
    <w:uiPriority w:val="0"/>
    <w:pPr>
      <w:spacing w:line="360" w:lineRule="auto"/>
      <w:ind w:firstLine="400"/>
    </w:pPr>
    <w:rPr>
      <w:rFonts w:ascii="宋体" w:hAnsi="宋体" w:eastAsia="宋体" w:cs="宋体"/>
      <w:szCs w:val="20"/>
      <w:lang w:val="zh-CN" w:bidi="zh-CN"/>
    </w:rPr>
  </w:style>
  <w:style w:type="table" w:customStyle="1" w:styleId="296">
    <w:name w:val="网格型5"/>
    <w:basedOn w:val="5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7">
    <w:name w:val="网格型1"/>
    <w:basedOn w:val="53"/>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8">
    <w:name w:val="网格型4"/>
    <w:basedOn w:val="53"/>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9">
    <w:name w:val="网格型2"/>
    <w:basedOn w:val="53"/>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
    <w:name w:val="网格型3"/>
    <w:basedOn w:val="53"/>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1">
    <w:name w:val="WPSOffice手动目录 1"/>
    <w:autoRedefine/>
    <w:qFormat/>
    <w:uiPriority w:val="0"/>
    <w:rPr>
      <w:rFonts w:asciiTheme="minorHAnsi" w:hAnsiTheme="minorHAnsi" w:eastAsiaTheme="minorEastAsia" w:cstheme="minorBidi"/>
      <w:lang w:val="en-US" w:eastAsia="zh-CN" w:bidi="ar-SA"/>
    </w:rPr>
  </w:style>
  <w:style w:type="paragraph" w:customStyle="1" w:styleId="302">
    <w:name w:val="Title1"/>
    <w:basedOn w:val="1"/>
    <w:next w:val="1"/>
    <w:autoRedefine/>
    <w:qFormat/>
    <w:uiPriority w:val="0"/>
    <w:pPr>
      <w:jc w:val="center"/>
      <w:outlineLvl w:val="0"/>
    </w:pPr>
    <w:rPr>
      <w:rFonts w:ascii="Calibri Light" w:hAnsi="Calibri Light" w:eastAsia="Arial Unicode MS"/>
      <w:b/>
    </w:rPr>
  </w:style>
  <w:style w:type="character" w:customStyle="1" w:styleId="303">
    <w:name w:val="NormalCharacter"/>
    <w:autoRedefine/>
    <w:qFormat/>
    <w:uiPriority w:val="0"/>
  </w:style>
  <w:style w:type="paragraph" w:customStyle="1" w:styleId="304">
    <w:name w:val="修订2"/>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05">
    <w:name w:val="修订3"/>
    <w:autoRedefine/>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59B742-6A93-4814-9EA5-005EF127BA8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183</Pages>
  <Words>174</Words>
  <Characters>189</Characters>
  <Lines>970</Lines>
  <Paragraphs>273</Paragraphs>
  <TotalTime>173</TotalTime>
  <ScaleCrop>false</ScaleCrop>
  <LinksUpToDate>false</LinksUpToDate>
  <CharactersWithSpaces>404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2025-10-21T11:07:00Z</dcterms:created>
  <dc:creator>Administrator</dc:creator>
  <cp:lastModifiedBy>高春雨</cp:lastModifiedBy>
  <dcterms:modified xsi:type="dcterms:W3CDTF">2025-10-25T07:56:09Z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eyJoZGlkIjoiZjRhODM2YTZhNjRlN2QzNjQxNTU0YTM1MGY2MDg3ZGQiLCJ1c2VySWQiOiIzMjQzMjE3MTgifQ==</vt:lpwstr>
  </property>
  <property fmtid="{D5CDD505-2E9C-101B-9397-08002B2CF9AE}" pid="3" name="KSOProductBuildVer">
    <vt:lpwstr>2052-12.1.0.20305</vt:lpwstr>
  </property>
  <property fmtid="{D5CDD505-2E9C-101B-9397-08002B2CF9AE}" pid="4" name="ICV">
    <vt:lpwstr>8148CFD572E241DA9B8191B02EE45B10_13</vt:lpwstr>
  </property>
</Properties>
</file>