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C91DE">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云之龙咨询集团有限公司</w:t>
      </w:r>
    </w:p>
    <w:p w14:paraId="6310C7E1">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pacing w:val="-6"/>
          <w:sz w:val="36"/>
          <w:szCs w:val="36"/>
          <w:lang w:val="en-US" w:eastAsia="zh-CN"/>
        </w:rPr>
        <w:t>2025年南宁市公安局交通警察支队辅警被装购置采购</w:t>
      </w:r>
      <w:r>
        <w:rPr>
          <w:rFonts w:hint="eastAsia" w:ascii="方正小标宋简体" w:hAnsi="方正小标宋简体" w:eastAsia="方正小标宋简体" w:cs="方正小标宋简体"/>
          <w:b w:val="0"/>
          <w:bCs w:val="0"/>
          <w:sz w:val="36"/>
          <w:szCs w:val="36"/>
          <w:lang w:val="en-US" w:eastAsia="zh-CN"/>
        </w:rPr>
        <w:t>（NNZC2025-G1-990620-YZLZ）</w:t>
      </w:r>
    </w:p>
    <w:p w14:paraId="769021AF">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公开招</w:t>
      </w:r>
      <w:bookmarkStart w:id="33" w:name="_GoBack"/>
      <w:bookmarkEnd w:id="33"/>
      <w:r>
        <w:rPr>
          <w:rFonts w:hint="eastAsia" w:ascii="方正小标宋简体" w:hAnsi="方正小标宋简体" w:eastAsia="方正小标宋简体" w:cs="方正小标宋简体"/>
          <w:b w:val="0"/>
          <w:bCs w:val="0"/>
          <w:kern w:val="2"/>
          <w:sz w:val="36"/>
          <w:szCs w:val="36"/>
          <w:lang w:val="en-US" w:eastAsia="zh-CN" w:bidi="ar-SA"/>
        </w:rPr>
        <w:t>标公告</w:t>
      </w:r>
    </w:p>
    <w:p w14:paraId="43D1A442">
      <w:pPr>
        <w:widowControl w:val="0"/>
        <w:ind w:firstLine="602"/>
        <w:jc w:val="center"/>
        <w:rPr>
          <w:rFonts w:hint="eastAsia" w:ascii="Times New Roman" w:hAnsi="Times New Roman" w:eastAsia="宋体" w:cs="Times New Roman"/>
          <w:b/>
          <w:kern w:val="2"/>
          <w:sz w:val="30"/>
          <w:szCs w:val="30"/>
          <w:lang w:val="en-US" w:eastAsia="zh-CN" w:bidi="ar-SA"/>
        </w:rPr>
      </w:pPr>
    </w:p>
    <w:p w14:paraId="12691C5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项目概况</w:t>
      </w:r>
    </w:p>
    <w:p w14:paraId="65708FC4">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eastAsia="宋体" w:cs="Times New Roman"/>
          <w:szCs w:val="21"/>
          <w:u w:val="single"/>
        </w:rPr>
      </w:pPr>
      <w:r>
        <w:rPr>
          <w:rFonts w:hint="eastAsia" w:ascii="宋体" w:hAnsi="宋体" w:eastAsia="宋体" w:cs="Times New Roman"/>
          <w:szCs w:val="21"/>
          <w:u w:val="single"/>
        </w:rPr>
        <w:t>2025年南宁市公安局交通警察支队辅警被装购置采购</w:t>
      </w:r>
      <w:r>
        <w:rPr>
          <w:rFonts w:hint="eastAsia" w:ascii="宋体" w:hAnsi="宋体" w:eastAsia="宋体" w:cs="Times New Roman"/>
          <w:szCs w:val="21"/>
        </w:rPr>
        <w:t>的潜在投标人应在广西政府采购云平台（https://www.gcy.zfcg.gxzf.gov.cn/）获取（下载）招标文件，并于</w:t>
      </w:r>
      <w:r>
        <w:rPr>
          <w:rFonts w:ascii="宋体" w:hAnsi="宋体" w:eastAsia="宋体" w:cs="Times New Roman"/>
          <w:szCs w:val="21"/>
        </w:rPr>
        <w:t>2025年</w:t>
      </w:r>
      <w:r>
        <w:rPr>
          <w:rFonts w:hint="eastAsia" w:ascii="宋体" w:hAnsi="宋体" w:eastAsia="宋体" w:cs="Times New Roman"/>
          <w:szCs w:val="21"/>
        </w:rPr>
        <w:t>8</w:t>
      </w:r>
      <w:r>
        <w:rPr>
          <w:rFonts w:ascii="宋体" w:hAnsi="宋体" w:eastAsia="宋体" w:cs="Times New Roman"/>
          <w:szCs w:val="21"/>
        </w:rPr>
        <w:t>月</w:t>
      </w:r>
      <w:r>
        <w:rPr>
          <w:rFonts w:hint="eastAsia" w:ascii="宋体" w:hAnsi="宋体" w:eastAsia="宋体" w:cs="Times New Roman"/>
          <w:szCs w:val="21"/>
        </w:rPr>
        <w:t>5</w:t>
      </w:r>
      <w:r>
        <w:rPr>
          <w:rFonts w:ascii="宋体" w:hAnsi="宋体" w:eastAsia="宋体" w:cs="Times New Roman"/>
          <w:szCs w:val="21"/>
        </w:rPr>
        <w:t>日</w:t>
      </w:r>
      <w:r>
        <w:rPr>
          <w:rFonts w:hint="eastAsia" w:ascii="宋体" w:hAnsi="宋体" w:eastAsia="宋体" w:cs="Times New Roman"/>
          <w:szCs w:val="21"/>
        </w:rPr>
        <w:t>9时3</w:t>
      </w:r>
      <w:r>
        <w:rPr>
          <w:rFonts w:ascii="宋体" w:hAnsi="宋体" w:eastAsia="宋体" w:cs="Times New Roman"/>
          <w:szCs w:val="21"/>
        </w:rPr>
        <w:t>0</w:t>
      </w:r>
      <w:r>
        <w:rPr>
          <w:rFonts w:hint="eastAsia" w:ascii="宋体" w:hAnsi="宋体" w:eastAsia="宋体" w:cs="Times New Roman"/>
          <w:szCs w:val="21"/>
        </w:rPr>
        <w:t>分</w:t>
      </w:r>
      <w:r>
        <w:rPr>
          <w:rFonts w:hint="eastAsia" w:ascii="宋体" w:hAnsi="宋体" w:eastAsia="宋体" w:cs="Times New Roman"/>
          <w:bCs/>
          <w:szCs w:val="21"/>
        </w:rPr>
        <w:t>（北京时间）前</w:t>
      </w:r>
      <w:r>
        <w:rPr>
          <w:rFonts w:hint="eastAsia" w:ascii="宋体" w:hAnsi="宋体" w:eastAsia="宋体" w:cs="Times New Roman"/>
          <w:szCs w:val="21"/>
        </w:rPr>
        <w:t>递交（上传）投标文件。</w:t>
      </w:r>
    </w:p>
    <w:p w14:paraId="2A483675">
      <w:pPr>
        <w:spacing w:line="360" w:lineRule="auto"/>
        <w:ind w:firstLine="482"/>
        <w:rPr>
          <w:rFonts w:ascii="黑体" w:hAnsi="黑体" w:eastAsia="黑体" w:cs="Times New Roman"/>
          <w:b/>
          <w:bCs/>
          <w:sz w:val="24"/>
        </w:rPr>
      </w:pPr>
      <w:bookmarkStart w:id="0" w:name="_Toc35393621"/>
      <w:bookmarkStart w:id="1" w:name="_Toc35393790"/>
      <w:bookmarkStart w:id="2" w:name="_Toc28359079"/>
      <w:bookmarkStart w:id="3" w:name="_Toc28359002"/>
      <w:bookmarkStart w:id="4" w:name="_Hlk24379207"/>
      <w:r>
        <w:rPr>
          <w:rFonts w:hint="eastAsia" w:ascii="黑体" w:hAnsi="黑体" w:eastAsia="黑体" w:cs="Times New Roman"/>
          <w:b/>
          <w:bCs/>
          <w:sz w:val="24"/>
        </w:rPr>
        <w:t>一、项目基本情况</w:t>
      </w:r>
      <w:bookmarkEnd w:id="0"/>
      <w:bookmarkEnd w:id="1"/>
      <w:bookmarkEnd w:id="2"/>
      <w:bookmarkEnd w:id="3"/>
    </w:p>
    <w:p w14:paraId="2F5E01B1">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项目编号：</w:t>
      </w:r>
      <w:bookmarkStart w:id="5" w:name="OLE_LINK3"/>
      <w:r>
        <w:rPr>
          <w:rFonts w:ascii="宋体" w:hAnsi="宋体" w:eastAsia="宋体" w:cs="Times New Roman"/>
          <w:szCs w:val="21"/>
        </w:rPr>
        <w:t>NNZC2025-G1-990620-YZLZ</w:t>
      </w:r>
      <w:bookmarkEnd w:id="5"/>
      <w:r>
        <w:rPr>
          <w:rFonts w:hint="eastAsia" w:ascii="宋体" w:hAnsi="宋体" w:eastAsia="宋体" w:cs="Times New Roman"/>
          <w:szCs w:val="21"/>
        </w:rPr>
        <w:t>（采购计划编号：NNZC[2025]3938号）</w:t>
      </w:r>
    </w:p>
    <w:p w14:paraId="4473BF50">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项目名称：2025年南宁市公安局交通警察支队辅警被装购置采购</w:t>
      </w:r>
    </w:p>
    <w:bookmarkEnd w:id="4"/>
    <w:p w14:paraId="277F3C00">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预算金额：人民币131.8256万元</w:t>
      </w:r>
    </w:p>
    <w:p w14:paraId="572DA0F8">
      <w:pPr>
        <w:widowControl w:val="0"/>
        <w:ind w:firstLine="422"/>
        <w:jc w:val="both"/>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最高限价：人民币131.8256万元</w:t>
      </w:r>
    </w:p>
    <w:p w14:paraId="0C852330">
      <w:pPr>
        <w:widowControl w:val="0"/>
        <w:ind w:firstLine="422"/>
        <w:jc w:val="both"/>
        <w:rPr>
          <w:rFonts w:ascii="Times New Roman" w:hAnsi="Times New Roman" w:eastAsia="宋体" w:cs="Times New Roman"/>
          <w:kern w:val="2"/>
          <w:sz w:val="21"/>
          <w:szCs w:val="20"/>
          <w:lang w:val="en-US" w:eastAsia="zh-CN" w:bidi="ar-SA"/>
        </w:rPr>
      </w:pPr>
      <w:r>
        <w:rPr>
          <w:rFonts w:hint="eastAsia" w:ascii="宋体" w:hAnsi="宋体" w:eastAsia="宋体" w:cs="Times New Roman"/>
          <w:kern w:val="2"/>
          <w:sz w:val="21"/>
          <w:szCs w:val="21"/>
          <w:lang w:val="en-US" w:eastAsia="zh-CN" w:bidi="ar-SA"/>
        </w:rPr>
        <w:t>采购需求：</w:t>
      </w:r>
    </w:p>
    <w:tbl>
      <w:tblPr>
        <w:tblStyle w:val="2"/>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1"/>
        <w:gridCol w:w="1330"/>
        <w:gridCol w:w="695"/>
        <w:gridCol w:w="709"/>
        <w:gridCol w:w="4252"/>
        <w:gridCol w:w="1419"/>
      </w:tblGrid>
      <w:tr w14:paraId="46D61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noWrap/>
            <w:vAlign w:val="center"/>
          </w:tcPr>
          <w:p w14:paraId="6AA39AC9">
            <w:pPr>
              <w:snapToGrid w:val="0"/>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1330" w:type="dxa"/>
            <w:tcBorders>
              <w:top w:val="single" w:color="auto" w:sz="4" w:space="0"/>
              <w:left w:val="single" w:color="auto" w:sz="4" w:space="0"/>
              <w:bottom w:val="single" w:color="auto" w:sz="4" w:space="0"/>
              <w:right w:val="single" w:color="auto" w:sz="4" w:space="0"/>
            </w:tcBorders>
            <w:noWrap/>
            <w:vAlign w:val="center"/>
          </w:tcPr>
          <w:p w14:paraId="2176139F">
            <w:pPr>
              <w:snapToGrid w:val="0"/>
              <w:spacing w:line="360" w:lineRule="auto"/>
              <w:jc w:val="center"/>
              <w:rPr>
                <w:rFonts w:ascii="宋体" w:hAnsi="宋体" w:eastAsia="宋体" w:cs="Times New Roman"/>
                <w:szCs w:val="21"/>
              </w:rPr>
            </w:pPr>
            <w:r>
              <w:rPr>
                <w:rFonts w:hint="eastAsia" w:ascii="宋体" w:hAnsi="宋体" w:eastAsia="宋体" w:cs="Times New Roman"/>
                <w:szCs w:val="21"/>
              </w:rPr>
              <w:t>标的的名称</w:t>
            </w:r>
          </w:p>
        </w:tc>
        <w:tc>
          <w:tcPr>
            <w:tcW w:w="695" w:type="dxa"/>
            <w:tcBorders>
              <w:top w:val="single" w:color="auto" w:sz="4" w:space="0"/>
              <w:left w:val="single" w:color="auto" w:sz="4" w:space="0"/>
              <w:bottom w:val="single" w:color="auto" w:sz="4" w:space="0"/>
              <w:right w:val="single" w:color="auto" w:sz="4" w:space="0"/>
            </w:tcBorders>
            <w:noWrap/>
            <w:vAlign w:val="center"/>
          </w:tcPr>
          <w:p w14:paraId="49DB853D">
            <w:pPr>
              <w:snapToGrid w:val="0"/>
              <w:spacing w:line="360" w:lineRule="auto"/>
              <w:jc w:val="center"/>
              <w:rPr>
                <w:rFonts w:ascii="宋体" w:hAnsi="宋体" w:eastAsia="宋体" w:cs="Times New Roman"/>
                <w:szCs w:val="21"/>
              </w:rPr>
            </w:pPr>
            <w:r>
              <w:rPr>
                <w:rFonts w:hint="eastAsia" w:ascii="宋体" w:hAnsi="宋体" w:eastAsia="宋体" w:cs="Times New Roman"/>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05936422">
            <w:pPr>
              <w:snapToGrid w:val="0"/>
              <w:spacing w:line="360" w:lineRule="auto"/>
              <w:jc w:val="center"/>
              <w:rPr>
                <w:rFonts w:ascii="宋体" w:hAnsi="宋体" w:eastAsia="宋体" w:cs="Times New Roman"/>
                <w:szCs w:val="21"/>
              </w:rPr>
            </w:pPr>
            <w:r>
              <w:rPr>
                <w:rFonts w:hint="eastAsia" w:ascii="宋体" w:hAnsi="宋体" w:eastAsia="宋体" w:cs="Times New Roman"/>
                <w:szCs w:val="21"/>
              </w:rPr>
              <w:t>数量</w:t>
            </w:r>
          </w:p>
        </w:tc>
        <w:tc>
          <w:tcPr>
            <w:tcW w:w="4252" w:type="dxa"/>
            <w:tcBorders>
              <w:top w:val="single" w:color="auto" w:sz="4" w:space="0"/>
              <w:left w:val="single" w:color="auto" w:sz="4" w:space="0"/>
              <w:bottom w:val="single" w:color="auto" w:sz="4" w:space="0"/>
              <w:right w:val="single" w:color="auto" w:sz="4" w:space="0"/>
            </w:tcBorders>
            <w:noWrap/>
            <w:vAlign w:val="center"/>
          </w:tcPr>
          <w:p w14:paraId="02752035">
            <w:pPr>
              <w:snapToGrid w:val="0"/>
              <w:spacing w:line="360" w:lineRule="auto"/>
              <w:ind w:firstLine="422"/>
              <w:jc w:val="center"/>
              <w:rPr>
                <w:rFonts w:ascii="宋体" w:hAnsi="宋体" w:eastAsia="宋体" w:cs="Times New Roman"/>
                <w:szCs w:val="21"/>
              </w:rPr>
            </w:pPr>
            <w:r>
              <w:rPr>
                <w:rFonts w:hint="eastAsia" w:ascii="宋体" w:hAnsi="宋体" w:eastAsia="宋体" w:cs="Times New Roman"/>
                <w:szCs w:val="21"/>
              </w:rPr>
              <w:t>简要技术需求或者服务要求</w:t>
            </w:r>
          </w:p>
        </w:tc>
        <w:tc>
          <w:tcPr>
            <w:tcW w:w="1419" w:type="dxa"/>
            <w:tcBorders>
              <w:top w:val="single" w:color="auto" w:sz="4" w:space="0"/>
              <w:left w:val="single" w:color="auto" w:sz="4" w:space="0"/>
              <w:bottom w:val="single" w:color="auto" w:sz="4" w:space="0"/>
              <w:right w:val="single" w:color="auto" w:sz="4" w:space="0"/>
            </w:tcBorders>
            <w:vAlign w:val="center"/>
          </w:tcPr>
          <w:p w14:paraId="6261390A">
            <w:pPr>
              <w:snapToGrid w:val="0"/>
              <w:spacing w:line="360" w:lineRule="auto"/>
              <w:jc w:val="center"/>
              <w:rPr>
                <w:rFonts w:ascii="宋体" w:hAnsi="宋体" w:eastAsia="宋体" w:cs="Times New Roman"/>
                <w:szCs w:val="21"/>
              </w:rPr>
            </w:pPr>
            <w:r>
              <w:rPr>
                <w:rFonts w:hint="eastAsia" w:ascii="宋体" w:hAnsi="宋体" w:eastAsia="宋体" w:cs="Times New Roman"/>
                <w:szCs w:val="21"/>
              </w:rPr>
              <w:t>采购预算（元）</w:t>
            </w:r>
          </w:p>
        </w:tc>
      </w:tr>
      <w:tr w14:paraId="2A7E2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noWrap/>
            <w:vAlign w:val="center"/>
          </w:tcPr>
          <w:p w14:paraId="1F8E22C3">
            <w:pPr>
              <w:spacing w:line="240" w:lineRule="exact"/>
              <w:jc w:val="center"/>
              <w:rPr>
                <w:rFonts w:ascii="宋体" w:hAnsi="宋体" w:eastAsia="宋体" w:cs="Times New Roman"/>
                <w:szCs w:val="21"/>
              </w:rPr>
            </w:pPr>
            <w:bookmarkStart w:id="6" w:name="_Hlk202888151"/>
            <w:r>
              <w:rPr>
                <w:rFonts w:hint="eastAsia" w:ascii="宋体" w:hAnsi="宋体" w:eastAsia="宋体" w:cs="Times New Roman"/>
                <w:szCs w:val="21"/>
              </w:rPr>
              <w:t>1</w:t>
            </w:r>
          </w:p>
        </w:tc>
        <w:tc>
          <w:tcPr>
            <w:tcW w:w="1330" w:type="dxa"/>
            <w:tcBorders>
              <w:top w:val="single" w:color="auto" w:sz="4" w:space="0"/>
              <w:left w:val="single" w:color="auto" w:sz="4" w:space="0"/>
              <w:bottom w:val="single" w:color="auto" w:sz="4" w:space="0"/>
              <w:right w:val="single" w:color="auto" w:sz="4" w:space="0"/>
            </w:tcBorders>
            <w:noWrap/>
            <w:vAlign w:val="center"/>
          </w:tcPr>
          <w:p w14:paraId="2AD843EB">
            <w:pPr>
              <w:spacing w:line="260" w:lineRule="exact"/>
              <w:jc w:val="center"/>
              <w:rPr>
                <w:rFonts w:ascii="宋体" w:hAnsi="宋体" w:eastAsia="宋体" w:cs="Times New Roman"/>
                <w:szCs w:val="21"/>
              </w:rPr>
            </w:pPr>
            <w:r>
              <w:rPr>
                <w:rFonts w:hint="eastAsia" w:ascii="宋体" w:hAnsi="宋体" w:eastAsia="宋体" w:cs="Times New Roman"/>
                <w:szCs w:val="21"/>
              </w:rPr>
              <w:t>冬执勤服(含下裤）</w:t>
            </w:r>
          </w:p>
        </w:tc>
        <w:tc>
          <w:tcPr>
            <w:tcW w:w="695" w:type="dxa"/>
            <w:tcBorders>
              <w:top w:val="single" w:color="auto" w:sz="4" w:space="0"/>
              <w:left w:val="single" w:color="auto" w:sz="4" w:space="0"/>
              <w:bottom w:val="single" w:color="auto" w:sz="4" w:space="0"/>
              <w:right w:val="single" w:color="auto" w:sz="4" w:space="0"/>
            </w:tcBorders>
            <w:noWrap/>
            <w:vAlign w:val="center"/>
          </w:tcPr>
          <w:p w14:paraId="45B2673C">
            <w:pPr>
              <w:spacing w:line="260" w:lineRule="exact"/>
              <w:jc w:val="center"/>
              <w:rPr>
                <w:rFonts w:ascii="宋体" w:hAnsi="宋体" w:eastAsia="宋体" w:cs="Times New Roman"/>
                <w:szCs w:val="21"/>
              </w:rPr>
            </w:pPr>
            <w:r>
              <w:rPr>
                <w:rFonts w:hint="eastAsia" w:ascii="宋体" w:hAnsi="宋体" w:eastAsia="宋体" w:cs="Times New Roman"/>
                <w:szCs w:val="21"/>
              </w:rPr>
              <w:t>1232</w:t>
            </w:r>
          </w:p>
        </w:tc>
        <w:tc>
          <w:tcPr>
            <w:tcW w:w="709" w:type="dxa"/>
            <w:tcBorders>
              <w:top w:val="single" w:color="auto" w:sz="4" w:space="0"/>
              <w:left w:val="single" w:color="auto" w:sz="4" w:space="0"/>
              <w:bottom w:val="single" w:color="auto" w:sz="4" w:space="0"/>
              <w:right w:val="single" w:color="auto" w:sz="4" w:space="0"/>
            </w:tcBorders>
            <w:vAlign w:val="center"/>
          </w:tcPr>
          <w:p w14:paraId="682F52F8">
            <w:pPr>
              <w:spacing w:line="260" w:lineRule="exact"/>
              <w:jc w:val="center"/>
              <w:rPr>
                <w:rFonts w:ascii="宋体" w:hAnsi="宋体" w:eastAsia="宋体" w:cs="Times New Roman"/>
                <w:szCs w:val="21"/>
              </w:rPr>
            </w:pPr>
            <w:r>
              <w:rPr>
                <w:rFonts w:hint="eastAsia" w:ascii="宋体" w:hAnsi="宋体" w:eastAsia="宋体" w:cs="Times New Roman"/>
                <w:szCs w:val="21"/>
              </w:rPr>
              <w:t>套</w:t>
            </w:r>
          </w:p>
        </w:tc>
        <w:tc>
          <w:tcPr>
            <w:tcW w:w="4252" w:type="dxa"/>
            <w:tcBorders>
              <w:top w:val="single" w:color="auto" w:sz="4" w:space="0"/>
              <w:left w:val="single" w:color="auto" w:sz="4" w:space="0"/>
              <w:bottom w:val="single" w:color="auto" w:sz="4" w:space="0"/>
              <w:right w:val="single" w:color="auto" w:sz="4" w:space="0"/>
            </w:tcBorders>
            <w:noWrap/>
            <w:vAlign w:val="center"/>
          </w:tcPr>
          <w:p w14:paraId="63577B51">
            <w:pPr>
              <w:snapToGrid w:val="0"/>
              <w:spacing w:line="360" w:lineRule="auto"/>
              <w:ind w:firstLine="422"/>
              <w:rPr>
                <w:rFonts w:hint="eastAsia" w:ascii="宋体" w:hAnsi="宋体" w:eastAsia="宋体" w:cs="Times New Roman"/>
                <w:szCs w:val="21"/>
              </w:rPr>
            </w:pPr>
            <w:r>
              <w:rPr>
                <w:rFonts w:hint="eastAsia" w:ascii="宋体" w:hAnsi="宋体" w:eastAsia="宋体" w:cs="Times New Roman"/>
                <w:szCs w:val="21"/>
              </w:rPr>
              <w:t>▲1.面料80%聚酯纤维，20%粘纤；偏差±5%；</w:t>
            </w:r>
          </w:p>
          <w:p w14:paraId="7A8EDCB1">
            <w:pPr>
              <w:snapToGrid w:val="0"/>
              <w:spacing w:line="360" w:lineRule="auto"/>
              <w:ind w:firstLine="422"/>
              <w:rPr>
                <w:rFonts w:ascii="宋体" w:hAnsi="宋体" w:eastAsia="宋体" w:cs="Times New Roman"/>
                <w:szCs w:val="21"/>
              </w:rPr>
            </w:pPr>
            <w:r>
              <w:rPr>
                <w:rFonts w:hint="eastAsia" w:ascii="宋体" w:hAnsi="宋体" w:eastAsia="宋体" w:cs="Times New Roman"/>
                <w:szCs w:val="21"/>
              </w:rPr>
              <w:t>2.甲醛含量≤75mg/kg</w:t>
            </w:r>
            <w:r>
              <w:rPr>
                <w:rFonts w:ascii="宋体" w:hAnsi="宋体" w:eastAsia="宋体" w:cs="Times New Roman"/>
                <w:szCs w:val="21"/>
              </w:rPr>
              <w:t>……</w:t>
            </w:r>
          </w:p>
        </w:tc>
        <w:tc>
          <w:tcPr>
            <w:tcW w:w="1419" w:type="dxa"/>
            <w:tcBorders>
              <w:top w:val="single" w:color="auto" w:sz="4" w:space="0"/>
              <w:left w:val="single" w:color="auto" w:sz="4" w:space="0"/>
              <w:bottom w:val="single" w:color="auto" w:sz="4" w:space="0"/>
              <w:right w:val="single" w:color="auto" w:sz="4" w:space="0"/>
            </w:tcBorders>
            <w:vAlign w:val="center"/>
          </w:tcPr>
          <w:p w14:paraId="55B56205">
            <w:pPr>
              <w:widowControl/>
              <w:jc w:val="center"/>
              <w:rPr>
                <w:rFonts w:ascii="宋体" w:hAnsi="宋体" w:eastAsia="宋体" w:cs="Times New Roman"/>
                <w:kern w:val="0"/>
                <w:szCs w:val="21"/>
              </w:rPr>
            </w:pPr>
            <w:r>
              <w:rPr>
                <w:rFonts w:hint="eastAsia" w:ascii="宋体" w:hAnsi="宋体" w:eastAsia="宋体" w:cs="Times New Roman"/>
                <w:kern w:val="0"/>
                <w:szCs w:val="21"/>
              </w:rPr>
              <w:t>471856</w:t>
            </w:r>
          </w:p>
        </w:tc>
      </w:tr>
      <w:tr w14:paraId="36D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noWrap/>
            <w:vAlign w:val="center"/>
          </w:tcPr>
          <w:p w14:paraId="45939115">
            <w:pPr>
              <w:spacing w:line="240" w:lineRule="exact"/>
              <w:jc w:val="center"/>
              <w:rPr>
                <w:rFonts w:ascii="宋体" w:hAnsi="宋体" w:eastAsia="宋体" w:cs="Times New Roman"/>
                <w:szCs w:val="21"/>
              </w:rPr>
            </w:pPr>
            <w:r>
              <w:rPr>
                <w:rFonts w:hint="eastAsia" w:ascii="宋体" w:hAnsi="宋体" w:eastAsia="宋体" w:cs="Times New Roman"/>
                <w:szCs w:val="21"/>
              </w:rPr>
              <w:t>2</w:t>
            </w:r>
          </w:p>
        </w:tc>
        <w:tc>
          <w:tcPr>
            <w:tcW w:w="1330" w:type="dxa"/>
            <w:tcBorders>
              <w:top w:val="single" w:color="auto" w:sz="4" w:space="0"/>
              <w:left w:val="single" w:color="auto" w:sz="4" w:space="0"/>
              <w:bottom w:val="single" w:color="auto" w:sz="4" w:space="0"/>
              <w:right w:val="single" w:color="auto" w:sz="4" w:space="0"/>
            </w:tcBorders>
            <w:noWrap/>
            <w:vAlign w:val="center"/>
          </w:tcPr>
          <w:p w14:paraId="4931BD67">
            <w:pPr>
              <w:spacing w:line="260" w:lineRule="exact"/>
              <w:jc w:val="center"/>
              <w:rPr>
                <w:rFonts w:ascii="宋体" w:hAnsi="宋体" w:eastAsia="宋体" w:cs="Times New Roman"/>
                <w:szCs w:val="21"/>
              </w:rPr>
            </w:pPr>
            <w:r>
              <w:rPr>
                <w:rFonts w:hint="eastAsia" w:ascii="宋体" w:hAnsi="宋体" w:eastAsia="宋体" w:cs="Times New Roman"/>
                <w:szCs w:val="21"/>
              </w:rPr>
              <w:t>皮鞋</w:t>
            </w:r>
          </w:p>
        </w:tc>
        <w:tc>
          <w:tcPr>
            <w:tcW w:w="695" w:type="dxa"/>
            <w:tcBorders>
              <w:top w:val="single" w:color="auto" w:sz="4" w:space="0"/>
              <w:left w:val="single" w:color="auto" w:sz="4" w:space="0"/>
              <w:bottom w:val="single" w:color="auto" w:sz="4" w:space="0"/>
              <w:right w:val="single" w:color="auto" w:sz="4" w:space="0"/>
            </w:tcBorders>
            <w:noWrap/>
            <w:vAlign w:val="center"/>
          </w:tcPr>
          <w:p w14:paraId="143BEC0A">
            <w:pPr>
              <w:spacing w:line="260" w:lineRule="exact"/>
              <w:jc w:val="center"/>
              <w:rPr>
                <w:rFonts w:ascii="宋体" w:hAnsi="宋体" w:eastAsia="宋体" w:cs="Times New Roman"/>
                <w:szCs w:val="21"/>
              </w:rPr>
            </w:pPr>
            <w:r>
              <w:rPr>
                <w:rFonts w:hint="eastAsia" w:ascii="宋体" w:hAnsi="宋体" w:eastAsia="宋体" w:cs="Times New Roman"/>
                <w:szCs w:val="21"/>
              </w:rPr>
              <w:t>1460</w:t>
            </w:r>
          </w:p>
        </w:tc>
        <w:tc>
          <w:tcPr>
            <w:tcW w:w="709" w:type="dxa"/>
            <w:tcBorders>
              <w:top w:val="single" w:color="auto" w:sz="4" w:space="0"/>
              <w:left w:val="single" w:color="auto" w:sz="4" w:space="0"/>
              <w:bottom w:val="single" w:color="auto" w:sz="4" w:space="0"/>
              <w:right w:val="single" w:color="auto" w:sz="4" w:space="0"/>
            </w:tcBorders>
            <w:vAlign w:val="center"/>
          </w:tcPr>
          <w:p w14:paraId="59DB0A62">
            <w:pPr>
              <w:spacing w:line="260" w:lineRule="exact"/>
              <w:jc w:val="center"/>
              <w:rPr>
                <w:rFonts w:ascii="宋体" w:hAnsi="宋体" w:eastAsia="宋体" w:cs="Times New Roman"/>
                <w:szCs w:val="21"/>
              </w:rPr>
            </w:pPr>
            <w:r>
              <w:rPr>
                <w:rFonts w:hint="eastAsia" w:ascii="宋体" w:hAnsi="宋体" w:eastAsia="宋体" w:cs="Times New Roman"/>
                <w:szCs w:val="21"/>
              </w:rPr>
              <w:t>双</w:t>
            </w:r>
          </w:p>
        </w:tc>
        <w:tc>
          <w:tcPr>
            <w:tcW w:w="4252" w:type="dxa"/>
            <w:tcBorders>
              <w:top w:val="single" w:color="auto" w:sz="4" w:space="0"/>
              <w:left w:val="single" w:color="auto" w:sz="4" w:space="0"/>
              <w:bottom w:val="single" w:color="auto" w:sz="4" w:space="0"/>
              <w:right w:val="single" w:color="auto" w:sz="4" w:space="0"/>
            </w:tcBorders>
            <w:noWrap/>
            <w:vAlign w:val="center"/>
          </w:tcPr>
          <w:p w14:paraId="44CFC805">
            <w:pPr>
              <w:snapToGrid w:val="0"/>
              <w:spacing w:line="360" w:lineRule="auto"/>
              <w:ind w:firstLine="422"/>
              <w:rPr>
                <w:rFonts w:hint="eastAsia" w:ascii="宋体" w:hAnsi="宋体" w:eastAsia="宋体" w:cs="Times New Roman"/>
                <w:szCs w:val="21"/>
              </w:rPr>
            </w:pPr>
            <w:r>
              <w:rPr>
                <w:rFonts w:hint="eastAsia" w:ascii="宋体" w:hAnsi="宋体" w:eastAsia="宋体" w:cs="Times New Roman"/>
                <w:szCs w:val="21"/>
              </w:rPr>
              <w:t>▲1.执行《中华人民共和国公共安全行业标准》GA309-2021、GA310-2021。</w:t>
            </w:r>
          </w:p>
          <w:p w14:paraId="72392E19">
            <w:pPr>
              <w:snapToGrid w:val="0"/>
              <w:spacing w:line="360" w:lineRule="auto"/>
              <w:ind w:firstLine="422"/>
              <w:rPr>
                <w:rFonts w:hint="eastAsia" w:ascii="宋体" w:hAnsi="宋体" w:eastAsia="宋体" w:cs="Times New Roman"/>
                <w:szCs w:val="21"/>
              </w:rPr>
            </w:pPr>
            <w:r>
              <w:rPr>
                <w:rFonts w:hint="eastAsia" w:ascii="宋体" w:hAnsi="宋体" w:eastAsia="宋体" w:cs="Times New Roman"/>
                <w:szCs w:val="21"/>
              </w:rPr>
              <w:t>2.警用男单皮鞋:</w:t>
            </w:r>
          </w:p>
          <w:p w14:paraId="432A27C5">
            <w:pPr>
              <w:snapToGrid w:val="0"/>
              <w:spacing w:line="360" w:lineRule="auto"/>
              <w:ind w:firstLine="422"/>
              <w:rPr>
                <w:rFonts w:ascii="宋体" w:hAnsi="宋体" w:eastAsia="宋体" w:cs="Times New Roman"/>
                <w:szCs w:val="21"/>
              </w:rPr>
            </w:pPr>
            <w:r>
              <w:rPr>
                <w:rFonts w:hint="eastAsia" w:ascii="宋体" w:hAnsi="宋体" w:eastAsia="宋体" w:cs="Times New Roman"/>
                <w:szCs w:val="21"/>
              </w:rPr>
              <w:t>（1）采用胶粘工艺成型</w:t>
            </w:r>
            <w:r>
              <w:rPr>
                <w:rFonts w:ascii="宋体" w:hAnsi="宋体" w:eastAsia="宋体" w:cs="Times New Roman"/>
                <w:szCs w:val="21"/>
              </w:rPr>
              <w:t>……</w:t>
            </w:r>
          </w:p>
        </w:tc>
        <w:tc>
          <w:tcPr>
            <w:tcW w:w="1419" w:type="dxa"/>
            <w:tcBorders>
              <w:top w:val="single" w:color="auto" w:sz="4" w:space="0"/>
              <w:left w:val="single" w:color="auto" w:sz="4" w:space="0"/>
              <w:bottom w:val="single" w:color="auto" w:sz="4" w:space="0"/>
              <w:right w:val="single" w:color="auto" w:sz="4" w:space="0"/>
            </w:tcBorders>
            <w:vAlign w:val="center"/>
          </w:tcPr>
          <w:p w14:paraId="4344860F">
            <w:pPr>
              <w:widowControl/>
              <w:jc w:val="center"/>
              <w:rPr>
                <w:rFonts w:ascii="宋体" w:hAnsi="宋体" w:eastAsia="宋体" w:cs="Times New Roman"/>
                <w:kern w:val="0"/>
                <w:szCs w:val="21"/>
              </w:rPr>
            </w:pPr>
            <w:r>
              <w:rPr>
                <w:rFonts w:hint="eastAsia" w:ascii="宋体" w:hAnsi="宋体" w:eastAsia="宋体" w:cs="Times New Roman"/>
                <w:kern w:val="0"/>
                <w:szCs w:val="21"/>
              </w:rPr>
              <w:t>313900</w:t>
            </w:r>
          </w:p>
        </w:tc>
      </w:tr>
      <w:tr w14:paraId="42097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noWrap/>
            <w:vAlign w:val="center"/>
          </w:tcPr>
          <w:p w14:paraId="107802E0">
            <w:pPr>
              <w:spacing w:line="240" w:lineRule="exact"/>
              <w:jc w:val="center"/>
              <w:rPr>
                <w:rFonts w:ascii="宋体" w:hAnsi="宋体" w:eastAsia="宋体" w:cs="Times New Roman"/>
                <w:szCs w:val="21"/>
              </w:rPr>
            </w:pPr>
            <w:r>
              <w:rPr>
                <w:rFonts w:hint="eastAsia" w:ascii="宋体" w:hAnsi="宋体" w:eastAsia="宋体" w:cs="Times New Roman"/>
                <w:szCs w:val="21"/>
              </w:rPr>
              <w:t>3</w:t>
            </w:r>
          </w:p>
        </w:tc>
        <w:tc>
          <w:tcPr>
            <w:tcW w:w="1330" w:type="dxa"/>
            <w:tcBorders>
              <w:top w:val="single" w:color="auto" w:sz="4" w:space="0"/>
              <w:left w:val="single" w:color="auto" w:sz="4" w:space="0"/>
              <w:bottom w:val="single" w:color="auto" w:sz="4" w:space="0"/>
              <w:right w:val="single" w:color="auto" w:sz="4" w:space="0"/>
            </w:tcBorders>
            <w:noWrap/>
            <w:vAlign w:val="center"/>
          </w:tcPr>
          <w:p w14:paraId="671303DE">
            <w:pPr>
              <w:spacing w:line="260" w:lineRule="exact"/>
              <w:jc w:val="center"/>
              <w:rPr>
                <w:rFonts w:ascii="宋体" w:hAnsi="宋体" w:eastAsia="宋体" w:cs="Times New Roman"/>
                <w:szCs w:val="21"/>
              </w:rPr>
            </w:pPr>
            <w:r>
              <w:rPr>
                <w:rFonts w:hint="eastAsia" w:ascii="宋体" w:hAnsi="宋体" w:eastAsia="宋体" w:cs="Times New Roman"/>
                <w:szCs w:val="21"/>
              </w:rPr>
              <w:t>警夏帽（含辅警帽徽）</w:t>
            </w:r>
          </w:p>
        </w:tc>
        <w:tc>
          <w:tcPr>
            <w:tcW w:w="695" w:type="dxa"/>
            <w:tcBorders>
              <w:top w:val="single" w:color="auto" w:sz="4" w:space="0"/>
              <w:left w:val="single" w:color="auto" w:sz="4" w:space="0"/>
              <w:bottom w:val="single" w:color="auto" w:sz="4" w:space="0"/>
              <w:right w:val="single" w:color="auto" w:sz="4" w:space="0"/>
            </w:tcBorders>
            <w:noWrap/>
            <w:vAlign w:val="center"/>
          </w:tcPr>
          <w:p w14:paraId="5F885A33">
            <w:pPr>
              <w:spacing w:line="260" w:lineRule="exact"/>
              <w:jc w:val="center"/>
              <w:rPr>
                <w:rFonts w:ascii="宋体" w:hAnsi="宋体" w:eastAsia="宋体" w:cs="Times New Roman"/>
                <w:szCs w:val="21"/>
              </w:rPr>
            </w:pPr>
            <w:r>
              <w:rPr>
                <w:rFonts w:hint="eastAsia" w:ascii="宋体" w:hAnsi="宋体" w:eastAsia="宋体" w:cs="Times New Roman"/>
                <w:szCs w:val="21"/>
              </w:rPr>
              <w:t>1600</w:t>
            </w:r>
          </w:p>
        </w:tc>
        <w:tc>
          <w:tcPr>
            <w:tcW w:w="709" w:type="dxa"/>
            <w:tcBorders>
              <w:top w:val="single" w:color="auto" w:sz="4" w:space="0"/>
              <w:left w:val="single" w:color="auto" w:sz="4" w:space="0"/>
              <w:bottom w:val="single" w:color="auto" w:sz="4" w:space="0"/>
              <w:right w:val="single" w:color="auto" w:sz="4" w:space="0"/>
            </w:tcBorders>
            <w:vAlign w:val="center"/>
          </w:tcPr>
          <w:p w14:paraId="0CF94EB7">
            <w:pPr>
              <w:spacing w:line="260" w:lineRule="exact"/>
              <w:jc w:val="center"/>
              <w:rPr>
                <w:rFonts w:ascii="宋体" w:hAnsi="宋体" w:eastAsia="宋体" w:cs="Times New Roman"/>
                <w:szCs w:val="21"/>
              </w:rPr>
            </w:pPr>
            <w:r>
              <w:rPr>
                <w:rFonts w:hint="eastAsia" w:ascii="宋体" w:hAnsi="宋体" w:eastAsia="宋体" w:cs="Times New Roman"/>
                <w:szCs w:val="21"/>
              </w:rPr>
              <w:t>顶</w:t>
            </w:r>
          </w:p>
        </w:tc>
        <w:tc>
          <w:tcPr>
            <w:tcW w:w="4252" w:type="dxa"/>
            <w:tcBorders>
              <w:top w:val="single" w:color="auto" w:sz="4" w:space="0"/>
              <w:left w:val="single" w:color="auto" w:sz="4" w:space="0"/>
              <w:bottom w:val="single" w:color="auto" w:sz="4" w:space="0"/>
              <w:right w:val="single" w:color="auto" w:sz="4" w:space="0"/>
            </w:tcBorders>
            <w:noWrap/>
            <w:vAlign w:val="center"/>
          </w:tcPr>
          <w:p w14:paraId="1B9A1CFA">
            <w:pPr>
              <w:snapToGrid w:val="0"/>
              <w:spacing w:line="360" w:lineRule="auto"/>
              <w:ind w:firstLine="422"/>
              <w:rPr>
                <w:rFonts w:hint="eastAsia" w:ascii="宋体" w:hAnsi="宋体" w:eastAsia="宋体" w:cs="Times New Roman"/>
                <w:szCs w:val="21"/>
              </w:rPr>
            </w:pPr>
            <w:r>
              <w:rPr>
                <w:rFonts w:hint="eastAsia" w:ascii="宋体" w:hAnsi="宋体" w:eastAsia="宋体" w:cs="Times New Roman"/>
                <w:szCs w:val="21"/>
              </w:rPr>
              <w:t>▲1、帽面帽墙丝带符合GA 360-2009\GA 346-2001的规定◆</w:t>
            </w:r>
          </w:p>
          <w:p w14:paraId="534D8371">
            <w:pPr>
              <w:snapToGrid w:val="0"/>
              <w:spacing w:line="360" w:lineRule="auto"/>
              <w:ind w:firstLine="422"/>
              <w:rPr>
                <w:rFonts w:ascii="宋体" w:hAnsi="宋体" w:eastAsia="宋体" w:cs="Times New Roman"/>
                <w:szCs w:val="21"/>
              </w:rPr>
            </w:pPr>
            <w:r>
              <w:rPr>
                <w:rFonts w:hint="eastAsia" w:ascii="宋体" w:hAnsi="宋体" w:eastAsia="宋体" w:cs="Times New Roman"/>
                <w:szCs w:val="21"/>
              </w:rPr>
              <w:t>2、帽口条面布</w:t>
            </w:r>
            <w:r>
              <w:rPr>
                <w:rFonts w:ascii="宋体" w:hAnsi="宋体" w:eastAsia="宋体" w:cs="Times New Roman"/>
                <w:szCs w:val="21"/>
              </w:rPr>
              <w:t>……</w:t>
            </w:r>
          </w:p>
        </w:tc>
        <w:tc>
          <w:tcPr>
            <w:tcW w:w="1419" w:type="dxa"/>
            <w:tcBorders>
              <w:top w:val="single" w:color="auto" w:sz="4" w:space="0"/>
              <w:left w:val="single" w:color="auto" w:sz="4" w:space="0"/>
              <w:bottom w:val="single" w:color="auto" w:sz="4" w:space="0"/>
              <w:right w:val="single" w:color="auto" w:sz="4" w:space="0"/>
            </w:tcBorders>
            <w:vAlign w:val="center"/>
          </w:tcPr>
          <w:p w14:paraId="5FB87265">
            <w:pPr>
              <w:widowControl/>
              <w:jc w:val="center"/>
              <w:rPr>
                <w:rFonts w:ascii="宋体" w:hAnsi="宋体" w:eastAsia="宋体" w:cs="Times New Roman"/>
                <w:kern w:val="0"/>
                <w:szCs w:val="21"/>
              </w:rPr>
            </w:pPr>
            <w:r>
              <w:rPr>
                <w:rFonts w:hint="eastAsia" w:ascii="宋体" w:hAnsi="宋体" w:eastAsia="宋体" w:cs="Times New Roman"/>
                <w:kern w:val="0"/>
                <w:szCs w:val="21"/>
              </w:rPr>
              <w:t>72000</w:t>
            </w:r>
          </w:p>
        </w:tc>
      </w:tr>
      <w:tr w14:paraId="600DD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noWrap/>
            <w:vAlign w:val="center"/>
          </w:tcPr>
          <w:p w14:paraId="016F55E3">
            <w:pPr>
              <w:spacing w:line="240" w:lineRule="exact"/>
              <w:jc w:val="center"/>
              <w:rPr>
                <w:rFonts w:ascii="宋体" w:hAnsi="宋体" w:eastAsia="宋体" w:cs="Times New Roman"/>
                <w:szCs w:val="21"/>
              </w:rPr>
            </w:pPr>
            <w:r>
              <w:rPr>
                <w:rFonts w:hint="eastAsia" w:ascii="宋体" w:hAnsi="宋体" w:eastAsia="宋体" w:cs="Times New Roman"/>
                <w:szCs w:val="21"/>
              </w:rPr>
              <w:t>4</w:t>
            </w:r>
          </w:p>
        </w:tc>
        <w:tc>
          <w:tcPr>
            <w:tcW w:w="1330" w:type="dxa"/>
            <w:tcBorders>
              <w:top w:val="single" w:color="auto" w:sz="4" w:space="0"/>
              <w:left w:val="single" w:color="auto" w:sz="4" w:space="0"/>
              <w:bottom w:val="single" w:color="auto" w:sz="4" w:space="0"/>
              <w:right w:val="single" w:color="auto" w:sz="4" w:space="0"/>
            </w:tcBorders>
            <w:noWrap/>
            <w:vAlign w:val="center"/>
          </w:tcPr>
          <w:p w14:paraId="273E9D23">
            <w:pPr>
              <w:spacing w:line="260" w:lineRule="exact"/>
              <w:jc w:val="center"/>
              <w:rPr>
                <w:rFonts w:ascii="宋体" w:hAnsi="宋体" w:eastAsia="宋体" w:cs="Times New Roman"/>
                <w:szCs w:val="21"/>
              </w:rPr>
            </w:pPr>
            <w:r>
              <w:rPr>
                <w:rFonts w:hint="eastAsia" w:ascii="宋体" w:hAnsi="宋体" w:eastAsia="宋体" w:cs="Times New Roman"/>
                <w:szCs w:val="21"/>
              </w:rPr>
              <w:t>夏执勤服（含辅警臂章）</w:t>
            </w:r>
          </w:p>
        </w:tc>
        <w:tc>
          <w:tcPr>
            <w:tcW w:w="695" w:type="dxa"/>
            <w:tcBorders>
              <w:top w:val="single" w:color="auto" w:sz="4" w:space="0"/>
              <w:left w:val="single" w:color="auto" w:sz="4" w:space="0"/>
              <w:bottom w:val="single" w:color="auto" w:sz="4" w:space="0"/>
              <w:right w:val="single" w:color="auto" w:sz="4" w:space="0"/>
            </w:tcBorders>
            <w:noWrap/>
            <w:vAlign w:val="center"/>
          </w:tcPr>
          <w:p w14:paraId="281F1FFC">
            <w:pPr>
              <w:spacing w:line="260" w:lineRule="exact"/>
              <w:jc w:val="center"/>
              <w:rPr>
                <w:rFonts w:ascii="宋体" w:hAnsi="宋体" w:eastAsia="宋体" w:cs="Times New Roman"/>
                <w:szCs w:val="21"/>
              </w:rPr>
            </w:pPr>
            <w:r>
              <w:rPr>
                <w:rFonts w:hint="eastAsia" w:ascii="宋体" w:hAnsi="宋体" w:eastAsia="宋体" w:cs="Times New Roman"/>
                <w:szCs w:val="21"/>
              </w:rPr>
              <w:t>2950</w:t>
            </w:r>
          </w:p>
        </w:tc>
        <w:tc>
          <w:tcPr>
            <w:tcW w:w="709" w:type="dxa"/>
            <w:tcBorders>
              <w:top w:val="single" w:color="auto" w:sz="4" w:space="0"/>
              <w:left w:val="single" w:color="auto" w:sz="4" w:space="0"/>
              <w:bottom w:val="single" w:color="auto" w:sz="4" w:space="0"/>
              <w:right w:val="single" w:color="auto" w:sz="4" w:space="0"/>
            </w:tcBorders>
            <w:vAlign w:val="center"/>
          </w:tcPr>
          <w:p w14:paraId="4D1AC47A">
            <w:pPr>
              <w:spacing w:line="260" w:lineRule="exact"/>
              <w:jc w:val="center"/>
              <w:rPr>
                <w:rFonts w:ascii="宋体" w:hAnsi="宋体" w:eastAsia="宋体" w:cs="Times New Roman"/>
                <w:szCs w:val="21"/>
              </w:rPr>
            </w:pPr>
            <w:r>
              <w:rPr>
                <w:rFonts w:hint="eastAsia" w:ascii="宋体" w:hAnsi="宋体" w:eastAsia="宋体" w:cs="Times New Roman"/>
                <w:szCs w:val="21"/>
              </w:rPr>
              <w:t>件</w:t>
            </w:r>
          </w:p>
        </w:tc>
        <w:tc>
          <w:tcPr>
            <w:tcW w:w="4252" w:type="dxa"/>
            <w:tcBorders>
              <w:top w:val="single" w:color="auto" w:sz="4" w:space="0"/>
              <w:left w:val="single" w:color="auto" w:sz="4" w:space="0"/>
              <w:bottom w:val="single" w:color="auto" w:sz="4" w:space="0"/>
              <w:right w:val="single" w:color="auto" w:sz="4" w:space="0"/>
            </w:tcBorders>
            <w:noWrap/>
            <w:vAlign w:val="center"/>
          </w:tcPr>
          <w:p w14:paraId="73139B84">
            <w:pPr>
              <w:snapToGrid w:val="0"/>
              <w:spacing w:line="360" w:lineRule="auto"/>
              <w:ind w:firstLine="422"/>
              <w:rPr>
                <w:rFonts w:hint="eastAsia" w:ascii="宋体" w:hAnsi="宋体" w:eastAsia="宋体" w:cs="Times New Roman"/>
                <w:szCs w:val="21"/>
              </w:rPr>
            </w:pPr>
            <w:r>
              <w:rPr>
                <w:rFonts w:hint="eastAsia" w:ascii="宋体" w:hAnsi="宋体" w:eastAsia="宋体" w:cs="Times New Roman"/>
                <w:szCs w:val="21"/>
              </w:rPr>
              <w:t>▲1、涤棉交织绸（浅蓝色）。</w:t>
            </w:r>
          </w:p>
          <w:p w14:paraId="16F047D0">
            <w:pPr>
              <w:snapToGrid w:val="0"/>
              <w:spacing w:line="360" w:lineRule="auto"/>
              <w:ind w:firstLine="422"/>
              <w:rPr>
                <w:rFonts w:ascii="宋体" w:hAnsi="宋体" w:eastAsia="宋体" w:cs="Times New Roman"/>
                <w:szCs w:val="21"/>
              </w:rPr>
            </w:pPr>
            <w:r>
              <w:rPr>
                <w:rFonts w:hint="eastAsia" w:ascii="宋体" w:hAnsi="宋体" w:eastAsia="宋体" w:cs="Times New Roman"/>
                <w:szCs w:val="21"/>
              </w:rPr>
              <w:t>2、经 250dtex 涤纶异形丝,纬250dtex涤纶异形长丝包</w:t>
            </w:r>
            <w:r>
              <w:rPr>
                <w:rFonts w:ascii="宋体" w:hAnsi="宋体" w:eastAsia="宋体" w:cs="Times New Roman"/>
                <w:szCs w:val="21"/>
              </w:rPr>
              <w:t>……</w:t>
            </w:r>
          </w:p>
        </w:tc>
        <w:tc>
          <w:tcPr>
            <w:tcW w:w="1419" w:type="dxa"/>
            <w:tcBorders>
              <w:top w:val="single" w:color="auto" w:sz="4" w:space="0"/>
              <w:left w:val="single" w:color="auto" w:sz="4" w:space="0"/>
              <w:bottom w:val="single" w:color="auto" w:sz="4" w:space="0"/>
              <w:right w:val="single" w:color="auto" w:sz="4" w:space="0"/>
            </w:tcBorders>
            <w:vAlign w:val="center"/>
          </w:tcPr>
          <w:p w14:paraId="1AFFBD4C">
            <w:pPr>
              <w:widowControl/>
              <w:jc w:val="center"/>
              <w:rPr>
                <w:rFonts w:ascii="宋体" w:hAnsi="宋体" w:eastAsia="宋体" w:cs="Times New Roman"/>
                <w:kern w:val="0"/>
                <w:szCs w:val="21"/>
              </w:rPr>
            </w:pPr>
            <w:r>
              <w:rPr>
                <w:rFonts w:hint="eastAsia" w:ascii="宋体" w:hAnsi="宋体" w:eastAsia="宋体" w:cs="Times New Roman"/>
                <w:kern w:val="0"/>
                <w:szCs w:val="21"/>
              </w:rPr>
              <w:t>221250</w:t>
            </w:r>
          </w:p>
        </w:tc>
      </w:tr>
      <w:tr w14:paraId="6909D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noWrap/>
            <w:vAlign w:val="center"/>
          </w:tcPr>
          <w:p w14:paraId="0D40BEA1">
            <w:pPr>
              <w:spacing w:line="240" w:lineRule="exact"/>
              <w:jc w:val="center"/>
              <w:rPr>
                <w:rFonts w:ascii="宋体" w:hAnsi="宋体" w:eastAsia="宋体" w:cs="Times New Roman"/>
                <w:szCs w:val="21"/>
              </w:rPr>
            </w:pPr>
            <w:r>
              <w:rPr>
                <w:rFonts w:hint="eastAsia" w:ascii="宋体" w:hAnsi="宋体" w:eastAsia="宋体" w:cs="Times New Roman"/>
                <w:szCs w:val="21"/>
              </w:rPr>
              <w:t>5</w:t>
            </w:r>
          </w:p>
        </w:tc>
        <w:tc>
          <w:tcPr>
            <w:tcW w:w="1330" w:type="dxa"/>
            <w:tcBorders>
              <w:top w:val="single" w:color="auto" w:sz="4" w:space="0"/>
              <w:left w:val="single" w:color="auto" w:sz="4" w:space="0"/>
              <w:bottom w:val="single" w:color="auto" w:sz="4" w:space="0"/>
              <w:right w:val="single" w:color="auto" w:sz="4" w:space="0"/>
            </w:tcBorders>
            <w:noWrap/>
            <w:vAlign w:val="center"/>
          </w:tcPr>
          <w:p w14:paraId="07DDE1E9">
            <w:pPr>
              <w:spacing w:line="260" w:lineRule="exact"/>
              <w:jc w:val="center"/>
              <w:rPr>
                <w:rFonts w:ascii="宋体" w:hAnsi="宋体" w:eastAsia="宋体" w:cs="Times New Roman"/>
                <w:szCs w:val="21"/>
              </w:rPr>
            </w:pPr>
            <w:r>
              <w:rPr>
                <w:rFonts w:hint="eastAsia" w:ascii="宋体" w:hAnsi="宋体" w:eastAsia="宋体" w:cs="Times New Roman"/>
                <w:szCs w:val="21"/>
              </w:rPr>
              <w:t>夏单裤</w:t>
            </w:r>
          </w:p>
        </w:tc>
        <w:tc>
          <w:tcPr>
            <w:tcW w:w="695" w:type="dxa"/>
            <w:tcBorders>
              <w:top w:val="single" w:color="auto" w:sz="4" w:space="0"/>
              <w:left w:val="single" w:color="auto" w:sz="4" w:space="0"/>
              <w:bottom w:val="single" w:color="auto" w:sz="4" w:space="0"/>
              <w:right w:val="single" w:color="auto" w:sz="4" w:space="0"/>
            </w:tcBorders>
            <w:noWrap/>
            <w:vAlign w:val="center"/>
          </w:tcPr>
          <w:p w14:paraId="66305CB1">
            <w:pPr>
              <w:spacing w:line="260" w:lineRule="exact"/>
              <w:jc w:val="center"/>
              <w:rPr>
                <w:rFonts w:ascii="宋体" w:hAnsi="宋体" w:eastAsia="宋体" w:cs="Times New Roman"/>
                <w:szCs w:val="21"/>
              </w:rPr>
            </w:pPr>
            <w:r>
              <w:rPr>
                <w:rFonts w:hint="eastAsia" w:ascii="宋体" w:hAnsi="宋体" w:eastAsia="宋体" w:cs="Times New Roman"/>
                <w:szCs w:val="21"/>
              </w:rPr>
              <w:t>2950</w:t>
            </w:r>
          </w:p>
        </w:tc>
        <w:tc>
          <w:tcPr>
            <w:tcW w:w="709" w:type="dxa"/>
            <w:tcBorders>
              <w:top w:val="single" w:color="auto" w:sz="4" w:space="0"/>
              <w:left w:val="single" w:color="auto" w:sz="4" w:space="0"/>
              <w:bottom w:val="single" w:color="auto" w:sz="4" w:space="0"/>
              <w:right w:val="single" w:color="auto" w:sz="4" w:space="0"/>
            </w:tcBorders>
            <w:vAlign w:val="center"/>
          </w:tcPr>
          <w:p w14:paraId="6860E337">
            <w:pPr>
              <w:spacing w:line="260" w:lineRule="exact"/>
              <w:jc w:val="center"/>
              <w:rPr>
                <w:rFonts w:ascii="宋体" w:hAnsi="宋体" w:eastAsia="宋体" w:cs="Times New Roman"/>
                <w:szCs w:val="21"/>
              </w:rPr>
            </w:pPr>
            <w:r>
              <w:rPr>
                <w:rFonts w:hint="eastAsia" w:ascii="宋体" w:hAnsi="宋体" w:eastAsia="宋体" w:cs="Times New Roman"/>
                <w:szCs w:val="21"/>
              </w:rPr>
              <w:t>条</w:t>
            </w:r>
          </w:p>
        </w:tc>
        <w:tc>
          <w:tcPr>
            <w:tcW w:w="4252" w:type="dxa"/>
            <w:tcBorders>
              <w:top w:val="single" w:color="auto" w:sz="4" w:space="0"/>
              <w:left w:val="single" w:color="auto" w:sz="4" w:space="0"/>
              <w:bottom w:val="single" w:color="auto" w:sz="4" w:space="0"/>
              <w:right w:val="single" w:color="auto" w:sz="4" w:space="0"/>
            </w:tcBorders>
            <w:noWrap/>
            <w:vAlign w:val="center"/>
          </w:tcPr>
          <w:p w14:paraId="72FD6410">
            <w:pPr>
              <w:snapToGrid w:val="0"/>
              <w:spacing w:line="360" w:lineRule="auto"/>
              <w:ind w:firstLine="422"/>
              <w:rPr>
                <w:rFonts w:hint="eastAsia" w:ascii="宋体" w:hAnsi="宋体" w:eastAsia="宋体" w:cs="Times New Roman"/>
                <w:szCs w:val="21"/>
              </w:rPr>
            </w:pPr>
            <w:r>
              <w:rPr>
                <w:rFonts w:hint="eastAsia" w:ascii="宋体" w:hAnsi="宋体" w:eastAsia="宋体" w:cs="Times New Roman"/>
                <w:szCs w:val="21"/>
              </w:rPr>
              <w:t>▲1.成分:92%聚酯纤维，8%氨纶。</w:t>
            </w:r>
          </w:p>
          <w:p w14:paraId="67F9AAEA">
            <w:pPr>
              <w:snapToGrid w:val="0"/>
              <w:spacing w:line="360" w:lineRule="auto"/>
              <w:ind w:firstLine="422"/>
              <w:rPr>
                <w:rFonts w:ascii="宋体" w:hAnsi="宋体" w:eastAsia="宋体" w:cs="Times New Roman"/>
                <w:szCs w:val="21"/>
              </w:rPr>
            </w:pPr>
            <w:r>
              <w:rPr>
                <w:rFonts w:hint="eastAsia" w:ascii="宋体" w:hAnsi="宋体" w:eastAsia="宋体" w:cs="Times New Roman"/>
                <w:szCs w:val="21"/>
              </w:rPr>
              <w:t>2.机织物密度:经向≥153(根)，纬向≥101(根)，61根/cm×40根/cm</w:t>
            </w:r>
            <w:r>
              <w:rPr>
                <w:rFonts w:ascii="宋体" w:hAnsi="宋体" w:eastAsia="宋体" w:cs="Times New Roman"/>
                <w:szCs w:val="21"/>
              </w:rPr>
              <w:t>……</w:t>
            </w:r>
          </w:p>
        </w:tc>
        <w:tc>
          <w:tcPr>
            <w:tcW w:w="1419" w:type="dxa"/>
            <w:tcBorders>
              <w:top w:val="single" w:color="auto" w:sz="4" w:space="0"/>
              <w:left w:val="single" w:color="auto" w:sz="4" w:space="0"/>
              <w:bottom w:val="single" w:color="auto" w:sz="4" w:space="0"/>
              <w:right w:val="single" w:color="auto" w:sz="4" w:space="0"/>
            </w:tcBorders>
            <w:vAlign w:val="center"/>
          </w:tcPr>
          <w:p w14:paraId="701ECF76">
            <w:pPr>
              <w:widowControl/>
              <w:jc w:val="center"/>
              <w:rPr>
                <w:rFonts w:ascii="宋体" w:hAnsi="宋体" w:eastAsia="宋体" w:cs="Times New Roman"/>
                <w:kern w:val="0"/>
                <w:szCs w:val="21"/>
              </w:rPr>
            </w:pPr>
            <w:r>
              <w:rPr>
                <w:rFonts w:hint="eastAsia" w:ascii="宋体" w:hAnsi="宋体" w:eastAsia="宋体" w:cs="Times New Roman"/>
                <w:kern w:val="0"/>
                <w:szCs w:val="21"/>
              </w:rPr>
              <w:t>221250</w:t>
            </w:r>
          </w:p>
        </w:tc>
      </w:tr>
      <w:tr w14:paraId="29472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noWrap/>
            <w:vAlign w:val="center"/>
          </w:tcPr>
          <w:p w14:paraId="398091BD">
            <w:pPr>
              <w:snapToGrid w:val="0"/>
              <w:spacing w:line="360" w:lineRule="auto"/>
              <w:jc w:val="center"/>
              <w:rPr>
                <w:rFonts w:ascii="宋体" w:hAnsi="宋体" w:eastAsia="宋体" w:cs="Times New Roman"/>
                <w:bCs/>
                <w:szCs w:val="21"/>
              </w:rPr>
            </w:pPr>
            <w:r>
              <w:rPr>
                <w:rFonts w:hint="eastAsia" w:ascii="宋体" w:hAnsi="宋体" w:eastAsia="宋体" w:cs="宋体"/>
                <w:kern w:val="0"/>
                <w:szCs w:val="21"/>
              </w:rPr>
              <w:t>6</w:t>
            </w:r>
          </w:p>
        </w:tc>
        <w:tc>
          <w:tcPr>
            <w:tcW w:w="1330" w:type="dxa"/>
            <w:tcBorders>
              <w:top w:val="single" w:color="auto" w:sz="4" w:space="0"/>
              <w:left w:val="single" w:color="auto" w:sz="4" w:space="0"/>
              <w:bottom w:val="single" w:color="auto" w:sz="4" w:space="0"/>
              <w:right w:val="single" w:color="auto" w:sz="4" w:space="0"/>
            </w:tcBorders>
            <w:noWrap/>
            <w:vAlign w:val="center"/>
          </w:tcPr>
          <w:p w14:paraId="1463E185">
            <w:pPr>
              <w:snapToGrid w:val="0"/>
              <w:spacing w:line="360" w:lineRule="auto"/>
              <w:jc w:val="center"/>
              <w:rPr>
                <w:rFonts w:ascii="宋体" w:hAnsi="宋体" w:eastAsia="宋体" w:cs="Times New Roman"/>
                <w:bCs/>
                <w:szCs w:val="21"/>
              </w:rPr>
            </w:pPr>
            <w:r>
              <w:rPr>
                <w:rFonts w:hint="eastAsia" w:ascii="宋体" w:hAnsi="宋体" w:eastAsia="宋体" w:cs="Times New Roman"/>
                <w:bCs/>
                <w:szCs w:val="21"/>
              </w:rPr>
              <w:t>执勤腰带</w:t>
            </w:r>
          </w:p>
        </w:tc>
        <w:tc>
          <w:tcPr>
            <w:tcW w:w="695" w:type="dxa"/>
            <w:tcBorders>
              <w:top w:val="single" w:color="auto" w:sz="4" w:space="0"/>
              <w:left w:val="single" w:color="auto" w:sz="4" w:space="0"/>
              <w:bottom w:val="single" w:color="auto" w:sz="4" w:space="0"/>
              <w:right w:val="single" w:color="auto" w:sz="4" w:space="0"/>
            </w:tcBorders>
            <w:noWrap/>
            <w:vAlign w:val="center"/>
          </w:tcPr>
          <w:p w14:paraId="56CF6755">
            <w:pPr>
              <w:snapToGrid w:val="0"/>
              <w:spacing w:line="360" w:lineRule="auto"/>
              <w:jc w:val="center"/>
              <w:rPr>
                <w:rFonts w:ascii="宋体" w:hAnsi="宋体" w:eastAsia="宋体" w:cs="Times New Roman"/>
                <w:szCs w:val="21"/>
              </w:rPr>
            </w:pPr>
            <w:r>
              <w:rPr>
                <w:rFonts w:hint="eastAsia" w:ascii="宋体" w:hAnsi="宋体" w:eastAsia="宋体" w:cs="Times New Roman"/>
                <w:szCs w:val="21"/>
              </w:rPr>
              <w:t>500</w:t>
            </w:r>
          </w:p>
        </w:tc>
        <w:tc>
          <w:tcPr>
            <w:tcW w:w="709" w:type="dxa"/>
            <w:tcBorders>
              <w:top w:val="single" w:color="auto" w:sz="4" w:space="0"/>
              <w:left w:val="single" w:color="auto" w:sz="4" w:space="0"/>
              <w:bottom w:val="single" w:color="auto" w:sz="4" w:space="0"/>
              <w:right w:val="single" w:color="auto" w:sz="4" w:space="0"/>
            </w:tcBorders>
            <w:vAlign w:val="center"/>
          </w:tcPr>
          <w:p w14:paraId="6DBC14AC">
            <w:pPr>
              <w:snapToGrid w:val="0"/>
              <w:spacing w:line="360" w:lineRule="auto"/>
              <w:jc w:val="center"/>
              <w:rPr>
                <w:rFonts w:ascii="宋体" w:hAnsi="宋体" w:eastAsia="宋体" w:cs="Times New Roman"/>
                <w:bCs/>
                <w:szCs w:val="21"/>
              </w:rPr>
            </w:pPr>
            <w:r>
              <w:rPr>
                <w:rFonts w:hint="eastAsia" w:ascii="宋体" w:hAnsi="宋体" w:eastAsia="宋体" w:cs="Times New Roman"/>
                <w:bCs/>
                <w:szCs w:val="21"/>
              </w:rPr>
              <w:t>条</w:t>
            </w:r>
          </w:p>
        </w:tc>
        <w:tc>
          <w:tcPr>
            <w:tcW w:w="4252" w:type="dxa"/>
            <w:tcBorders>
              <w:top w:val="single" w:color="auto" w:sz="4" w:space="0"/>
              <w:left w:val="single" w:color="auto" w:sz="4" w:space="0"/>
              <w:bottom w:val="single" w:color="auto" w:sz="4" w:space="0"/>
              <w:right w:val="single" w:color="auto" w:sz="4" w:space="0"/>
            </w:tcBorders>
            <w:noWrap/>
            <w:vAlign w:val="center"/>
          </w:tcPr>
          <w:p w14:paraId="6E7E48A5">
            <w:pPr>
              <w:snapToGrid w:val="0"/>
              <w:spacing w:line="360" w:lineRule="auto"/>
              <w:ind w:firstLine="422"/>
              <w:rPr>
                <w:rFonts w:hint="eastAsia" w:ascii="宋体" w:hAnsi="宋体" w:eastAsia="宋体" w:cs="Times New Roman"/>
                <w:szCs w:val="21"/>
              </w:rPr>
            </w:pPr>
            <w:r>
              <w:rPr>
                <w:rFonts w:hint="eastAsia" w:ascii="宋体" w:hAnsi="宋体" w:eastAsia="宋体" w:cs="Times New Roman"/>
                <w:szCs w:val="21"/>
              </w:rPr>
              <w:t>▲1、白色尼龙外腰带</w:t>
            </w:r>
          </w:p>
          <w:p w14:paraId="637200CB">
            <w:pPr>
              <w:snapToGrid w:val="0"/>
              <w:spacing w:line="360" w:lineRule="auto"/>
              <w:ind w:firstLine="422"/>
              <w:rPr>
                <w:rFonts w:hint="eastAsia" w:ascii="宋体" w:hAnsi="宋体" w:eastAsia="宋体" w:cs="Times New Roman"/>
                <w:szCs w:val="21"/>
              </w:rPr>
            </w:pPr>
            <w:r>
              <w:rPr>
                <w:rFonts w:hint="eastAsia" w:ascii="宋体" w:hAnsi="宋体" w:eastAsia="宋体" w:cs="Times New Roman"/>
                <w:szCs w:val="21"/>
              </w:rPr>
              <w:t>2、金属方形腰带头</w:t>
            </w:r>
            <w:r>
              <w:rPr>
                <w:rFonts w:ascii="宋体" w:hAnsi="宋体" w:eastAsia="宋体" w:cs="Times New Roman"/>
                <w:szCs w:val="21"/>
              </w:rPr>
              <w:t>……</w:t>
            </w:r>
          </w:p>
        </w:tc>
        <w:tc>
          <w:tcPr>
            <w:tcW w:w="1419" w:type="dxa"/>
            <w:tcBorders>
              <w:top w:val="single" w:color="auto" w:sz="4" w:space="0"/>
              <w:left w:val="single" w:color="auto" w:sz="4" w:space="0"/>
              <w:bottom w:val="single" w:color="auto" w:sz="4" w:space="0"/>
              <w:right w:val="single" w:color="auto" w:sz="4" w:space="0"/>
            </w:tcBorders>
            <w:vAlign w:val="center"/>
          </w:tcPr>
          <w:p w14:paraId="279564C2">
            <w:pPr>
              <w:widowControl/>
              <w:jc w:val="center"/>
              <w:rPr>
                <w:rFonts w:ascii="宋体" w:hAnsi="宋体" w:eastAsia="宋体" w:cs="Times New Roman"/>
                <w:kern w:val="0"/>
                <w:szCs w:val="21"/>
              </w:rPr>
            </w:pPr>
            <w:r>
              <w:rPr>
                <w:rFonts w:hint="eastAsia" w:ascii="宋体" w:hAnsi="宋体" w:eastAsia="宋体" w:cs="Times New Roman"/>
                <w:kern w:val="0"/>
                <w:szCs w:val="21"/>
              </w:rPr>
              <w:t>18000</w:t>
            </w:r>
          </w:p>
        </w:tc>
      </w:tr>
      <w:bookmarkEnd w:id="6"/>
    </w:tbl>
    <w:p w14:paraId="29BE002A">
      <w:pPr>
        <w:tabs>
          <w:tab w:val="left" w:pos="180"/>
          <w:tab w:val="left" w:pos="1620"/>
        </w:tabs>
        <w:ind w:firstLine="422"/>
        <w:rPr>
          <w:rFonts w:ascii="宋体" w:hAnsi="宋体" w:eastAsia="宋体" w:cs="Times New Roman"/>
          <w:szCs w:val="21"/>
        </w:rPr>
      </w:pPr>
      <w:r>
        <w:rPr>
          <w:rFonts w:hint="eastAsia" w:ascii="宋体" w:hAnsi="宋体" w:eastAsia="宋体" w:cs="Times New Roman"/>
          <w:szCs w:val="21"/>
        </w:rPr>
        <w:t>合同履行期限：自合同签订之日起60日内完成项目验收。</w:t>
      </w:r>
    </w:p>
    <w:p w14:paraId="79191BE1">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本项目是否接受联合体投标：□是/☑否。</w:t>
      </w:r>
    </w:p>
    <w:p w14:paraId="534F71A9">
      <w:pPr>
        <w:spacing w:line="360" w:lineRule="auto"/>
        <w:ind w:firstLine="482"/>
        <w:rPr>
          <w:rFonts w:ascii="黑体" w:hAnsi="黑体" w:eastAsia="黑体" w:cs="Times New Roman"/>
          <w:b/>
          <w:bCs/>
          <w:sz w:val="24"/>
        </w:rPr>
      </w:pPr>
      <w:bookmarkStart w:id="7" w:name="_Toc35393622"/>
      <w:bookmarkStart w:id="8" w:name="_Toc28359080"/>
      <w:bookmarkStart w:id="9" w:name="_Toc35393791"/>
      <w:bookmarkStart w:id="10" w:name="_Toc28359003"/>
      <w:r>
        <w:rPr>
          <w:rFonts w:hint="eastAsia" w:ascii="黑体" w:hAnsi="黑体" w:eastAsia="黑体" w:cs="Times New Roman"/>
          <w:b/>
          <w:bCs/>
          <w:sz w:val="24"/>
        </w:rPr>
        <w:t>二、投标人的资格要求：</w:t>
      </w:r>
      <w:bookmarkEnd w:id="7"/>
      <w:bookmarkEnd w:id="8"/>
      <w:bookmarkEnd w:id="9"/>
      <w:bookmarkEnd w:id="10"/>
    </w:p>
    <w:p w14:paraId="29C84207">
      <w:pPr>
        <w:spacing w:line="360" w:lineRule="auto"/>
        <w:ind w:firstLine="420" w:firstLineChars="200"/>
        <w:rPr>
          <w:rFonts w:ascii="宋体" w:hAnsi="宋体" w:eastAsia="宋体" w:cs="Times New Roman"/>
          <w:szCs w:val="21"/>
        </w:rPr>
      </w:pPr>
      <w:bookmarkStart w:id="11" w:name="_Toc28359081"/>
      <w:bookmarkStart w:id="12" w:name="_Toc28359004"/>
      <w:r>
        <w:rPr>
          <w:rFonts w:hint="eastAsia" w:ascii="宋体" w:hAnsi="宋体" w:eastAsia="宋体" w:cs="Times New Roman"/>
          <w:szCs w:val="21"/>
        </w:rPr>
        <w:t>1.满足《中华人民共和国政府采购法》第二十二条规定；</w:t>
      </w:r>
    </w:p>
    <w:p w14:paraId="0299D406">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2.落实政府采购政策需满足的资格要求：</w:t>
      </w:r>
    </w:p>
    <w:p w14:paraId="6267969C">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sym w:font="Wingdings 2" w:char="F052"/>
      </w:r>
      <w:r>
        <w:rPr>
          <w:rFonts w:hint="eastAsia" w:ascii="宋体" w:hAnsi="宋体" w:eastAsia="宋体" w:cs="Times New Roman"/>
          <w:szCs w:val="21"/>
        </w:rPr>
        <w:t>专门面向中小企业采购的项目（投标产品的生产厂家应为中小微企业、监狱企业、残疾人福利性单位)</w:t>
      </w:r>
    </w:p>
    <w:p w14:paraId="3B09D3DD">
      <w:pPr>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□非专门面向中小企业采购的项目</w:t>
      </w:r>
    </w:p>
    <w:p w14:paraId="03119311">
      <w:pPr>
        <w:snapToGrid w:val="0"/>
        <w:spacing w:line="400" w:lineRule="atLeast"/>
        <w:ind w:firstLine="472" w:firstLineChars="225"/>
        <w:rPr>
          <w:rFonts w:ascii="宋体" w:hAnsi="宋体" w:eastAsia="宋体" w:cs="Times New Roman"/>
        </w:rPr>
      </w:pPr>
      <w:r>
        <w:rPr>
          <w:rFonts w:hint="eastAsia" w:ascii="宋体" w:hAnsi="宋体" w:eastAsia="宋体" w:cs="Times New Roman"/>
          <w:szCs w:val="21"/>
        </w:rPr>
        <w:t>3.本项目的特定资格要求：无</w:t>
      </w:r>
      <w:r>
        <w:rPr>
          <w:rFonts w:hint="eastAsia" w:ascii="Times New Roman" w:hAnsi="Times New Roman" w:eastAsia="宋体" w:cs="Arial"/>
          <w:b/>
          <w:szCs w:val="21"/>
        </w:rPr>
        <w:t>。</w:t>
      </w:r>
    </w:p>
    <w:p w14:paraId="5443951E">
      <w:pPr>
        <w:snapToGrid w:val="0"/>
        <w:spacing w:line="400" w:lineRule="atLeast"/>
        <w:ind w:firstLine="472" w:firstLineChars="225"/>
        <w:rPr>
          <w:rFonts w:ascii="宋体" w:hAnsi="宋体" w:eastAsia="宋体" w:cs="Times New Roman"/>
          <w:szCs w:val="21"/>
        </w:rPr>
      </w:pPr>
      <w:r>
        <w:rPr>
          <w:rFonts w:hint="eastAsia" w:ascii="宋体" w:hAnsi="宋体" w:eastAsia="宋体" w:cs="Times New Roman"/>
          <w:szCs w:val="21"/>
        </w:rPr>
        <w:t>4. 本项目的特定条件：无</w:t>
      </w:r>
    </w:p>
    <w:p w14:paraId="3FBC849B">
      <w:pPr>
        <w:snapToGrid w:val="0"/>
        <w:spacing w:line="400" w:lineRule="atLeast"/>
        <w:ind w:firstLine="472" w:firstLineChars="225"/>
        <w:rPr>
          <w:rFonts w:ascii="宋体" w:hAnsi="宋体" w:eastAsia="宋体" w:cs="Times New Roman"/>
          <w:szCs w:val="21"/>
        </w:rPr>
      </w:pPr>
      <w:r>
        <w:rPr>
          <w:rFonts w:hint="eastAsia" w:ascii="宋体" w:hAnsi="宋体" w:eastAsia="宋体" w:cs="Times New Roman"/>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E37FD95">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5081DB7">
      <w:pPr>
        <w:spacing w:line="360" w:lineRule="auto"/>
        <w:ind w:firstLine="482"/>
        <w:rPr>
          <w:rFonts w:ascii="黑体" w:hAnsi="黑体" w:eastAsia="黑体" w:cs="Times New Roman"/>
          <w:b/>
          <w:bCs/>
          <w:sz w:val="24"/>
        </w:rPr>
      </w:pPr>
      <w:bookmarkStart w:id="13" w:name="_Toc35393792"/>
      <w:bookmarkStart w:id="14" w:name="_Toc35393623"/>
      <w:r>
        <w:rPr>
          <w:rFonts w:hint="eastAsia" w:ascii="黑体" w:hAnsi="黑体" w:eastAsia="黑体" w:cs="Times New Roman"/>
          <w:b/>
          <w:bCs/>
          <w:sz w:val="24"/>
        </w:rPr>
        <w:t>三、获取招标文件</w:t>
      </w:r>
      <w:bookmarkEnd w:id="11"/>
      <w:bookmarkEnd w:id="12"/>
      <w:bookmarkEnd w:id="13"/>
      <w:bookmarkEnd w:id="14"/>
    </w:p>
    <w:p w14:paraId="2368AE21">
      <w:pPr>
        <w:snapToGrid w:val="0"/>
        <w:spacing w:line="360" w:lineRule="auto"/>
        <w:ind w:firstLine="472" w:firstLineChars="225"/>
        <w:rPr>
          <w:rFonts w:ascii="宋体" w:hAnsi="宋体" w:eastAsia="宋体" w:cs="Times New Roman"/>
          <w:szCs w:val="21"/>
        </w:rPr>
      </w:pPr>
      <w:bookmarkStart w:id="15" w:name="_Toc28359082"/>
      <w:bookmarkStart w:id="16" w:name="_Toc28359005"/>
      <w:bookmarkStart w:id="17" w:name="_Toc35393624"/>
      <w:bookmarkStart w:id="18" w:name="_Toc35393793"/>
      <w:r>
        <w:rPr>
          <w:rFonts w:hint="eastAsia" w:ascii="宋体" w:hAnsi="宋体" w:eastAsia="宋体" w:cs="Times New Roman"/>
          <w:szCs w:val="21"/>
        </w:rPr>
        <w:t>时间：自公告发布之日起。</w:t>
      </w:r>
    </w:p>
    <w:p w14:paraId="01ECE7C2">
      <w:pPr>
        <w:wordWrap w:val="0"/>
        <w:spacing w:line="360" w:lineRule="auto"/>
        <w:ind w:firstLine="420"/>
        <w:rPr>
          <w:rFonts w:ascii="黑体" w:hAnsi="黑体" w:eastAsia="黑体" w:cs="Times New Roman"/>
          <w:b/>
          <w:bCs/>
          <w:sz w:val="24"/>
        </w:rPr>
      </w:pPr>
      <w:r>
        <w:rPr>
          <w:rFonts w:hint="eastAsia" w:ascii="宋体" w:hAnsi="宋体" w:eastAsia="宋体" w:cs="Times New Roman"/>
          <w:szCs w:val="21"/>
        </w:rPr>
        <w:t>获取方式:网上下载。本项目不发放纸质文件，供应商可自行在</w:t>
      </w:r>
      <w:r>
        <w:rPr>
          <w:rFonts w:ascii="Times New Roman" w:hAnsi="Times New Roman" w:eastAsia="宋体" w:cs="Times New Roman"/>
        </w:rPr>
        <w:fldChar w:fldCharType="begin"/>
      </w:r>
      <w:r>
        <w:rPr>
          <w:rFonts w:ascii="Times New Roman" w:hAnsi="Times New Roman" w:eastAsia="宋体" w:cs="Times New Roman"/>
        </w:rPr>
        <w:instrText xml:space="preserve"> HYPERLINK </w:instrText>
      </w:r>
      <w:r>
        <w:rPr>
          <w:rFonts w:ascii="Times New Roman" w:hAnsi="Times New Roman" w:eastAsia="宋体" w:cs="Times New Roman"/>
        </w:rPr>
        <w:fldChar w:fldCharType="separate"/>
      </w:r>
      <w:r>
        <w:rPr>
          <w:rFonts w:ascii="Times New Roman" w:hAnsi="Times New Roman" w:eastAsia="宋体" w:cs="Times New Roman"/>
        </w:rPr>
        <w:fldChar w:fldCharType="end"/>
      </w:r>
      <w:r>
        <w:rPr>
          <w:rFonts w:hint="eastAsia" w:ascii="仿宋_GB2312" w:hAnsi="仿宋" w:eastAsia="仿宋_GB2312" w:cs="Times New Roman"/>
          <w:sz w:val="24"/>
        </w:rPr>
        <w:t>广西政府采购云平台（https://www.gcy.zfcg.gxzf.gov.cn/）</w:t>
      </w:r>
      <w:r>
        <w:rPr>
          <w:rFonts w:hint="eastAsia" w:ascii="宋体" w:hAnsi="宋体" w:eastAsia="宋体" w:cs="Times New Roman"/>
          <w:szCs w:val="21"/>
        </w:rPr>
        <w:t>下载招标文件（操作路径：登录“</w:t>
      </w:r>
      <w:r>
        <w:rPr>
          <w:rFonts w:hint="eastAsia" w:ascii="仿宋_GB2312" w:hAnsi="仿宋" w:eastAsia="仿宋_GB2312" w:cs="Times New Roman"/>
          <w:sz w:val="24"/>
        </w:rPr>
        <w:t>广西政府采购云</w:t>
      </w:r>
      <w:r>
        <w:rPr>
          <w:rFonts w:hint="eastAsia" w:ascii="宋体" w:hAnsi="宋体" w:eastAsia="宋体" w:cs="Times New Roman"/>
          <w:szCs w:val="21"/>
        </w:rPr>
        <w:t>”平台-项目采购-获取采购文件-找到本项目-点击“申请获取采购文件”），电子投标文件制作需要基于</w:t>
      </w:r>
      <w:r>
        <w:rPr>
          <w:rFonts w:hint="eastAsia" w:ascii="仿宋_GB2312" w:hAnsi="仿宋" w:eastAsia="仿宋_GB2312" w:cs="Times New Roman"/>
          <w:sz w:val="24"/>
        </w:rPr>
        <w:t>广西政府采购云平台（https://www.gcy.zfcg.gxzf.gov.cn/）</w:t>
      </w:r>
      <w:r>
        <w:rPr>
          <w:rFonts w:hint="eastAsia" w:ascii="宋体" w:hAnsi="宋体" w:eastAsia="宋体" w:cs="Times New Roman"/>
          <w:szCs w:val="21"/>
        </w:rPr>
        <w:t>获取的招标文件编制。</w:t>
      </w:r>
    </w:p>
    <w:p w14:paraId="7883A0B1">
      <w:pPr>
        <w:snapToGrid w:val="0"/>
        <w:spacing w:line="360" w:lineRule="auto"/>
        <w:ind w:firstLine="472" w:firstLineChars="225"/>
        <w:rPr>
          <w:rFonts w:ascii="宋体" w:hAnsi="宋体" w:eastAsia="宋体" w:cs="Times New Roman"/>
          <w:szCs w:val="21"/>
        </w:rPr>
      </w:pPr>
      <w:r>
        <w:rPr>
          <w:rFonts w:hint="eastAsia" w:ascii="宋体" w:hAnsi="宋体" w:eastAsia="宋体" w:cs="Times New Roman"/>
          <w:szCs w:val="21"/>
        </w:rPr>
        <w:t>售价：0元。</w:t>
      </w:r>
    </w:p>
    <w:p w14:paraId="6CB88E60">
      <w:pPr>
        <w:spacing w:line="360" w:lineRule="auto"/>
        <w:ind w:firstLine="482"/>
        <w:rPr>
          <w:rFonts w:ascii="黑体" w:hAnsi="黑体" w:eastAsia="黑体" w:cs="Times New Roman"/>
          <w:b/>
          <w:bCs/>
          <w:sz w:val="24"/>
        </w:rPr>
      </w:pPr>
      <w:r>
        <w:rPr>
          <w:rFonts w:hint="eastAsia" w:ascii="黑体" w:hAnsi="黑体" w:eastAsia="黑体" w:cs="Times New Roman"/>
          <w:b/>
          <w:bCs/>
          <w:sz w:val="24"/>
        </w:rPr>
        <w:t>四、提交投标文件</w:t>
      </w:r>
      <w:bookmarkEnd w:id="15"/>
      <w:bookmarkEnd w:id="16"/>
      <w:r>
        <w:rPr>
          <w:rFonts w:hint="eastAsia" w:ascii="黑体" w:hAnsi="黑体" w:eastAsia="黑体" w:cs="Times New Roman"/>
          <w:b/>
          <w:bCs/>
          <w:sz w:val="24"/>
        </w:rPr>
        <w:t>截止时间、开标时间和地点</w:t>
      </w:r>
      <w:bookmarkEnd w:id="17"/>
      <w:bookmarkEnd w:id="18"/>
    </w:p>
    <w:p w14:paraId="7F3AF52D">
      <w:pPr>
        <w:spacing w:line="360" w:lineRule="auto"/>
        <w:ind w:firstLine="420" w:firstLineChars="200"/>
        <w:rPr>
          <w:rFonts w:ascii="宋体" w:hAnsi="宋体" w:eastAsia="宋体" w:cs="宋体"/>
          <w:szCs w:val="21"/>
          <w:u w:val="single"/>
        </w:rPr>
      </w:pPr>
      <w:r>
        <w:rPr>
          <w:rFonts w:hint="eastAsia" w:ascii="宋体" w:hAnsi="宋体" w:eastAsia="宋体" w:cs="Times New Roman"/>
          <w:bCs/>
          <w:szCs w:val="21"/>
        </w:rPr>
        <w:t>1、提交投标文件截止时间和开标时间：</w:t>
      </w:r>
      <w:r>
        <w:rPr>
          <w:rFonts w:hint="eastAsia" w:ascii="宋体" w:hAnsi="宋体" w:eastAsia="宋体" w:cs="Times New Roman"/>
          <w:bCs/>
          <w:szCs w:val="21"/>
          <w:u w:val="single"/>
        </w:rPr>
        <w:t>202</w:t>
      </w:r>
      <w:r>
        <w:rPr>
          <w:rFonts w:ascii="宋体" w:hAnsi="宋体" w:eastAsia="宋体" w:cs="Times New Roman"/>
          <w:bCs/>
          <w:szCs w:val="21"/>
          <w:u w:val="single"/>
        </w:rPr>
        <w:t>5</w:t>
      </w:r>
      <w:r>
        <w:rPr>
          <w:rFonts w:hint="eastAsia" w:ascii="宋体" w:hAnsi="宋体" w:eastAsia="宋体" w:cs="Times New Roman"/>
          <w:bCs/>
          <w:szCs w:val="21"/>
          <w:u w:val="single"/>
        </w:rPr>
        <w:t>年</w:t>
      </w:r>
      <w:r>
        <w:rPr>
          <w:rFonts w:ascii="宋体" w:hAnsi="宋体" w:eastAsia="宋体" w:cs="Times New Roman"/>
          <w:bCs/>
          <w:szCs w:val="21"/>
          <w:u w:val="single"/>
        </w:rPr>
        <w:t>8</w:t>
      </w:r>
      <w:r>
        <w:rPr>
          <w:rFonts w:hint="eastAsia" w:ascii="宋体" w:hAnsi="宋体" w:eastAsia="宋体" w:cs="Times New Roman"/>
          <w:bCs/>
          <w:szCs w:val="21"/>
          <w:u w:val="single"/>
        </w:rPr>
        <w:t>月</w:t>
      </w:r>
      <w:r>
        <w:rPr>
          <w:rFonts w:ascii="宋体" w:hAnsi="宋体" w:eastAsia="宋体" w:cs="Times New Roman"/>
          <w:bCs/>
          <w:szCs w:val="21"/>
          <w:u w:val="single"/>
        </w:rPr>
        <w:t>5</w:t>
      </w:r>
      <w:r>
        <w:rPr>
          <w:rFonts w:hint="eastAsia" w:ascii="宋体" w:hAnsi="宋体" w:eastAsia="宋体" w:cs="Times New Roman"/>
          <w:bCs/>
          <w:szCs w:val="21"/>
          <w:u w:val="single"/>
        </w:rPr>
        <w:t>日9时30分（北京时间</w:t>
      </w:r>
      <w:r>
        <w:rPr>
          <w:rFonts w:hint="eastAsia" w:ascii="宋体" w:hAnsi="宋体" w:eastAsia="宋体" w:cs="Times New Roman"/>
          <w:bCs/>
          <w:szCs w:val="21"/>
        </w:rPr>
        <w:t>）</w:t>
      </w:r>
    </w:p>
    <w:p w14:paraId="13DCCCBE">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2、投标和开标地点：</w:t>
      </w:r>
    </w:p>
    <w:p w14:paraId="18A73F36">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1）投标文件提交方式：本项目为南宁市全流程电子化项目，通过广西政府采购云平台（https://www.gcy.zfcg.gxzf.gov.cn/）实行在线电子投标，供应商应先安装“广西政府采购云电子交易客户端”（请自行前往“广西政府采购云”平台进行下载），并按照本项目招标文件和“广西政府采购云”平台的要求编制、加密后在投标截止时间前通过网络上传至 “广西政府采购云”平台，供应商在“广西政府采购云”平台提交电子版投标文件时，请填写参加远程开标活动经办人联系方式，电子投标具体操作流程详见本公告附件</w:t>
      </w:r>
      <w:r>
        <w:rPr>
          <w:rFonts w:ascii="宋体" w:hAnsi="宋体" w:eastAsia="宋体" w:cs="Times New Roman"/>
          <w:szCs w:val="21"/>
        </w:rPr>
        <w:t>2</w:t>
      </w:r>
      <w:r>
        <w:rPr>
          <w:rFonts w:hint="eastAsia" w:ascii="宋体" w:hAnsi="宋体" w:eastAsia="宋体" w:cs="Times New Roman"/>
          <w:szCs w:val="21"/>
        </w:rPr>
        <w:t>。</w:t>
      </w:r>
    </w:p>
    <w:p w14:paraId="6330B835">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（2）未进行网上注册并办理数字证书（CA认证）的供应商将无法参与本项目政府采购活动，潜在供应商应当在投标截止时间前，完成电子交易平台上的CA数字证书办理（申领流程见本公告附件</w:t>
      </w:r>
      <w:r>
        <w:rPr>
          <w:rFonts w:ascii="宋体" w:hAnsi="宋体" w:eastAsia="宋体" w:cs="Times New Roman"/>
          <w:szCs w:val="21"/>
        </w:rPr>
        <w:t>1</w:t>
      </w:r>
      <w:r>
        <w:rPr>
          <w:rFonts w:hint="eastAsia" w:ascii="宋体" w:hAnsi="宋体" w:eastAsia="宋体" w:cs="Times New Roman"/>
          <w:szCs w:val="21"/>
        </w:rPr>
        <w:t>）及投标文件的提交。完成CA数字证书办理预计7日左右，</w:t>
      </w:r>
      <w:r>
        <w:rPr>
          <w:rFonts w:hint="eastAsia" w:ascii="宋体" w:hAnsi="宋体" w:eastAsia="宋体" w:cs="宋体"/>
          <w:szCs w:val="21"/>
        </w:rPr>
        <w:t>投标人只需办理其中一家CA数字证书及签章，</w:t>
      </w:r>
      <w:r>
        <w:rPr>
          <w:rFonts w:hint="eastAsia" w:ascii="宋体" w:hAnsi="宋体" w:eastAsia="宋体" w:cs="Times New Roman"/>
          <w:szCs w:val="21"/>
        </w:rPr>
        <w:t>建议各投标人抓紧时间办理。</w:t>
      </w:r>
    </w:p>
    <w:p w14:paraId="5F17AEEE">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（3）为确保网上操作合法、有效和安全，请投标供应商确保在电子投标过程中能够对相关数据电文进行加密和使用电子签章，妥善保管CA数字证书并使用有效的CA数字证书参与整个招标活动。</w:t>
      </w:r>
    </w:p>
    <w:p w14:paraId="2A9ECCF5">
      <w:pPr>
        <w:spacing w:line="360" w:lineRule="auto"/>
        <w:ind w:firstLine="420" w:firstLineChars="200"/>
        <w:rPr>
          <w:rFonts w:ascii="宋体" w:hAnsi="宋体" w:eastAsia="宋体" w:cs="Times New Roman"/>
          <w:bCs/>
          <w:szCs w:val="21"/>
          <w:u w:val="single"/>
        </w:rPr>
      </w:pPr>
      <w:r>
        <w:rPr>
          <w:rFonts w:hint="eastAsia" w:ascii="宋体" w:hAnsi="宋体" w:eastAsia="宋体" w:cs="Times New Roman"/>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929AD72">
      <w:pPr>
        <w:widowControl/>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（4）开标地点：本次招标将</w:t>
      </w:r>
      <w:r>
        <w:rPr>
          <w:rFonts w:hint="eastAsia" w:ascii="宋体" w:hAnsi="宋体" w:eastAsia="宋体" w:cs="Times New Roman"/>
          <w:szCs w:val="21"/>
          <w:u w:val="single"/>
        </w:rPr>
        <w:t>于202</w:t>
      </w:r>
      <w:r>
        <w:rPr>
          <w:rFonts w:ascii="宋体" w:hAnsi="宋体" w:eastAsia="宋体" w:cs="Times New Roman"/>
          <w:szCs w:val="21"/>
          <w:u w:val="single"/>
        </w:rPr>
        <w:t>5</w:t>
      </w:r>
      <w:r>
        <w:rPr>
          <w:rFonts w:hint="eastAsia" w:ascii="宋体" w:hAnsi="宋体" w:eastAsia="宋体" w:cs="Times New Roman"/>
          <w:szCs w:val="21"/>
          <w:u w:val="single"/>
        </w:rPr>
        <w:t>年</w:t>
      </w:r>
      <w:r>
        <w:rPr>
          <w:rFonts w:ascii="宋体" w:hAnsi="宋体" w:eastAsia="宋体" w:cs="Times New Roman"/>
          <w:szCs w:val="21"/>
          <w:u w:val="single"/>
        </w:rPr>
        <w:t>8</w:t>
      </w:r>
      <w:r>
        <w:rPr>
          <w:rFonts w:hint="eastAsia" w:ascii="宋体" w:hAnsi="宋体" w:eastAsia="宋体" w:cs="Times New Roman"/>
          <w:szCs w:val="21"/>
          <w:u w:val="single"/>
        </w:rPr>
        <w:t>月</w:t>
      </w:r>
      <w:r>
        <w:rPr>
          <w:rFonts w:ascii="宋体" w:hAnsi="宋体" w:eastAsia="宋体" w:cs="Times New Roman"/>
          <w:szCs w:val="21"/>
          <w:u w:val="single"/>
        </w:rPr>
        <w:t>5</w:t>
      </w:r>
      <w:r>
        <w:rPr>
          <w:rFonts w:hint="eastAsia" w:ascii="宋体" w:hAnsi="宋体" w:eastAsia="宋体" w:cs="Times New Roman"/>
          <w:szCs w:val="21"/>
          <w:u w:val="single"/>
        </w:rPr>
        <w:t>日9时30分（北京时间）</w:t>
      </w:r>
      <w:r>
        <w:rPr>
          <w:rFonts w:hint="eastAsia" w:ascii="宋体" w:hAnsi="宋体" w:eastAsia="宋体" w:cs="Times New Roman"/>
          <w:szCs w:val="21"/>
        </w:rPr>
        <w:t>在“广西政府采购云”平台电子开标大厅开标。</w:t>
      </w:r>
    </w:p>
    <w:p w14:paraId="3EEFAB1B">
      <w:pPr>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（5）CA证书在线解密：供应商投标时，</w:t>
      </w:r>
      <w:r>
        <w:rPr>
          <w:rFonts w:hint="eastAsia" w:ascii="宋体" w:hAnsi="宋体" w:eastAsia="宋体" w:cs="宋体"/>
          <w:b/>
          <w:kern w:val="0"/>
          <w:szCs w:val="21"/>
        </w:rPr>
        <w:t>需携带制作投标文件时用来加密的有效数字证书（CA认证）</w:t>
      </w:r>
      <w:r>
        <w:rPr>
          <w:rFonts w:hint="eastAsia" w:ascii="宋体" w:hAnsi="宋体" w:eastAsia="宋体" w:cs="宋体"/>
          <w:kern w:val="0"/>
          <w:szCs w:val="21"/>
        </w:rPr>
        <w:t>登录“广西政府采购云”平台电子开标大厅现场按规定时间对加密的投标文件进行解密，未能按要求进行解密的，由此产生的后果由投标人自行承担。</w:t>
      </w:r>
    </w:p>
    <w:p w14:paraId="0B840999">
      <w:pPr>
        <w:spacing w:line="360" w:lineRule="auto"/>
        <w:ind w:firstLine="482"/>
        <w:rPr>
          <w:rFonts w:ascii="黑体" w:hAnsi="黑体" w:eastAsia="黑体" w:cs="Times New Roman"/>
          <w:b/>
          <w:bCs/>
          <w:sz w:val="24"/>
        </w:rPr>
      </w:pPr>
      <w:bookmarkStart w:id="19" w:name="_Toc35393625"/>
      <w:bookmarkStart w:id="20" w:name="_Toc35393794"/>
      <w:bookmarkStart w:id="21" w:name="_Toc28359084"/>
      <w:bookmarkStart w:id="22" w:name="_Toc28359007"/>
      <w:r>
        <w:rPr>
          <w:rFonts w:hint="eastAsia" w:ascii="黑体" w:hAnsi="黑体" w:eastAsia="黑体" w:cs="Times New Roman"/>
          <w:b/>
          <w:bCs/>
          <w:sz w:val="24"/>
        </w:rPr>
        <w:t>五、公告期限</w:t>
      </w:r>
      <w:bookmarkEnd w:id="19"/>
      <w:bookmarkEnd w:id="20"/>
      <w:bookmarkEnd w:id="21"/>
      <w:bookmarkEnd w:id="22"/>
    </w:p>
    <w:p w14:paraId="6370DD70">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7BEC0DFD">
      <w:pPr>
        <w:spacing w:line="360" w:lineRule="auto"/>
        <w:ind w:firstLine="482"/>
        <w:rPr>
          <w:rFonts w:ascii="黑体" w:hAnsi="黑体" w:eastAsia="黑体" w:cs="Times New Roman"/>
          <w:b/>
          <w:bCs/>
          <w:sz w:val="24"/>
        </w:rPr>
      </w:pPr>
      <w:bookmarkStart w:id="23" w:name="_Toc35393626"/>
      <w:bookmarkStart w:id="24" w:name="_Toc35393795"/>
      <w:r>
        <w:rPr>
          <w:rFonts w:hint="eastAsia" w:ascii="黑体" w:hAnsi="黑体" w:eastAsia="黑体" w:cs="Times New Roman"/>
          <w:b/>
          <w:bCs/>
          <w:sz w:val="24"/>
        </w:rPr>
        <w:t>六、其他补充事宜</w:t>
      </w:r>
      <w:bookmarkEnd w:id="23"/>
      <w:bookmarkEnd w:id="24"/>
    </w:p>
    <w:p w14:paraId="29E1B03A">
      <w:pPr>
        <w:spacing w:line="360" w:lineRule="auto"/>
        <w:ind w:firstLine="315" w:firstLineChars="150"/>
        <w:rPr>
          <w:rFonts w:ascii="宋体" w:hAnsi="宋体" w:eastAsia="宋体" w:cs="宋体"/>
          <w:kern w:val="0"/>
          <w:szCs w:val="21"/>
          <w:u w:val="single"/>
        </w:rPr>
      </w:pPr>
      <w:r>
        <w:rPr>
          <w:rFonts w:hint="eastAsia" w:ascii="宋体" w:hAnsi="宋体" w:eastAsia="宋体" w:cs="宋体"/>
          <w:kern w:val="0"/>
          <w:szCs w:val="21"/>
        </w:rPr>
        <w:t>1.投标保证金：本项目不收取投标保证金</w:t>
      </w:r>
    </w:p>
    <w:p w14:paraId="52326AB9">
      <w:pPr>
        <w:wordWrap w:val="0"/>
        <w:spacing w:line="360" w:lineRule="auto"/>
        <w:ind w:firstLine="315" w:firstLineChars="150"/>
        <w:jc w:val="left"/>
        <w:rPr>
          <w:rFonts w:ascii="宋体" w:hAnsi="宋体" w:eastAsia="宋体" w:cs="宋体"/>
          <w:kern w:val="0"/>
          <w:szCs w:val="21"/>
        </w:rPr>
      </w:pPr>
      <w:r>
        <w:rPr>
          <w:rFonts w:hint="eastAsia" w:ascii="宋体" w:hAnsi="宋体" w:eastAsia="宋体" w:cs="宋体"/>
          <w:kern w:val="0"/>
          <w:szCs w:val="21"/>
        </w:rPr>
        <w:t>2.采购意向公开链接：</w:t>
      </w:r>
      <w:bookmarkStart w:id="25" w:name="_Hlk37429585"/>
      <w:r>
        <w:rPr>
          <w:rFonts w:ascii="宋体" w:hAnsi="宋体" w:eastAsia="宋体" w:cs="宋体"/>
          <w:kern w:val="0"/>
          <w:szCs w:val="21"/>
        </w:rPr>
        <w:t>https://zfcg.gxzf.gov.cn/luban/detail?parentId=66601&amp;articleId=ann_U7oiymWKa+m/PGTcIimoM9D5ndTMr3NGt5TILBJnhQo=&amp;utm=web-micro-app-back-front.471571c1.cPlanInfo.3.34e162305bf011f0b75b2370f7da6130</w:t>
      </w:r>
      <w:r>
        <w:rPr>
          <w:rFonts w:hint="eastAsia" w:ascii="宋体" w:hAnsi="宋体" w:eastAsia="宋体" w:cs="宋体"/>
          <w:kern w:val="0"/>
          <w:szCs w:val="21"/>
        </w:rPr>
        <w:t xml:space="preserve"> </w:t>
      </w:r>
    </w:p>
    <w:bookmarkEnd w:id="25"/>
    <w:p w14:paraId="73352A3F">
      <w:pPr>
        <w:spacing w:line="360" w:lineRule="auto"/>
        <w:ind w:firstLine="315" w:firstLineChars="150"/>
        <w:rPr>
          <w:rFonts w:ascii="宋体" w:hAnsi="宋体" w:eastAsia="宋体" w:cs="宋体"/>
          <w:kern w:val="0"/>
          <w:szCs w:val="21"/>
        </w:rPr>
      </w:pPr>
      <w:r>
        <w:rPr>
          <w:rFonts w:hint="eastAsia" w:ascii="宋体" w:hAnsi="宋体" w:eastAsia="宋体" w:cs="宋体"/>
          <w:kern w:val="0"/>
          <w:szCs w:val="21"/>
        </w:rPr>
        <w:t>3.</w:t>
      </w:r>
      <w:bookmarkStart w:id="26" w:name="_Hlk37429595"/>
      <w:r>
        <w:rPr>
          <w:rFonts w:hint="eastAsia" w:ascii="宋体" w:hAnsi="宋体" w:eastAsia="宋体" w:cs="宋体"/>
          <w:kern w:val="0"/>
          <w:szCs w:val="21"/>
        </w:rPr>
        <w:t>网上查询地址</w:t>
      </w:r>
    </w:p>
    <w:bookmarkEnd w:id="26"/>
    <w:p w14:paraId="59A2BA6E">
      <w:pPr>
        <w:spacing w:line="360" w:lineRule="auto"/>
        <w:ind w:left="315" w:leftChars="150" w:firstLine="422"/>
        <w:rPr>
          <w:rFonts w:ascii="Times New Roman" w:hAnsi="Times New Roman" w:eastAsia="宋体" w:cs="Times New Roman"/>
          <w:kern w:val="0"/>
        </w:rPr>
      </w:pPr>
      <w:bookmarkStart w:id="27" w:name="_Hlk37429674"/>
      <w:r>
        <w:rPr>
          <w:rFonts w:hint="eastAsia" w:ascii="Times New Roman" w:hAnsi="Times New Roman" w:eastAsia="宋体" w:cs="Times New Roman"/>
          <w:kern w:val="0"/>
        </w:rPr>
        <w:t>中国政府采购网（</w:t>
      </w:r>
      <w:r>
        <w:rPr>
          <w:rFonts w:ascii="Times New Roman" w:hAnsi="Times New Roman" w:eastAsia="宋体" w:cs="Times New Roman"/>
          <w:kern w:val="0"/>
        </w:rPr>
        <w:t>http://www.ccgp.gov.cn</w:t>
      </w:r>
      <w:r>
        <w:rPr>
          <w:rFonts w:hint="eastAsia" w:ascii="Times New Roman" w:hAnsi="Times New Roman" w:eastAsia="宋体" w:cs="Times New Roman"/>
          <w:kern w:val="0"/>
        </w:rPr>
        <w:t>）</w:t>
      </w:r>
    </w:p>
    <w:p w14:paraId="52D6FE6D">
      <w:pPr>
        <w:spacing w:line="360" w:lineRule="auto"/>
        <w:ind w:left="315" w:leftChars="150" w:firstLine="422"/>
        <w:rPr>
          <w:rFonts w:ascii="Times New Roman" w:hAnsi="Times New Roman" w:eastAsia="宋体" w:cs="Times New Roman"/>
          <w:kern w:val="0"/>
        </w:rPr>
      </w:pPr>
      <w:r>
        <w:rPr>
          <w:rFonts w:hint="eastAsia" w:ascii="Times New Roman" w:hAnsi="Times New Roman" w:eastAsia="宋体" w:cs="Times New Roman"/>
          <w:kern w:val="0"/>
        </w:rPr>
        <w:t>广西壮族自治区政府采购网（</w:t>
      </w:r>
      <w:r>
        <w:rPr>
          <w:rFonts w:ascii="Times New Roman" w:hAnsi="Times New Roman" w:eastAsia="宋体" w:cs="Times New Roman"/>
          <w:kern w:val="0"/>
        </w:rPr>
        <w:t>http://zfcg.gxzf.gov.cn</w:t>
      </w:r>
      <w:r>
        <w:rPr>
          <w:rFonts w:hint="eastAsia" w:ascii="Times New Roman" w:hAnsi="Times New Roman" w:eastAsia="宋体" w:cs="Times New Roman"/>
          <w:kern w:val="0"/>
        </w:rPr>
        <w:t>）</w:t>
      </w:r>
    </w:p>
    <w:p w14:paraId="1CEB8E17">
      <w:pPr>
        <w:spacing w:line="360" w:lineRule="auto"/>
        <w:ind w:left="315" w:leftChars="150" w:firstLine="422"/>
        <w:rPr>
          <w:rFonts w:ascii="Times New Roman" w:hAnsi="Times New Roman" w:eastAsia="宋体" w:cs="Times New Roman"/>
        </w:rPr>
      </w:pPr>
      <w:r>
        <w:rPr>
          <w:rFonts w:hint="eastAsia" w:ascii="Times New Roman" w:hAnsi="Times New Roman" w:eastAsia="宋体" w:cs="Times New Roman"/>
        </w:rPr>
        <w:t>全国公共资源交易平台（广西</w:t>
      </w:r>
      <w:r>
        <w:rPr>
          <w:rFonts w:ascii="Times New Roman" w:hAnsi="Times New Roman" w:eastAsia="宋体" w:cs="Times New Roman"/>
        </w:rPr>
        <w:t>.</w:t>
      </w:r>
      <w:r>
        <w:rPr>
          <w:rFonts w:hint="eastAsia" w:ascii="Times New Roman" w:hAnsi="Times New Roman" w:eastAsia="宋体" w:cs="Times New Roman"/>
        </w:rPr>
        <w:t>南宁）（</w:t>
      </w:r>
      <w:r>
        <w:rPr>
          <w:rFonts w:ascii="Times New Roman" w:hAnsi="Times New Roman" w:eastAsia="宋体" w:cs="Times New Roman"/>
        </w:rPr>
        <w:t>http://ggzy.jgswj.gxzf.gov.cn/nnggzy/</w:t>
      </w:r>
      <w:r>
        <w:rPr>
          <w:rFonts w:hint="eastAsia" w:ascii="Times New Roman" w:hAnsi="Times New Roman" w:eastAsia="宋体" w:cs="Times New Roman"/>
        </w:rPr>
        <w:t>）</w:t>
      </w:r>
    </w:p>
    <w:p w14:paraId="13B6D0D0">
      <w:pPr>
        <w:spacing w:line="360" w:lineRule="auto"/>
        <w:ind w:firstLine="315" w:firstLineChars="150"/>
        <w:rPr>
          <w:rFonts w:ascii="宋体" w:hAnsi="宋体" w:eastAsia="宋体" w:cs="宋体"/>
          <w:kern w:val="0"/>
          <w:szCs w:val="21"/>
        </w:rPr>
      </w:pPr>
      <w:r>
        <w:rPr>
          <w:rFonts w:hint="eastAsia" w:ascii="宋体" w:hAnsi="宋体" w:eastAsia="宋体" w:cs="Times New Roman"/>
          <w:szCs w:val="21"/>
        </w:rPr>
        <w:t xml:space="preserve">4. </w:t>
      </w:r>
      <w:r>
        <w:rPr>
          <w:rFonts w:hint="eastAsia" w:ascii="宋体" w:hAnsi="宋体" w:eastAsia="宋体" w:cs="宋体"/>
          <w:kern w:val="0"/>
          <w:szCs w:val="21"/>
        </w:rPr>
        <w:t>本项目需要落实的政府采购政策：</w:t>
      </w:r>
      <w:bookmarkStart w:id="28" w:name="PO_3000001867_PM023"/>
    </w:p>
    <w:bookmarkEnd w:id="27"/>
    <w:bookmarkEnd w:id="28"/>
    <w:p w14:paraId="677587D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（1）政府采购促进中小企业发展。</w:t>
      </w:r>
    </w:p>
    <w:p w14:paraId="22E91980">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（2）政府采购支持采用本国产品的政策。</w:t>
      </w:r>
    </w:p>
    <w:p w14:paraId="63840788">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（3）强制采购节能产品；优先采购节能产品、环境标志产品。</w:t>
      </w:r>
    </w:p>
    <w:p w14:paraId="5B21E9E9">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（4）政府采购促进残疾人就业政策。</w:t>
      </w:r>
    </w:p>
    <w:p w14:paraId="3F177300">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（5）政府采购支持监狱企业发展。</w:t>
      </w:r>
    </w:p>
    <w:p w14:paraId="01A39B4C">
      <w:pPr>
        <w:spacing w:line="360" w:lineRule="auto"/>
        <w:ind w:firstLine="315" w:firstLineChars="150"/>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7C897358">
      <w:pPr>
        <w:wordWrap w:val="0"/>
        <w:spacing w:line="360" w:lineRule="auto"/>
        <w:ind w:firstLine="420" w:firstLineChars="200"/>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 若对项目采购电子交易系统操作有疑问，可登录广西政府采购云平台（https://www.gcy.zfcg.gxzf.gov.cn/），点击右侧咨询小采，获取采小蜜智能服务管家帮助，或拨打广西政府采购云平台服务热线95763或0771-3381253获取热线服务帮助。</w:t>
      </w:r>
    </w:p>
    <w:p w14:paraId="401AF4C6">
      <w:pPr>
        <w:spacing w:line="360" w:lineRule="auto"/>
        <w:ind w:firstLine="482"/>
        <w:rPr>
          <w:rFonts w:ascii="黑体" w:hAnsi="黑体" w:eastAsia="黑体" w:cs="Times New Roman"/>
          <w:b/>
          <w:bCs/>
          <w:sz w:val="24"/>
        </w:rPr>
      </w:pPr>
      <w:bookmarkStart w:id="29" w:name="_Toc28359008"/>
      <w:bookmarkStart w:id="30" w:name="_Toc35393796"/>
      <w:bookmarkStart w:id="31" w:name="_Toc35393627"/>
      <w:bookmarkStart w:id="32" w:name="_Toc28359085"/>
      <w:r>
        <w:rPr>
          <w:rFonts w:hint="eastAsia" w:ascii="黑体" w:hAnsi="黑体" w:eastAsia="黑体" w:cs="Times New Roman"/>
          <w:b/>
          <w:bCs/>
          <w:sz w:val="24"/>
        </w:rPr>
        <w:t>七、对本次招标提出询问，请按以下方式联系。</w:t>
      </w:r>
      <w:bookmarkEnd w:id="29"/>
      <w:bookmarkEnd w:id="30"/>
      <w:bookmarkEnd w:id="31"/>
      <w:bookmarkEnd w:id="32"/>
    </w:p>
    <w:p w14:paraId="652D3468">
      <w:pPr>
        <w:spacing w:line="360" w:lineRule="auto"/>
        <w:ind w:firstLine="422"/>
        <w:jc w:val="left"/>
        <w:rPr>
          <w:rFonts w:ascii="宋体" w:hAnsi="宋体" w:eastAsia="宋体" w:cs="Times New Roman"/>
          <w:szCs w:val="21"/>
        </w:rPr>
      </w:pPr>
      <w:r>
        <w:rPr>
          <w:rFonts w:hint="eastAsia" w:ascii="宋体" w:hAnsi="宋体" w:eastAsia="宋体" w:cs="宋体"/>
          <w:szCs w:val="21"/>
        </w:rPr>
        <w:t>　1.采购人信息</w:t>
      </w:r>
    </w:p>
    <w:p w14:paraId="124069E1">
      <w:pPr>
        <w:spacing w:line="360" w:lineRule="auto"/>
        <w:ind w:firstLine="840" w:firstLineChars="400"/>
        <w:jc w:val="left"/>
        <w:rPr>
          <w:rFonts w:ascii="宋体" w:hAnsi="宋体" w:eastAsia="宋体" w:cs="Times New Roman"/>
          <w:szCs w:val="21"/>
        </w:rPr>
      </w:pPr>
      <w:r>
        <w:rPr>
          <w:rFonts w:hint="eastAsia" w:ascii="宋体" w:hAnsi="宋体" w:eastAsia="宋体" w:cs="Times New Roman"/>
          <w:szCs w:val="21"/>
        </w:rPr>
        <w:t>名称：南宁市公安局交通警察支队</w:t>
      </w:r>
    </w:p>
    <w:p w14:paraId="4C2A8606">
      <w:pPr>
        <w:spacing w:line="360" w:lineRule="auto"/>
        <w:ind w:firstLine="840" w:firstLineChars="400"/>
        <w:jc w:val="left"/>
        <w:rPr>
          <w:rFonts w:ascii="宋体" w:hAnsi="宋体" w:eastAsia="宋体" w:cs="Times New Roman"/>
          <w:szCs w:val="21"/>
        </w:rPr>
      </w:pPr>
      <w:r>
        <w:rPr>
          <w:rFonts w:hint="eastAsia" w:ascii="宋体" w:hAnsi="宋体" w:eastAsia="宋体" w:cs="Times New Roman"/>
          <w:szCs w:val="21"/>
        </w:rPr>
        <w:t>地址：广西南宁市青秀区贤宾路3号</w:t>
      </w:r>
    </w:p>
    <w:p w14:paraId="1664713E">
      <w:pPr>
        <w:spacing w:line="360" w:lineRule="auto"/>
        <w:ind w:firstLine="840" w:firstLineChars="400"/>
        <w:jc w:val="left"/>
        <w:rPr>
          <w:rFonts w:ascii="宋体" w:hAnsi="宋体" w:eastAsia="宋体" w:cs="Times New Roman"/>
          <w:szCs w:val="21"/>
        </w:rPr>
      </w:pPr>
      <w:r>
        <w:rPr>
          <w:rFonts w:hint="eastAsia" w:ascii="宋体" w:hAnsi="宋体" w:eastAsia="宋体" w:cs="Times New Roman"/>
          <w:szCs w:val="21"/>
        </w:rPr>
        <w:t>项目联系人：</w:t>
      </w:r>
      <w:r>
        <w:rPr>
          <w:rFonts w:hint="eastAsia" w:ascii="宋体" w:hAnsi="宋体" w:eastAsia="宋体" w:cs="Arial"/>
          <w:bCs/>
          <w:szCs w:val="21"/>
        </w:rPr>
        <w:t>周光宇</w:t>
      </w:r>
    </w:p>
    <w:p w14:paraId="265921EE">
      <w:pPr>
        <w:spacing w:line="360" w:lineRule="auto"/>
        <w:ind w:left="1041" w:leftChars="371" w:hanging="262" w:hangingChars="125"/>
        <w:jc w:val="left"/>
        <w:rPr>
          <w:rFonts w:ascii="宋体" w:hAnsi="宋体" w:eastAsia="宋体" w:cs="Times New Roman"/>
          <w:szCs w:val="21"/>
        </w:rPr>
      </w:pPr>
      <w:r>
        <w:rPr>
          <w:rFonts w:hint="eastAsia" w:ascii="宋体" w:hAnsi="宋体" w:eastAsia="宋体" w:cs="Times New Roman"/>
          <w:szCs w:val="21"/>
        </w:rPr>
        <w:t xml:space="preserve">联系电话： </w:t>
      </w:r>
      <w:r>
        <w:rPr>
          <w:rFonts w:ascii="宋体" w:hAnsi="宋体" w:eastAsia="宋体" w:cs="Arial"/>
          <w:bCs/>
          <w:szCs w:val="21"/>
        </w:rPr>
        <w:t>0771-2890030</w:t>
      </w:r>
    </w:p>
    <w:p w14:paraId="44776919">
      <w:pPr>
        <w:spacing w:line="360" w:lineRule="auto"/>
        <w:ind w:firstLine="840" w:firstLineChars="400"/>
        <w:jc w:val="left"/>
        <w:rPr>
          <w:rFonts w:ascii="宋体" w:hAnsi="宋体" w:eastAsia="宋体" w:cs="宋体"/>
          <w:szCs w:val="21"/>
        </w:rPr>
      </w:pPr>
      <w:r>
        <w:rPr>
          <w:rFonts w:hint="eastAsia" w:ascii="宋体" w:hAnsi="宋体" w:eastAsia="宋体" w:cs="宋体"/>
          <w:szCs w:val="21"/>
        </w:rPr>
        <w:t>2.采购代理机构信息</w:t>
      </w:r>
    </w:p>
    <w:p w14:paraId="3407C26B">
      <w:pPr>
        <w:spacing w:line="360" w:lineRule="auto"/>
        <w:ind w:firstLine="840" w:firstLineChars="400"/>
        <w:jc w:val="left"/>
        <w:rPr>
          <w:rFonts w:ascii="宋体" w:hAnsi="宋体" w:eastAsia="宋体" w:cs="宋体"/>
          <w:szCs w:val="21"/>
        </w:rPr>
      </w:pPr>
      <w:r>
        <w:rPr>
          <w:rFonts w:hint="eastAsia" w:ascii="宋体" w:hAnsi="宋体" w:eastAsia="宋体" w:cs="宋体"/>
          <w:szCs w:val="21"/>
        </w:rPr>
        <w:t>名 称：云之龙咨询集团有限公司</w:t>
      </w:r>
    </w:p>
    <w:p w14:paraId="28BA50A6">
      <w:pPr>
        <w:spacing w:line="360" w:lineRule="auto"/>
        <w:ind w:firstLine="840" w:firstLineChars="400"/>
        <w:jc w:val="left"/>
        <w:rPr>
          <w:rFonts w:ascii="宋体" w:hAnsi="宋体" w:eastAsia="宋体" w:cs="宋体"/>
          <w:szCs w:val="21"/>
        </w:rPr>
      </w:pPr>
      <w:r>
        <w:rPr>
          <w:rFonts w:hint="eastAsia" w:ascii="宋体" w:hAnsi="宋体" w:eastAsia="宋体" w:cs="宋体"/>
          <w:szCs w:val="21"/>
        </w:rPr>
        <w:t>地　址：</w:t>
      </w:r>
      <w:r>
        <w:rPr>
          <w:rFonts w:hint="eastAsia" w:ascii="Times New Roman" w:hAnsi="Times New Roman" w:eastAsia="宋体" w:cs="Times New Roman"/>
          <w:kern w:val="0"/>
        </w:rPr>
        <w:t>南宁市良庆区云英路</w:t>
      </w:r>
      <w:r>
        <w:rPr>
          <w:rFonts w:ascii="Times New Roman" w:hAnsi="Times New Roman" w:eastAsia="宋体" w:cs="Times New Roman"/>
          <w:kern w:val="0"/>
        </w:rPr>
        <w:t>15</w:t>
      </w:r>
      <w:r>
        <w:rPr>
          <w:rFonts w:hint="eastAsia" w:ascii="Times New Roman" w:hAnsi="Times New Roman" w:eastAsia="宋体" w:cs="Times New Roman"/>
          <w:kern w:val="0"/>
        </w:rPr>
        <w:t>号</w:t>
      </w:r>
      <w:r>
        <w:rPr>
          <w:rFonts w:ascii="Times New Roman" w:hAnsi="Times New Roman" w:eastAsia="宋体" w:cs="Times New Roman"/>
          <w:kern w:val="0"/>
        </w:rPr>
        <w:t>3</w:t>
      </w:r>
      <w:r>
        <w:rPr>
          <w:rFonts w:hint="eastAsia" w:ascii="Times New Roman" w:hAnsi="Times New Roman" w:eastAsia="宋体" w:cs="Times New Roman"/>
          <w:kern w:val="0"/>
        </w:rPr>
        <w:t>号楼云之龙咨询集团大厦</w:t>
      </w:r>
      <w:r>
        <w:rPr>
          <w:rFonts w:ascii="Times New Roman" w:hAnsi="Times New Roman" w:eastAsia="宋体" w:cs="Times New Roman"/>
          <w:kern w:val="0"/>
        </w:rPr>
        <w:t>6</w:t>
      </w:r>
      <w:r>
        <w:rPr>
          <w:rFonts w:hint="eastAsia" w:ascii="Times New Roman" w:hAnsi="Times New Roman" w:eastAsia="宋体" w:cs="Times New Roman"/>
          <w:kern w:val="0"/>
        </w:rPr>
        <w:t>楼</w:t>
      </w:r>
    </w:p>
    <w:p w14:paraId="0EB4B89D">
      <w:pPr>
        <w:spacing w:line="360" w:lineRule="auto"/>
        <w:ind w:firstLine="840" w:firstLineChars="400"/>
        <w:jc w:val="left"/>
        <w:rPr>
          <w:rFonts w:ascii="宋体" w:hAnsi="宋体" w:eastAsia="宋体" w:cs="宋体"/>
          <w:szCs w:val="21"/>
        </w:rPr>
      </w:pPr>
      <w:r>
        <w:rPr>
          <w:rFonts w:hint="eastAsia" w:ascii="宋体" w:hAnsi="宋体" w:eastAsia="宋体" w:cs="宋体"/>
          <w:szCs w:val="21"/>
        </w:rPr>
        <w:t>联系电话：　0771-2618199、2618118 、2611898</w:t>
      </w:r>
    </w:p>
    <w:p w14:paraId="461B1D60">
      <w:pPr>
        <w:spacing w:line="360" w:lineRule="auto"/>
        <w:ind w:firstLine="840" w:firstLineChars="400"/>
        <w:jc w:val="left"/>
        <w:rPr>
          <w:rFonts w:ascii="宋体" w:hAnsi="宋体" w:eastAsia="宋体" w:cs="宋体"/>
          <w:szCs w:val="21"/>
        </w:rPr>
      </w:pPr>
      <w:r>
        <w:rPr>
          <w:rFonts w:hint="eastAsia" w:ascii="宋体" w:hAnsi="宋体" w:eastAsia="宋体" w:cs="宋体"/>
          <w:szCs w:val="21"/>
        </w:rPr>
        <w:t>3.项目联系方式</w:t>
      </w:r>
    </w:p>
    <w:p w14:paraId="1942CA83">
      <w:pPr>
        <w:spacing w:line="360" w:lineRule="auto"/>
        <w:ind w:firstLine="840" w:firstLineChars="400"/>
        <w:jc w:val="left"/>
        <w:rPr>
          <w:rFonts w:ascii="宋体" w:hAnsi="宋体" w:eastAsia="宋体" w:cs="宋体"/>
          <w:szCs w:val="21"/>
        </w:rPr>
      </w:pPr>
      <w:r>
        <w:rPr>
          <w:rFonts w:hint="eastAsia" w:ascii="宋体" w:hAnsi="宋体" w:eastAsia="宋体" w:cs="宋体"/>
          <w:szCs w:val="21"/>
        </w:rPr>
        <w:t>项目联系人：李鸿海、刘诗施</w:t>
      </w:r>
    </w:p>
    <w:p w14:paraId="325FC6E0">
      <w:pPr>
        <w:spacing w:line="360" w:lineRule="auto"/>
        <w:ind w:firstLine="840" w:firstLineChars="400"/>
        <w:jc w:val="left"/>
        <w:rPr>
          <w:rFonts w:ascii="宋体" w:hAnsi="宋体" w:eastAsia="宋体" w:cs="Times New Roman"/>
          <w:szCs w:val="21"/>
        </w:rPr>
      </w:pPr>
      <w:r>
        <w:rPr>
          <w:rFonts w:hint="eastAsia" w:ascii="宋体" w:hAnsi="宋体" w:eastAsia="宋体" w:cs="宋体"/>
          <w:szCs w:val="21"/>
        </w:rPr>
        <w:t>电话：　0771-2618199、2618118 、2611898</w:t>
      </w:r>
    </w:p>
    <w:p w14:paraId="1F5D5D90">
      <w:pPr>
        <w:widowControl w:val="0"/>
        <w:spacing w:line="360" w:lineRule="auto"/>
        <w:ind w:firstLine="420" w:firstLineChars="200"/>
        <w:jc w:val="left"/>
        <w:rPr>
          <w:rFonts w:ascii="Times New Roman" w:hAnsi="Times New Roman" w:eastAsia="宋体" w:cs="Times New Roman"/>
          <w:kern w:val="2"/>
          <w:sz w:val="21"/>
          <w:szCs w:val="24"/>
          <w:lang w:val="en-US" w:eastAsia="zh-CN" w:bidi="ar-SA"/>
        </w:rPr>
      </w:pPr>
      <w:r>
        <w:rPr>
          <w:rFonts w:hint="eastAsia" w:ascii="宋体" w:hAnsi="宋体" w:eastAsia="宋体" w:cs="Times New Roman"/>
          <w:kern w:val="2"/>
          <w:sz w:val="21"/>
          <w:szCs w:val="21"/>
          <w:lang w:val="en-US" w:eastAsia="zh-CN" w:bidi="ar-SA"/>
        </w:rPr>
        <w:t>附件： 1.CA证书申请方式及操作指南下载地址（登录</w:t>
      </w:r>
      <w:r>
        <w:rPr>
          <w:rFonts w:ascii="Times New Roman" w:hAnsi="Times New Roman" w:eastAsia="宋体" w:cs="Times New Roman"/>
          <w:kern w:val="2"/>
          <w:sz w:val="21"/>
          <w:szCs w:val="24"/>
          <w:lang w:val="en-US" w:eastAsia="zh-CN" w:bidi="ar-SA"/>
        </w:rPr>
        <w:t>http://nncz.nanning.gov.cn/</w:t>
      </w:r>
      <w:r>
        <w:rPr>
          <w:rFonts w:hint="eastAsia" w:ascii="Times New Roman" w:hAnsi="Times New Roman" w:eastAsia="宋体" w:cs="Times New Roman"/>
          <w:kern w:val="2"/>
          <w:sz w:val="21"/>
          <w:szCs w:val="24"/>
          <w:lang w:val="en-US" w:eastAsia="zh-CN" w:bidi="ar-SA"/>
        </w:rPr>
        <w:t>（南宁市财政局官网）</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业务专题</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政府采购监督管理</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资料下载</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“广西政采云西部</w:t>
      </w:r>
      <w:r>
        <w:rPr>
          <w:rFonts w:ascii="Times New Roman" w:hAnsi="Times New Roman" w:eastAsia="宋体" w:cs="Times New Roman"/>
          <w:kern w:val="2"/>
          <w:sz w:val="21"/>
          <w:szCs w:val="24"/>
          <w:lang w:val="en-US" w:eastAsia="zh-CN" w:bidi="ar-SA"/>
        </w:rPr>
        <w:t>CA</w:t>
      </w:r>
      <w:r>
        <w:rPr>
          <w:rFonts w:hint="eastAsia" w:ascii="Times New Roman" w:hAnsi="Times New Roman" w:eastAsia="宋体" w:cs="Times New Roman"/>
          <w:kern w:val="2"/>
          <w:sz w:val="21"/>
          <w:szCs w:val="24"/>
          <w:lang w:val="en-US" w:eastAsia="zh-CN" w:bidi="ar-SA"/>
        </w:rPr>
        <w:t>办理方式”或“南宁市政采云</w:t>
      </w:r>
      <w:r>
        <w:rPr>
          <w:rFonts w:ascii="Times New Roman" w:hAnsi="Times New Roman" w:eastAsia="宋体" w:cs="Times New Roman"/>
          <w:kern w:val="2"/>
          <w:sz w:val="21"/>
          <w:szCs w:val="24"/>
          <w:lang w:val="en-US" w:eastAsia="zh-CN" w:bidi="ar-SA"/>
        </w:rPr>
        <w:t>CA</w:t>
      </w:r>
      <w:r>
        <w:rPr>
          <w:rFonts w:hint="eastAsia" w:ascii="Times New Roman" w:hAnsi="Times New Roman" w:eastAsia="宋体" w:cs="Times New Roman"/>
          <w:kern w:val="2"/>
          <w:sz w:val="21"/>
          <w:szCs w:val="24"/>
          <w:lang w:val="en-US" w:eastAsia="zh-CN" w:bidi="ar-SA"/>
        </w:rPr>
        <w:t>证书办理操作指南”</w:t>
      </w:r>
      <w:r>
        <w:rPr>
          <w:rFonts w:hint="eastAsia" w:ascii="宋体" w:hAnsi="宋体" w:eastAsia="宋体" w:cs="Times New Roman"/>
          <w:kern w:val="2"/>
          <w:sz w:val="21"/>
          <w:szCs w:val="21"/>
          <w:lang w:val="en-US" w:eastAsia="zh-CN" w:bidi="ar-SA"/>
        </w:rPr>
        <w:t>）（政采云CA和</w:t>
      </w:r>
      <w:r>
        <w:rPr>
          <w:rFonts w:hint="eastAsia" w:ascii="Times New Roman" w:hAnsi="Times New Roman" w:eastAsia="宋体" w:cs="Times New Roman"/>
          <w:kern w:val="2"/>
          <w:sz w:val="21"/>
          <w:szCs w:val="24"/>
          <w:lang w:val="en-US" w:eastAsia="zh-CN" w:bidi="ar-SA"/>
        </w:rPr>
        <w:t>广西政府采购云平台</w:t>
      </w:r>
      <w:r>
        <w:rPr>
          <w:rFonts w:ascii="Times New Roman" w:hAnsi="Times New Roman" w:eastAsia="宋体" w:cs="Times New Roman"/>
          <w:kern w:val="2"/>
          <w:sz w:val="21"/>
          <w:szCs w:val="24"/>
          <w:lang w:val="en-US" w:eastAsia="zh-CN" w:bidi="ar-SA"/>
        </w:rPr>
        <w:t>CA</w:t>
      </w:r>
      <w:r>
        <w:rPr>
          <w:rFonts w:hint="eastAsia" w:ascii="Times New Roman" w:hAnsi="Times New Roman" w:eastAsia="宋体" w:cs="Times New Roman"/>
          <w:kern w:val="2"/>
          <w:sz w:val="21"/>
          <w:szCs w:val="24"/>
          <w:lang w:val="en-US" w:eastAsia="zh-CN" w:bidi="ar-SA"/>
        </w:rPr>
        <w:t>通用</w:t>
      </w:r>
      <w:r>
        <w:rPr>
          <w:rFonts w:hint="eastAsia" w:ascii="宋体" w:hAnsi="宋体" w:eastAsia="宋体" w:cs="Times New Roman"/>
          <w:kern w:val="2"/>
          <w:sz w:val="21"/>
          <w:szCs w:val="21"/>
          <w:lang w:val="en-US" w:eastAsia="zh-CN" w:bidi="ar-SA"/>
        </w:rPr>
        <w:t>）</w:t>
      </w:r>
    </w:p>
    <w:p w14:paraId="5BDB1D26">
      <w:pPr>
        <w:widowControl w:val="0"/>
        <w:spacing w:line="360" w:lineRule="auto"/>
        <w:ind w:firstLine="420" w:firstLineChars="200"/>
        <w:jc w:val="left"/>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2.电子投标文件制作与投送教程（在此网址下载：</w:t>
      </w:r>
      <w:r>
        <w:rPr>
          <w:rFonts w:ascii="Times New Roman" w:hAnsi="Times New Roman" w:eastAsia="宋体" w:cs="Times New Roman"/>
          <w:kern w:val="2"/>
          <w:sz w:val="21"/>
          <w:szCs w:val="24"/>
          <w:lang w:val="en-US" w:eastAsia="zh-CN" w:bidi="ar-SA"/>
        </w:rPr>
        <w:t>http://nncz.nanning.gov.cn/</w:t>
      </w:r>
      <w:r>
        <w:rPr>
          <w:rFonts w:hint="eastAsia" w:ascii="Times New Roman" w:hAnsi="Times New Roman" w:eastAsia="宋体" w:cs="Times New Roman"/>
          <w:kern w:val="2"/>
          <w:sz w:val="21"/>
          <w:szCs w:val="24"/>
          <w:lang w:val="en-US" w:eastAsia="zh-CN" w:bidi="ar-SA"/>
        </w:rPr>
        <w:t>（南宁市财政局官网）</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业务专题</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政府采购监督管理</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资料下载</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南宁市政府采购项目全流程电子化交易操作指南</w:t>
      </w:r>
      <w:r>
        <w:rPr>
          <w:rFonts w:hint="eastAsia" w:ascii="宋体" w:hAnsi="宋体" w:eastAsia="宋体" w:cs="Times New Roman"/>
          <w:kern w:val="2"/>
          <w:sz w:val="21"/>
          <w:szCs w:val="21"/>
          <w:lang w:val="en-US" w:eastAsia="zh-CN" w:bidi="ar-SA"/>
        </w:rPr>
        <w:t>）</w:t>
      </w:r>
    </w:p>
    <w:p w14:paraId="7FFA31B6">
      <w:pPr>
        <w:widowControl w:val="0"/>
        <w:spacing w:line="360" w:lineRule="auto"/>
        <w:ind w:firstLine="420" w:firstLineChars="200"/>
        <w:jc w:val="left"/>
        <w:rPr>
          <w:rFonts w:ascii="宋体" w:hAnsi="宋体" w:eastAsia="宋体" w:cs="Times New Roman"/>
          <w:kern w:val="2"/>
          <w:sz w:val="21"/>
          <w:szCs w:val="21"/>
          <w:lang w:val="en-US" w:eastAsia="zh-CN" w:bidi="ar-SA"/>
        </w:rPr>
      </w:pPr>
    </w:p>
    <w:p w14:paraId="3C521D6F">
      <w:pPr>
        <w:widowControl w:val="0"/>
        <w:spacing w:line="360" w:lineRule="auto"/>
        <w:ind w:firstLine="420" w:firstLineChars="200"/>
        <w:jc w:val="right"/>
        <w:rPr>
          <w:rFonts w:ascii="宋体" w:hAnsi="宋体" w:eastAsia="宋体" w:cs="Times New Roman"/>
          <w:kern w:val="2"/>
          <w:sz w:val="21"/>
          <w:szCs w:val="21"/>
          <w:u w:val="single"/>
          <w:lang w:val="en-US" w:eastAsia="zh-CN" w:bidi="ar-SA"/>
        </w:rPr>
      </w:pPr>
      <w:r>
        <w:rPr>
          <w:rFonts w:hint="eastAsia" w:ascii="宋体" w:hAnsi="宋体" w:eastAsia="宋体" w:cs="宋体"/>
          <w:kern w:val="2"/>
          <w:sz w:val="21"/>
          <w:szCs w:val="21"/>
          <w:lang w:val="en-US" w:eastAsia="zh-CN" w:bidi="ar-SA"/>
        </w:rPr>
        <w:t>云之龙咨询集团有限公司</w:t>
      </w:r>
    </w:p>
    <w:p w14:paraId="099452C0">
      <w:pPr>
        <w:jc w:val="center"/>
        <w:rPr>
          <w:rFonts w:hint="eastAsia"/>
          <w:lang w:val="en-US" w:eastAsia="zh-CN"/>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2</w:t>
      </w:r>
      <w:r>
        <w:rPr>
          <w:rFonts w:ascii="宋体" w:hAnsi="宋体" w:eastAsia="宋体" w:cs="Times New Roman"/>
          <w:szCs w:val="21"/>
        </w:rPr>
        <w:t>025</w:t>
      </w:r>
      <w:r>
        <w:rPr>
          <w:rFonts w:hint="eastAsia" w:ascii="宋体" w:hAnsi="宋体" w:eastAsia="宋体" w:cs="Times New Roman"/>
          <w:szCs w:val="21"/>
        </w:rPr>
        <w:t>年</w:t>
      </w:r>
      <w:r>
        <w:rPr>
          <w:rFonts w:ascii="宋体" w:hAnsi="宋体" w:eastAsia="宋体" w:cs="Times New Roman"/>
          <w:szCs w:val="21"/>
        </w:rPr>
        <w:t>7</w:t>
      </w:r>
      <w:r>
        <w:rPr>
          <w:rFonts w:hint="eastAsia" w:ascii="宋体" w:hAnsi="宋体" w:eastAsia="宋体" w:cs="Times New Roman"/>
          <w:szCs w:val="21"/>
        </w:rPr>
        <w:t>月</w:t>
      </w:r>
      <w:r>
        <w:rPr>
          <w:rFonts w:ascii="宋体" w:hAnsi="宋体" w:eastAsia="宋体" w:cs="Times New Roman"/>
          <w:szCs w:val="21"/>
        </w:rPr>
        <w:t>15</w:t>
      </w:r>
      <w:r>
        <w:rPr>
          <w:rFonts w:hint="eastAsia" w:ascii="宋体" w:hAnsi="宋体" w:eastAsia="宋体" w:cs="Times New Roman"/>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2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2025-07-15T05:11:19Z</dcterms:created>
  <dc:creator>admin</dc:creator>
  <cp:lastModifiedBy>WPS_Fzm</cp:lastModifiedBy>
  <dcterms:modified xsi:type="dcterms:W3CDTF">2025-07-15T05:13:16Z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eyJoZGlkIjoiYTY0NTRlNTEyZjY3N2M4MmZmNTM3YTg2YTMwOGM3MmMiLCJ1c2VySWQiOiIxMTI4NjkyMzc1In0=</vt:lpwstr>
  </property>
  <property fmtid="{D5CDD505-2E9C-101B-9397-08002B2CF9AE}" pid="4" name="ICV">
    <vt:lpwstr>06455CB0F5D543FBB85C7F6DC6FA6842_12</vt:lpwstr>
  </property>
</Properties>
</file>